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napToGrid w:val="0"/>
          <w:color w:val="auto"/>
          <w:kern w:val="0"/>
          <w:sz w:val="32"/>
          <w:szCs w:val="32"/>
          <w:highlight w:val="none"/>
        </w:rPr>
      </w:pPr>
    </w:p>
    <w:p>
      <w:pPr>
        <w:rPr>
          <w:rFonts w:hint="eastAsia" w:ascii="仿宋_GB2312" w:hAnsi="仿宋_GB2312" w:eastAsia="仿宋_GB2312" w:cs="仿宋_GB2312"/>
          <w:snapToGrid w:val="0"/>
          <w:color w:val="auto"/>
          <w:kern w:val="0"/>
          <w:sz w:val="32"/>
          <w:szCs w:val="32"/>
          <w:highlight w:val="none"/>
        </w:rPr>
      </w:pPr>
    </w:p>
    <w:p>
      <w:pPr>
        <w:pStyle w:val="23"/>
        <w:jc w:val="center"/>
        <w:rPr>
          <w:rFonts w:hint="eastAsia" w:ascii="仿宋_GB2312" w:hAnsi="仿宋_GB2312" w:eastAsia="仿宋_GB2312" w:cs="仿宋_GB2312"/>
          <w:b/>
          <w:bCs/>
          <w:snapToGrid w:val="0"/>
          <w:color w:val="auto"/>
          <w:kern w:val="0"/>
          <w:sz w:val="84"/>
          <w:szCs w:val="84"/>
          <w:highlight w:val="none"/>
        </w:rPr>
      </w:pPr>
      <w:r>
        <w:rPr>
          <w:rFonts w:hint="eastAsia" w:ascii="仿宋_GB2312" w:hAnsi="仿宋_GB2312" w:eastAsia="仿宋_GB2312" w:cs="仿宋_GB2312"/>
          <w:b/>
          <w:snapToGrid w:val="0"/>
          <w:color w:val="auto"/>
          <w:kern w:val="0"/>
          <w:sz w:val="84"/>
          <w:szCs w:val="84"/>
          <w:highlight w:val="none"/>
        </w:rPr>
        <w:t>政 府 采 购</w:t>
      </w:r>
    </w:p>
    <w:p>
      <w:pPr>
        <w:pStyle w:val="23"/>
        <w:adjustRightInd w:val="0"/>
        <w:snapToGrid w:val="0"/>
        <w:spacing w:line="360" w:lineRule="auto"/>
        <w:jc w:val="center"/>
        <w:rPr>
          <w:rFonts w:hint="eastAsia" w:ascii="仿宋_GB2312" w:hAnsi="仿宋_GB2312" w:eastAsia="仿宋_GB2312" w:cs="仿宋_GB2312"/>
          <w:b/>
          <w:snapToGrid w:val="0"/>
          <w:color w:val="auto"/>
          <w:kern w:val="0"/>
          <w:sz w:val="84"/>
          <w:szCs w:val="84"/>
          <w:highlight w:val="none"/>
        </w:rPr>
      </w:pPr>
      <w:r>
        <w:rPr>
          <w:rFonts w:hint="eastAsia" w:ascii="仿宋_GB2312" w:hAnsi="仿宋_GB2312" w:eastAsia="仿宋_GB2312" w:cs="仿宋_GB2312"/>
          <w:b/>
          <w:snapToGrid w:val="0"/>
          <w:color w:val="auto"/>
          <w:kern w:val="0"/>
          <w:sz w:val="84"/>
          <w:szCs w:val="84"/>
          <w:highlight w:val="none"/>
        </w:rPr>
        <w:t>竞争性磋商文件</w:t>
      </w:r>
    </w:p>
    <w:p>
      <w:pPr>
        <w:pStyle w:val="23"/>
        <w:adjustRightInd w:val="0"/>
        <w:snapToGrid w:val="0"/>
        <w:spacing w:before="156" w:beforeLines="50" w:line="360" w:lineRule="auto"/>
        <w:rPr>
          <w:rFonts w:hint="eastAsia" w:ascii="仿宋_GB2312" w:hAnsi="仿宋_GB2312" w:eastAsia="仿宋_GB2312" w:cs="仿宋_GB2312"/>
          <w:b/>
          <w:snapToGrid w:val="0"/>
          <w:color w:val="auto"/>
          <w:kern w:val="0"/>
          <w:sz w:val="32"/>
          <w:szCs w:val="32"/>
          <w:highlight w:val="none"/>
        </w:rPr>
      </w:pPr>
    </w:p>
    <w:p>
      <w:pPr>
        <w:pStyle w:val="23"/>
        <w:adjustRightInd w:val="0"/>
        <w:snapToGrid w:val="0"/>
        <w:spacing w:before="156" w:beforeLines="50" w:line="360" w:lineRule="auto"/>
        <w:rPr>
          <w:rFonts w:hint="eastAsia" w:ascii="仿宋_GB2312" w:hAnsi="仿宋_GB2312" w:eastAsia="仿宋_GB2312" w:cs="仿宋_GB2312"/>
          <w:b/>
          <w:snapToGrid w:val="0"/>
          <w:color w:val="auto"/>
          <w:kern w:val="0"/>
          <w:sz w:val="32"/>
          <w:szCs w:val="32"/>
          <w:highlight w:val="none"/>
        </w:rPr>
      </w:pPr>
    </w:p>
    <w:p>
      <w:pPr>
        <w:pStyle w:val="23"/>
        <w:adjustRightInd w:val="0"/>
        <w:snapToGrid w:val="0"/>
        <w:spacing w:before="156" w:beforeLines="50" w:line="360" w:lineRule="auto"/>
        <w:rPr>
          <w:rFonts w:hint="eastAsia" w:ascii="仿宋_GB2312" w:hAnsi="仿宋_GB2312" w:eastAsia="仿宋_GB2312" w:cs="仿宋_GB2312"/>
          <w:b/>
          <w:snapToGrid w:val="0"/>
          <w:color w:val="auto"/>
          <w:kern w:val="0"/>
          <w:sz w:val="32"/>
          <w:szCs w:val="32"/>
          <w:highlight w:val="none"/>
        </w:rPr>
      </w:pPr>
    </w:p>
    <w:p>
      <w:pPr>
        <w:pStyle w:val="23"/>
        <w:adjustRightInd w:val="0"/>
        <w:snapToGrid w:val="0"/>
        <w:spacing w:line="360" w:lineRule="auto"/>
        <w:ind w:left="2878" w:leftChars="304" w:hanging="2240" w:hangingChars="700"/>
        <w:rPr>
          <w:rFonts w:hint="eastAsia" w:ascii="仿宋_GB2312" w:hAnsi="仿宋_GB2312" w:eastAsia="仿宋_GB2312" w:cs="仿宋_GB2312"/>
          <w:bCs/>
          <w:snapToGrid w:val="0"/>
          <w:color w:val="auto"/>
          <w:kern w:val="0"/>
          <w:sz w:val="32"/>
          <w:szCs w:val="32"/>
          <w:highlight w:val="none"/>
          <w:lang w:eastAsia="zh-CN"/>
        </w:rPr>
      </w:pPr>
      <w:r>
        <w:rPr>
          <w:rFonts w:hint="eastAsia" w:ascii="仿宋_GB2312" w:hAnsi="仿宋_GB2312" w:eastAsia="仿宋_GB2312" w:cs="仿宋_GB2312"/>
          <w:bCs/>
          <w:snapToGrid w:val="0"/>
          <w:color w:val="auto"/>
          <w:kern w:val="0"/>
          <w:sz w:val="32"/>
          <w:szCs w:val="32"/>
          <w:highlight w:val="none"/>
        </w:rPr>
        <w:t>采购项目名称：</w:t>
      </w:r>
      <w:r>
        <w:rPr>
          <w:rFonts w:hint="eastAsia" w:ascii="仿宋_GB2312" w:hAnsi="仿宋_GB2312" w:eastAsia="仿宋_GB2312" w:cs="仿宋_GB2312"/>
          <w:bCs/>
          <w:snapToGrid w:val="0"/>
          <w:color w:val="auto"/>
          <w:kern w:val="0"/>
          <w:sz w:val="32"/>
          <w:szCs w:val="32"/>
          <w:highlight w:val="none"/>
          <w:lang w:eastAsia="zh-CN"/>
        </w:rPr>
        <w:t>吉首市第一中学场馆改造项目</w:t>
      </w:r>
    </w:p>
    <w:p>
      <w:pPr>
        <w:pStyle w:val="23"/>
        <w:adjustRightInd w:val="0"/>
        <w:snapToGrid w:val="0"/>
        <w:spacing w:line="360" w:lineRule="auto"/>
        <w:ind w:firstLine="640" w:firstLineChars="200"/>
        <w:rPr>
          <w:rFonts w:hint="eastAsia" w:ascii="仿宋_GB2312" w:hAnsi="仿宋_GB2312" w:eastAsia="仿宋_GB2312" w:cs="仿宋_GB2312"/>
          <w:bCs/>
          <w:snapToGrid w:val="0"/>
          <w:color w:val="auto"/>
          <w:kern w:val="0"/>
          <w:sz w:val="32"/>
          <w:szCs w:val="32"/>
          <w:highlight w:val="none"/>
          <w:lang w:eastAsia="zh-CN"/>
        </w:rPr>
      </w:pPr>
      <w:r>
        <w:rPr>
          <w:rFonts w:hint="eastAsia" w:ascii="仿宋_GB2312" w:hAnsi="仿宋_GB2312" w:eastAsia="仿宋_GB2312" w:cs="仿宋_GB2312"/>
          <w:bCs/>
          <w:snapToGrid w:val="0"/>
          <w:color w:val="auto"/>
          <w:kern w:val="0"/>
          <w:sz w:val="32"/>
          <w:szCs w:val="32"/>
          <w:highlight w:val="none"/>
        </w:rPr>
        <w:t>采   购   人：</w:t>
      </w:r>
      <w:r>
        <w:rPr>
          <w:rFonts w:hint="eastAsia" w:ascii="仿宋_GB2312" w:hAnsi="仿宋_GB2312" w:eastAsia="仿宋_GB2312" w:cs="仿宋_GB2312"/>
          <w:bCs/>
          <w:snapToGrid w:val="0"/>
          <w:color w:val="auto"/>
          <w:kern w:val="0"/>
          <w:sz w:val="32"/>
          <w:szCs w:val="32"/>
          <w:highlight w:val="none"/>
          <w:lang w:eastAsia="zh-CN"/>
        </w:rPr>
        <w:t>吉首市第一中学</w:t>
      </w:r>
    </w:p>
    <w:p>
      <w:pPr>
        <w:pStyle w:val="23"/>
        <w:adjustRightInd w:val="0"/>
        <w:snapToGrid w:val="0"/>
        <w:spacing w:line="360" w:lineRule="auto"/>
        <w:ind w:firstLine="640" w:firstLineChars="200"/>
        <w:rPr>
          <w:rFonts w:hint="default" w:ascii="仿宋_GB2312" w:hAnsi="仿宋_GB2312" w:eastAsia="仿宋_GB2312" w:cs="仿宋_GB2312"/>
          <w:bCs/>
          <w:snapToGrid w:val="0"/>
          <w:color w:val="auto"/>
          <w:kern w:val="0"/>
          <w:sz w:val="32"/>
          <w:szCs w:val="32"/>
          <w:highlight w:val="none"/>
          <w:lang w:val="en-US" w:eastAsia="zh-CN"/>
        </w:rPr>
      </w:pPr>
      <w:r>
        <w:rPr>
          <w:rFonts w:hint="eastAsia" w:ascii="仿宋_GB2312" w:hAnsi="仿宋_GB2312" w:eastAsia="仿宋_GB2312" w:cs="仿宋_GB2312"/>
          <w:bCs/>
          <w:snapToGrid w:val="0"/>
          <w:color w:val="auto"/>
          <w:kern w:val="0"/>
          <w:sz w:val="32"/>
          <w:szCs w:val="32"/>
          <w:highlight w:val="none"/>
        </w:rPr>
        <w:t>政府采购编号：</w:t>
      </w:r>
      <w:r>
        <w:rPr>
          <w:rFonts w:hint="eastAsia" w:ascii="仿宋_GB2312" w:hAnsi="仿宋_GB2312" w:eastAsia="仿宋_GB2312" w:cs="仿宋_GB2312"/>
          <w:bCs/>
          <w:snapToGrid w:val="0"/>
          <w:color w:val="auto"/>
          <w:kern w:val="0"/>
          <w:sz w:val="32"/>
          <w:szCs w:val="32"/>
          <w:highlight w:val="none"/>
          <w:lang w:eastAsia="zh-CN"/>
        </w:rPr>
        <w:t>（</w:t>
      </w:r>
      <w:r>
        <w:rPr>
          <w:rFonts w:hint="eastAsia" w:ascii="仿宋_GB2312" w:hAnsi="仿宋_GB2312" w:eastAsia="仿宋_GB2312" w:cs="仿宋_GB2312"/>
          <w:bCs/>
          <w:snapToGrid w:val="0"/>
          <w:color w:val="auto"/>
          <w:kern w:val="0"/>
          <w:sz w:val="32"/>
          <w:szCs w:val="32"/>
          <w:highlight w:val="none"/>
          <w:lang w:val="en-US" w:eastAsia="zh-CN"/>
        </w:rPr>
        <w:t>2026</w:t>
      </w:r>
      <w:r>
        <w:rPr>
          <w:rFonts w:hint="eastAsia" w:ascii="仿宋_GB2312" w:hAnsi="仿宋_GB2312" w:eastAsia="仿宋_GB2312" w:cs="仿宋_GB2312"/>
          <w:bCs/>
          <w:snapToGrid w:val="0"/>
          <w:color w:val="auto"/>
          <w:kern w:val="0"/>
          <w:sz w:val="32"/>
          <w:szCs w:val="32"/>
          <w:highlight w:val="none"/>
          <w:lang w:eastAsia="zh-CN"/>
        </w:rPr>
        <w:t>）</w:t>
      </w:r>
      <w:r>
        <w:rPr>
          <w:rFonts w:hint="eastAsia" w:ascii="仿宋_GB2312" w:hAnsi="仿宋_GB2312" w:eastAsia="仿宋_GB2312" w:cs="仿宋_GB2312"/>
          <w:bCs/>
          <w:snapToGrid w:val="0"/>
          <w:color w:val="auto"/>
          <w:kern w:val="0"/>
          <w:sz w:val="32"/>
          <w:szCs w:val="32"/>
          <w:highlight w:val="none"/>
          <w:lang w:val="en-US" w:eastAsia="zh-CN"/>
        </w:rPr>
        <w:t>433101000005-1</w:t>
      </w:r>
    </w:p>
    <w:p>
      <w:pPr>
        <w:pStyle w:val="23"/>
        <w:adjustRightInd w:val="0"/>
        <w:snapToGrid w:val="0"/>
        <w:spacing w:line="360" w:lineRule="auto"/>
        <w:ind w:firstLine="640" w:firstLineChars="200"/>
        <w:rPr>
          <w:rFonts w:hint="eastAsia" w:ascii="仿宋_GB2312" w:hAnsi="仿宋_GB2312" w:eastAsia="仿宋_GB2312" w:cs="仿宋_GB2312"/>
          <w:bCs/>
          <w:snapToGrid w:val="0"/>
          <w:color w:val="auto"/>
          <w:kern w:val="0"/>
          <w:sz w:val="32"/>
          <w:szCs w:val="32"/>
          <w:highlight w:val="none"/>
        </w:rPr>
      </w:pPr>
      <w:r>
        <w:rPr>
          <w:rFonts w:hint="eastAsia" w:ascii="仿宋_GB2312" w:hAnsi="仿宋_GB2312" w:eastAsia="仿宋_GB2312" w:cs="仿宋_GB2312"/>
          <w:bCs/>
          <w:snapToGrid w:val="0"/>
          <w:color w:val="auto"/>
          <w:kern w:val="0"/>
          <w:sz w:val="32"/>
          <w:szCs w:val="32"/>
          <w:highlight w:val="none"/>
        </w:rPr>
        <w:t>委托代理编号：</w:t>
      </w:r>
      <w:r>
        <w:rPr>
          <w:rFonts w:hint="eastAsia" w:ascii="仿宋_GB2312" w:hAnsi="仿宋_GB2312" w:eastAsia="仿宋_GB2312" w:cs="仿宋_GB2312"/>
          <w:bCs/>
          <w:snapToGrid w:val="0"/>
          <w:color w:val="auto"/>
          <w:kern w:val="0"/>
          <w:sz w:val="32"/>
          <w:szCs w:val="32"/>
          <w:highlight w:val="none"/>
          <w:lang w:val="en-US" w:eastAsia="zh-CN"/>
        </w:rPr>
        <w:t>HNBZSRCG2026-029</w:t>
      </w:r>
    </w:p>
    <w:p>
      <w:pPr>
        <w:pStyle w:val="23"/>
        <w:adjustRightInd w:val="0"/>
        <w:snapToGrid w:val="0"/>
        <w:spacing w:line="360" w:lineRule="auto"/>
        <w:ind w:firstLine="640" w:firstLineChars="200"/>
        <w:jc w:val="left"/>
        <w:rPr>
          <w:rFonts w:hint="eastAsia" w:ascii="仿宋_GB2312" w:hAnsi="仿宋_GB2312" w:eastAsia="仿宋_GB2312" w:cs="仿宋_GB2312"/>
          <w:bCs/>
          <w:snapToGrid w:val="0"/>
          <w:color w:val="auto"/>
          <w:kern w:val="0"/>
          <w:sz w:val="36"/>
          <w:szCs w:val="36"/>
          <w:highlight w:val="none"/>
          <w:lang w:eastAsia="zh-CN"/>
        </w:rPr>
      </w:pPr>
      <w:r>
        <w:rPr>
          <w:rFonts w:hint="eastAsia" w:ascii="仿宋_GB2312" w:hAnsi="仿宋_GB2312" w:eastAsia="仿宋_GB2312" w:cs="仿宋_GB2312"/>
          <w:bCs/>
          <w:snapToGrid w:val="0"/>
          <w:color w:val="auto"/>
          <w:kern w:val="0"/>
          <w:sz w:val="32"/>
          <w:szCs w:val="32"/>
          <w:highlight w:val="none"/>
        </w:rPr>
        <w:t>采购代理机构：</w:t>
      </w:r>
      <w:r>
        <w:rPr>
          <w:rFonts w:hint="eastAsia" w:ascii="仿宋_GB2312" w:hAnsi="仿宋_GB2312" w:eastAsia="仿宋_GB2312" w:cs="仿宋_GB2312"/>
          <w:bCs/>
          <w:snapToGrid w:val="0"/>
          <w:color w:val="auto"/>
          <w:kern w:val="0"/>
          <w:sz w:val="32"/>
          <w:szCs w:val="32"/>
          <w:highlight w:val="none"/>
          <w:lang w:eastAsia="zh-CN"/>
        </w:rPr>
        <w:t>湖南博众尚仁项目管理有限公司</w:t>
      </w:r>
    </w:p>
    <w:p>
      <w:pPr>
        <w:pStyle w:val="23"/>
        <w:adjustRightInd w:val="0"/>
        <w:snapToGrid w:val="0"/>
        <w:spacing w:line="360" w:lineRule="auto"/>
        <w:ind w:firstLine="1280" w:firstLineChars="400"/>
        <w:jc w:val="left"/>
        <w:rPr>
          <w:rFonts w:hint="eastAsia" w:ascii="仿宋_GB2312" w:hAnsi="仿宋_GB2312" w:eastAsia="仿宋_GB2312" w:cs="仿宋_GB2312"/>
          <w:snapToGrid w:val="0"/>
          <w:color w:val="auto"/>
          <w:kern w:val="0"/>
          <w:sz w:val="32"/>
          <w:szCs w:val="32"/>
          <w:highlight w:val="none"/>
          <w:u w:val="single"/>
        </w:rPr>
      </w:pPr>
    </w:p>
    <w:p>
      <w:pPr>
        <w:pStyle w:val="23"/>
        <w:adjustRightInd w:val="0"/>
        <w:snapToGrid w:val="0"/>
        <w:spacing w:before="156" w:beforeLines="50" w:line="360" w:lineRule="auto"/>
        <w:ind w:firstLine="948" w:firstLineChars="295"/>
        <w:rPr>
          <w:rFonts w:hint="eastAsia" w:ascii="仿宋_GB2312" w:hAnsi="仿宋_GB2312" w:eastAsia="仿宋_GB2312" w:cs="仿宋_GB2312"/>
          <w:b/>
          <w:snapToGrid w:val="0"/>
          <w:color w:val="auto"/>
          <w:kern w:val="0"/>
          <w:sz w:val="32"/>
          <w:szCs w:val="32"/>
          <w:highlight w:val="none"/>
        </w:rPr>
      </w:pPr>
    </w:p>
    <w:p>
      <w:pPr>
        <w:pStyle w:val="23"/>
        <w:adjustRightInd w:val="0"/>
        <w:snapToGrid w:val="0"/>
        <w:spacing w:before="156" w:beforeLines="50" w:line="360" w:lineRule="auto"/>
        <w:ind w:firstLine="948" w:firstLineChars="295"/>
        <w:rPr>
          <w:rFonts w:hint="eastAsia" w:ascii="仿宋_GB2312" w:hAnsi="仿宋_GB2312" w:eastAsia="仿宋_GB2312" w:cs="仿宋_GB2312"/>
          <w:b/>
          <w:snapToGrid w:val="0"/>
          <w:color w:val="auto"/>
          <w:kern w:val="0"/>
          <w:sz w:val="32"/>
          <w:szCs w:val="32"/>
          <w:highlight w:val="none"/>
        </w:rPr>
      </w:pPr>
      <w:r>
        <w:rPr>
          <w:rFonts w:hint="eastAsia" w:ascii="仿宋_GB2312" w:hAnsi="仿宋_GB2312" w:eastAsia="仿宋_GB2312" w:cs="仿宋_GB2312"/>
          <w:b/>
          <w:snapToGrid w:val="0"/>
          <w:color w:val="auto"/>
          <w:kern w:val="0"/>
          <w:sz w:val="32"/>
          <w:szCs w:val="32"/>
          <w:highlight w:val="none"/>
        </w:rPr>
        <w:t xml:space="preserve"> </w:t>
      </w:r>
    </w:p>
    <w:p>
      <w:pPr>
        <w:pStyle w:val="23"/>
        <w:adjustRightInd w:val="0"/>
        <w:snapToGrid w:val="0"/>
        <w:spacing w:line="360" w:lineRule="auto"/>
        <w:ind w:firstLine="640" w:firstLineChars="200"/>
        <w:jc w:val="center"/>
        <w:rPr>
          <w:rFonts w:hint="eastAsia" w:ascii="仿宋_GB2312" w:hAnsi="仿宋_GB2312" w:eastAsia="仿宋_GB2312" w:cs="仿宋_GB2312"/>
          <w:bCs/>
          <w:snapToGrid w:val="0"/>
          <w:color w:val="auto"/>
          <w:kern w:val="0"/>
          <w:sz w:val="32"/>
          <w:szCs w:val="32"/>
          <w:highlight w:val="none"/>
        </w:rPr>
      </w:pPr>
      <w:r>
        <w:rPr>
          <w:rFonts w:hint="eastAsia" w:ascii="仿宋_GB2312" w:hAnsi="仿宋_GB2312" w:eastAsia="仿宋_GB2312" w:cs="仿宋_GB2312"/>
          <w:bCs/>
          <w:snapToGrid w:val="0"/>
          <w:color w:val="auto"/>
          <w:kern w:val="0"/>
          <w:sz w:val="32"/>
          <w:szCs w:val="32"/>
          <w:highlight w:val="none"/>
        </w:rPr>
        <w:t>二〇二</w:t>
      </w:r>
      <w:r>
        <w:rPr>
          <w:rFonts w:hint="eastAsia" w:ascii="仿宋_GB2312" w:hAnsi="仿宋_GB2312" w:eastAsia="仿宋_GB2312" w:cs="仿宋_GB2312"/>
          <w:bCs/>
          <w:snapToGrid w:val="0"/>
          <w:color w:val="auto"/>
          <w:kern w:val="0"/>
          <w:sz w:val="32"/>
          <w:szCs w:val="32"/>
          <w:highlight w:val="none"/>
          <w:lang w:val="en-US" w:eastAsia="zh-CN"/>
        </w:rPr>
        <w:t>六</w:t>
      </w:r>
      <w:r>
        <w:rPr>
          <w:rFonts w:hint="eastAsia" w:ascii="仿宋_GB2312" w:hAnsi="仿宋_GB2312" w:eastAsia="仿宋_GB2312" w:cs="仿宋_GB2312"/>
          <w:bCs/>
          <w:snapToGrid w:val="0"/>
          <w:color w:val="auto"/>
          <w:kern w:val="0"/>
          <w:sz w:val="32"/>
          <w:szCs w:val="32"/>
          <w:highlight w:val="none"/>
          <w:lang w:eastAsia="zh-CN"/>
        </w:rPr>
        <w:t>年</w:t>
      </w:r>
      <w:r>
        <w:rPr>
          <w:rFonts w:hint="eastAsia" w:ascii="仿宋_GB2312" w:hAnsi="仿宋_GB2312" w:eastAsia="仿宋_GB2312" w:cs="仿宋_GB2312"/>
          <w:bCs/>
          <w:snapToGrid w:val="0"/>
          <w:color w:val="auto"/>
          <w:kern w:val="0"/>
          <w:sz w:val="32"/>
          <w:szCs w:val="32"/>
          <w:highlight w:val="none"/>
          <w:lang w:val="en-US" w:eastAsia="zh-CN"/>
        </w:rPr>
        <w:t>八</w:t>
      </w:r>
      <w:r>
        <w:rPr>
          <w:rFonts w:hint="eastAsia" w:ascii="仿宋_GB2312" w:hAnsi="仿宋_GB2312" w:eastAsia="仿宋_GB2312" w:cs="仿宋_GB2312"/>
          <w:bCs/>
          <w:snapToGrid w:val="0"/>
          <w:color w:val="auto"/>
          <w:kern w:val="0"/>
          <w:sz w:val="32"/>
          <w:szCs w:val="32"/>
          <w:highlight w:val="none"/>
        </w:rPr>
        <w:t>月</w:t>
      </w:r>
    </w:p>
    <w:p>
      <w:pPr>
        <w:pStyle w:val="23"/>
        <w:adjustRightInd w:val="0"/>
        <w:snapToGrid w:val="0"/>
        <w:spacing w:line="360" w:lineRule="auto"/>
        <w:jc w:val="center"/>
        <w:rPr>
          <w:rFonts w:hint="eastAsia" w:ascii="仿宋_GB2312" w:hAnsi="仿宋_GB2312" w:eastAsia="仿宋_GB2312" w:cs="仿宋_GB2312"/>
          <w:snapToGrid w:val="0"/>
          <w:color w:val="auto"/>
          <w:kern w:val="0"/>
          <w:sz w:val="36"/>
          <w:szCs w:val="36"/>
          <w:highlight w:val="none"/>
        </w:rPr>
      </w:pPr>
    </w:p>
    <w:p>
      <w:pPr>
        <w:pStyle w:val="23"/>
        <w:adjustRightInd w:val="0"/>
        <w:snapToGrid w:val="0"/>
        <w:spacing w:line="360" w:lineRule="auto"/>
        <w:ind w:firstLine="720" w:firstLineChars="200"/>
        <w:jc w:val="center"/>
        <w:rPr>
          <w:rFonts w:hint="eastAsia" w:ascii="仿宋_GB2312" w:hAnsi="仿宋_GB2312" w:eastAsia="仿宋_GB2312" w:cs="仿宋_GB2312"/>
          <w:snapToGrid w:val="0"/>
          <w:color w:val="auto"/>
          <w:kern w:val="0"/>
          <w:sz w:val="36"/>
          <w:szCs w:val="36"/>
          <w:highlight w:val="none"/>
        </w:rPr>
        <w:sectPr>
          <w:headerReference r:id="rId4" w:type="first"/>
          <w:headerReference r:id="rId3" w:type="default"/>
          <w:footerReference r:id="rId5" w:type="default"/>
          <w:footerReference r:id="rId6" w:type="even"/>
          <w:pgSz w:w="11906" w:h="16838"/>
          <w:pgMar w:top="1417" w:right="1417" w:bottom="1417" w:left="1417" w:header="851" w:footer="850" w:gutter="0"/>
          <w:cols w:space="0" w:num="1"/>
          <w:titlePg/>
          <w:rtlGutter w:val="0"/>
          <w:docGrid w:type="lines" w:linePitch="312" w:charSpace="0"/>
        </w:sectPr>
      </w:pPr>
    </w:p>
    <w:p>
      <w:pPr>
        <w:pStyle w:val="23"/>
        <w:adjustRightInd w:val="0"/>
        <w:snapToGrid w:val="0"/>
        <w:spacing w:line="360" w:lineRule="auto"/>
        <w:jc w:val="center"/>
        <w:rPr>
          <w:rFonts w:hint="eastAsia" w:ascii="仿宋_GB2312" w:hAnsi="仿宋_GB2312" w:eastAsia="仿宋_GB2312" w:cs="仿宋_GB2312"/>
          <w:b/>
          <w:bCs/>
          <w:color w:val="auto"/>
          <w:spacing w:val="160"/>
          <w:sz w:val="36"/>
          <w:szCs w:val="36"/>
          <w:highlight w:val="none"/>
        </w:rPr>
      </w:pPr>
    </w:p>
    <w:p>
      <w:pPr>
        <w:pStyle w:val="23"/>
        <w:adjustRightInd w:val="0"/>
        <w:snapToGrid w:val="0"/>
        <w:spacing w:line="360" w:lineRule="auto"/>
        <w:jc w:val="center"/>
        <w:rPr>
          <w:rFonts w:hint="eastAsia" w:ascii="仿宋_GB2312" w:hAnsi="仿宋_GB2312" w:eastAsia="仿宋_GB2312" w:cs="仿宋_GB2312"/>
          <w:snapToGrid w:val="0"/>
          <w:color w:val="auto"/>
          <w:kern w:val="0"/>
          <w:sz w:val="36"/>
          <w:szCs w:val="36"/>
          <w:highlight w:val="none"/>
        </w:rPr>
      </w:pPr>
      <w:r>
        <w:rPr>
          <w:rFonts w:hint="eastAsia" w:ascii="仿宋_GB2312" w:hAnsi="仿宋_GB2312" w:eastAsia="仿宋_GB2312" w:cs="仿宋_GB2312"/>
          <w:snapToGrid w:val="0"/>
          <w:color w:val="auto"/>
          <w:kern w:val="0"/>
          <w:sz w:val="36"/>
          <w:szCs w:val="36"/>
          <w:highlight w:val="none"/>
        </w:rPr>
        <w:t>目   录</w:t>
      </w:r>
    </w:p>
    <w:sdt>
      <w:sdtPr>
        <w:rPr>
          <w:rFonts w:hint="eastAsia" w:ascii="仿宋_GB2312" w:hAnsi="仿宋_GB2312" w:eastAsia="仿宋_GB2312" w:cs="仿宋_GB2312"/>
          <w:snapToGrid w:val="0"/>
          <w:color w:val="auto"/>
          <w:kern w:val="0"/>
          <w:highlight w:val="none"/>
        </w:rPr>
        <w:id w:val="147456836"/>
      </w:sdtPr>
      <w:sdtEndPr>
        <w:rPr>
          <w:rFonts w:hint="eastAsia" w:ascii="仿宋_GB2312" w:hAnsi="仿宋_GB2312" w:eastAsia="仿宋_GB2312" w:cs="仿宋_GB2312"/>
          <w:snapToGrid w:val="0"/>
          <w:color w:val="auto"/>
          <w:kern w:val="0"/>
          <w:highlight w:val="none"/>
        </w:rPr>
      </w:sdtEndPr>
      <w:sdtContent>
        <w:p>
          <w:pPr>
            <w:jc w:val="center"/>
            <w:rPr>
              <w:rFonts w:hint="eastAsia" w:ascii="仿宋_GB2312" w:hAnsi="仿宋_GB2312" w:eastAsia="仿宋_GB2312" w:cs="仿宋_GB2312"/>
              <w:snapToGrid w:val="0"/>
              <w:color w:val="auto"/>
              <w:kern w:val="0"/>
              <w:highlight w:val="none"/>
            </w:rPr>
          </w:pPr>
        </w:p>
        <w:p>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TOC \o "1-3" \h \u </w:instrText>
          </w:r>
          <w:r>
            <w:rPr>
              <w:rFonts w:hint="eastAsia" w:ascii="仿宋_GB2312" w:hAnsi="仿宋_GB2312" w:eastAsia="仿宋_GB2312" w:cs="仿宋_GB2312"/>
              <w:snapToGrid w:val="0"/>
              <w:color w:val="auto"/>
              <w:kern w:val="0"/>
              <w:sz w:val="24"/>
              <w:highlight w:val="none"/>
            </w:rPr>
            <w:fldChar w:fldCharType="separate"/>
          </w:r>
          <w:r>
            <w:rPr>
              <w:color w:val="auto"/>
              <w:highlight w:val="none"/>
            </w:rPr>
            <w:fldChar w:fldCharType="begin"/>
          </w:r>
          <w:r>
            <w:rPr>
              <w:color w:val="auto"/>
              <w:highlight w:val="none"/>
            </w:rPr>
            <w:instrText xml:space="preserve"> HYPERLINK \l "_Toc29260"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第一章 磋商邀请</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_Toc29260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3</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color w:val="auto"/>
              <w:highlight w:val="none"/>
            </w:rPr>
            <w:fldChar w:fldCharType="begin"/>
          </w:r>
          <w:r>
            <w:rPr>
              <w:color w:val="auto"/>
              <w:highlight w:val="none"/>
            </w:rPr>
            <w:instrText xml:space="preserve"> HYPERLINK \l "_Toc11109"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第二章 磋商须知</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_Toc11109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7</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pPr>
            <w:pStyle w:val="34"/>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"_Toc3696"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磋商须知前附表</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_Toc3696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7</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34"/>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"_Toc698"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磋商须知正文</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_Toc698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18</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"_Toc13390"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一、说明</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_Toc13390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18</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"_Toc43"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二、磋商文件</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_Toc43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19</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"_Toc5878"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三、响应文件</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_Toc5878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20</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"_Toc20185"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四、响应文件的递交</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_Toc20185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22</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"_Toc12310"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五、响应文件的磋商与评审</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_Toc12310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22</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"_Toc14496"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六、成交结果信息公布与授予合同</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_Toc14496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26</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"_Toc1392"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七、其他规定</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_Toc1392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26</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color w:val="auto"/>
              <w:highlight w:val="none"/>
            </w:rPr>
            <w:fldChar w:fldCharType="begin"/>
          </w:r>
          <w:r>
            <w:rPr>
              <w:color w:val="auto"/>
              <w:highlight w:val="none"/>
            </w:rPr>
            <w:instrText xml:space="preserve"> HYPERLINK \l "_Toc27177"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第三章 政府采购合同格式</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_Toc27177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27</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color w:val="auto"/>
              <w:highlight w:val="none"/>
            </w:rPr>
            <w:fldChar w:fldCharType="begin"/>
          </w:r>
          <w:r>
            <w:rPr>
              <w:color w:val="auto"/>
              <w:highlight w:val="none"/>
            </w:rPr>
            <w:instrText xml:space="preserve"> HYPERLINK \l "_Toc7985"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第四章 采购需求</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_Toc7985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28</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lang w:val="en-US" w:eastAsia="zh-CN"/>
            </w:rPr>
          </w:pPr>
          <w:r>
            <w:rPr>
              <w:color w:val="auto"/>
              <w:highlight w:val="none"/>
            </w:rPr>
            <w:fldChar w:fldCharType="begin"/>
          </w:r>
          <w:r>
            <w:rPr>
              <w:color w:val="auto"/>
              <w:highlight w:val="none"/>
            </w:rPr>
            <w:instrText xml:space="preserve"> HYPERLINK \l "_Toc27483"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第五章 响应文件组成</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lang w:val="en-US" w:eastAsia="zh-CN"/>
            </w:rPr>
            <w:t>4</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lang w:val="en-US" w:eastAsia="zh-CN"/>
            </w:rPr>
            <w:t>9</w:t>
          </w:r>
        </w:p>
        <w:p>
          <w:pPr>
            <w:spacing w:line="360" w:lineRule="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sz w:val="24"/>
              <w:highlight w:val="none"/>
            </w:rPr>
            <w:fldChar w:fldCharType="end"/>
          </w:r>
        </w:p>
      </w:sdtContent>
    </w:sdt>
    <w:p>
      <w:pPr>
        <w:jc w:val="center"/>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highlight w:val="none"/>
        </w:rPr>
        <w:t xml:space="preserve"> </w:t>
      </w:r>
    </w:p>
    <w:p>
      <w:pPr>
        <w:pStyle w:val="2"/>
        <w:numPr>
          <w:ilvl w:val="0"/>
          <w:numId w:val="1"/>
        </w:numPr>
        <w:ind w:firstLine="643" w:firstLineChars="200"/>
        <w:rPr>
          <w:rFonts w:hint="eastAsia" w:ascii="仿宋_GB2312" w:hAnsi="仿宋_GB2312" w:eastAsia="仿宋_GB2312" w:cs="仿宋_GB2312"/>
          <w:snapToGrid w:val="0"/>
          <w:color w:val="auto"/>
          <w:kern w:val="0"/>
          <w:sz w:val="32"/>
          <w:szCs w:val="32"/>
          <w:highlight w:val="none"/>
        </w:rPr>
        <w:sectPr>
          <w:headerReference r:id="rId8" w:type="first"/>
          <w:footerReference r:id="rId10" w:type="first"/>
          <w:headerReference r:id="rId7" w:type="default"/>
          <w:footerReference r:id="rId9" w:type="default"/>
          <w:pgSz w:w="11906" w:h="16838"/>
          <w:pgMar w:top="1417" w:right="1417" w:bottom="1417" w:left="1417" w:header="851" w:footer="992" w:gutter="0"/>
          <w:cols w:space="0" w:num="1"/>
          <w:titlePg/>
          <w:rtlGutter w:val="0"/>
          <w:docGrid w:type="lines" w:linePitch="312" w:charSpace="0"/>
        </w:sectPr>
      </w:pPr>
    </w:p>
    <w:p>
      <w:pPr>
        <w:pStyle w:val="2"/>
        <w:keepNext/>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0" w:name="_Toc29260"/>
      <w:r>
        <w:rPr>
          <w:rFonts w:hint="eastAsia" w:ascii="仿宋_GB2312" w:hAnsi="仿宋_GB2312" w:eastAsia="仿宋_GB2312" w:cs="仿宋_GB2312"/>
          <w:snapToGrid w:val="0"/>
          <w:color w:val="auto"/>
          <w:kern w:val="0"/>
          <w:sz w:val="32"/>
          <w:szCs w:val="32"/>
          <w:highlight w:val="none"/>
        </w:rPr>
        <w:t>磋商邀请</w:t>
      </w:r>
      <w:bookmarkEnd w:id="0"/>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u w:val="single"/>
          <w:lang w:eastAsia="zh-CN"/>
        </w:rPr>
        <w:t>吉首市第一中学</w:t>
      </w:r>
      <w:r>
        <w:rPr>
          <w:rFonts w:hint="eastAsia" w:ascii="仿宋_GB2312" w:hAnsi="仿宋_GB2312" w:eastAsia="仿宋_GB2312" w:cs="仿宋_GB2312"/>
          <w:snapToGrid w:val="0"/>
          <w:color w:val="auto"/>
          <w:kern w:val="0"/>
          <w:sz w:val="24"/>
          <w:highlight w:val="none"/>
          <w:lang w:eastAsia="zh-CN"/>
        </w:rPr>
        <w:t>的</w:t>
      </w:r>
      <w:r>
        <w:rPr>
          <w:rFonts w:hint="eastAsia" w:ascii="仿宋_GB2312" w:hAnsi="仿宋_GB2312" w:eastAsia="仿宋_GB2312" w:cs="仿宋_GB2312"/>
          <w:snapToGrid w:val="0"/>
          <w:color w:val="auto"/>
          <w:kern w:val="0"/>
          <w:sz w:val="24"/>
          <w:highlight w:val="none"/>
          <w:u w:val="single"/>
          <w:lang w:val="en-US" w:eastAsia="zh-CN"/>
        </w:rPr>
        <w:t xml:space="preserve"> 吉首市第一中学场馆改造项目</w:t>
      </w:r>
      <w:r>
        <w:rPr>
          <w:rFonts w:hint="eastAsia" w:ascii="仿宋_GB2312" w:hAnsi="仿宋_GB2312" w:eastAsia="仿宋_GB2312" w:cs="仿宋_GB2312"/>
          <w:snapToGrid w:val="0"/>
          <w:color w:val="auto"/>
          <w:kern w:val="0"/>
          <w:sz w:val="24"/>
          <w:highlight w:val="none"/>
        </w:rPr>
        <w:t>进行竞争性磋商采购，现采用发布公告方式，邀请符合资格条件的供应商参与竞争性磋商采购活动。</w:t>
      </w:r>
    </w:p>
    <w:p>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一、采购项目基本信息</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u w:val="single"/>
          <w:lang w:val="en-US" w:eastAsia="zh-CN"/>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.采购</w:t>
      </w:r>
      <w:r>
        <w:rPr>
          <w:rFonts w:hint="eastAsia" w:ascii="仿宋_GB2312" w:hAnsi="仿宋_GB2312" w:eastAsia="仿宋_GB2312" w:cs="仿宋_GB2312"/>
          <w:snapToGrid w:val="0"/>
          <w:color w:val="auto"/>
          <w:kern w:val="0"/>
          <w:sz w:val="24"/>
          <w:highlight w:val="none"/>
        </w:rPr>
        <w:t>项目名称：</w:t>
      </w:r>
      <w:r>
        <w:rPr>
          <w:rFonts w:hint="eastAsia" w:ascii="仿宋_GB2312" w:hAnsi="仿宋_GB2312" w:eastAsia="仿宋_GB2312" w:cs="仿宋_GB2312"/>
          <w:snapToGrid w:val="0"/>
          <w:color w:val="auto"/>
          <w:kern w:val="0"/>
          <w:sz w:val="24"/>
          <w:highlight w:val="none"/>
          <w:u w:val="single"/>
          <w:lang w:val="en-US" w:eastAsia="zh-CN"/>
        </w:rPr>
        <w:t>吉首市第一中学场馆改造项目</w:t>
      </w:r>
    </w:p>
    <w:p>
      <w:pPr>
        <w:keepNext w:val="0"/>
        <w:keepLines w:val="0"/>
        <w:pageBreakBefore w:val="0"/>
        <w:widowControl/>
        <w:suppressLineNumbers w:val="0"/>
        <w:pBdr>
          <w:left w:val="none" w:color="auto" w:sz="0" w:space="0"/>
        </w:pBdr>
        <w:kinsoku/>
        <w:wordWrap/>
        <w:overflowPunct/>
        <w:topLinePunct w:val="0"/>
        <w:autoSpaceDE/>
        <w:autoSpaceDN/>
        <w:bidi w:val="0"/>
        <w:adjustRightInd w:val="0"/>
        <w:snapToGrid w:val="0"/>
        <w:spacing w:beforeAutospacing="0" w:line="360" w:lineRule="auto"/>
        <w:ind w:left="0"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.政府采购计划编号：（2026）433101000005-1</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u w:val="single"/>
          <w:lang w:val="en-US" w:eastAsia="zh-CN"/>
        </w:rPr>
      </w:pPr>
      <w:r>
        <w:rPr>
          <w:rFonts w:hint="eastAsia" w:ascii="仿宋_GB2312" w:hAnsi="仿宋_GB2312" w:eastAsia="仿宋_GB2312" w:cs="仿宋_GB2312"/>
          <w:snapToGrid w:val="0"/>
          <w:color w:val="auto"/>
          <w:kern w:val="0"/>
          <w:sz w:val="24"/>
          <w:highlight w:val="none"/>
          <w:lang w:val="en-US" w:eastAsia="zh-CN"/>
        </w:rPr>
        <w:t>3.委托代理</w:t>
      </w:r>
      <w:r>
        <w:rPr>
          <w:rFonts w:hint="eastAsia" w:ascii="仿宋_GB2312" w:hAnsi="仿宋_GB2312" w:eastAsia="仿宋_GB2312" w:cs="仿宋_GB2312"/>
          <w:snapToGrid w:val="0"/>
          <w:color w:val="auto"/>
          <w:kern w:val="0"/>
          <w:sz w:val="24"/>
          <w:highlight w:val="none"/>
        </w:rPr>
        <w:t>编号</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HNBZSRCG2026-029</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采购项目预算：</w:t>
      </w:r>
      <w:r>
        <w:rPr>
          <w:rFonts w:hint="eastAsia" w:ascii="仿宋_GB2312" w:hAnsi="仿宋_GB2312" w:eastAsia="仿宋_GB2312" w:cs="仿宋_GB2312"/>
          <w:snapToGrid w:val="0"/>
          <w:color w:val="auto"/>
          <w:kern w:val="0"/>
          <w:sz w:val="24"/>
          <w:highlight w:val="none"/>
          <w:u w:val="single"/>
          <w:lang w:val="en-US" w:eastAsia="zh-CN"/>
        </w:rPr>
        <w:t>3523791.81</w:t>
      </w:r>
      <w:r>
        <w:rPr>
          <w:rFonts w:hint="eastAsia" w:ascii="仿宋_GB2312" w:hAnsi="仿宋_GB2312" w:eastAsia="仿宋_GB2312" w:cs="仿宋_GB2312"/>
          <w:snapToGrid w:val="0"/>
          <w:color w:val="auto"/>
          <w:kern w:val="0"/>
          <w:sz w:val="24"/>
          <w:highlight w:val="none"/>
          <w:u w:val="single"/>
        </w:rPr>
        <w:t>元</w:t>
      </w:r>
    </w:p>
    <w:p>
      <w:pPr>
        <w:keepNext w:val="0"/>
        <w:keepLines w:val="0"/>
        <w:pageBreakBefore w:val="0"/>
        <w:kinsoku/>
        <w:wordWrap/>
        <w:overflowPunct/>
        <w:topLinePunct w:val="0"/>
        <w:autoSpaceDE/>
        <w:autoSpaceDN/>
        <w:bidi w:val="0"/>
        <w:adjustRightInd w:val="0"/>
        <w:snapToGrid w:val="0"/>
        <w:spacing w:line="360" w:lineRule="auto"/>
        <w:ind w:firstLine="960" w:firstLineChars="4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□支持预付款，预付比例：</w:t>
      </w:r>
      <w:r>
        <w:rPr>
          <w:rFonts w:hint="eastAsia" w:ascii="仿宋_GB2312" w:hAnsi="仿宋_GB2312" w:eastAsia="仿宋_GB2312" w:cs="仿宋_GB2312"/>
          <w:snapToGrid w:val="0"/>
          <w:color w:val="auto"/>
          <w:kern w:val="0"/>
          <w:sz w:val="24"/>
          <w:highlight w:val="none"/>
          <w:u w:val="single"/>
          <w:lang w:val="en-US" w:eastAsia="zh-CN"/>
        </w:rPr>
        <w:t xml:space="preserve"> 0 </w:t>
      </w:r>
      <w:r>
        <w:rPr>
          <w:rFonts w:hint="eastAsia" w:ascii="仿宋_GB2312" w:hAnsi="仿宋_GB2312" w:eastAsia="仿宋_GB2312" w:cs="仿宋_GB2312"/>
          <w:snapToGrid w:val="0"/>
          <w:color w:val="auto"/>
          <w:kern w:val="0"/>
          <w:sz w:val="24"/>
          <w:highlight w:val="none"/>
          <w:lang w:val="en-US" w:eastAsia="zh-CN"/>
        </w:rPr>
        <w:t xml:space="preserve">% </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5.本项目对应的中小企业划分标准所属行业：</w:t>
      </w:r>
      <w:r>
        <w:rPr>
          <w:rFonts w:hint="eastAsia" w:ascii="仿宋_GB2312" w:hAnsi="仿宋_GB2312" w:eastAsia="仿宋_GB2312" w:cs="仿宋_GB2312"/>
          <w:snapToGrid w:val="0"/>
          <w:color w:val="auto"/>
          <w:kern w:val="0"/>
          <w:sz w:val="24"/>
          <w:highlight w:val="none"/>
          <w:u w:val="single"/>
          <w:lang w:val="zh-CN" w:eastAsia="zh-CN"/>
        </w:rPr>
        <w:t>建筑业</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6.评标方法：□最低价法  ☑综合评分法</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7.合同定价方式：□固定总价 ☑固定单价 □成本补偿 □绩效激励</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zh-CN" w:eastAsia="zh-CN"/>
        </w:rPr>
      </w:pPr>
      <w:r>
        <w:rPr>
          <w:rFonts w:hint="eastAsia" w:ascii="仿宋_GB2312" w:hAnsi="仿宋_GB2312" w:eastAsia="仿宋_GB2312" w:cs="仿宋_GB2312"/>
          <w:snapToGrid w:val="0"/>
          <w:color w:val="auto"/>
          <w:kern w:val="0"/>
          <w:sz w:val="24"/>
          <w:highlight w:val="none"/>
          <w:lang w:val="en-US" w:eastAsia="zh-CN"/>
        </w:rPr>
        <w:t>8.合同履行期限：</w:t>
      </w:r>
      <w:r>
        <w:rPr>
          <w:rFonts w:hint="eastAsia" w:ascii="仿宋_GB2312" w:hAnsi="仿宋_GB2312" w:eastAsia="仿宋_GB2312" w:cs="仿宋_GB2312"/>
          <w:snapToGrid w:val="0"/>
          <w:color w:val="auto"/>
          <w:kern w:val="0"/>
          <w:sz w:val="24"/>
          <w:highlight w:val="none"/>
          <w:u w:val="single"/>
          <w:lang w:val="en-US" w:eastAsia="zh-CN"/>
        </w:rPr>
        <w:t>详见采购需求</w:t>
      </w:r>
      <w:r>
        <w:rPr>
          <w:rFonts w:hint="eastAsia" w:ascii="仿宋_GB2312" w:hAnsi="仿宋_GB2312" w:eastAsia="仿宋_GB2312" w:cs="仿宋_GB2312"/>
          <w:snapToGrid w:val="0"/>
          <w:color w:val="auto"/>
          <w:kern w:val="0"/>
          <w:sz w:val="24"/>
          <w:highlight w:val="none"/>
          <w:u w:val="single"/>
          <w:lang w:val="zh-CN"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9.本项目分阶段要求供应商提供以下保证：</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□投标保证金：采购项目预算的</w:t>
      </w:r>
      <w:r>
        <w:rPr>
          <w:rFonts w:hint="eastAsia" w:ascii="仿宋_GB2312" w:hAnsi="仿宋_GB2312" w:eastAsia="仿宋_GB2312" w:cs="仿宋_GB2312"/>
          <w:snapToGrid w:val="0"/>
          <w:color w:val="auto"/>
          <w:kern w:val="0"/>
          <w:sz w:val="24"/>
          <w:highlight w:val="none"/>
          <w:u w:val="single"/>
          <w:lang w:val="en-US" w:eastAsia="zh-CN"/>
        </w:rPr>
        <w:t xml:space="preserve">   </w:t>
      </w:r>
      <w:r>
        <w:rPr>
          <w:rFonts w:hint="eastAsia" w:ascii="仿宋_GB2312" w:hAnsi="仿宋_GB2312" w:eastAsia="仿宋_GB2312" w:cs="仿宋_GB2312"/>
          <w:snapToGrid w:val="0"/>
          <w:color w:val="auto"/>
          <w:kern w:val="0"/>
          <w:sz w:val="24"/>
          <w:highlight w:val="none"/>
          <w:lang w:val="en-US"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☑履约保证金：中标金额的</w:t>
      </w:r>
      <w:r>
        <w:rPr>
          <w:rFonts w:hint="eastAsia" w:ascii="仿宋_GB2312" w:hAnsi="仿宋_GB2312" w:eastAsia="仿宋_GB2312" w:cs="仿宋_GB2312"/>
          <w:snapToGrid w:val="0"/>
          <w:color w:val="auto"/>
          <w:kern w:val="0"/>
          <w:sz w:val="24"/>
          <w:highlight w:val="none"/>
          <w:u w:val="single"/>
          <w:lang w:val="en-US" w:eastAsia="zh-CN"/>
        </w:rPr>
        <w:t xml:space="preserve"> 10 </w:t>
      </w:r>
      <w:r>
        <w:rPr>
          <w:rFonts w:hint="eastAsia" w:ascii="仿宋_GB2312" w:hAnsi="仿宋_GB2312" w:eastAsia="仿宋_GB2312" w:cs="仿宋_GB2312"/>
          <w:snapToGrid w:val="0"/>
          <w:color w:val="auto"/>
          <w:kern w:val="0"/>
          <w:sz w:val="24"/>
          <w:highlight w:val="none"/>
          <w:lang w:val="en-US"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☑质量保证金：合同金额的</w:t>
      </w:r>
      <w:r>
        <w:rPr>
          <w:rFonts w:hint="eastAsia" w:ascii="仿宋_GB2312" w:hAnsi="仿宋_GB2312" w:eastAsia="仿宋_GB2312" w:cs="仿宋_GB2312"/>
          <w:snapToGrid w:val="0"/>
          <w:color w:val="auto"/>
          <w:kern w:val="0"/>
          <w:sz w:val="24"/>
          <w:highlight w:val="none"/>
          <w:u w:val="single"/>
          <w:lang w:val="en-US" w:eastAsia="zh-CN"/>
        </w:rPr>
        <w:t xml:space="preserve"> 3 </w:t>
      </w:r>
      <w:r>
        <w:rPr>
          <w:rFonts w:hint="eastAsia" w:ascii="仿宋_GB2312" w:hAnsi="仿宋_GB2312" w:eastAsia="仿宋_GB2312" w:cs="仿宋_GB2312"/>
          <w:snapToGrid w:val="0"/>
          <w:color w:val="auto"/>
          <w:kern w:val="0"/>
          <w:sz w:val="24"/>
          <w:highlight w:val="none"/>
          <w:lang w:val="en-US" w:eastAsia="zh-CN"/>
        </w:rPr>
        <w:t>%；</w:t>
      </w:r>
    </w:p>
    <w:p>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二、</w:t>
      </w:r>
      <w:r>
        <w:rPr>
          <w:rFonts w:hint="eastAsia" w:ascii="仿宋_GB2312" w:hAnsi="仿宋_GB2312" w:eastAsia="仿宋_GB2312" w:cs="仿宋_GB2312"/>
          <w:b/>
          <w:bCs/>
          <w:snapToGrid w:val="0"/>
          <w:color w:val="auto"/>
          <w:kern w:val="0"/>
          <w:sz w:val="24"/>
          <w:highlight w:val="none"/>
        </w:rPr>
        <w:t>采购人的采购需求</w:t>
      </w:r>
    </w:p>
    <w:tbl>
      <w:tblPr>
        <w:tblStyle w:val="44"/>
        <w:tblW w:w="64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0"/>
        <w:gridCol w:w="1716"/>
        <w:gridCol w:w="717"/>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 w:hRule="atLeast"/>
          <w:jc w:val="center"/>
        </w:trPr>
        <w:tc>
          <w:tcPr>
            <w:tcW w:w="2580" w:type="dxa"/>
            <w:vAlign w:val="center"/>
          </w:tcPr>
          <w:p>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项目</w:t>
            </w:r>
            <w:r>
              <w:rPr>
                <w:rFonts w:hint="eastAsia" w:ascii="仿宋_GB2312" w:hAnsi="仿宋_GB2312" w:eastAsia="仿宋_GB2312" w:cs="仿宋_GB2312"/>
                <w:snapToGrid w:val="0"/>
                <w:color w:val="auto"/>
                <w:kern w:val="0"/>
                <w:sz w:val="24"/>
                <w:highlight w:val="none"/>
              </w:rPr>
              <w:t>名称</w:t>
            </w:r>
          </w:p>
        </w:tc>
        <w:tc>
          <w:tcPr>
            <w:tcW w:w="1716" w:type="dxa"/>
            <w:vAlign w:val="center"/>
          </w:tcPr>
          <w:p>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简要技术要求</w:t>
            </w:r>
          </w:p>
        </w:tc>
        <w:tc>
          <w:tcPr>
            <w:tcW w:w="717" w:type="dxa"/>
            <w:vAlign w:val="center"/>
          </w:tcPr>
          <w:p>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数量</w:t>
            </w:r>
          </w:p>
        </w:tc>
        <w:tc>
          <w:tcPr>
            <w:tcW w:w="1450" w:type="dxa"/>
            <w:vAlign w:val="center"/>
          </w:tcPr>
          <w:p>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标的预算（元）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 w:hRule="atLeast"/>
          <w:jc w:val="center"/>
        </w:trPr>
        <w:tc>
          <w:tcPr>
            <w:tcW w:w="2580" w:type="dxa"/>
            <w:vAlign w:val="center"/>
          </w:tcPr>
          <w:p>
            <w:pPr>
              <w:adjustRightInd w:val="0"/>
              <w:snapToGrid w:val="0"/>
              <w:spacing w:line="240" w:lineRule="auto"/>
              <w:jc w:val="both"/>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val="en-US" w:eastAsia="zh-CN"/>
              </w:rPr>
              <w:t>吉首市第一中学场馆改造项目</w:t>
            </w:r>
          </w:p>
        </w:tc>
        <w:tc>
          <w:tcPr>
            <w:tcW w:w="1716" w:type="dxa"/>
            <w:vAlign w:val="center"/>
          </w:tcPr>
          <w:p>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详见第四章采购需求</w:t>
            </w:r>
          </w:p>
        </w:tc>
        <w:tc>
          <w:tcPr>
            <w:tcW w:w="717" w:type="dxa"/>
            <w:vAlign w:val="center"/>
          </w:tcPr>
          <w:p>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1项</w:t>
            </w:r>
          </w:p>
        </w:tc>
        <w:tc>
          <w:tcPr>
            <w:tcW w:w="1450" w:type="dxa"/>
            <w:vAlign w:val="center"/>
          </w:tcPr>
          <w:p>
            <w:pPr>
              <w:adjustRightInd w:val="0"/>
              <w:snapToGrid w:val="0"/>
              <w:spacing w:line="240" w:lineRule="auto"/>
              <w:jc w:val="center"/>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3523791.81</w:t>
            </w:r>
          </w:p>
        </w:tc>
      </w:tr>
    </w:tbl>
    <w:p>
      <w:pPr>
        <w:adjustRightInd w:val="0"/>
        <w:snapToGrid w:val="0"/>
        <w:spacing w:line="360" w:lineRule="auto"/>
        <w:rPr>
          <w:rFonts w:hint="eastAsia" w:ascii="仿宋_GB2312" w:hAnsi="仿宋_GB2312" w:eastAsia="仿宋_GB2312" w:cs="仿宋_GB2312"/>
          <w:snapToGrid w:val="0"/>
          <w:color w:val="auto"/>
          <w:kern w:val="0"/>
          <w:sz w:val="24"/>
          <w:highlight w:val="none"/>
          <w:lang w:val="zh-CN" w:eastAsia="zh-CN"/>
        </w:rPr>
      </w:pPr>
    </w:p>
    <w:p>
      <w:pPr>
        <w:adjustRightInd w:val="0"/>
        <w:snapToGrid w:val="0"/>
        <w:spacing w:line="360" w:lineRule="auto"/>
        <w:ind w:firstLine="482" w:firstLineChars="200"/>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三</w:t>
      </w:r>
      <w:r>
        <w:rPr>
          <w:rFonts w:hint="eastAsia" w:ascii="仿宋_GB2312" w:hAnsi="仿宋_GB2312" w:eastAsia="仿宋_GB2312" w:cs="仿宋_GB2312"/>
          <w:b/>
          <w:bCs/>
          <w:snapToGrid w:val="0"/>
          <w:color w:val="auto"/>
          <w:kern w:val="0"/>
          <w:sz w:val="24"/>
          <w:highlight w:val="none"/>
        </w:rPr>
        <w:t>、供应商的资格要求</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lang w:eastAsia="zh-CN"/>
        </w:rPr>
        <w:t>供应商</w:t>
      </w:r>
      <w:r>
        <w:rPr>
          <w:rFonts w:hint="eastAsia" w:ascii="仿宋_GB2312" w:hAnsi="仿宋_GB2312" w:eastAsia="仿宋_GB2312" w:cs="仿宋_GB2312"/>
          <w:snapToGrid w:val="0"/>
          <w:color w:val="auto"/>
          <w:kern w:val="0"/>
          <w:sz w:val="24"/>
          <w:highlight w:val="none"/>
        </w:rPr>
        <w:t>的基本资格条件：</w:t>
      </w:r>
      <w:r>
        <w:rPr>
          <w:rFonts w:hint="eastAsia" w:ascii="仿宋_GB2312" w:hAnsi="仿宋_GB2312" w:eastAsia="仿宋_GB2312" w:cs="仿宋_GB2312"/>
          <w:snapToGrid w:val="0"/>
          <w:color w:val="auto"/>
          <w:kern w:val="0"/>
          <w:sz w:val="24"/>
          <w:highlight w:val="none"/>
          <w:lang w:eastAsia="zh-CN"/>
        </w:rPr>
        <w:t>供应商</w:t>
      </w:r>
      <w:r>
        <w:rPr>
          <w:rFonts w:hint="eastAsia" w:ascii="仿宋_GB2312" w:hAnsi="仿宋_GB2312" w:eastAsia="仿宋_GB2312" w:cs="仿宋_GB2312"/>
          <w:snapToGrid w:val="0"/>
          <w:color w:val="auto"/>
          <w:kern w:val="0"/>
          <w:sz w:val="24"/>
          <w:highlight w:val="none"/>
        </w:rPr>
        <w:t>必须是在中华人民共和国境内注册登记的法人、其他组织或者自然人，且应当符合《政府采购法》第二十二条第一款的规定</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即：</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 xml:space="preserve">1）具有独立承担民事责任的能力； </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 xml:space="preserve">2）具有良好的商业信誉和健全的财务会计制度； </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 xml:space="preserve">3）具有履行合同所必需的设备和专业技术能力； </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4）有依法缴纳税收和社会保障资金的良好记录；</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 xml:space="preserve">5）参加政府采购活动前三年内，在经营活动中没有重大违法记录； </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6）法律、行政法规规定的其他条件</w:t>
      </w:r>
      <w:r>
        <w:rPr>
          <w:rFonts w:hint="eastAsia" w:ascii="仿宋_GB2312" w:hAnsi="仿宋_GB2312" w:eastAsia="仿宋_GB2312" w:cs="仿宋_GB2312"/>
          <w:snapToGrid w:val="0"/>
          <w:color w:val="auto"/>
          <w:kern w:val="0"/>
          <w:sz w:val="24"/>
          <w:highlight w:val="none"/>
          <w:lang w:val="en-US" w:eastAsia="zh-CN"/>
        </w:rPr>
        <w:t>。</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落实政府采购政策需满足的资格要求：</w:t>
      </w:r>
      <w:r>
        <w:rPr>
          <w:rFonts w:hint="eastAsia" w:ascii="仿宋_GB2312" w:hAnsi="仿宋_GB2312" w:eastAsia="仿宋_GB2312" w:cs="仿宋_GB2312"/>
          <w:snapToGrid w:val="0"/>
          <w:color w:val="auto"/>
          <w:kern w:val="0"/>
          <w:sz w:val="24"/>
          <w:highlight w:val="none"/>
          <w:lang w:val="en-US" w:eastAsia="zh-CN"/>
        </w:rPr>
        <w:t xml:space="preserve"> </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专门面向：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中小企业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小微企业  □监狱企业  □福利性单位 </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□强制分包：大型企业应将采购份额的    %分包给中小企业。</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3.</w:t>
      </w:r>
      <w:r>
        <w:rPr>
          <w:rFonts w:hint="eastAsia" w:ascii="仿宋_GB2312" w:hAnsi="仿宋_GB2312" w:eastAsia="仿宋_GB2312" w:cs="仿宋_GB2312"/>
          <w:snapToGrid w:val="0"/>
          <w:color w:val="auto"/>
          <w:kern w:val="0"/>
          <w:sz w:val="24"/>
          <w:highlight w:val="none"/>
        </w:rPr>
        <w:t>供应商特定资格条件：供应商须满足以下要求</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 xml:space="preserve"> </w:t>
      </w:r>
    </w:p>
    <w:p>
      <w:pPr>
        <w:adjustRightInd w:val="0"/>
        <w:snapToGrid w:val="0"/>
        <w:spacing w:line="360" w:lineRule="auto"/>
        <w:ind w:firstLine="480" w:firstLineChars="200"/>
        <w:jc w:val="left"/>
        <w:rPr>
          <w:rFonts w:hint="eastAsia" w:ascii="仿宋_GB2312" w:hAnsi="仿宋_GB2312" w:eastAsia="仿宋_GB2312" w:cs="仿宋_GB2312"/>
          <w:b w:val="0"/>
          <w:bCs w:val="0"/>
          <w:snapToGrid w:val="0"/>
          <w:color w:val="000000" w:themeColor="text1"/>
          <w:kern w:val="0"/>
          <w:sz w:val="24"/>
          <w:highlight w:val="none"/>
          <w:lang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eastAsia="zh-CN"/>
          <w14:textFill>
            <w14:solidFill>
              <w14:schemeClr w14:val="tx1"/>
            </w14:solidFill>
          </w14:textFill>
        </w:rPr>
        <w:t>（1）</w:t>
      </w: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具有建设行政主管部门颁发的</w:t>
      </w:r>
      <w:bookmarkStart w:id="1" w:name="OLE_LINK1"/>
      <w:r>
        <w:rPr>
          <w:rFonts w:hint="eastAsia" w:ascii="仿宋_GB2312" w:hAnsi="仿宋_GB2312" w:eastAsia="仿宋_GB2312" w:cs="仿宋_GB2312"/>
          <w:b/>
          <w:bCs/>
          <w:snapToGrid w:val="0"/>
          <w:color w:val="000000" w:themeColor="text1"/>
          <w:kern w:val="0"/>
          <w:sz w:val="24"/>
          <w:highlight w:val="none"/>
          <w:lang w:val="en-US" w:eastAsia="zh-CN"/>
          <w14:textFill>
            <w14:solidFill>
              <w14:schemeClr w14:val="tx1"/>
            </w14:solidFill>
          </w14:textFill>
        </w:rPr>
        <w:t>市政公用工程施工或建筑工程施工总承包叁级</w:t>
      </w:r>
      <w:bookmarkEnd w:id="1"/>
      <w:r>
        <w:rPr>
          <w:rFonts w:hint="eastAsia" w:ascii="仿宋_GB2312" w:hAnsi="仿宋_GB2312" w:eastAsia="仿宋_GB2312" w:cs="仿宋_GB2312"/>
          <w:b/>
          <w:bCs/>
          <w:snapToGrid w:val="0"/>
          <w:color w:val="000000" w:themeColor="text1"/>
          <w:kern w:val="0"/>
          <w:sz w:val="24"/>
          <w:highlight w:val="none"/>
          <w:lang w:val="en-US" w:eastAsia="zh-CN"/>
          <w14:textFill>
            <w14:solidFill>
              <w14:schemeClr w14:val="tx1"/>
            </w14:solidFill>
          </w14:textFill>
        </w:rPr>
        <w:t>及以上资质及以上资质</w:t>
      </w: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以及有效期内的安全生产许可证（提供相应有效证书复印件）</w:t>
      </w:r>
      <w:r>
        <w:rPr>
          <w:rFonts w:hint="eastAsia" w:ascii="仿宋_GB2312" w:hAnsi="仿宋_GB2312" w:eastAsia="仿宋_GB2312" w:cs="仿宋_GB2312"/>
          <w:b w:val="0"/>
          <w:bCs w:val="0"/>
          <w:snapToGrid w:val="0"/>
          <w:color w:val="000000" w:themeColor="text1"/>
          <w:kern w:val="0"/>
          <w:sz w:val="24"/>
          <w:highlight w:val="none"/>
          <w:lang w:eastAsia="zh-CN"/>
          <w14:textFill>
            <w14:solidFill>
              <w14:schemeClr w14:val="tx1"/>
            </w14:solidFill>
          </w14:textFill>
        </w:rPr>
        <w:t>；</w:t>
      </w:r>
    </w:p>
    <w:p>
      <w:pPr>
        <w:adjustRightInd w:val="0"/>
        <w:snapToGrid w:val="0"/>
        <w:spacing w:line="360" w:lineRule="auto"/>
        <w:ind w:firstLine="480" w:firstLineChars="200"/>
        <w:jc w:val="left"/>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eastAsia="zh-CN"/>
          <w14:textFill>
            <w14:solidFill>
              <w14:schemeClr w14:val="tx1"/>
            </w14:solidFill>
          </w14:textFill>
        </w:rPr>
        <w:t>（2）</w:t>
      </w: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拟任项目负责人须具有建设行政主管部门颁发的</w:t>
      </w:r>
      <w:r>
        <w:rPr>
          <w:rFonts w:hint="eastAsia" w:ascii="仿宋_GB2312" w:hAnsi="仿宋_GB2312" w:eastAsia="仿宋_GB2312" w:cs="仿宋_GB2312"/>
          <w:b/>
          <w:bCs/>
          <w:snapToGrid w:val="0"/>
          <w:color w:val="000000" w:themeColor="text1"/>
          <w:kern w:val="0"/>
          <w:sz w:val="24"/>
          <w:highlight w:val="none"/>
          <w:lang w:val="en-US" w:eastAsia="zh-CN"/>
          <w14:textFill>
            <w14:solidFill>
              <w14:schemeClr w14:val="tx1"/>
            </w14:solidFill>
          </w14:textFill>
        </w:rPr>
        <w:t>市政公用工程或建筑工程专业贰级及以上注册建造师执业资格</w:t>
      </w: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、具有有效期内的B类安全生产考核合格证和无在建工程承诺书。（提供在本单位近半年以来任意连续三个月的社保证明）。</w:t>
      </w:r>
    </w:p>
    <w:p>
      <w:pPr>
        <w:adjustRightInd w:val="0"/>
        <w:snapToGrid w:val="0"/>
        <w:spacing w:line="360" w:lineRule="auto"/>
        <w:ind w:firstLine="480" w:firstLineChars="200"/>
        <w:jc w:val="left"/>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（3）湖南省外企业须按照湖南省住房和城乡建设厅要求办理入湘备案手续(以“湖南省住房和城乡建设网”查询为准)或具有有效的入湘施工登记证。</w:t>
      </w:r>
    </w:p>
    <w:p>
      <w:pPr>
        <w:adjustRightInd w:val="0"/>
        <w:snapToGrid w:val="0"/>
        <w:spacing w:line="360" w:lineRule="auto"/>
        <w:ind w:firstLine="480" w:firstLineChars="200"/>
        <w:jc w:val="left"/>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投标截止时，投标人应当在响应文件中如实填写项目经理在建情况，并承诺本项目成交结果公示中明确的公示期满之前，项目经理能按时到岗履职。评标期间，响应文件中没有承诺能够按时到岗履职的，评标委员会应当否决其投标。</w:t>
      </w:r>
    </w:p>
    <w:p>
      <w:pPr>
        <w:adjustRightInd w:val="0"/>
        <w:snapToGrid w:val="0"/>
        <w:spacing w:line="360" w:lineRule="auto"/>
        <w:ind w:firstLine="480" w:firstLineChars="200"/>
        <w:jc w:val="left"/>
        <w:rPr>
          <w:rFonts w:hint="default" w:ascii="仿宋_GB2312" w:hAnsi="仿宋_GB2312" w:eastAsia="仿宋_GB2312" w:cs="仿宋_GB2312"/>
          <w:b/>
          <w:bCs/>
          <w:snapToGrid w:val="0"/>
          <w:color w:val="000000" w:themeColor="text1"/>
          <w:kern w:val="0"/>
          <w:sz w:val="24"/>
          <w:highlight w:val="none"/>
          <w:lang w:val="en-US"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本项目成交结果公示中明确的公示期满之前，项目经理不能按时到岗履职(含不能从其他项目按期撤离)的采购人应提请相关部门依法认定为失信行为，并依规进行处罚，对于取得成交结果或中标人资格的，还应取消其成交结果或中标人资格。</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单位负责人为同一人或者存在直接控股、管理关系的不同投标人，不得参加同一合同项下的政府采购活动。</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5.</w:t>
      </w:r>
      <w:r>
        <w:rPr>
          <w:rFonts w:hint="eastAsia" w:ascii="仿宋_GB2312" w:hAnsi="仿宋_GB2312" w:eastAsia="仿宋_GB2312" w:cs="仿宋_GB2312"/>
          <w:snapToGrid w:val="0"/>
          <w:color w:val="auto"/>
          <w:kern w:val="0"/>
          <w:sz w:val="24"/>
          <w:highlight w:val="none"/>
        </w:rPr>
        <w:t>为本采购项目提供整体设计、规范编制或者项目管理、监理、检测等服务的，不得再参加此项目的其他采购活动。</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6.</w:t>
      </w:r>
      <w:r>
        <w:rPr>
          <w:rFonts w:hint="eastAsia" w:ascii="仿宋_GB2312" w:hAnsi="仿宋_GB2312" w:eastAsia="仿宋_GB2312" w:cs="仿宋_GB2312"/>
          <w:snapToGrid w:val="0"/>
          <w:color w:val="auto"/>
          <w:kern w:val="0"/>
          <w:sz w:val="24"/>
          <w:highlight w:val="none"/>
        </w:rPr>
        <w:t>列入失信被执行人、重大税收违法失信主体名单、政府采购严重违法失信行为记录名单的，拒绝其参与政府采购活动。</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7.</w:t>
      </w:r>
      <w:r>
        <w:rPr>
          <w:rFonts w:hint="eastAsia" w:ascii="仿宋_GB2312" w:hAnsi="仿宋_GB2312" w:eastAsia="仿宋_GB2312" w:cs="仿宋_GB2312"/>
          <w:snapToGrid w:val="0"/>
          <w:color w:val="auto"/>
          <w:kern w:val="0"/>
          <w:sz w:val="24"/>
          <w:highlight w:val="none"/>
        </w:rPr>
        <w:t>联合体投标。本次招标不接受联合体投标。</w:t>
      </w:r>
    </w:p>
    <w:p>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四</w:t>
      </w:r>
      <w:r>
        <w:rPr>
          <w:rFonts w:hint="eastAsia" w:ascii="仿宋_GB2312" w:hAnsi="仿宋_GB2312" w:eastAsia="仿宋_GB2312" w:cs="仿宋_GB2312"/>
          <w:b/>
          <w:bCs/>
          <w:snapToGrid w:val="0"/>
          <w:color w:val="auto"/>
          <w:kern w:val="0"/>
          <w:sz w:val="24"/>
          <w:highlight w:val="none"/>
        </w:rPr>
        <w:t>、获取招标文件的时间、期限、地点及方式</w:t>
      </w:r>
    </w:p>
    <w:p>
      <w:pPr>
        <w:adjustRightInd w:val="0"/>
        <w:snapToGrid w:val="0"/>
        <w:spacing w:line="360" w:lineRule="auto"/>
        <w:ind w:firstLine="420" w:firstLineChars="200"/>
        <w:jc w:val="left"/>
        <w:rPr>
          <w:rFonts w:hint="eastAsia" w:ascii="仿宋" w:hAnsi="仿宋" w:eastAsia="仿宋" w:cs="仿宋"/>
          <w:szCs w:val="21"/>
          <w:lang w:val="en-US" w:eastAsia="zh-CN"/>
        </w:rPr>
      </w:pPr>
      <w:r>
        <w:rPr>
          <w:rFonts w:hint="eastAsia" w:ascii="仿宋" w:hAnsi="仿宋" w:eastAsia="仿宋" w:cs="仿宋"/>
          <w:szCs w:val="21"/>
          <w:lang w:val="en-US" w:eastAsia="zh-CN"/>
        </w:rPr>
        <w:t>1、凡有意参加响应者，请于 2026 年 08 月24日～2026 年 08 月31日 17 时 00 分止(北京时间，下同),登录《湖南政府采购网》（http://www.ccgp-hunan.gov.cn/）→查看政府采购公告→附件→下载磋商文件，或者登陆《湘西公共资源交易网》（http://ggzyjy.xxz.gov.cn）→点击“一站式综合服务系统” →“用户登陆”（使用 CA 登录）→点击“会员端”登陆后→点击“采购业务-填写投标信息”菜单，进入页面→点击“操作”按钮，进入到投标信息完善详情页面：填写项目负责人，点击我要投标→点击“采购业务-采购公告及文件下载”菜单，进入页面→点击“领取”下载按钮，进入详细页面→点击“下载招标文件”按钮，进入文件详细页面进行交易文件下载。（备注:以上2种途径均可获取磋商文件，但投标供应商须在磋商文件发售时间内登陆《湘西公共资源交易网》完成点击我要投标阶段的操作，否则将会影响其投标）。</w:t>
      </w:r>
    </w:p>
    <w:p>
      <w:pPr>
        <w:adjustRightInd w:val="0"/>
        <w:snapToGrid w:val="0"/>
        <w:spacing w:line="360" w:lineRule="auto"/>
        <w:ind w:firstLine="420" w:firstLineChars="200"/>
        <w:jc w:val="left"/>
        <w:rPr>
          <w:rFonts w:hint="eastAsia" w:ascii="仿宋_GB2312" w:hAnsi="仿宋_GB2312" w:eastAsia="仿宋" w:cs="仿宋_GB2312"/>
          <w:snapToGrid w:val="0"/>
          <w:color w:val="auto"/>
          <w:kern w:val="0"/>
          <w:sz w:val="24"/>
          <w:highlight w:val="none"/>
          <w:lang w:val="en-US" w:eastAsia="zh-CN"/>
        </w:rPr>
      </w:pPr>
      <w:r>
        <w:rPr>
          <w:rFonts w:hint="eastAsia" w:ascii="仿宋" w:hAnsi="仿宋" w:eastAsia="仿宋" w:cs="仿宋"/>
          <w:szCs w:val="21"/>
          <w:lang w:val="en-US" w:eastAsia="zh-CN"/>
        </w:rPr>
        <w:t>2、各供应商自行在以上网站下载或查阅招标相关文件和资料等，恕不另行通知，如有遗漏采购代理机构概不负责</w:t>
      </w:r>
      <w:r>
        <w:rPr>
          <w:rFonts w:hint="eastAsia" w:ascii="仿宋" w:hAnsi="仿宋" w:eastAsia="仿宋" w:cs="仿宋"/>
          <w:szCs w:val="21"/>
          <w:lang w:eastAsia="zh-CN"/>
        </w:rPr>
        <w:t>。</w:t>
      </w:r>
    </w:p>
    <w:p>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五</w:t>
      </w:r>
      <w:r>
        <w:rPr>
          <w:rFonts w:hint="eastAsia" w:ascii="仿宋_GB2312" w:hAnsi="仿宋_GB2312" w:eastAsia="仿宋_GB2312" w:cs="仿宋_GB2312"/>
          <w:b/>
          <w:bCs/>
          <w:snapToGrid w:val="0"/>
          <w:color w:val="auto"/>
          <w:kern w:val="0"/>
          <w:sz w:val="24"/>
          <w:highlight w:val="none"/>
        </w:rPr>
        <w:t>、投标截止时间、开标时间及地点</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.首次响应文件提交的截止时间及开启时间：2026年09月04日9时00分（北京时间）。</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2.提交投标文件</w:t>
      </w:r>
      <w:r>
        <w:rPr>
          <w:rFonts w:hint="eastAsia" w:ascii="仿宋_GB2312" w:hAnsi="仿宋_GB2312" w:eastAsia="仿宋_GB2312" w:cs="仿宋_GB2312"/>
          <w:snapToGrid w:val="0"/>
          <w:color w:val="auto"/>
          <w:kern w:val="0"/>
          <w:sz w:val="24"/>
          <w:highlight w:val="none"/>
        </w:rPr>
        <w:t>地点</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首次响应文件提交的地点（方式）：请供应商登录《湘西公共资源交易网》（http://ggzyjy.xxz.gov.cn）下载电子响应文件制作工具编制响应文件，供应商应在提交首次响应文件的截止时间前通过电子招标投标交易平台提交数据电文形式的响应文件。逾期送达的响应文件，电子招标投标交易平台予以拒收。</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val="en-US" w:eastAsia="zh-CN"/>
        </w:rPr>
        <w:t>3.首次响应文件开启地点</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湘西自治州公共资源交易中心</w:t>
      </w:r>
      <w:r>
        <w:rPr>
          <w:rFonts w:hint="eastAsia" w:ascii="仿宋_GB2312" w:hAnsi="仿宋_GB2312" w:eastAsia="仿宋_GB2312" w:cs="仿宋_GB2312"/>
          <w:snapToGrid w:val="0"/>
          <w:color w:val="auto"/>
          <w:kern w:val="0"/>
          <w:sz w:val="24"/>
          <w:highlight w:val="none"/>
          <w:u w:val="single"/>
          <w:lang w:val="en-US" w:eastAsia="zh-CN"/>
        </w:rPr>
        <w:t xml:space="preserve"> 不见面开标室 </w:t>
      </w:r>
      <w:r>
        <w:rPr>
          <w:rFonts w:hint="eastAsia" w:ascii="仿宋_GB2312" w:hAnsi="仿宋_GB2312" w:eastAsia="仿宋_GB2312" w:cs="仿宋_GB2312"/>
          <w:snapToGrid w:val="0"/>
          <w:color w:val="auto"/>
          <w:kern w:val="0"/>
          <w:sz w:val="24"/>
          <w:highlight w:val="none"/>
          <w:lang w:val="en-US" w:eastAsia="zh-CN"/>
        </w:rPr>
        <w:t>（吉首市吉凤街道州行政中心政务服务大楼五楼），具体开标室信息见交易受理大厅大屏幕。</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4.首次响应文件的解密截止时间：开启解密时间后 30 分钟。请供应商确保响应文件如期解密。在开启现场解密的，请供应商自备解密电脑和网络。</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注：届时网上不见面开标大厅进行在线解密需使用对应制作响应文件的 CA 锁进行解密。因供应商提交的电子响应文件等资料含有计算机病毒，导致无法参与磋商、评审等交易活动的，后果由供应商自行承担。(不见面开标大厅登录网址http://xxzggzyjy.cn/BidOpening/bidopeninghallaction/hall/login)</w:t>
      </w:r>
    </w:p>
    <w:p>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六</w:t>
      </w:r>
      <w:r>
        <w:rPr>
          <w:rFonts w:hint="eastAsia" w:ascii="仿宋_GB2312" w:hAnsi="仿宋_GB2312" w:eastAsia="仿宋_GB2312" w:cs="仿宋_GB2312"/>
          <w:b/>
          <w:bCs/>
          <w:snapToGrid w:val="0"/>
          <w:color w:val="auto"/>
          <w:kern w:val="0"/>
          <w:sz w:val="24"/>
          <w:highlight w:val="none"/>
        </w:rPr>
        <w:t>、公告期限</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1.本招标公告在中国湖南政府采购网（http://www.ccgp-hunan.gov.cn/#）及《湘西州公共资源交易服务平台》（https://xiangxi.hnsggzy.com/#/sy）发。公告期限从本招标公告发布之日起 5 个工作日</w:t>
      </w:r>
      <w:r>
        <w:rPr>
          <w:rFonts w:hint="eastAsia" w:ascii="仿宋_GB2312" w:hAnsi="仿宋_GB2312" w:eastAsia="仿宋_GB2312" w:cs="仿宋_GB2312"/>
          <w:snapToGrid w:val="0"/>
          <w:color w:val="auto"/>
          <w:kern w:val="0"/>
          <w:sz w:val="24"/>
          <w:highlight w:val="none"/>
        </w:rPr>
        <w:t>。</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在其他媒体发布的招标公告，公告内容以本招标公告指定媒体发布的公告为准；公告期限自本招标公告指定媒体最先发布公告之日起算。</w:t>
      </w:r>
    </w:p>
    <w:p>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lang w:val="en-US" w:eastAsia="zh-CN"/>
        </w:rPr>
      </w:pPr>
      <w:r>
        <w:rPr>
          <w:rFonts w:hint="eastAsia" w:ascii="仿宋_GB2312" w:hAnsi="仿宋_GB2312" w:eastAsia="仿宋_GB2312" w:cs="仿宋_GB2312"/>
          <w:b/>
          <w:bCs/>
          <w:snapToGrid w:val="0"/>
          <w:color w:val="auto"/>
          <w:kern w:val="0"/>
          <w:sz w:val="24"/>
          <w:highlight w:val="none"/>
          <w:lang w:val="en-US" w:eastAsia="zh-CN"/>
        </w:rPr>
        <w:t>七、其他补充事宜</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 xml:space="preserve">1. CA 数字证书办理: </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本项目为电子招投标项目，参与投标均须使用 CA 数字证书登陆进行操作，具体办 理流程详见《湖南省 CA 证书与电子签章资源共享平台》（https://casign.hnsggzy.co m:7080/ca-hunanplatform/operation/main），电话咨询：4009197888</w:t>
      </w:r>
      <w:r>
        <w:rPr>
          <w:rFonts w:hint="eastAsia" w:ascii="仿宋_GB2312" w:hAnsi="仿宋_GB2312" w:eastAsia="仿宋_GB2312" w:cs="仿宋_GB2312"/>
          <w:snapToGrid w:val="0"/>
          <w:color w:val="auto"/>
          <w:kern w:val="0"/>
          <w:sz w:val="24"/>
          <w:highlight w:val="none"/>
          <w:lang w:val="en-US" w:eastAsia="zh-CN"/>
        </w:rPr>
        <w:t>。</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2. 注意事项</w:t>
      </w:r>
      <w:r>
        <w:rPr>
          <w:rFonts w:hint="eastAsia" w:ascii="仿宋_GB2312" w:hAnsi="仿宋_GB2312" w:eastAsia="仿宋_GB2312" w:cs="仿宋_GB2312"/>
          <w:snapToGrid w:val="0"/>
          <w:color w:val="auto"/>
          <w:kern w:val="0"/>
          <w:sz w:val="24"/>
          <w:highlight w:val="none"/>
          <w:lang w:val="en-US" w:eastAsia="zh-CN"/>
        </w:rPr>
        <w:t>：</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2.1 由于对网上招投标操作不熟悉或自身电脑、个人网络等原因导致不能在投标截 止时间之前完成电子投标文件上传的，相应责任由投标人自行承担。在使用系统过程中有疑问或困难请及时进行咨询</w:t>
      </w:r>
      <w:r>
        <w:rPr>
          <w:rFonts w:hint="eastAsia" w:ascii="仿宋_GB2312" w:hAnsi="仿宋_GB2312" w:eastAsia="仿宋_GB2312" w:cs="仿宋_GB2312"/>
          <w:snapToGrid w:val="0"/>
          <w:color w:val="auto"/>
          <w:kern w:val="0"/>
          <w:sz w:val="24"/>
          <w:highlight w:val="none"/>
          <w:lang w:val="en-US" w:eastAsia="zh-CN"/>
        </w:rPr>
        <w:t>。</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 xml:space="preserve">2.2 如果开标时出现网络故障、技术故障等情形而影响招投标活动，采购人可采取 项目延期、延长电子投标文件解密时间等相应措施，以保障招投标活动的公开、公平和 公正，投标人不得对此持有异议。 </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2.3 开标注意事项：投标人自行完成电子投标文件解密，因投标人自身原因未在规 定时间内完成解密或无法解密的投标文件视为撤销其投标文件，相应责任由投标人自行 承担。</w:t>
      </w:r>
    </w:p>
    <w:p>
      <w:pPr>
        <w:adjustRightInd w:val="0"/>
        <w:snapToGrid w:val="0"/>
        <w:spacing w:line="360" w:lineRule="auto"/>
        <w:ind w:firstLine="480" w:firstLineChars="200"/>
        <w:jc w:val="left"/>
        <w:rPr>
          <w:rFonts w:hint="default" w:ascii="仿宋_GB2312" w:hAnsi="仿宋_GB2312" w:eastAsia="仿宋_GB2312" w:cs="仿宋_GB2312"/>
          <w:b/>
          <w:bCs/>
          <w:snapToGrid w:val="0"/>
          <w:color w:val="auto"/>
          <w:kern w:val="0"/>
          <w:sz w:val="24"/>
          <w:highlight w:val="none"/>
          <w:lang w:val="en-US" w:eastAsia="zh-CN"/>
        </w:rPr>
      </w:pPr>
      <w:r>
        <w:rPr>
          <w:rFonts w:hint="default" w:ascii="仿宋_GB2312" w:hAnsi="仿宋_GB2312" w:eastAsia="仿宋_GB2312" w:cs="仿宋_GB2312"/>
          <w:snapToGrid w:val="0"/>
          <w:color w:val="auto"/>
          <w:kern w:val="0"/>
          <w:sz w:val="24"/>
          <w:highlight w:val="none"/>
          <w:lang w:val="en-US" w:eastAsia="zh-CN"/>
        </w:rPr>
        <w:t>3. 询问：本项目投标过程中，电子系统使用操作遇到任何问题及时向软件公司咨 询，咨询联系方式：0743-8523902</w:t>
      </w:r>
      <w:r>
        <w:rPr>
          <w:rFonts w:hint="eastAsia" w:ascii="仿宋_GB2312" w:hAnsi="仿宋_GB2312" w:eastAsia="仿宋_GB2312" w:cs="仿宋_GB2312"/>
          <w:snapToGrid w:val="0"/>
          <w:color w:val="auto"/>
          <w:kern w:val="0"/>
          <w:sz w:val="24"/>
          <w:highlight w:val="none"/>
          <w:lang w:val="en-US" w:eastAsia="zh-CN"/>
        </w:rPr>
        <w:t>。</w:t>
      </w:r>
    </w:p>
    <w:p>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八</w:t>
      </w:r>
      <w:r>
        <w:rPr>
          <w:rFonts w:hint="eastAsia" w:ascii="仿宋_GB2312" w:hAnsi="仿宋_GB2312" w:eastAsia="仿宋_GB2312" w:cs="仿宋_GB2312"/>
          <w:b/>
          <w:bCs/>
          <w:snapToGrid w:val="0"/>
          <w:color w:val="auto"/>
          <w:kern w:val="0"/>
          <w:sz w:val="24"/>
          <w:highlight w:val="none"/>
        </w:rPr>
        <w:t>、询问及质疑</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投标人对政府采购活动事项如有疑问的，可以向采购人、采购代理机构提出询问。采购人、采购代理机构将在3个工作日内作出答复。</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投标人对电子交易平台办理CA证书、操作等如有疑问，请咨询电子交易平台服务机构。</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3</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潜在投标人认为招标文件或招标公告使自己的合法权益受到损害的，可以在收到招标文件之日或招标公告期限届满之日起7个工作日内，按《湖南省财政厅关于印发＜政府采购质疑答复和投诉处理操作规程＞的通知》</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湘财购〔2019〕20号</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规定，以纸质书面形式向采购人、采购代理机构提出质疑。 </w:t>
      </w:r>
    </w:p>
    <w:p>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lang w:val="en-US" w:eastAsia="zh-CN"/>
        </w:rPr>
      </w:pPr>
      <w:r>
        <w:rPr>
          <w:rFonts w:hint="eastAsia" w:ascii="仿宋_GB2312" w:hAnsi="仿宋_GB2312" w:eastAsia="仿宋_GB2312" w:cs="仿宋_GB2312"/>
          <w:b/>
          <w:bCs/>
          <w:snapToGrid w:val="0"/>
          <w:color w:val="auto"/>
          <w:kern w:val="0"/>
          <w:sz w:val="24"/>
          <w:highlight w:val="none"/>
          <w:lang w:val="en-US" w:eastAsia="zh-CN"/>
        </w:rPr>
        <w:t>九、采购项目联系人姓名和电话</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联系人姓名：</w:t>
      </w:r>
      <w:r>
        <w:rPr>
          <w:rFonts w:hint="eastAsia" w:ascii="仿宋_GB2312" w:hAnsi="仿宋_GB2312" w:eastAsia="仿宋_GB2312" w:cs="仿宋_GB2312"/>
          <w:snapToGrid w:val="0"/>
          <w:color w:val="auto"/>
          <w:kern w:val="0"/>
          <w:sz w:val="24"/>
          <w:highlight w:val="none"/>
          <w:lang w:val="en-US" w:eastAsia="zh-CN"/>
        </w:rPr>
        <w:t xml:space="preserve">刘主 </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电 话：</w:t>
      </w:r>
      <w:r>
        <w:rPr>
          <w:rFonts w:hint="eastAsia" w:ascii="仿宋_GB2312" w:hAnsi="仿宋_GB2312" w:eastAsia="仿宋_GB2312" w:cs="仿宋_GB2312"/>
          <w:snapToGrid w:val="0"/>
          <w:color w:val="auto"/>
          <w:kern w:val="0"/>
          <w:sz w:val="24"/>
          <w:highlight w:val="none"/>
          <w:lang w:val="en-US" w:eastAsia="zh-CN"/>
        </w:rPr>
        <w:t xml:space="preserve"> 0731-84116285</w:t>
      </w:r>
    </w:p>
    <w:p>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lang w:val="en-US" w:eastAsia="zh-CN"/>
        </w:rPr>
      </w:pPr>
      <w:r>
        <w:rPr>
          <w:rFonts w:hint="eastAsia" w:ascii="仿宋_GB2312" w:hAnsi="仿宋_GB2312" w:eastAsia="仿宋_GB2312" w:cs="仿宋_GB2312"/>
          <w:b/>
          <w:bCs/>
          <w:snapToGrid w:val="0"/>
          <w:color w:val="auto"/>
          <w:kern w:val="0"/>
          <w:sz w:val="24"/>
          <w:highlight w:val="none"/>
          <w:lang w:val="en-US" w:eastAsia="zh-CN"/>
        </w:rPr>
        <w:t>十、采购人、采购代理机构的名称、地址和联系方法</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1.</w:t>
      </w:r>
      <w:r>
        <w:rPr>
          <w:rFonts w:hint="eastAsia" w:ascii="仿宋_GB2312" w:hAnsi="仿宋_GB2312" w:eastAsia="仿宋_GB2312" w:cs="仿宋_GB2312"/>
          <w:snapToGrid w:val="0"/>
          <w:color w:val="auto"/>
          <w:kern w:val="0"/>
          <w:sz w:val="24"/>
          <w:highlight w:val="none"/>
        </w:rPr>
        <w:t>采购人</w:t>
      </w:r>
      <w:r>
        <w:rPr>
          <w:rFonts w:hint="eastAsia" w:ascii="仿宋_GB2312" w:hAnsi="仿宋_GB2312" w:eastAsia="仿宋_GB2312" w:cs="仿宋_GB2312"/>
          <w:snapToGrid w:val="0"/>
          <w:color w:val="auto"/>
          <w:kern w:val="0"/>
          <w:sz w:val="24"/>
          <w:highlight w:val="none"/>
          <w:lang w:val="en-US" w:eastAsia="zh-CN"/>
        </w:rPr>
        <w:t>信息</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 xml:space="preserve">（1）名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称：</w:t>
      </w:r>
      <w:r>
        <w:rPr>
          <w:rFonts w:hint="eastAsia" w:ascii="仿宋_GB2312" w:hAnsi="仿宋_GB2312" w:eastAsia="仿宋_GB2312" w:cs="仿宋_GB2312"/>
          <w:snapToGrid w:val="0"/>
          <w:color w:val="auto"/>
          <w:kern w:val="0"/>
          <w:sz w:val="24"/>
          <w:highlight w:val="none"/>
          <w:lang w:eastAsia="zh-CN"/>
        </w:rPr>
        <w:t>吉首市第一中学</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2</w:t>
      </w:r>
      <w:r>
        <w:rPr>
          <w:rFonts w:hint="eastAsia" w:ascii="仿宋_GB2312" w:hAnsi="仿宋_GB2312" w:eastAsia="仿宋_GB2312" w:cs="仿宋_GB2312"/>
          <w:snapToGrid w:val="0"/>
          <w:color w:val="auto"/>
          <w:kern w:val="0"/>
          <w:sz w:val="24"/>
          <w:highlight w:val="none"/>
        </w:rPr>
        <w:t xml:space="preserve">）地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址：</w:t>
      </w:r>
      <w:r>
        <w:rPr>
          <w:rFonts w:hint="eastAsia" w:ascii="仿宋_GB2312" w:hAnsi="仿宋_GB2312" w:eastAsia="仿宋_GB2312" w:cs="仿宋_GB2312"/>
          <w:snapToGrid w:val="0"/>
          <w:color w:val="auto"/>
          <w:kern w:val="0"/>
          <w:sz w:val="24"/>
          <w:highlight w:val="none"/>
          <w:lang w:eastAsia="zh-CN"/>
        </w:rPr>
        <w:t>湖南省吉首市双塘镇兴田村</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3</w:t>
      </w: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lang w:val="en-US" w:eastAsia="zh-CN"/>
        </w:rPr>
        <w:t xml:space="preserve"> 彭忠</w:t>
      </w:r>
    </w:p>
    <w:p>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）电</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 xml:space="preserve"> 话：</w:t>
      </w:r>
      <w:r>
        <w:rPr>
          <w:rFonts w:hint="eastAsia" w:ascii="仿宋_GB2312" w:hAnsi="仿宋_GB2312" w:eastAsia="仿宋_GB2312" w:cs="仿宋_GB2312"/>
          <w:snapToGrid w:val="0"/>
          <w:color w:val="auto"/>
          <w:kern w:val="0"/>
          <w:sz w:val="24"/>
          <w:highlight w:val="none"/>
          <w:lang w:val="en-US" w:eastAsia="zh-CN"/>
        </w:rPr>
        <w:t xml:space="preserve"> 0743-8520034</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2.</w:t>
      </w:r>
      <w:r>
        <w:rPr>
          <w:rFonts w:hint="eastAsia" w:ascii="仿宋_GB2312" w:hAnsi="仿宋_GB2312" w:eastAsia="仿宋_GB2312" w:cs="仿宋_GB2312"/>
          <w:snapToGrid w:val="0"/>
          <w:color w:val="auto"/>
          <w:kern w:val="0"/>
          <w:sz w:val="24"/>
          <w:highlight w:val="none"/>
        </w:rPr>
        <w:t>采购代理机构</w:t>
      </w:r>
      <w:r>
        <w:rPr>
          <w:rFonts w:hint="eastAsia" w:ascii="仿宋_GB2312" w:hAnsi="仿宋_GB2312" w:eastAsia="仿宋_GB2312" w:cs="仿宋_GB2312"/>
          <w:snapToGrid w:val="0"/>
          <w:color w:val="auto"/>
          <w:kern w:val="0"/>
          <w:sz w:val="24"/>
          <w:highlight w:val="none"/>
          <w:lang w:val="en-US" w:eastAsia="zh-CN"/>
        </w:rPr>
        <w:t>信息</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 xml:space="preserve">（1）名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称：</w:t>
      </w:r>
      <w:r>
        <w:rPr>
          <w:rFonts w:hint="eastAsia" w:ascii="仿宋_GB2312" w:hAnsi="仿宋_GB2312" w:eastAsia="仿宋_GB2312" w:cs="仿宋_GB2312"/>
          <w:snapToGrid w:val="0"/>
          <w:color w:val="auto"/>
          <w:kern w:val="0"/>
          <w:sz w:val="24"/>
          <w:highlight w:val="none"/>
          <w:lang w:eastAsia="zh-CN"/>
        </w:rPr>
        <w:t>湖南博众尚仁项目管理有限公司</w:t>
      </w:r>
    </w:p>
    <w:p>
      <w:pPr>
        <w:numPr>
          <w:ilvl w:val="0"/>
          <w:numId w:val="2"/>
        </w:num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地</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 xml:space="preserve"> 址：</w:t>
      </w:r>
      <w:r>
        <w:rPr>
          <w:rFonts w:hint="eastAsia" w:ascii="仿宋_GB2312" w:hAnsi="仿宋_GB2312" w:eastAsia="仿宋_GB2312" w:cs="仿宋_GB2312"/>
          <w:snapToGrid w:val="0"/>
          <w:color w:val="auto"/>
          <w:kern w:val="0"/>
          <w:sz w:val="24"/>
          <w:highlight w:val="none"/>
          <w:lang w:eastAsia="zh-CN"/>
        </w:rPr>
        <w:t>湖南省长沙市开福区伍家岭街道栖凤路486号凯乐微谷A座11楼</w:t>
      </w:r>
    </w:p>
    <w:p>
      <w:pPr>
        <w:numPr>
          <w:ilvl w:val="0"/>
          <w:numId w:val="3"/>
        </w:num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rPr>
      </w:pP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lang w:eastAsia="zh-CN"/>
        </w:rPr>
        <w:t>李杰夫</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szCs w:val="24"/>
          <w:highlight w:val="none"/>
          <w:lang w:eastAsia="zh-CN" w:bidi="ar"/>
        </w:rPr>
        <w:t>刘主</w:t>
      </w:r>
      <w:r>
        <w:rPr>
          <w:rFonts w:hint="eastAsia" w:ascii="仿宋_GB2312" w:hAnsi="仿宋_GB2312" w:eastAsia="仿宋_GB2312" w:cs="仿宋_GB2312"/>
          <w:snapToGrid w:val="0"/>
          <w:color w:val="auto"/>
          <w:kern w:val="0"/>
          <w:sz w:val="24"/>
          <w:szCs w:val="24"/>
          <w:highlight w:val="none"/>
          <w:lang w:val="en-US" w:eastAsia="zh-CN" w:bidi="ar"/>
        </w:rPr>
        <w:t xml:space="preserve"> 蒋荷颖</w:t>
      </w:r>
    </w:p>
    <w:p>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 xml:space="preserve">）电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话：</w:t>
      </w:r>
      <w:r>
        <w:rPr>
          <w:rFonts w:hint="eastAsia" w:ascii="仿宋_GB2312" w:hAnsi="仿宋_GB2312" w:eastAsia="仿宋_GB2312" w:cs="仿宋_GB2312"/>
          <w:snapToGrid w:val="0"/>
          <w:color w:val="auto"/>
          <w:kern w:val="0"/>
          <w:sz w:val="24"/>
          <w:highlight w:val="none"/>
          <w:lang w:eastAsia="zh-CN"/>
        </w:rPr>
        <w:t>0731-84116285</w:t>
      </w:r>
    </w:p>
    <w:p>
      <w:pPr>
        <w:pStyle w:val="60"/>
        <w:rPr>
          <w:rFonts w:hint="eastAsia"/>
          <w:color w:val="auto"/>
          <w:highlight w:val="none"/>
        </w:rPr>
      </w:pPr>
    </w:p>
    <w:p>
      <w:pPr>
        <w:pStyle w:val="23"/>
        <w:jc w:val="center"/>
        <w:rPr>
          <w:rFonts w:hint="eastAsia" w:ascii="仿宋_GB2312" w:hAnsi="仿宋_GB2312" w:eastAsia="仿宋_GB2312" w:cs="仿宋_GB2312"/>
          <w:b/>
          <w:snapToGrid w:val="0"/>
          <w:color w:val="auto"/>
          <w:kern w:val="0"/>
          <w:sz w:val="32"/>
          <w:szCs w:val="32"/>
          <w:highlight w:val="none"/>
        </w:rPr>
      </w:pPr>
    </w:p>
    <w:p>
      <w:pPr>
        <w:widowControl/>
        <w:ind w:firstLine="643" w:firstLineChars="200"/>
        <w:jc w:val="left"/>
        <w:rPr>
          <w:rFonts w:hint="eastAsia" w:ascii="仿宋_GB2312" w:hAnsi="仿宋_GB2312" w:eastAsia="仿宋_GB2312" w:cs="仿宋_GB2312"/>
          <w:b/>
          <w:snapToGrid w:val="0"/>
          <w:color w:val="auto"/>
          <w:kern w:val="0"/>
          <w:sz w:val="32"/>
          <w:szCs w:val="32"/>
          <w:highlight w:val="none"/>
        </w:rPr>
      </w:pPr>
      <w:r>
        <w:rPr>
          <w:rFonts w:hint="eastAsia" w:ascii="仿宋_GB2312" w:hAnsi="仿宋_GB2312" w:eastAsia="仿宋_GB2312" w:cs="仿宋_GB2312"/>
          <w:b/>
          <w:snapToGrid w:val="0"/>
          <w:color w:val="auto"/>
          <w:kern w:val="0"/>
          <w:sz w:val="32"/>
          <w:szCs w:val="32"/>
          <w:highlight w:val="none"/>
        </w:rPr>
        <w:br w:type="page"/>
      </w:r>
    </w:p>
    <w:p>
      <w:pPr>
        <w:pStyle w:val="2"/>
        <w:keepNext/>
        <w:keepLines w:val="0"/>
        <w:pageBreakBefore w:val="0"/>
        <w:widowControl w:val="0"/>
        <w:numPr>
          <w:ilvl w:val="0"/>
          <w:numId w:val="1"/>
        </w:numPr>
        <w:kinsoku/>
        <w:wordWrap/>
        <w:overflowPunct/>
        <w:topLinePunct w:val="0"/>
        <w:autoSpaceDE/>
        <w:autoSpaceDN/>
        <w:bidi w:val="0"/>
        <w:adjustRightInd/>
        <w:snapToGrid w:val="0"/>
        <w:ind w:firstLine="0" w:firstLineChars="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2" w:name="_Toc11109"/>
      <w:r>
        <w:rPr>
          <w:rFonts w:hint="eastAsia" w:ascii="仿宋_GB2312" w:hAnsi="仿宋_GB2312" w:eastAsia="仿宋_GB2312" w:cs="仿宋_GB2312"/>
          <w:snapToGrid w:val="0"/>
          <w:color w:val="auto"/>
          <w:kern w:val="0"/>
          <w:sz w:val="32"/>
          <w:szCs w:val="32"/>
          <w:highlight w:val="none"/>
        </w:rPr>
        <w:t>磋商须知</w:t>
      </w:r>
      <w:bookmarkEnd w:id="2"/>
    </w:p>
    <w:p>
      <w:pPr>
        <w:pStyle w:val="3"/>
        <w:ind w:firstLine="482" w:firstLineChars="200"/>
        <w:rPr>
          <w:rFonts w:hint="eastAsia" w:ascii="仿宋_GB2312" w:hAnsi="仿宋_GB2312" w:eastAsia="仿宋_GB2312" w:cs="仿宋_GB2312"/>
          <w:snapToGrid w:val="0"/>
          <w:color w:val="auto"/>
          <w:kern w:val="0"/>
          <w:highlight w:val="none"/>
        </w:rPr>
      </w:pPr>
      <w:bookmarkStart w:id="3" w:name="_Toc3696"/>
      <w:r>
        <w:rPr>
          <w:rFonts w:hint="eastAsia" w:ascii="仿宋_GB2312" w:hAnsi="仿宋_GB2312" w:eastAsia="仿宋_GB2312" w:cs="仿宋_GB2312"/>
          <w:snapToGrid w:val="0"/>
          <w:color w:val="auto"/>
          <w:kern w:val="0"/>
          <w:highlight w:val="none"/>
        </w:rPr>
        <w:t>磋商须知前附表</w:t>
      </w:r>
      <w:bookmarkEnd w:id="3"/>
    </w:p>
    <w:p>
      <w:pPr>
        <w:pStyle w:val="23"/>
        <w:ind w:firstLine="420" w:firstLineChars="200"/>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注： 请在方框□内划√选择，在“条款号”内限选一项。</w:t>
      </w:r>
    </w:p>
    <w:tbl>
      <w:tblPr>
        <w:tblStyle w:val="44"/>
        <w:tblW w:w="9071"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1"/>
        <w:gridCol w:w="1980"/>
        <w:gridCol w:w="583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tblHeader/>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条款号</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条款名称</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一、说明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采购项目</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val="en-US" w:eastAsia="zh-CN"/>
              </w:rPr>
              <w:t>吉首市第一中学场馆改造项目</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采购人</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采购人：</w:t>
            </w:r>
            <w:r>
              <w:rPr>
                <w:rFonts w:hint="eastAsia" w:ascii="仿宋_GB2312" w:hAnsi="仿宋_GB2312" w:eastAsia="仿宋_GB2312" w:cs="仿宋_GB2312"/>
                <w:b/>
                <w:bCs/>
                <w:snapToGrid w:val="0"/>
                <w:color w:val="auto"/>
                <w:kern w:val="0"/>
                <w:sz w:val="24"/>
                <w:highlight w:val="none"/>
                <w:lang w:eastAsia="zh-CN"/>
              </w:rPr>
              <w:t>吉首市第一中学</w:t>
            </w:r>
            <w:r>
              <w:rPr>
                <w:rFonts w:hint="eastAsia" w:ascii="仿宋_GB2312" w:hAnsi="仿宋_GB2312" w:eastAsia="仿宋_GB2312" w:cs="仿宋_GB2312"/>
                <w:b/>
                <w:bCs/>
                <w:snapToGrid w:val="0"/>
                <w:color w:val="auto"/>
                <w:kern w:val="0"/>
                <w:sz w:val="24"/>
                <w:highlight w:val="none"/>
              </w:rPr>
              <w:t xml:space="preserve"> </w:t>
            </w:r>
            <w:r>
              <w:rPr>
                <w:rFonts w:hint="eastAsia" w:ascii="仿宋_GB2312" w:hAnsi="仿宋_GB2312" w:eastAsia="仿宋_GB2312" w:cs="仿宋_GB2312"/>
                <w:snapToGrid w:val="0"/>
                <w:color w:val="auto"/>
                <w:kern w:val="0"/>
                <w:sz w:val="24"/>
                <w:highlight w:val="none"/>
              </w:rPr>
              <w:t xml:space="preserve">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地  址：</w:t>
            </w:r>
            <w:r>
              <w:rPr>
                <w:rFonts w:hint="eastAsia" w:ascii="仿宋_GB2312" w:hAnsi="仿宋_GB2312" w:eastAsia="仿宋_GB2312" w:cs="仿宋_GB2312"/>
                <w:snapToGrid w:val="0"/>
                <w:color w:val="auto"/>
                <w:kern w:val="0"/>
                <w:sz w:val="24"/>
                <w:highlight w:val="none"/>
                <w:lang w:eastAsia="zh-CN"/>
              </w:rPr>
              <w:t>湖南省吉首市双塘镇兴田村</w:t>
            </w:r>
          </w:p>
          <w:p>
            <w:pPr>
              <w:keepNext w:val="0"/>
              <w:keepLines w:val="0"/>
              <w:pageBreakBefore w:val="0"/>
              <w:widowControl w:val="0"/>
              <w:kinsoku/>
              <w:wordWrap/>
              <w:overflowPunct/>
              <w:topLinePunct w:val="0"/>
              <w:autoSpaceDE/>
              <w:autoSpaceDN/>
              <w:bidi w:val="0"/>
              <w:adjustRightInd w:val="0"/>
              <w:snapToGrid w:val="0"/>
              <w:textAlignment w:val="auto"/>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lang w:val="en-US" w:eastAsia="zh-CN"/>
              </w:rPr>
              <w:t>彭忠</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eastAsia="zh-CN"/>
              </w:rPr>
              <w:t>电  话：</w:t>
            </w:r>
            <w:r>
              <w:rPr>
                <w:rFonts w:hint="eastAsia" w:ascii="仿宋_GB2312" w:hAnsi="仿宋_GB2312" w:eastAsia="仿宋_GB2312" w:cs="仿宋_GB2312"/>
                <w:snapToGrid w:val="0"/>
                <w:color w:val="auto"/>
                <w:kern w:val="0"/>
                <w:sz w:val="24"/>
                <w:highlight w:val="none"/>
                <w:lang w:val="en-US" w:eastAsia="zh-CN"/>
              </w:rPr>
              <w:t xml:space="preserve">0743-8520034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第二章第2.2款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采购代理机构</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bCs/>
                <w:snapToGrid w:val="0"/>
                <w:color w:val="auto"/>
                <w:kern w:val="0"/>
                <w:sz w:val="24"/>
                <w:highlight w:val="none"/>
                <w:lang w:eastAsia="zh-CN"/>
              </w:rPr>
            </w:pPr>
            <w:r>
              <w:rPr>
                <w:rFonts w:hint="eastAsia" w:ascii="仿宋_GB2312" w:hAnsi="仿宋_GB2312" w:eastAsia="仿宋_GB2312" w:cs="仿宋_GB2312"/>
                <w:b/>
                <w:bCs/>
                <w:snapToGrid w:val="0"/>
                <w:color w:val="auto"/>
                <w:kern w:val="0"/>
                <w:sz w:val="24"/>
                <w:highlight w:val="none"/>
              </w:rPr>
              <w:t>采购代理机构：</w:t>
            </w:r>
            <w:r>
              <w:rPr>
                <w:rFonts w:hint="eastAsia" w:ascii="仿宋_GB2312" w:hAnsi="仿宋_GB2312" w:eastAsia="仿宋_GB2312" w:cs="仿宋_GB2312"/>
                <w:b/>
                <w:bCs/>
                <w:snapToGrid w:val="0"/>
                <w:color w:val="auto"/>
                <w:kern w:val="0"/>
                <w:sz w:val="24"/>
                <w:highlight w:val="none"/>
                <w:lang w:eastAsia="zh-CN"/>
              </w:rPr>
              <w:t>湖南博众尚仁项目管理有限公司</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lang w:eastAsia="zh-CN"/>
              </w:rPr>
              <w:t>李杰夫</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szCs w:val="24"/>
                <w:highlight w:val="none"/>
                <w:lang w:eastAsia="zh-CN" w:bidi="ar"/>
              </w:rPr>
              <w:t>刘主</w:t>
            </w:r>
            <w:r>
              <w:rPr>
                <w:rFonts w:hint="eastAsia" w:ascii="仿宋_GB2312" w:hAnsi="仿宋_GB2312" w:eastAsia="仿宋_GB2312" w:cs="仿宋_GB2312"/>
                <w:snapToGrid w:val="0"/>
                <w:color w:val="auto"/>
                <w:kern w:val="0"/>
                <w:sz w:val="24"/>
                <w:szCs w:val="24"/>
                <w:highlight w:val="none"/>
                <w:lang w:val="en-US" w:eastAsia="zh-CN" w:bidi="ar"/>
              </w:rPr>
              <w:t xml:space="preserve"> 蒋荷颖</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电话：</w:t>
            </w:r>
            <w:r>
              <w:rPr>
                <w:rFonts w:hint="eastAsia" w:ascii="仿宋_GB2312" w:hAnsi="仿宋_GB2312" w:eastAsia="仿宋_GB2312" w:cs="仿宋_GB2312"/>
                <w:snapToGrid w:val="0"/>
                <w:color w:val="auto"/>
                <w:kern w:val="0"/>
                <w:sz w:val="24"/>
                <w:highlight w:val="none"/>
                <w:lang w:eastAsia="zh-CN"/>
              </w:rPr>
              <w:t>0731-84116285</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地址：</w:t>
            </w:r>
            <w:r>
              <w:rPr>
                <w:rFonts w:hint="eastAsia" w:ascii="仿宋_GB2312" w:hAnsi="仿宋_GB2312" w:eastAsia="仿宋_GB2312" w:cs="仿宋_GB2312"/>
                <w:snapToGrid w:val="0"/>
                <w:color w:val="auto"/>
                <w:kern w:val="0"/>
                <w:sz w:val="24"/>
                <w:highlight w:val="none"/>
                <w:lang w:eastAsia="zh-CN"/>
              </w:rPr>
              <w:t>湖南省长沙市开福区伍家岭街道栖凤路486号凯乐微谷A座11楼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第二章第2.3款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供应商的邀请方式</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发布公告</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从省级以上财政部门建立的供应商库中随机抽取</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采购人和评审专家分别书面推荐的方式</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ind w:firstLine="480" w:firstLineChars="20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第二章第3.1款</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供应商</w:t>
            </w:r>
            <w:r>
              <w:rPr>
                <w:rFonts w:hint="eastAsia" w:ascii="仿宋_GB2312" w:hAnsi="仿宋_GB2312" w:eastAsia="仿宋_GB2312" w:cs="仿宋_GB2312"/>
                <w:snapToGrid w:val="0"/>
                <w:color w:val="auto"/>
                <w:kern w:val="0"/>
                <w:sz w:val="24"/>
                <w:highlight w:val="none"/>
              </w:rPr>
              <w:t>资格条件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lang w:eastAsia="zh-CN"/>
              </w:rPr>
              <w:t>供应商</w:t>
            </w:r>
            <w:r>
              <w:rPr>
                <w:rFonts w:hint="eastAsia" w:ascii="仿宋_GB2312" w:hAnsi="仿宋_GB2312" w:eastAsia="仿宋_GB2312" w:cs="仿宋_GB2312"/>
                <w:snapToGrid w:val="0"/>
                <w:color w:val="auto"/>
                <w:kern w:val="0"/>
                <w:sz w:val="24"/>
                <w:highlight w:val="none"/>
              </w:rPr>
              <w:t>的基本资格条件：</w:t>
            </w:r>
            <w:r>
              <w:rPr>
                <w:rFonts w:hint="eastAsia" w:ascii="仿宋_GB2312" w:hAnsi="仿宋_GB2312" w:eastAsia="仿宋_GB2312" w:cs="仿宋_GB2312"/>
                <w:snapToGrid w:val="0"/>
                <w:color w:val="auto"/>
                <w:kern w:val="0"/>
                <w:sz w:val="24"/>
                <w:highlight w:val="none"/>
                <w:lang w:eastAsia="zh-CN"/>
              </w:rPr>
              <w:t>供应商</w:t>
            </w:r>
            <w:r>
              <w:rPr>
                <w:rFonts w:hint="eastAsia" w:ascii="仿宋_GB2312" w:hAnsi="仿宋_GB2312" w:eastAsia="仿宋_GB2312" w:cs="仿宋_GB2312"/>
                <w:snapToGrid w:val="0"/>
                <w:color w:val="auto"/>
                <w:kern w:val="0"/>
                <w:sz w:val="24"/>
                <w:highlight w:val="none"/>
              </w:rPr>
              <w:t>必须是在中华人民共和国境内注册登记的法人、其他组织或者自然人，且应当符合《政府采购法》第二十二条第一款的规定</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即：</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xml:space="preserve">1）具有独立承担民事责任的能力；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xml:space="preserve">2）具有良好的商业信誉和健全的财务会计制度；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xml:space="preserve">3）具有履行合同所必需的设备和专业技术能力；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4）有依法缴纳税收和社会保障资金的良好记录；</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xml:space="preserve">5）参加政府采购活动前三年内，在经营活动中没有重大违法记录；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6）法律、行政法规规定的其他条件。</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落实政府采购政策需满足的资格要求：</w:t>
            </w:r>
            <w:r>
              <w:rPr>
                <w:rFonts w:hint="eastAsia" w:ascii="仿宋_GB2312" w:hAnsi="仿宋_GB2312" w:eastAsia="仿宋_GB2312" w:cs="仿宋_GB2312"/>
                <w:snapToGrid w:val="0"/>
                <w:color w:val="auto"/>
                <w:kern w:val="0"/>
                <w:sz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专门面向：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中小企业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小微企业  □监狱企业  □福利性单位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□强制分包：大型企业应将采购份额的    %分包给中小企业。</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3.</w:t>
            </w:r>
            <w:r>
              <w:rPr>
                <w:rFonts w:hint="eastAsia" w:ascii="仿宋_GB2312" w:hAnsi="仿宋_GB2312" w:eastAsia="仿宋_GB2312" w:cs="仿宋_GB2312"/>
                <w:snapToGrid w:val="0"/>
                <w:color w:val="auto"/>
                <w:kern w:val="0"/>
                <w:sz w:val="24"/>
                <w:highlight w:val="none"/>
              </w:rPr>
              <w:t>供应商特定资格条件：供应商须满足以下要求</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（1）具有建设行政主管部门颁发的市政公用工程施工或建筑工程施工总承包叁级及以上资质及以上资质以及有效期内的安全生产许可证（提供相应有效证书复印件）；</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2）拟任项目负责人须具有建设行政主管部门颁发的市政公用工程或建筑工程专业贰级及以上注册建造师执业资格、具有有效期内的B类安全生产考核合格证和无在建工程承诺书。（提供在本单位近半年以来任意连续三个月的社保证明）。</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000000" w:themeColor="text1"/>
                <w:kern w:val="0"/>
                <w:sz w:val="24"/>
                <w:highlight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24"/>
                <w:highlight w:val="none"/>
                <w:lang w:val="en-US" w:eastAsia="zh-CN"/>
                <w14:textFill>
                  <w14:solidFill>
                    <w14:schemeClr w14:val="tx1"/>
                  </w14:solidFill>
                </w14:textFill>
              </w:rPr>
              <w:t>（3）湖南省外企业须按照湖南省住房和城乡建设厅要求办理入湘备案手续(以“湖南省住房和城乡建设网”查询为准)或具有有效的入湘施工登记证。</w:t>
            </w:r>
          </w:p>
          <w:p>
            <w:pPr>
              <w:keepNext w:val="0"/>
              <w:keepLines w:val="0"/>
              <w:pageBreakBefore w:val="0"/>
              <w:widowControl w:val="0"/>
              <w:kinsoku/>
              <w:wordWrap/>
              <w:overflowPunct/>
              <w:topLinePunct w:val="0"/>
              <w:autoSpaceDE/>
              <w:autoSpaceDN/>
              <w:bidi w:val="0"/>
              <w:adjustRightInd w:val="0"/>
              <w:snapToGrid w:val="0"/>
              <w:ind w:firstLine="240" w:firstLineChars="10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投标截止时，投标人应当在响应文件中如实填写项目经理在建情况，并承诺本项目成交结果公示中明确的公示期满之前，项目经理能按时到岗履职。评标期间，响应文件中没有承诺能够按时到岗履职的，评标委员会应当否决其投标。</w:t>
            </w:r>
          </w:p>
          <w:p>
            <w:pPr>
              <w:keepNext w:val="0"/>
              <w:keepLines w:val="0"/>
              <w:pageBreakBefore w:val="0"/>
              <w:widowControl w:val="0"/>
              <w:kinsoku/>
              <w:wordWrap/>
              <w:overflowPunct/>
              <w:topLinePunct w:val="0"/>
              <w:autoSpaceDE/>
              <w:autoSpaceDN/>
              <w:bidi w:val="0"/>
              <w:adjustRightInd w:val="0"/>
              <w:snapToGrid w:val="0"/>
              <w:ind w:firstLine="240" w:firstLineChars="10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本项目成交结果公示中明确的公示期满之前，项目经理不能按时到岗履职(含不能从其他项目按期撤离)的采购人应提请相关部门依法认定为失信行为，并依规进行处罚，对于取得成交结果或中标人资格的，还应取消其成交结果或中标人资格。</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单位负责人为同一人或者存在直接控股、管理关系的不同投标人，不得参加同一合同项下的政府采购活动。</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5.</w:t>
            </w:r>
            <w:r>
              <w:rPr>
                <w:rFonts w:hint="eastAsia" w:ascii="仿宋_GB2312" w:hAnsi="仿宋_GB2312" w:eastAsia="仿宋_GB2312" w:cs="仿宋_GB2312"/>
                <w:snapToGrid w:val="0"/>
                <w:color w:val="auto"/>
                <w:kern w:val="0"/>
                <w:sz w:val="24"/>
                <w:highlight w:val="none"/>
              </w:rPr>
              <w:t>为本采购项目提供整体设计、规范编制或者项目管理、监理、检测等服务的，不得再参加此项目的其他采购活动。</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6.</w:t>
            </w:r>
            <w:r>
              <w:rPr>
                <w:rFonts w:hint="eastAsia" w:ascii="仿宋_GB2312" w:hAnsi="仿宋_GB2312" w:eastAsia="仿宋_GB2312" w:cs="仿宋_GB2312"/>
                <w:snapToGrid w:val="0"/>
                <w:color w:val="auto"/>
                <w:kern w:val="0"/>
                <w:sz w:val="24"/>
                <w:highlight w:val="none"/>
              </w:rPr>
              <w:t>列入失信被执行人、重大税收违法失信主体名单、政府采购严重违法失信行为记录名单的，拒绝其参与政府采购活动。</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7.</w:t>
            </w:r>
            <w:r>
              <w:rPr>
                <w:rFonts w:hint="eastAsia" w:ascii="仿宋_GB2312" w:hAnsi="仿宋_GB2312" w:eastAsia="仿宋_GB2312" w:cs="仿宋_GB2312"/>
                <w:snapToGrid w:val="0"/>
                <w:color w:val="auto"/>
                <w:kern w:val="0"/>
                <w:sz w:val="24"/>
                <w:highlight w:val="none"/>
              </w:rPr>
              <w:t>联合体投标。本次招标不接受联合体投标。</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备注：资格证明文件复印件须加盖供应商公章</w:t>
            </w:r>
            <w:r>
              <w:rPr>
                <w:rFonts w:hint="eastAsia" w:ascii="仿宋_GB2312" w:hAnsi="仿宋_GB2312" w:eastAsia="仿宋_GB2312" w:cs="仿宋_GB2312"/>
                <w:snapToGrid w:val="0"/>
                <w:color w:val="auto"/>
                <w:kern w:val="0"/>
                <w:sz w:val="24"/>
                <w:highlight w:val="none"/>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第二章第6.1款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联合体形式</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不接受</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第二章第6.2款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对联合体各方的要求</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第二章第7.1款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现场勘察</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采购人不组织</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采购人组织，时间：</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地点：</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第二章第8.1款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采购进口产品</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☑本项目拒绝采购进口产品</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□本项目已经财政部门审核同意购买进口产品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第二章第9.1款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政府采购强制采购：</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强制采购的节能产品；</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其他。</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否</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是，采购《节能产品政府采购品目清单》</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第</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期</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内标记★符号的节能产品。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857" w:hRule="atLeast"/>
          <w:jc w:val="center"/>
        </w:trPr>
        <w:tc>
          <w:tcPr>
            <w:tcW w:w="1261"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第二章第9.2款</w:t>
            </w:r>
          </w:p>
        </w:tc>
        <w:tc>
          <w:tcPr>
            <w:tcW w:w="198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政府采购优先采购：</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非强制采购的节能产品；</w:t>
            </w:r>
          </w:p>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2.</w:t>
            </w:r>
            <w:r>
              <w:rPr>
                <w:rFonts w:hint="eastAsia" w:ascii="仿宋_GB2312" w:hAnsi="仿宋_GB2312" w:eastAsia="仿宋_GB2312" w:cs="仿宋_GB2312"/>
                <w:snapToGrid w:val="0"/>
                <w:color w:val="auto"/>
                <w:kern w:val="0"/>
                <w:sz w:val="24"/>
                <w:highlight w:val="none"/>
              </w:rPr>
              <w:t>其他。</w:t>
            </w:r>
          </w:p>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napToGrid w:val="0"/>
                <w:color w:val="auto"/>
                <w:kern w:val="0"/>
                <w:sz w:val="24"/>
                <w:highlight w:val="none"/>
                <w:lang w:val="en-US" w:eastAsia="zh-CN"/>
              </w:rPr>
            </w:pP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否</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是，采购《节能产品政府采购品目清单》</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第</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期</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内标记★符号的节能产品。</w:t>
            </w:r>
          </w:p>
          <w:p>
            <w:pPr>
              <w:adjustRightInd w:val="0"/>
              <w:snapToGrid w:val="0"/>
              <w:rPr>
                <w:rFonts w:hint="default"/>
                <w:color w:val="auto"/>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92" w:hRule="atLeast"/>
          <w:jc w:val="center"/>
        </w:trPr>
        <w:tc>
          <w:tcPr>
            <w:tcW w:w="126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xml:space="preserve">政府采购优先采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购节能产品、环境标志产品</w:t>
            </w:r>
            <w:r>
              <w:rPr>
                <w:rFonts w:hint="eastAsia" w:ascii="仿宋_GB2312" w:hAnsi="仿宋_GB2312" w:eastAsia="仿宋_GB2312" w:cs="仿宋_GB2312"/>
                <w:b/>
                <w:bCs/>
                <w:snapToGrid w:val="0"/>
                <w:color w:val="auto"/>
                <w:kern w:val="0"/>
                <w:sz w:val="24"/>
                <w:highlight w:val="none"/>
                <w:lang w:val="en-US" w:eastAsia="zh-CN"/>
              </w:rPr>
              <w:t>（本项目不适用）</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lang w:val="en-US" w:eastAsia="zh-CN"/>
              </w:rPr>
            </w:pPr>
          </w:p>
        </w:tc>
        <w:tc>
          <w:tcPr>
            <w:tcW w:w="5830" w:type="dxa"/>
            <w:tcBorders>
              <w:bottom w:val="single" w:color="auto" w:sz="4" w:space="0"/>
            </w:tcBorders>
            <w:vAlign w:val="center"/>
          </w:tcPr>
          <w:p>
            <w:pPr>
              <w:adjustRightInd w:val="0"/>
              <w:snapToGrid w:val="0"/>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1、采购产品为《节能产品政府采购清单》内非标记★符号的：</w:t>
            </w:r>
            <w:r>
              <w:rPr>
                <w:rFonts w:hint="eastAsia" w:ascii="仿宋_GB2312" w:hAnsi="仿宋_GB2312" w:eastAsia="仿宋_GB2312" w:cs="仿宋_GB2312"/>
                <w:b w:val="0"/>
                <w:bCs w:val="0"/>
                <w:snapToGrid w:val="0"/>
                <w:color w:val="auto"/>
                <w:kern w:val="0"/>
                <w:sz w:val="24"/>
                <w:highlight w:val="none"/>
                <w:lang w:val="en-US" w:eastAsia="zh-CN"/>
              </w:rPr>
              <w:t>对于技术和价格分，应分别给予总分值 4%-8%的加分。本项目具体加分比例分别为 ：技术 4 %、价格 4 %</w:t>
            </w:r>
            <w:r>
              <w:rPr>
                <w:rFonts w:hint="eastAsia" w:ascii="仿宋_GB2312" w:hAnsi="仿宋_GB2312" w:eastAsia="仿宋_GB2312" w:cs="仿宋_GB2312"/>
                <w:b/>
                <w:bCs/>
                <w:snapToGrid w:val="0"/>
                <w:color w:val="auto"/>
                <w:kern w:val="0"/>
                <w:sz w:val="24"/>
                <w:highlight w:val="none"/>
                <w:lang w:val="en-US" w:eastAsia="zh-CN"/>
              </w:rPr>
              <w:t xml:space="preserve">。 </w:t>
            </w:r>
          </w:p>
          <w:p>
            <w:pPr>
              <w:adjustRightInd w:val="0"/>
              <w:snapToGrid w:val="0"/>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2、2、采购产品为《环境标志产品政府采购清单》内的：</w:t>
            </w:r>
            <w:r>
              <w:rPr>
                <w:rFonts w:hint="eastAsia" w:ascii="仿宋_GB2312" w:hAnsi="仿宋_GB2312" w:eastAsia="仿宋_GB2312" w:cs="仿宋_GB2312"/>
                <w:b w:val="0"/>
                <w:bCs w:val="0"/>
                <w:snapToGrid w:val="0"/>
                <w:color w:val="auto"/>
                <w:kern w:val="0"/>
                <w:sz w:val="24"/>
                <w:highlight w:val="none"/>
                <w:lang w:val="en-US" w:eastAsia="zh-CN"/>
              </w:rPr>
              <w:t>对于技术和价格分，应分别给予总分值 4%-8%的加分</w:t>
            </w:r>
            <w:r>
              <w:rPr>
                <w:rFonts w:hint="eastAsia" w:ascii="仿宋_GB2312" w:hAnsi="仿宋_GB2312" w:eastAsia="仿宋_GB2312" w:cs="仿宋_GB2312"/>
                <w:b/>
                <w:bCs/>
                <w:snapToGrid w:val="0"/>
                <w:color w:val="auto"/>
                <w:kern w:val="0"/>
                <w:sz w:val="24"/>
                <w:highlight w:val="none"/>
                <w:lang w:val="en-US" w:eastAsia="zh-CN"/>
              </w:rPr>
              <w:t xml:space="preserve">。 </w:t>
            </w:r>
          </w:p>
          <w:p>
            <w:pPr>
              <w:adjustRightInd w:val="0"/>
              <w:snapToGrid w:val="0"/>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 xml:space="preserve">本项目具体加分比例分别为 ：技术 4%、价格 4%。 </w:t>
            </w:r>
          </w:p>
          <w:p>
            <w:pPr>
              <w:adjustRightInd w:val="0"/>
              <w:snapToGrid w:val="0"/>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节能产品、环境标志产品：提供国家确定的认证机构出具的、处于有效期之内的节能产品、环境标志产品认证证书（复印件）（未按以上要求提供认证证书复印件或不是清单内的产品，评审时不予优先采购)</w:t>
            </w:r>
          </w:p>
          <w:p>
            <w:pPr>
              <w:adjustRightInd w:val="0"/>
              <w:snapToGrid w:val="0"/>
              <w:rPr>
                <w:rFonts w:hint="eastAsia" w:ascii="仿宋_GB2312" w:hAnsi="仿宋_GB2312" w:eastAsia="仿宋_GB2312" w:cs="仿宋_GB2312"/>
                <w:b/>
                <w:bCs/>
                <w:snapToGrid w:val="0"/>
                <w:color w:val="auto"/>
                <w:kern w:val="0"/>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520" w:hRule="atLeast"/>
          <w:jc w:val="center"/>
        </w:trPr>
        <w:tc>
          <w:tcPr>
            <w:tcW w:w="126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000000" w:themeColor="text1"/>
                <w:kern w:val="0"/>
                <w:sz w:val="24"/>
                <w:highlight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24"/>
                <w:highlight w:val="none"/>
                <w:lang w:val="en-US" w:eastAsia="zh-CN"/>
                <w14:textFill>
                  <w14:solidFill>
                    <w14:schemeClr w14:val="tx1"/>
                  </w14:solidFill>
                </w14:textFill>
              </w:rPr>
              <w:t xml:space="preserve">政府采购支持中 </w:t>
            </w:r>
          </w:p>
          <w:p>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000000" w:themeColor="text1"/>
                <w:kern w:val="0"/>
                <w:sz w:val="24"/>
                <w:highlight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24"/>
                <w:highlight w:val="none"/>
                <w:lang w:val="en-US" w:eastAsia="zh-CN"/>
                <w14:textFill>
                  <w14:solidFill>
                    <w14:schemeClr w14:val="tx1"/>
                  </w14:solidFill>
                </w14:textFill>
              </w:rPr>
              <w:t>小企业发展</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000000" w:themeColor="text1"/>
                <w:kern w:val="0"/>
                <w:sz w:val="24"/>
                <w:highlight w:val="none"/>
                <w:lang w:val="en-US" w:eastAsia="zh-CN"/>
                <w14:textFill>
                  <w14:solidFill>
                    <w14:schemeClr w14:val="tx1"/>
                  </w14:solidFill>
                </w14:textFill>
              </w:rPr>
            </w:pPr>
          </w:p>
        </w:tc>
        <w:tc>
          <w:tcPr>
            <w:tcW w:w="5830" w:type="dxa"/>
            <w:tcBorders>
              <w:top w:val="single" w:color="auto" w:sz="4" w:space="0"/>
              <w:bottom w:val="single" w:color="auto" w:sz="4" w:space="0"/>
            </w:tcBorders>
            <w:vAlign w:val="center"/>
          </w:tcPr>
          <w:p>
            <w:pPr>
              <w:adjustRightInd w:val="0"/>
              <w:snapToGrid w:val="0"/>
              <w:rPr>
                <w:rFonts w:hint="eastAsia" w:ascii="仿宋_GB2312" w:hAnsi="仿宋_GB2312" w:eastAsia="仿宋_GB2312" w:cs="仿宋_GB2312"/>
                <w:b w:val="0"/>
                <w:bCs w:val="0"/>
                <w:snapToGrid w:val="0"/>
                <w:color w:val="000000" w:themeColor="text1"/>
                <w:kern w:val="0"/>
                <w:sz w:val="24"/>
                <w:highlight w:val="none"/>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 xml:space="preserve">1）本项目专门面向中小企业采购，不再执行价格评审优惠的扶持政策。 </w:t>
            </w:r>
          </w:p>
          <w:p>
            <w:pPr>
              <w:adjustRightInd w:val="0"/>
              <w:snapToGrid w:val="0"/>
              <w:rPr>
                <w:rFonts w:hint="eastAsia" w:ascii="仿宋_GB2312" w:hAnsi="仿宋_GB2312" w:eastAsia="仿宋_GB2312" w:cs="仿宋_GB2312"/>
                <w:b w:val="0"/>
                <w:bCs w:val="0"/>
                <w:snapToGrid w:val="0"/>
                <w:color w:val="000000" w:themeColor="text1"/>
                <w:kern w:val="0"/>
                <w:sz w:val="24"/>
                <w:highlight w:val="none"/>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 xml:space="preserve">2）根据《中小企业划型标准规定》（工信部联企〔2011〕 </w:t>
            </w:r>
          </w:p>
          <w:p>
            <w:pPr>
              <w:adjustRightInd w:val="0"/>
              <w:snapToGrid w:val="0"/>
              <w:rPr>
                <w:rFonts w:hint="eastAsia" w:ascii="仿宋_GB2312" w:hAnsi="仿宋_GB2312" w:eastAsia="仿宋_GB2312" w:cs="仿宋_GB2312"/>
                <w:b/>
                <w:bCs/>
                <w:snapToGrid w:val="0"/>
                <w:color w:val="000000" w:themeColor="text1"/>
                <w:kern w:val="0"/>
                <w:sz w:val="24"/>
                <w:highlight w:val="none"/>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300 号）中小企业划分标准，本项目采购标的对应的中小企业划分标准所属行业为：</w:t>
            </w:r>
            <w:r>
              <w:rPr>
                <w:rFonts w:hint="eastAsia" w:ascii="仿宋_GB2312" w:hAnsi="仿宋_GB2312" w:eastAsia="仿宋_GB2312" w:cs="仿宋_GB2312"/>
                <w:b/>
                <w:bCs/>
                <w:snapToGrid w:val="0"/>
                <w:color w:val="000000" w:themeColor="text1"/>
                <w:kern w:val="0"/>
                <w:sz w:val="24"/>
                <w:highlight w:val="none"/>
                <w:lang w:val="en-US" w:eastAsia="zh-CN"/>
                <w14:textFill>
                  <w14:solidFill>
                    <w14:schemeClr w14:val="tx1"/>
                  </w14:solidFill>
                </w14:textFill>
              </w:rPr>
              <w:t>建筑业</w:t>
            </w:r>
            <w:r>
              <w:rPr>
                <w:rFonts w:hint="eastAsia" w:ascii="仿宋_GB2312" w:hAnsi="仿宋_GB2312" w:eastAsia="仿宋_GB2312" w:cs="仿宋_GB2312"/>
                <w:b w:val="0"/>
                <w:bCs w:val="0"/>
                <w:snapToGrid w:val="0"/>
                <w:color w:val="000000" w:themeColor="text1"/>
                <w:kern w:val="0"/>
                <w:sz w:val="24"/>
                <w:highlight w:val="none"/>
                <w:lang w:val="en-US" w:eastAsia="zh-CN"/>
                <w14:textFill>
                  <w14:solidFill>
                    <w14:schemeClr w14:val="tx1"/>
                  </w14:solidFill>
                </w14:textFill>
              </w:rPr>
              <w:t>；营业收入 80000万元以下或资产总额 80000 万元以下的为中小微型企业。其中，营业收入 6000 万元及以上，且资产总额 5000 万元及以上的为中型企业；营业收入 300 万元及以上，且资产总额 300 万元及以上的为小型企业；营业收入 300万元以下或资产总额 300 万元以下的为微型企业。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24" w:hRule="atLeast"/>
          <w:jc w:val="center"/>
        </w:trPr>
        <w:tc>
          <w:tcPr>
            <w:tcW w:w="126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法律、法规、规章和省级以上财政部门规定的其他内容</w:t>
            </w:r>
          </w:p>
        </w:tc>
        <w:tc>
          <w:tcPr>
            <w:tcW w:w="5830" w:type="dxa"/>
            <w:tcBorders>
              <w:top w:val="single" w:color="auto" w:sz="4" w:space="0"/>
            </w:tcBorders>
            <w:vAlign w:val="center"/>
          </w:tcPr>
          <w:p>
            <w:pPr>
              <w:adjustRightInd w:val="0"/>
              <w:snapToGrid w:val="0"/>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val="0"/>
                <w:bCs w:val="0"/>
                <w:snapToGrid w:val="0"/>
                <w:color w:val="auto"/>
                <w:kern w:val="0"/>
                <w:sz w:val="24"/>
                <w:highlight w:val="none"/>
                <w:lang w:val="en-US" w:eastAsia="zh-CN"/>
              </w:rPr>
              <w:t>按照有关法律、法规、规章和省级以上财政部门规定执行。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第二章第9.6款</w:t>
            </w:r>
          </w:p>
        </w:tc>
        <w:tc>
          <w:tcPr>
            <w:tcW w:w="1980"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政府采购支持中小企业融资</w:t>
            </w:r>
          </w:p>
        </w:tc>
        <w:tc>
          <w:tcPr>
            <w:tcW w:w="5830"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有融资需求的，可</w:t>
            </w:r>
            <w:r>
              <w:rPr>
                <w:rFonts w:hint="eastAsia" w:ascii="仿宋_GB2312" w:hAnsi="仿宋_GB2312" w:eastAsia="仿宋_GB2312" w:cs="仿宋_GB2312"/>
                <w:snapToGrid w:val="0"/>
                <w:color w:val="auto"/>
                <w:kern w:val="0"/>
                <w:sz w:val="24"/>
                <w:highlight w:val="none"/>
                <w:lang w:eastAsia="zh-CN"/>
              </w:rPr>
              <w:t>登录</w:t>
            </w:r>
            <w:r>
              <w:rPr>
                <w:rFonts w:hint="eastAsia" w:ascii="仿宋_GB2312" w:hAnsi="仿宋_GB2312" w:eastAsia="仿宋_GB2312" w:cs="仿宋_GB2312"/>
                <w:snapToGrid w:val="0"/>
                <w:color w:val="auto"/>
                <w:kern w:val="0"/>
                <w:sz w:val="24"/>
                <w:highlight w:val="none"/>
              </w:rPr>
              <w:t>中国湖南政府采购网查询。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政府采购信用担保</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有履约担保或融资担保需求的，可</w:t>
            </w:r>
            <w:r>
              <w:rPr>
                <w:rFonts w:hint="eastAsia" w:ascii="仿宋_GB2312" w:hAnsi="仿宋_GB2312" w:eastAsia="仿宋_GB2312" w:cs="仿宋_GB2312"/>
                <w:snapToGrid w:val="0"/>
                <w:color w:val="auto"/>
                <w:kern w:val="0"/>
                <w:sz w:val="24"/>
                <w:highlight w:val="none"/>
                <w:lang w:eastAsia="zh-CN"/>
              </w:rPr>
              <w:t>登录</w:t>
            </w:r>
            <w:r>
              <w:rPr>
                <w:rFonts w:hint="eastAsia" w:ascii="仿宋_GB2312" w:hAnsi="仿宋_GB2312" w:eastAsia="仿宋_GB2312" w:cs="仿宋_GB2312"/>
                <w:snapToGrid w:val="0"/>
                <w:color w:val="auto"/>
                <w:kern w:val="0"/>
                <w:sz w:val="24"/>
                <w:highlight w:val="none"/>
              </w:rPr>
              <w:t>中国湖南政府采购网查询，格式见附页1。</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二、磋商文件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第二章第10.2款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磋商文件的可能实质性变动内容</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无</w:t>
            </w:r>
            <w:r>
              <w:rPr>
                <w:rFonts w:hint="eastAsia" w:ascii="仿宋_GB2312" w:hAnsi="仿宋_GB2312" w:eastAsia="仿宋_GB2312" w:cs="仿宋_GB2312"/>
                <w:snapToGrid w:val="0"/>
                <w:color w:val="auto"/>
                <w:kern w:val="0"/>
                <w:sz w:val="24"/>
                <w:highlight w:val="none"/>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第二章第11.1款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提供磋商文件期限</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u w:val="single"/>
                <w:lang w:eastAsia="zh-CN"/>
              </w:rPr>
              <w:t>2026</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i/>
                <w:iCs/>
                <w:snapToGrid w:val="0"/>
                <w:color w:val="auto"/>
                <w:kern w:val="0"/>
                <w:sz w:val="24"/>
                <w:highlight w:val="none"/>
                <w:u w:val="single"/>
                <w:lang w:val="en-US" w:eastAsia="zh-CN"/>
              </w:rPr>
              <w:t xml:space="preserve"> </w:t>
            </w:r>
            <w:r>
              <w:rPr>
                <w:rFonts w:hint="eastAsia" w:ascii="仿宋_GB2312" w:hAnsi="仿宋_GB2312" w:eastAsia="仿宋_GB2312" w:cs="仿宋_GB2312"/>
                <w:snapToGrid w:val="0"/>
                <w:color w:val="auto"/>
                <w:kern w:val="0"/>
                <w:sz w:val="24"/>
                <w:highlight w:val="none"/>
                <w:u w:val="single"/>
                <w:lang w:val="en-US" w:eastAsia="zh-CN"/>
              </w:rPr>
              <w:t>8</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lang w:val="en-US" w:eastAsia="zh-CN"/>
              </w:rPr>
              <w:t xml:space="preserve"> 24 </w:t>
            </w:r>
            <w:r>
              <w:rPr>
                <w:rFonts w:hint="eastAsia" w:ascii="仿宋_GB2312" w:hAnsi="仿宋_GB2312" w:eastAsia="仿宋_GB2312" w:cs="仿宋_GB2312"/>
                <w:snapToGrid w:val="0"/>
                <w:color w:val="auto"/>
                <w:kern w:val="0"/>
                <w:sz w:val="24"/>
                <w:highlight w:val="none"/>
              </w:rPr>
              <w:t>日至</w:t>
            </w:r>
            <w:r>
              <w:rPr>
                <w:rFonts w:hint="eastAsia" w:ascii="仿宋_GB2312" w:hAnsi="仿宋_GB2312" w:eastAsia="仿宋_GB2312" w:cs="仿宋_GB2312"/>
                <w:snapToGrid w:val="0"/>
                <w:color w:val="auto"/>
                <w:kern w:val="0"/>
                <w:sz w:val="24"/>
                <w:highlight w:val="none"/>
                <w:u w:val="single"/>
                <w:lang w:val="en-US" w:eastAsia="zh-CN"/>
              </w:rPr>
              <w:t>2026</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snapToGrid w:val="0"/>
                <w:color w:val="auto"/>
                <w:kern w:val="0"/>
                <w:sz w:val="24"/>
                <w:highlight w:val="none"/>
                <w:u w:val="single"/>
                <w:lang w:val="en-US" w:eastAsia="zh-CN"/>
              </w:rPr>
              <w:t xml:space="preserve"> 8 </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lang w:val="en-US" w:eastAsia="zh-CN"/>
              </w:rPr>
              <w:t xml:space="preserve"> 31 </w:t>
            </w:r>
            <w:r>
              <w:rPr>
                <w:rFonts w:hint="eastAsia" w:ascii="仿宋_GB2312" w:hAnsi="仿宋_GB2312" w:eastAsia="仿宋_GB2312" w:cs="仿宋_GB2312"/>
                <w:snapToGrid w:val="0"/>
                <w:color w:val="auto"/>
                <w:kern w:val="0"/>
                <w:sz w:val="24"/>
                <w:highlight w:val="none"/>
              </w:rPr>
              <w:t>日（北京时间，法定节假日除外）</w:t>
            </w:r>
            <w:r>
              <w:rPr>
                <w:rFonts w:hint="eastAsia" w:ascii="仿宋_GB2312" w:hAnsi="仿宋_GB2312" w:eastAsia="仿宋_GB2312" w:cs="仿宋_GB2312"/>
                <w:snapToGrid w:val="0"/>
                <w:color w:val="auto"/>
                <w:kern w:val="0"/>
                <w:sz w:val="24"/>
                <w:highlight w:val="none"/>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第二章第11.2款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磋商文件</w:t>
            </w:r>
            <w:r>
              <w:rPr>
                <w:rFonts w:hint="eastAsia" w:ascii="仿宋_GB2312" w:hAnsi="仿宋_GB2312" w:eastAsia="仿宋_GB2312" w:cs="仿宋_GB2312"/>
                <w:snapToGrid w:val="0"/>
                <w:color w:val="auto"/>
                <w:kern w:val="0"/>
                <w:sz w:val="24"/>
                <w:highlight w:val="none"/>
                <w:lang w:val="en-US" w:eastAsia="zh-CN"/>
              </w:rPr>
              <w:t>的获取</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lang w:val="en-US" w:eastAsia="zh-CN"/>
              </w:rPr>
              <w:t>详见磋商公告</w:t>
            </w:r>
            <w:r>
              <w:rPr>
                <w:rFonts w:hint="eastAsia" w:ascii="仿宋_GB2312" w:hAnsi="仿宋_GB2312" w:eastAsia="仿宋_GB2312" w:cs="仿宋_GB2312"/>
                <w:snapToGrid w:val="0"/>
                <w:color w:val="auto"/>
                <w:kern w:val="0"/>
                <w:sz w:val="24"/>
                <w:highlight w:val="none"/>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第二章第12.1款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u w:val="none"/>
              </w:rPr>
            </w:pPr>
            <w:r>
              <w:rPr>
                <w:rFonts w:hint="eastAsia" w:ascii="仿宋_GB2312" w:hAnsi="仿宋_GB2312" w:eastAsia="仿宋_GB2312" w:cs="仿宋_GB2312"/>
                <w:snapToGrid w:val="0"/>
                <w:color w:val="auto"/>
                <w:kern w:val="0"/>
                <w:sz w:val="24"/>
                <w:highlight w:val="none"/>
                <w:u w:val="none"/>
              </w:rPr>
              <w:t>提交首次响应文件的截止时间</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eastAsia" w:ascii="仿宋_GB2312" w:hAnsi="仿宋_GB2312" w:eastAsia="仿宋_GB2312" w:cs="仿宋_GB2312"/>
                <w:snapToGrid w:val="0"/>
                <w:color w:val="auto"/>
                <w:kern w:val="0"/>
                <w:sz w:val="24"/>
                <w:highlight w:val="none"/>
                <w:u w:val="none"/>
              </w:rPr>
            </w:pPr>
            <w:r>
              <w:rPr>
                <w:rFonts w:hint="eastAsia" w:ascii="仿宋_GB2312" w:hAnsi="仿宋_GB2312" w:eastAsia="仿宋_GB2312" w:cs="仿宋_GB2312"/>
                <w:snapToGrid w:val="0"/>
                <w:color w:val="auto"/>
                <w:kern w:val="0"/>
                <w:sz w:val="24"/>
                <w:highlight w:val="none"/>
                <w:lang w:eastAsia="zh-CN"/>
              </w:rPr>
              <w:t>2026年</w:t>
            </w:r>
            <w:r>
              <w:rPr>
                <w:rFonts w:hint="eastAsia" w:ascii="仿宋_GB2312" w:hAnsi="仿宋_GB2312" w:eastAsia="仿宋_GB2312" w:cs="仿宋_GB2312"/>
                <w:snapToGrid w:val="0"/>
                <w:color w:val="auto"/>
                <w:kern w:val="0"/>
                <w:sz w:val="24"/>
                <w:highlight w:val="none"/>
                <w:lang w:val="en-US" w:eastAsia="zh-CN"/>
              </w:rPr>
              <w:t>09</w:t>
            </w:r>
            <w:r>
              <w:rPr>
                <w:rFonts w:hint="eastAsia" w:ascii="仿宋_GB2312" w:hAnsi="仿宋_GB2312" w:eastAsia="仿宋_GB2312" w:cs="仿宋_GB2312"/>
                <w:snapToGrid w:val="0"/>
                <w:color w:val="auto"/>
                <w:kern w:val="0"/>
                <w:sz w:val="24"/>
                <w:highlight w:val="none"/>
                <w:lang w:eastAsia="zh-CN"/>
              </w:rPr>
              <w:t>月</w:t>
            </w:r>
            <w:r>
              <w:rPr>
                <w:rFonts w:hint="eastAsia" w:ascii="仿宋_GB2312" w:hAnsi="仿宋_GB2312" w:eastAsia="仿宋_GB2312" w:cs="仿宋_GB2312"/>
                <w:snapToGrid w:val="0"/>
                <w:color w:val="auto"/>
                <w:kern w:val="0"/>
                <w:sz w:val="24"/>
                <w:highlight w:val="none"/>
                <w:lang w:val="en-US" w:eastAsia="zh-CN"/>
              </w:rPr>
              <w:t>04</w:t>
            </w:r>
            <w:r>
              <w:rPr>
                <w:rFonts w:hint="eastAsia" w:ascii="仿宋_GB2312" w:hAnsi="仿宋_GB2312" w:eastAsia="仿宋_GB2312" w:cs="仿宋_GB2312"/>
                <w:snapToGrid w:val="0"/>
                <w:color w:val="auto"/>
                <w:kern w:val="0"/>
                <w:sz w:val="24"/>
                <w:highlight w:val="none"/>
                <w:lang w:eastAsia="zh-CN"/>
              </w:rPr>
              <w:t>日</w:t>
            </w:r>
            <w:r>
              <w:rPr>
                <w:rFonts w:hint="eastAsia" w:ascii="仿宋_GB2312" w:hAnsi="仿宋_GB2312" w:eastAsia="仿宋_GB2312" w:cs="仿宋_GB2312"/>
                <w:snapToGrid w:val="0"/>
                <w:color w:val="auto"/>
                <w:kern w:val="0"/>
                <w:sz w:val="24"/>
                <w:highlight w:val="none"/>
                <w:lang w:val="en-US" w:eastAsia="zh-CN"/>
              </w:rPr>
              <w:t>09</w:t>
            </w:r>
            <w:r>
              <w:rPr>
                <w:rFonts w:hint="eastAsia" w:ascii="仿宋_GB2312" w:hAnsi="仿宋_GB2312" w:eastAsia="仿宋_GB2312" w:cs="仿宋_GB2312"/>
                <w:snapToGrid w:val="0"/>
                <w:color w:val="auto"/>
                <w:kern w:val="0"/>
                <w:sz w:val="24"/>
                <w:highlight w:val="none"/>
                <w:lang w:eastAsia="zh-CN"/>
              </w:rPr>
              <w:t>时</w:t>
            </w:r>
            <w:r>
              <w:rPr>
                <w:rFonts w:hint="eastAsia" w:ascii="仿宋_GB2312" w:hAnsi="仿宋_GB2312" w:eastAsia="仿宋_GB2312" w:cs="仿宋_GB2312"/>
                <w:snapToGrid w:val="0"/>
                <w:color w:val="auto"/>
                <w:kern w:val="0"/>
                <w:sz w:val="24"/>
                <w:highlight w:val="none"/>
                <w:lang w:val="en-US" w:eastAsia="zh-CN"/>
              </w:rPr>
              <w:t>00分</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u w:val="none"/>
              </w:rPr>
              <w:t>北京时间</w:t>
            </w:r>
            <w:r>
              <w:rPr>
                <w:rFonts w:hint="eastAsia" w:ascii="仿宋_GB2312" w:hAnsi="仿宋_GB2312" w:eastAsia="仿宋_GB2312" w:cs="仿宋_GB2312"/>
                <w:snapToGrid w:val="0"/>
                <w:color w:val="auto"/>
                <w:kern w:val="0"/>
                <w:sz w:val="24"/>
                <w:highlight w:val="none"/>
                <w:u w:val="none"/>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三、响应文件的编写</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第二章第16.4款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采购项目预算</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采购项目预算</w:t>
            </w:r>
            <w:r>
              <w:rPr>
                <w:rFonts w:hint="eastAsia" w:ascii="仿宋_GB2312" w:hAnsi="仿宋_GB2312" w:eastAsia="仿宋_GB2312" w:cs="仿宋_GB2312"/>
                <w:snapToGrid w:val="0"/>
                <w:color w:val="auto"/>
                <w:kern w:val="0"/>
                <w:sz w:val="24"/>
                <w:highlight w:val="none"/>
                <w:lang w:val="en-US" w:eastAsia="zh-CN"/>
              </w:rPr>
              <w:t>： 3523791.81 元，其中</w:t>
            </w:r>
            <w:r>
              <w:rPr>
                <w:rFonts w:hint="eastAsia" w:ascii="仿宋_GB2312" w:hAnsi="仿宋_GB2312" w:eastAsia="仿宋_GB2312" w:cs="仿宋_GB2312"/>
                <w:snapToGrid w:val="0"/>
                <w:color w:val="auto"/>
                <w:kern w:val="0"/>
                <w:sz w:val="24"/>
                <w:highlight w:val="none"/>
                <w:lang w:eastAsia="zh-CN"/>
              </w:rPr>
              <w:t>暂列金额：</w:t>
            </w:r>
            <w:r>
              <w:rPr>
                <w:rFonts w:hint="eastAsia" w:ascii="仿宋_GB2312" w:hAnsi="仿宋_GB2312" w:eastAsia="仿宋_GB2312" w:cs="仿宋_GB2312"/>
                <w:snapToGrid w:val="0"/>
                <w:color w:val="auto"/>
                <w:kern w:val="0"/>
                <w:sz w:val="24"/>
                <w:highlight w:val="none"/>
                <w:lang w:val="en-US" w:eastAsia="zh-CN"/>
              </w:rPr>
              <w:t>284580.13</w:t>
            </w:r>
            <w:r>
              <w:rPr>
                <w:rFonts w:hint="eastAsia" w:ascii="仿宋_GB2312" w:hAnsi="仿宋_GB2312" w:eastAsia="仿宋_GB2312" w:cs="仿宋_GB2312"/>
                <w:snapToGrid w:val="0"/>
                <w:color w:val="auto"/>
                <w:kern w:val="0"/>
                <w:sz w:val="24"/>
                <w:highlight w:val="none"/>
                <w:lang w:eastAsia="zh-CN"/>
              </w:rPr>
              <w:t xml:space="preserve"> 元。（响应</w:t>
            </w:r>
            <w:r>
              <w:rPr>
                <w:rFonts w:hint="eastAsia" w:ascii="仿宋_GB2312" w:hAnsi="仿宋_GB2312" w:eastAsia="仿宋_GB2312" w:cs="仿宋_GB2312"/>
                <w:snapToGrid w:val="0"/>
                <w:color w:val="auto"/>
                <w:kern w:val="0"/>
                <w:sz w:val="24"/>
                <w:highlight w:val="none"/>
                <w:lang w:val="en-US" w:eastAsia="zh-CN"/>
              </w:rPr>
              <w:t>供应商</w:t>
            </w:r>
            <w:r>
              <w:rPr>
                <w:rFonts w:hint="eastAsia" w:ascii="仿宋_GB2312" w:hAnsi="仿宋_GB2312" w:eastAsia="仿宋_GB2312" w:cs="仿宋_GB2312"/>
                <w:snapToGrid w:val="0"/>
                <w:color w:val="auto"/>
                <w:kern w:val="0"/>
                <w:sz w:val="24"/>
                <w:highlight w:val="none"/>
                <w:lang w:eastAsia="zh-CN"/>
              </w:rPr>
              <w:t>应有明确报价，无报价、报价超过预算（</w:t>
            </w:r>
            <w:r>
              <w:rPr>
                <w:rFonts w:hint="eastAsia" w:ascii="仿宋_GB2312" w:hAnsi="仿宋_GB2312" w:eastAsia="仿宋_GB2312" w:cs="仿宋_GB2312"/>
                <w:snapToGrid w:val="0"/>
                <w:color w:val="auto"/>
                <w:kern w:val="0"/>
                <w:sz w:val="24"/>
                <w:highlight w:val="none"/>
                <w:lang w:val="en-US" w:eastAsia="zh-CN"/>
              </w:rPr>
              <w:t>最高限价</w:t>
            </w:r>
            <w:r>
              <w:rPr>
                <w:rFonts w:hint="eastAsia" w:ascii="仿宋_GB2312" w:hAnsi="仿宋_GB2312" w:eastAsia="仿宋_GB2312" w:cs="仿宋_GB2312"/>
                <w:snapToGrid w:val="0"/>
                <w:color w:val="auto"/>
                <w:kern w:val="0"/>
                <w:sz w:val="24"/>
                <w:highlight w:val="none"/>
                <w:lang w:eastAsia="zh-CN"/>
              </w:rPr>
              <w:t>）以及报价中包含的暂估价或暂列金额与磋商文件中给定的不一致的，响应无效）</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第二章第17.3款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非制造商的证明文件</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不要求提供</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要求提供：（证明文件复印件须加盖供应商单位公章，否则视为无效响应。）</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经销</w:t>
            </w:r>
            <w:r>
              <w:rPr>
                <w:rFonts w:hint="eastAsia" w:ascii="仿宋_GB2312" w:hAnsi="仿宋_GB2312" w:eastAsia="仿宋_GB2312" w:cs="仿宋_GB2312"/>
                <w:snapToGrid w:val="0"/>
                <w:color w:val="auto"/>
                <w:kern w:val="0"/>
                <w:sz w:val="24"/>
                <w:highlight w:val="none"/>
                <w:lang w:eastAsia="zh-CN"/>
              </w:rPr>
              <w:t>或</w:t>
            </w:r>
            <w:r>
              <w:rPr>
                <w:rFonts w:hint="eastAsia" w:ascii="仿宋_GB2312" w:hAnsi="仿宋_GB2312" w:eastAsia="仿宋_GB2312" w:cs="仿宋_GB2312"/>
                <w:snapToGrid w:val="0"/>
                <w:color w:val="auto"/>
                <w:kern w:val="0"/>
                <w:sz w:val="24"/>
                <w:highlight w:val="none"/>
              </w:rPr>
              <w:t>代理投标货物</w:t>
            </w:r>
            <w:r>
              <w:rPr>
                <w:rFonts w:hint="eastAsia" w:ascii="仿宋_GB2312" w:hAnsi="仿宋_GB2312" w:eastAsia="仿宋_GB2312" w:cs="仿宋_GB2312"/>
                <w:snapToGrid w:val="0"/>
                <w:color w:val="auto"/>
                <w:kern w:val="0"/>
                <w:sz w:val="24"/>
                <w:highlight w:val="none"/>
                <w:lang w:eastAsia="zh-CN"/>
              </w:rPr>
              <w:t>或</w:t>
            </w:r>
            <w:r>
              <w:rPr>
                <w:rFonts w:hint="eastAsia" w:ascii="仿宋_GB2312" w:hAnsi="仿宋_GB2312" w:eastAsia="仿宋_GB2312" w:cs="仿宋_GB2312"/>
                <w:snapToGrid w:val="0"/>
                <w:color w:val="auto"/>
                <w:kern w:val="0"/>
                <w:sz w:val="24"/>
                <w:highlight w:val="none"/>
              </w:rPr>
              <w:t>为投标货物提供售后服务的证明文件。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第二章第18.1款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样品提供及样品提交的时间、地点</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不要求提供</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要求提供，提交的样品</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u w:val="single"/>
                <w:lang w:eastAsia="zh-CN"/>
              </w:rPr>
              <w:t>，</w:t>
            </w:r>
            <w:r>
              <w:rPr>
                <w:rFonts w:hint="eastAsia" w:ascii="仿宋_GB2312" w:hAnsi="仿宋_GB2312" w:eastAsia="仿宋_GB2312" w:cs="仿宋_GB2312"/>
                <w:snapToGrid w:val="0"/>
                <w:color w:val="auto"/>
                <w:kern w:val="0"/>
                <w:sz w:val="24"/>
                <w:highlight w:val="none"/>
              </w:rPr>
              <w:t>提交的时间：</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 xml:space="preserve"> 、地点</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第二章第19.1款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磋商保证金</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不要求提供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第二章第20.1款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响应文件有效期</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90</w:t>
            </w:r>
            <w:r>
              <w:rPr>
                <w:rFonts w:hint="eastAsia" w:ascii="仿宋_GB2312" w:hAnsi="仿宋_GB2312" w:eastAsia="仿宋_GB2312" w:cs="仿宋_GB2312"/>
                <w:snapToGrid w:val="0"/>
                <w:color w:val="auto"/>
                <w:kern w:val="0"/>
                <w:sz w:val="24"/>
                <w:highlight w:val="none"/>
              </w:rPr>
              <w:t>日（日历日）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第二章第21.1款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响应文件份数</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供应商登录《湘西公共资源交易网》上传电子响应文件一份。（成交供应商成交后需提供 2 份纸质版响应文件，纸质响应文件应当与导入电子开标评标系统的电子响应文件内容一致）</w:t>
            </w:r>
            <w:r>
              <w:rPr>
                <w:rFonts w:hint="eastAsia" w:ascii="仿宋_GB2312" w:hAnsi="仿宋_GB2312" w:eastAsia="仿宋_GB2312" w:cs="仿宋_GB2312"/>
                <w:snapToGrid w:val="0"/>
                <w:color w:val="auto"/>
                <w:kern w:val="0"/>
                <w:sz w:val="24"/>
                <w:highlight w:val="none"/>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四、响应文件的递交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第二章第24.1款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 xml:space="preserve">电子响应文件的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提交</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 xml:space="preserve">1.电子响应文件通过数字证书进行加密并签章。未按要求加密和数字证书认证的响应文件，交易平台将无法接受,采购代理机构不予受理。未在《湘西公共资源交易网》下载磋商文件的，将不能上传电子响应文件。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 xml:space="preserve">2.供应商应在磋商文件规定的响应截止时间前将电子响应文件上传到交易平台的对应项目（响应文件上传具体操作可查看操作手册《政府集中采购投标文件制作操作指南》，有疑问请联系 0743-8523902）。逾期不予受理。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 xml:space="preserve">说明：本项目为电子交易系统运行项目，参与磋商均需使用 CA数字证书登录进行操作。供应商参与本项目磋商事宜，须办理至少以下数字证书：①办理供应商数字证书（含电子签章）；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②被授权委托人数字证书（法人代表递交响应文件须办理法人代表数字证书）。上传响应文件时，必须使用对应供应商的 CA数字证书上传响应文件及响应文件制作。</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 xml:space="preserve">解密电子响应文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件时限及方式</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lang w:val="en-US" w:eastAsia="zh-CN"/>
              </w:rPr>
            </w:pPr>
            <w:r>
              <w:rPr>
                <w:rFonts w:hint="eastAsia" w:ascii="仿宋_GB2312" w:hAnsi="仿宋_GB2312" w:eastAsia="仿宋_GB2312" w:cs="仿宋_GB2312"/>
                <w:bCs/>
                <w:snapToGrid w:val="0"/>
                <w:color w:val="auto"/>
                <w:kern w:val="0"/>
                <w:sz w:val="24"/>
                <w:highlight w:val="none"/>
                <w:lang w:val="en-US" w:eastAsia="zh-CN"/>
              </w:rPr>
              <w:t>投标供应商使用加密响应文件的 CA 数字证书在投标截止时间起 30 分钟内完成响应文件的解密，响应文件在解密时限内未解密或解密失败，视为撤销其响应文件，开标继续进行。（如因交易平台出现系统故障，导致解密无法完成的，由采购代理机构酌情延长解密时间。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五、响应文件的磋商与评审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28.1 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无效响应</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lang w:val="en-US" w:eastAsia="zh-CN"/>
              </w:rPr>
              <w:t>1</w:t>
            </w: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rPr>
              <w:t>供应商不具备本章第 3.1 款规定的供应商资格条件要求；</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lang w:val="en-US" w:eastAsia="zh-CN"/>
              </w:rPr>
              <w:t>2</w:t>
            </w: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rPr>
              <w:t>联合体不符合本章第 3.2 款规定的；</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lang w:val="en-US" w:eastAsia="zh-CN"/>
              </w:rPr>
              <w:t>3</w:t>
            </w: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rPr>
              <w:t>响应文件未按照磋商文件要求签署、盖章的；</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lang w:val="en-US" w:eastAsia="zh-CN"/>
              </w:rPr>
              <w:t>4</w:t>
            </w: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rPr>
              <w:t>报价超过采购项目预算的；</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lang w:val="en-US" w:eastAsia="zh-CN"/>
              </w:rPr>
              <w:t>5</w:t>
            </w: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rPr>
              <w:t>响应文件有效期不足的；</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lang w:val="en-US" w:eastAsia="zh-CN"/>
              </w:rPr>
            </w:pP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lang w:val="en-US" w:eastAsia="zh-CN"/>
              </w:rPr>
              <w:t>6</w:t>
            </w:r>
            <w:r>
              <w:rPr>
                <w:rFonts w:hint="eastAsia" w:ascii="仿宋_GB2312" w:hAnsi="仿宋_GB2312" w:eastAsia="仿宋_GB2312" w:cs="仿宋_GB2312"/>
                <w:bCs/>
                <w:snapToGrid w:val="0"/>
                <w:color w:val="auto"/>
                <w:kern w:val="0"/>
                <w:sz w:val="24"/>
                <w:highlight w:val="none"/>
                <w:lang w:eastAsia="zh-CN"/>
              </w:rPr>
              <w:t>）</w:t>
            </w:r>
            <w:r>
              <w:rPr>
                <w:rFonts w:hint="eastAsia" w:ascii="仿宋_GB2312" w:hAnsi="仿宋_GB2312" w:eastAsia="仿宋_GB2312" w:cs="仿宋_GB2312"/>
                <w:bCs/>
                <w:snapToGrid w:val="0"/>
                <w:color w:val="auto"/>
                <w:kern w:val="0"/>
                <w:sz w:val="24"/>
                <w:highlight w:val="none"/>
              </w:rPr>
              <w:t>响应文件不符合法律、规章、规范性文件和磋商文件规定及要求的</w:t>
            </w:r>
            <w:r>
              <w:rPr>
                <w:rFonts w:hint="eastAsia" w:ascii="仿宋_GB2312" w:hAnsi="仿宋_GB2312" w:eastAsia="仿宋_GB2312" w:cs="仿宋_GB2312"/>
                <w:bCs/>
                <w:snapToGrid w:val="0"/>
                <w:color w:val="auto"/>
                <w:kern w:val="0"/>
                <w:sz w:val="24"/>
                <w:highlight w:val="none"/>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第二章第31.2款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评审因素和</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标准</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lang w:eastAsia="zh-CN"/>
              </w:rPr>
            </w:pPr>
            <w:r>
              <w:rPr>
                <w:rFonts w:hint="eastAsia" w:ascii="仿宋_GB2312" w:hAnsi="仿宋_GB2312" w:eastAsia="仿宋_GB2312" w:cs="仿宋_GB2312"/>
                <w:bCs/>
                <w:snapToGrid w:val="0"/>
                <w:color w:val="auto"/>
                <w:kern w:val="0"/>
                <w:sz w:val="24"/>
                <w:highlight w:val="none"/>
              </w:rPr>
              <w:t>见附页</w:t>
            </w:r>
            <w:r>
              <w:rPr>
                <w:rFonts w:hint="eastAsia" w:ascii="仿宋_GB2312" w:hAnsi="仿宋_GB2312" w:eastAsia="仿宋_GB2312" w:cs="仿宋_GB2312"/>
                <w:bCs/>
                <w:snapToGrid w:val="0"/>
                <w:color w:val="auto"/>
                <w:kern w:val="0"/>
                <w:sz w:val="24"/>
                <w:highlight w:val="none"/>
                <w:lang w:val="en-US" w:eastAsia="zh-CN"/>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六、成交结果信息公布与授予合同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第二章第37.1款、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财政部门指定的媒体</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湖南省政府采购网</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u w:val="single"/>
              </w:rPr>
              <w:t>http://www.ccgp-hunan.gov.cn/</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信息发布媒体</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u w:val="single"/>
              </w:rPr>
              <w:t>《中国湖南政府采购网》</w:t>
            </w:r>
            <w:r>
              <w:rPr>
                <w:rFonts w:hint="eastAsia" w:ascii="仿宋_GB2312" w:hAnsi="仿宋_GB2312" w:eastAsia="仿宋_GB2312" w:cs="仿宋_GB2312"/>
                <w:snapToGrid w:val="0"/>
                <w:color w:val="auto"/>
                <w:kern w:val="0"/>
                <w:sz w:val="24"/>
                <w:highlight w:val="none"/>
                <w:u w:val="single"/>
              </w:rPr>
              <w:fldChar w:fldCharType="begin"/>
            </w:r>
            <w:r>
              <w:rPr>
                <w:rFonts w:hint="eastAsia" w:ascii="仿宋_GB2312" w:hAnsi="仿宋_GB2312" w:eastAsia="仿宋_GB2312" w:cs="仿宋_GB2312"/>
                <w:snapToGrid w:val="0"/>
                <w:color w:val="auto"/>
                <w:kern w:val="0"/>
                <w:sz w:val="24"/>
                <w:highlight w:val="none"/>
                <w:u w:val="single"/>
              </w:rPr>
              <w:instrText xml:space="preserve"> HYPERLINK "http://www.ccgp-hunan.gov.cn/" \h </w:instrText>
            </w:r>
            <w:r>
              <w:rPr>
                <w:rFonts w:hint="eastAsia" w:ascii="仿宋_GB2312" w:hAnsi="仿宋_GB2312" w:eastAsia="仿宋_GB2312" w:cs="仿宋_GB2312"/>
                <w:snapToGrid w:val="0"/>
                <w:color w:val="auto"/>
                <w:kern w:val="0"/>
                <w:sz w:val="24"/>
                <w:highlight w:val="none"/>
                <w:u w:val="single"/>
              </w:rPr>
              <w:fldChar w:fldCharType="separate"/>
            </w:r>
            <w:r>
              <w:rPr>
                <w:rFonts w:hint="eastAsia" w:ascii="仿宋_GB2312" w:hAnsi="仿宋_GB2312" w:eastAsia="仿宋_GB2312" w:cs="仿宋_GB2312"/>
                <w:snapToGrid w:val="0"/>
                <w:color w:val="auto"/>
                <w:kern w:val="0"/>
                <w:sz w:val="24"/>
                <w:highlight w:val="none"/>
                <w:u w:val="single"/>
              </w:rPr>
              <w:t>http://www.ccgp-hunan.gov.cn</w:t>
            </w:r>
            <w:r>
              <w:rPr>
                <w:rFonts w:hint="eastAsia" w:ascii="仿宋_GB2312" w:hAnsi="仿宋_GB2312" w:eastAsia="仿宋_GB2312" w:cs="仿宋_GB2312"/>
                <w:snapToGrid w:val="0"/>
                <w:color w:val="auto"/>
                <w:kern w:val="0"/>
                <w:sz w:val="24"/>
                <w:highlight w:val="none"/>
                <w:u w:val="single"/>
              </w:rPr>
              <w:fldChar w:fldCharType="end"/>
            </w:r>
            <w:r>
              <w:rPr>
                <w:rFonts w:hint="eastAsia" w:ascii="仿宋_GB2312" w:hAnsi="仿宋_GB2312" w:eastAsia="仿宋_GB2312" w:cs="仿宋_GB2312"/>
                <w:snapToGrid w:val="0"/>
                <w:color w:val="auto"/>
                <w:kern w:val="0"/>
                <w:sz w:val="24"/>
                <w:highlight w:val="none"/>
                <w:u w:val="single"/>
              </w:rPr>
              <w:t>:</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u w:val="single"/>
              </w:rPr>
            </w:pP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u w:val="single"/>
              </w:rPr>
              <w:t>《湘西公共资源交易网》</w:t>
            </w:r>
            <w:r>
              <w:rPr>
                <w:rFonts w:hint="eastAsia" w:ascii="仿宋_GB2312" w:hAnsi="仿宋_GB2312" w:eastAsia="仿宋_GB2312" w:cs="仿宋_GB2312"/>
                <w:snapToGrid w:val="0"/>
                <w:color w:val="auto"/>
                <w:kern w:val="0"/>
                <w:sz w:val="24"/>
                <w:highlight w:val="none"/>
                <w:u w:val="single"/>
              </w:rPr>
              <w:fldChar w:fldCharType="begin"/>
            </w:r>
            <w:r>
              <w:rPr>
                <w:rFonts w:hint="eastAsia" w:ascii="仿宋_GB2312" w:hAnsi="仿宋_GB2312" w:eastAsia="仿宋_GB2312" w:cs="仿宋_GB2312"/>
                <w:snapToGrid w:val="0"/>
                <w:color w:val="auto"/>
                <w:kern w:val="0"/>
                <w:sz w:val="24"/>
                <w:highlight w:val="none"/>
                <w:u w:val="single"/>
              </w:rPr>
              <w:instrText xml:space="preserve"> HYPERLINK "http://ggzy/" \h </w:instrText>
            </w:r>
            <w:r>
              <w:rPr>
                <w:rFonts w:hint="eastAsia" w:ascii="仿宋_GB2312" w:hAnsi="仿宋_GB2312" w:eastAsia="仿宋_GB2312" w:cs="仿宋_GB2312"/>
                <w:snapToGrid w:val="0"/>
                <w:color w:val="auto"/>
                <w:kern w:val="0"/>
                <w:sz w:val="24"/>
                <w:highlight w:val="none"/>
                <w:u w:val="single"/>
              </w:rPr>
              <w:fldChar w:fldCharType="separate"/>
            </w:r>
            <w:r>
              <w:rPr>
                <w:rFonts w:hint="eastAsia" w:ascii="仿宋_GB2312" w:hAnsi="仿宋_GB2312" w:eastAsia="仿宋_GB2312" w:cs="仿宋_GB2312"/>
                <w:snapToGrid w:val="0"/>
                <w:color w:val="auto"/>
                <w:kern w:val="0"/>
                <w:sz w:val="24"/>
                <w:highlight w:val="none"/>
                <w:u w:val="single"/>
              </w:rPr>
              <w:t xml:space="preserve">http://ggzy </w:t>
            </w:r>
            <w:r>
              <w:rPr>
                <w:rFonts w:hint="eastAsia" w:ascii="仿宋_GB2312" w:hAnsi="仿宋_GB2312" w:eastAsia="仿宋_GB2312" w:cs="仿宋_GB2312"/>
                <w:snapToGrid w:val="0"/>
                <w:color w:val="auto"/>
                <w:kern w:val="0"/>
                <w:sz w:val="24"/>
                <w:highlight w:val="none"/>
                <w:u w:val="single"/>
              </w:rPr>
              <w:fldChar w:fldCharType="end"/>
            </w:r>
            <w:r>
              <w:rPr>
                <w:rFonts w:hint="eastAsia" w:ascii="仿宋_GB2312" w:hAnsi="仿宋_GB2312" w:eastAsia="仿宋_GB2312" w:cs="仿宋_GB2312"/>
                <w:snapToGrid w:val="0"/>
                <w:color w:val="auto"/>
                <w:kern w:val="0"/>
                <w:sz w:val="24"/>
                <w:highlight w:val="none"/>
                <w:u w:val="single"/>
              </w:rPr>
              <w:t>jy.xxz.gov.cn</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39.3 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履约担保</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u w:val="single"/>
              </w:rPr>
            </w:pPr>
            <w:r>
              <w:rPr>
                <w:rFonts w:hint="eastAsia"/>
                <w:spacing w:val="-4"/>
                <w:sz w:val="24"/>
                <w:lang w:eastAsia="zh-CN"/>
              </w:rPr>
              <w:t>□</w:t>
            </w:r>
            <w:r>
              <w:rPr>
                <w:rFonts w:hint="eastAsia"/>
                <w:spacing w:val="-4"/>
                <w:sz w:val="24"/>
                <w:lang w:val="en-US" w:eastAsia="zh-CN"/>
              </w:rPr>
              <w:t xml:space="preserve"> </w:t>
            </w:r>
            <w:r>
              <w:rPr>
                <w:rFonts w:hint="eastAsia" w:ascii="仿宋_GB2312" w:hAnsi="仿宋_GB2312" w:eastAsia="仿宋_GB2312" w:cs="仿宋_GB2312"/>
                <w:snapToGrid w:val="0"/>
                <w:color w:val="auto"/>
                <w:kern w:val="0"/>
                <w:sz w:val="24"/>
                <w:highlight w:val="none"/>
                <w:u w:val="single"/>
              </w:rPr>
              <w:t>不要求提供</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u w:val="single"/>
              </w:rPr>
            </w:pPr>
            <w:r>
              <w:rPr>
                <w:rFonts w:hint="eastAsia"/>
                <w:spacing w:val="-4"/>
                <w:sz w:val="24"/>
                <w:lang w:eastAsia="zh-CN"/>
              </w:rPr>
              <w:t>☑</w:t>
            </w:r>
            <w:r>
              <w:rPr>
                <w:rFonts w:hint="eastAsia"/>
                <w:spacing w:val="-4"/>
                <w:sz w:val="24"/>
                <w:lang w:val="en-US" w:eastAsia="zh-CN"/>
              </w:rPr>
              <w:t xml:space="preserve"> </w:t>
            </w:r>
            <w:r>
              <w:rPr>
                <w:rFonts w:hint="eastAsia" w:ascii="仿宋_GB2312" w:hAnsi="仿宋_GB2312" w:eastAsia="仿宋_GB2312" w:cs="仿宋_GB2312"/>
                <w:snapToGrid w:val="0"/>
                <w:color w:val="auto"/>
                <w:kern w:val="0"/>
                <w:sz w:val="24"/>
                <w:highlight w:val="none"/>
                <w:u w:val="single"/>
              </w:rPr>
              <w:t>要求提供，履约担保的金额为：</w:t>
            </w:r>
            <w:r>
              <w:rPr>
                <w:rFonts w:hint="eastAsia" w:ascii="仿宋_GB2312" w:hAnsi="仿宋_GB2312" w:eastAsia="仿宋_GB2312" w:cs="仿宋_GB2312"/>
                <w:snapToGrid w:val="0"/>
                <w:color w:val="auto"/>
                <w:kern w:val="0"/>
                <w:sz w:val="24"/>
                <w:highlight w:val="none"/>
                <w:u w:val="single"/>
                <w:lang w:val="en-US" w:eastAsia="zh-CN"/>
              </w:rPr>
              <w:t>中标金额的 10 %</w:t>
            </w:r>
            <w:r>
              <w:rPr>
                <w:rFonts w:hint="eastAsia" w:ascii="仿宋_GB2312" w:hAnsi="仿宋_GB2312" w:eastAsia="仿宋_GB2312" w:cs="仿宋_GB2312"/>
                <w:snapToGrid w:val="0"/>
                <w:color w:val="auto"/>
                <w:kern w:val="0"/>
                <w:sz w:val="24"/>
                <w:highlight w:val="none"/>
                <w:u w:val="single"/>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七、其他规定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第二章第41.1款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bookmarkStart w:id="4" w:name="_Hlk71146597"/>
            <w:r>
              <w:rPr>
                <w:rFonts w:hint="eastAsia" w:ascii="仿宋_GB2312" w:hAnsi="仿宋_GB2312" w:eastAsia="仿宋_GB2312" w:cs="仿宋_GB2312"/>
                <w:snapToGrid w:val="0"/>
                <w:color w:val="auto"/>
                <w:kern w:val="0"/>
                <w:sz w:val="24"/>
                <w:highlight w:val="none"/>
              </w:rPr>
              <w:t>采购代理</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服务费</w:t>
            </w:r>
            <w:bookmarkEnd w:id="4"/>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left"/>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u w:val="none"/>
              </w:rPr>
              <w:t>招标代理服务费参照计价格［2015］6号《湖南省招标代理服务收费标准》收取</w:t>
            </w:r>
            <w:r>
              <w:rPr>
                <w:rFonts w:hint="eastAsia" w:ascii="仿宋_GB2312" w:hAnsi="仿宋_GB2312" w:eastAsia="仿宋_GB2312" w:cs="仿宋_GB2312"/>
                <w:snapToGrid w:val="0"/>
                <w:color w:val="auto"/>
                <w:kern w:val="0"/>
                <w:sz w:val="24"/>
                <w:highlight w:val="none"/>
                <w:u w:val="none"/>
                <w:lang w:val="en-US" w:eastAsia="zh-CN"/>
              </w:rPr>
              <w:t>,</w:t>
            </w:r>
            <w:r>
              <w:rPr>
                <w:rFonts w:hint="eastAsia" w:ascii="仿宋_GB2312" w:hAnsi="仿宋_GB2312" w:eastAsia="仿宋_GB2312" w:cs="仿宋_GB2312"/>
                <w:snapToGrid w:val="0"/>
                <w:color w:val="auto"/>
                <w:kern w:val="0"/>
                <w:sz w:val="24"/>
                <w:highlight w:val="none"/>
                <w:u w:val="none"/>
              </w:rPr>
              <w:t>由成交供应商支付。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9" w:hRule="atLeast"/>
          <w:jc w:val="center"/>
        </w:trPr>
        <w:tc>
          <w:tcPr>
            <w:tcW w:w="126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第二章第42.1款</w:t>
            </w:r>
          </w:p>
        </w:tc>
        <w:tc>
          <w:tcPr>
            <w:tcW w:w="19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其他规定</w:t>
            </w:r>
          </w:p>
        </w:tc>
        <w:tc>
          <w:tcPr>
            <w:tcW w:w="5830" w:type="dxa"/>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信用信息查询的查询渠道：“信用中国”网站（www.creditchina.gov.cn）、中国政府采购网（www.ccgp.gov.cn）。</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信用信息查询的截止时点：至本项目投标截止时间止。</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3.</w:t>
            </w:r>
            <w:r>
              <w:rPr>
                <w:rFonts w:hint="eastAsia" w:ascii="仿宋_GB2312" w:hAnsi="仿宋_GB2312" w:eastAsia="仿宋_GB2312" w:cs="仿宋_GB2312"/>
                <w:snapToGrid w:val="0"/>
                <w:color w:val="auto"/>
                <w:kern w:val="0"/>
                <w:sz w:val="24"/>
                <w:highlight w:val="none"/>
              </w:rPr>
              <w:t>信用信息查询记录的具体方式：采购人或采购代理机构在开标后在规定的查询渠道进行查询。</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4.</w:t>
            </w:r>
            <w:r>
              <w:rPr>
                <w:rFonts w:hint="eastAsia" w:ascii="仿宋_GB2312" w:hAnsi="仿宋_GB2312" w:eastAsia="仿宋_GB2312" w:cs="仿宋_GB2312"/>
                <w:snapToGrid w:val="0"/>
                <w:color w:val="auto"/>
                <w:kern w:val="0"/>
                <w:sz w:val="24"/>
                <w:highlight w:val="none"/>
              </w:rPr>
              <w:t>信用信息查询记录证据留存的具体方式：查询记录的网上打印件。</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5.</w:t>
            </w:r>
            <w:r>
              <w:rPr>
                <w:rFonts w:hint="eastAsia" w:ascii="仿宋_GB2312" w:hAnsi="仿宋_GB2312" w:eastAsia="仿宋_GB2312" w:cs="仿宋_GB2312"/>
                <w:snapToGrid w:val="0"/>
                <w:color w:val="auto"/>
                <w:kern w:val="0"/>
                <w:sz w:val="24"/>
                <w:highlight w:val="none"/>
              </w:rPr>
              <w:t>信用信息的使用规则：查询后交由磋商小组评定。</w:t>
            </w:r>
          </w:p>
        </w:tc>
      </w:tr>
    </w:tbl>
    <w:p>
      <w:pPr>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br w:type="page"/>
      </w:r>
    </w:p>
    <w:p>
      <w:pPr>
        <w:adjustRightInd w:val="0"/>
        <w:snapToGrid w:val="0"/>
        <w:spacing w:line="360" w:lineRule="auto"/>
        <w:ind w:firstLine="562" w:firstLineChars="200"/>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附页1</w:t>
      </w:r>
    </w:p>
    <w:p>
      <w:pPr>
        <w:adjustRightInd w:val="0"/>
        <w:snapToGrid w:val="0"/>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政府采购履约担保函</w:t>
      </w:r>
    </w:p>
    <w:p>
      <w:pPr>
        <w:adjustRightInd w:val="0"/>
        <w:snapToGrid w:val="0"/>
        <w:spacing w:line="360" w:lineRule="auto"/>
        <w:ind w:firstLine="6510" w:firstLineChars="31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编号：</w:t>
      </w:r>
      <w:r>
        <w:rPr>
          <w:rFonts w:hint="eastAsia" w:ascii="宋体" w:hAnsi="宋体" w:eastAsia="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bookmarkStart w:id="82" w:name="_GoBack"/>
      <w:bookmarkEnd w:id="82"/>
      <w:r>
        <w:rPr>
          <w:rFonts w:hint="eastAsia" w:ascii="宋体" w:hAnsi="宋体" w:eastAsia="宋体" w:cs="宋体"/>
          <w:color w:val="auto"/>
          <w:kern w:val="0"/>
          <w:szCs w:val="21"/>
          <w:highlight w:val="none"/>
          <w:u w:val="single"/>
        </w:rPr>
        <w:t xml:space="preserve">             </w:t>
      </w:r>
    </w:p>
    <w:p>
      <w:pPr>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（采购人）： </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鉴于你方与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（以下简称供应商）于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r>
        <w:rPr>
          <w:rFonts w:hint="eastAsia" w:ascii="宋体" w:hAnsi="宋体" w:cs="宋体"/>
          <w:color w:val="auto"/>
          <w:kern w:val="0"/>
          <w:szCs w:val="21"/>
          <w:highlight w:val="none"/>
          <w:lang w:eastAsia="zh-CN"/>
        </w:rPr>
        <w:t>签订</w:t>
      </w:r>
      <w:r>
        <w:rPr>
          <w:rFonts w:hint="eastAsia" w:ascii="宋体" w:hAnsi="宋体" w:eastAsia="宋体" w:cs="宋体"/>
          <w:color w:val="auto"/>
          <w:kern w:val="0"/>
          <w:szCs w:val="21"/>
          <w:highlight w:val="none"/>
        </w:rPr>
        <w:t>编号为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政府采购合同》（以下简称主合同），且依据该合同的约定，供应商应在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日前向你方交纳履约保证金，且可以履约担保函的形式交纳履约保证金。应供应商的申请，我方以保证的方式向你方提供如下履约保证金担保：</w:t>
      </w:r>
    </w:p>
    <w:p>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一、保证责任的情形及保证金额</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（一）在供应商出现下列情形之一时，我方承担保证责任：</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将中标项目转让给他人，或者在投标文件/响应文件中未说明，且未经采购人同意，将中标项目分包给他人的；</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 xml:space="preserve">主合同约定的应当缴纳履约保证金的情形： </w:t>
      </w:r>
    </w:p>
    <w:p>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（1）未按主合同约定的质量、数量和期限供应货物/提供服务/完成工程的； </w:t>
      </w:r>
    </w:p>
    <w:p>
      <w:pPr>
        <w:adjustRightInd w:val="0"/>
        <w:snapToGrid w:val="0"/>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（二）我方的保证范围是主合同约定的合同价款总额的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%数额为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元（大写</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），币种为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。（即主合同履约保证金金额）</w:t>
      </w:r>
    </w:p>
    <w:p>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二、保证的方式及保证期间 </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我方保证的方式为：连带责任保证。 </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我方保证的期间为：自本合同生效之日起至供应商按照主合同约定的供货/完工期限届满后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日内。</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如果供应商未按主合同约定向贵方供应货物/提供服务/完成工程的，由我方在保证金额内向你方支付上述款项。 </w:t>
      </w:r>
    </w:p>
    <w:p>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三、承担保证责任的程序</w:t>
      </w:r>
    </w:p>
    <w:p>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你方要求我方承担保证责任的，应在本保函保证期间内向我方发出书面索赔通知。索赔通知应写明要求索赔的金额，支付款项应到达</w:t>
      </w:r>
      <w:r>
        <w:rPr>
          <w:rFonts w:hint="eastAsia" w:ascii="宋体" w:hAnsi="宋体" w:cs="宋体"/>
          <w:color w:val="auto"/>
          <w:kern w:val="0"/>
          <w:szCs w:val="21"/>
          <w:highlight w:val="none"/>
          <w:lang w:eastAsia="zh-CN"/>
        </w:rPr>
        <w:t>的账号</w:t>
      </w:r>
      <w:r>
        <w:rPr>
          <w:rFonts w:hint="eastAsia" w:ascii="宋体" w:hAnsi="宋体" w:eastAsia="宋体" w:cs="宋体"/>
          <w:color w:val="auto"/>
          <w:kern w:val="0"/>
          <w:szCs w:val="21"/>
          <w:highlight w:val="none"/>
        </w:rPr>
        <w:t xml:space="preserve">。并附有证明供应商违约事实的证明材料。 </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如果你方与供应商因货物质量问题产生争议，你方还需同时提供</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部门出具的质量检测报告，或经诉讼（仲裁）程序裁决后的裁决书、调解书，本保证人即按照检测结果或裁决书、调解书决定是否承担保证责任。</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我方收到你方的书面索赔通知及相应证明材料，在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工作日内进行核定后按照本保函的承诺承担保证责任。</w:t>
      </w:r>
    </w:p>
    <w:p>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四、保证责任的终止</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保证期间届满你方未向我方书面主张保证责任的，自保证期间届满次日起，我方保证责任自动终止。保证期间届满前，主合同约定的货物\工程\服务全部验收合格的，自验收合格日起，我方保证责任自动终止。</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我方按照本保函向你方履行了保证责任后，自我方向你方支付款项（支付款项从我方账户划出）之日起，保证责任即终止。</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eastAsia="宋体" w:cs="宋体"/>
          <w:color w:val="auto"/>
          <w:kern w:val="0"/>
          <w:szCs w:val="21"/>
          <w:highlight w:val="none"/>
        </w:rPr>
        <w:t>按照法律法规的规定或出现应终止我方保证责任的其它情形的，我方在本保函项下的保证责任亦终止。</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4.</w:t>
      </w:r>
      <w:r>
        <w:rPr>
          <w:rFonts w:hint="eastAsia" w:ascii="宋体" w:hAnsi="宋体" w:eastAsia="宋体" w:cs="宋体"/>
          <w:color w:val="auto"/>
          <w:kern w:val="0"/>
          <w:szCs w:val="21"/>
          <w:highlight w:val="none"/>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五、免责条款</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因你方违反主合同约定致使供应商不能履行义务的，我方不承担保证责任。</w:t>
      </w:r>
    </w:p>
    <w:p>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依照法律法规的规定或你方与供应商的另行约定，全部或者部分免除供应商应缴纳的保证金义务的，我方亦免除相应的保证责任。</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eastAsia="宋体" w:cs="宋体"/>
          <w:color w:val="auto"/>
          <w:kern w:val="0"/>
          <w:szCs w:val="21"/>
          <w:highlight w:val="none"/>
        </w:rPr>
        <w:t>因不可抗力造成供应商不能履行供货义务的，我方不承担保证责任。</w:t>
      </w:r>
    </w:p>
    <w:p>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六、争议的解决</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因本保函发生的纠纷，由你我双方协商解决，协商不成的，通过诉讼程序解决，诉讼管辖地法院为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法院。</w:t>
      </w:r>
    </w:p>
    <w:p>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七、保函的生效 </w:t>
      </w:r>
    </w:p>
    <w:p>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本保函自我方加盖公章之日起生效。 </w:t>
      </w:r>
    </w:p>
    <w:p>
      <w:pPr>
        <w:tabs>
          <w:tab w:val="left" w:pos="2850"/>
        </w:tabs>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rPr>
        <w:tab/>
      </w:r>
      <w:r>
        <w:rPr>
          <w:rFonts w:hint="eastAsia" w:ascii="宋体" w:hAnsi="宋体" w:eastAsia="宋体" w:cs="宋体"/>
          <w:color w:val="auto"/>
          <w:kern w:val="0"/>
          <w:szCs w:val="21"/>
          <w:highlight w:val="none"/>
        </w:rPr>
        <w:t xml:space="preserve">          保证人：（公章） </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日</w:t>
      </w:r>
    </w:p>
    <w:p>
      <w:pPr>
        <w:adjustRightInd w:val="0"/>
        <w:snapToGrid w:val="0"/>
        <w:spacing w:line="360" w:lineRule="auto"/>
        <w:ind w:firstLine="420" w:firstLineChars="200"/>
        <w:rPr>
          <w:rFonts w:hint="eastAsia" w:ascii="仿宋_GB2312" w:hAnsi="仿宋_GB2312" w:eastAsia="仿宋_GB2312" w:cs="仿宋_GB2312"/>
          <w:snapToGrid w:val="0"/>
          <w:color w:val="auto"/>
          <w:kern w:val="0"/>
          <w:szCs w:val="21"/>
          <w:highlight w:val="none"/>
        </w:rPr>
      </w:pPr>
    </w:p>
    <w:p>
      <w:pPr>
        <w:pStyle w:val="60"/>
        <w:rPr>
          <w:rFonts w:hint="eastAsia" w:ascii="仿宋_GB2312" w:hAnsi="仿宋_GB2312" w:eastAsia="仿宋_GB2312" w:cs="仿宋_GB2312"/>
          <w:snapToGrid w:val="0"/>
          <w:color w:val="auto"/>
          <w:kern w:val="0"/>
          <w:szCs w:val="21"/>
          <w:highlight w:val="none"/>
        </w:rPr>
      </w:pPr>
    </w:p>
    <w:p>
      <w:pPr>
        <w:pStyle w:val="4"/>
      </w:pPr>
      <w:r>
        <w:rPr>
          <w:rFonts w:hint="eastAsia" w:ascii="仿宋_GB2312" w:hAnsi="仿宋_GB2312" w:eastAsia="仿宋_GB2312" w:cs="仿宋_GB2312"/>
          <w:b/>
          <w:bCs/>
          <w:snapToGrid w:val="0"/>
          <w:color w:val="auto"/>
          <w:kern w:val="0"/>
          <w:szCs w:val="21"/>
          <w:highlight w:val="none"/>
        </w:rPr>
        <w:br w:type="page"/>
      </w:r>
      <w:r>
        <w:rPr>
          <w:spacing w:val="-24"/>
          <w:sz w:val="28"/>
          <w:szCs w:val="28"/>
        </w:rPr>
        <w:t xml:space="preserve">附页 </w:t>
      </w:r>
      <w:r>
        <w:rPr>
          <w:rFonts w:hint="eastAsia"/>
          <w:sz w:val="28"/>
          <w:szCs w:val="28"/>
          <w:lang w:val="en-US" w:eastAsia="zh-CN"/>
        </w:rPr>
        <w:t>2</w:t>
      </w:r>
      <w:r>
        <w:rPr>
          <w:spacing w:val="-4"/>
          <w:sz w:val="28"/>
          <w:szCs w:val="28"/>
        </w:rPr>
        <w:t xml:space="preserve"> 资格性检查表</w:t>
      </w:r>
    </w:p>
    <w:p>
      <w:pPr>
        <w:pStyle w:val="17"/>
        <w:spacing w:before="208"/>
        <w:ind w:left="0"/>
        <w:rPr>
          <w:sz w:val="28"/>
        </w:rPr>
      </w:pPr>
    </w:p>
    <w:p>
      <w:pPr>
        <w:spacing w:before="0"/>
        <w:ind w:left="3834" w:right="0" w:firstLine="0"/>
        <w:jc w:val="left"/>
        <w:rPr>
          <w:sz w:val="28"/>
        </w:rPr>
      </w:pPr>
      <w:r>
        <w:rPr>
          <w:spacing w:val="-4"/>
          <w:sz w:val="28"/>
        </w:rPr>
        <w:t>资格性检查表</w:t>
      </w:r>
    </w:p>
    <w:p>
      <w:pPr>
        <w:pStyle w:val="17"/>
        <w:spacing w:before="155" w:line="439" w:lineRule="auto"/>
        <w:ind w:right="4076"/>
        <w:rPr>
          <w:rFonts w:hint="eastAsia"/>
          <w:spacing w:val="-2"/>
          <w:lang w:val="en-US" w:eastAsia="zh-CN"/>
        </w:rPr>
      </w:pPr>
      <w:r>
        <mc:AlternateContent>
          <mc:Choice Requires="wps">
            <w:drawing>
              <wp:anchor distT="0" distB="0" distL="0" distR="0" simplePos="0" relativeHeight="251659264" behindDoc="0" locked="0" layoutInCell="1" allowOverlap="1">
                <wp:simplePos x="0" y="0"/>
                <wp:positionH relativeFrom="page">
                  <wp:posOffset>791845</wp:posOffset>
                </wp:positionH>
                <wp:positionV relativeFrom="paragraph">
                  <wp:posOffset>716280</wp:posOffset>
                </wp:positionV>
                <wp:extent cx="5976620" cy="6828790"/>
                <wp:effectExtent l="0" t="0" r="0" b="0"/>
                <wp:wrapNone/>
                <wp:docPr id="36" name="Textbox 36"/>
                <wp:cNvGraphicFramePr/>
                <a:graphic xmlns:a="http://schemas.openxmlformats.org/drawingml/2006/main">
                  <a:graphicData uri="http://schemas.microsoft.com/office/word/2010/wordprocessingShape">
                    <wps:wsp>
                      <wps:cNvSpPr txBox="1"/>
                      <wps:spPr>
                        <a:xfrm>
                          <a:off x="0" y="0"/>
                          <a:ext cx="5976620" cy="6828790"/>
                        </a:xfrm>
                        <a:prstGeom prst="rect">
                          <a:avLst/>
                        </a:prstGeom>
                      </wps:spPr>
                      <wps:txbx>
                        <w:txbxContent>
                          <w:tbl>
                            <w:tblPr>
                              <w:tblStyle w:val="44"/>
                              <w:tblW w:w="9282" w:type="dxa"/>
                              <w:tblInd w:w="65"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680"/>
                              <w:gridCol w:w="1201"/>
                              <w:gridCol w:w="5853"/>
                              <w:gridCol w:w="540"/>
                              <w:gridCol w:w="442"/>
                              <w:gridCol w:w="566"/>
                            </w:tblGrid>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38" w:hRule="atLeast"/>
                              </w:trPr>
                              <w:tc>
                                <w:tcPr>
                                  <w:tcW w:w="680" w:type="dxa"/>
                                  <w:vMerge w:val="restart"/>
                                  <w:tcBorders>
                                    <w:bottom w:val="single" w:color="000000" w:sz="6" w:space="0"/>
                                    <w:right w:val="single" w:color="000000" w:sz="6" w:space="0"/>
                                  </w:tcBorders>
                                </w:tcPr>
                                <w:p>
                                  <w:pPr>
                                    <w:pStyle w:val="274"/>
                                    <w:spacing w:before="261" w:line="290" w:lineRule="auto"/>
                                    <w:ind w:left="208" w:right="206"/>
                                    <w:rPr>
                                      <w:sz w:val="24"/>
                                    </w:rPr>
                                  </w:pPr>
                                  <w:r>
                                    <w:rPr>
                                      <w:spacing w:val="-10"/>
                                      <w:sz w:val="24"/>
                                    </w:rPr>
                                    <w:t>序号</w:t>
                                  </w:r>
                                </w:p>
                              </w:tc>
                              <w:tc>
                                <w:tcPr>
                                  <w:tcW w:w="1201"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114"/>
                                    <w:rPr>
                                      <w:sz w:val="24"/>
                                    </w:rPr>
                                  </w:pPr>
                                  <w:r>
                                    <w:rPr>
                                      <w:spacing w:val="-3"/>
                                      <w:sz w:val="24"/>
                                    </w:rPr>
                                    <w:t>审查项目</w:t>
                                  </w:r>
                                </w:p>
                              </w:tc>
                              <w:tc>
                                <w:tcPr>
                                  <w:tcW w:w="5853"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8"/>
                                    <w:jc w:val="center"/>
                                    <w:rPr>
                                      <w:sz w:val="24"/>
                                    </w:rPr>
                                  </w:pPr>
                                  <w:r>
                                    <w:rPr>
                                      <w:spacing w:val="-3"/>
                                      <w:sz w:val="24"/>
                                    </w:rPr>
                                    <w:t>审查标准</w:t>
                                  </w:r>
                                </w:p>
                              </w:tc>
                              <w:tc>
                                <w:tcPr>
                                  <w:tcW w:w="1548" w:type="dxa"/>
                                  <w:gridSpan w:val="3"/>
                                  <w:tcBorders>
                                    <w:left w:val="single" w:color="000000" w:sz="6" w:space="0"/>
                                    <w:bottom w:val="single" w:color="000000" w:sz="4" w:space="0"/>
                                  </w:tcBorders>
                                </w:tcPr>
                                <w:p>
                                  <w:pPr>
                                    <w:pStyle w:val="274"/>
                                    <w:spacing w:before="170"/>
                                    <w:ind w:left="409"/>
                                    <w:rPr>
                                      <w:sz w:val="24"/>
                                    </w:rPr>
                                  </w:pPr>
                                  <w:r>
                                    <w:rPr>
                                      <w:spacing w:val="-4"/>
                                      <w:sz w:val="24"/>
                                    </w:rPr>
                                    <w:t>投标人</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42" w:hRule="atLeast"/>
                              </w:trPr>
                              <w:tc>
                                <w:tcPr>
                                  <w:tcW w:w="680" w:type="dxa"/>
                                  <w:vMerge w:val="continue"/>
                                  <w:tcBorders>
                                    <w:top w:val="nil"/>
                                    <w:bottom w:val="single" w:color="000000" w:sz="6" w:space="0"/>
                                    <w:right w:val="single" w:color="000000" w:sz="6" w:space="0"/>
                                  </w:tcBorders>
                                </w:tcPr>
                                <w:p>
                                  <w:pPr>
                                    <w:rPr>
                                      <w:sz w:val="2"/>
                                      <w:szCs w:val="2"/>
                                    </w:rPr>
                                  </w:pPr>
                                </w:p>
                              </w:tc>
                              <w:tc>
                                <w:tcPr>
                                  <w:tcW w:w="1201" w:type="dxa"/>
                                  <w:vMerge w:val="continue"/>
                                  <w:tcBorders>
                                    <w:top w:val="nil"/>
                                    <w:left w:val="single" w:color="000000" w:sz="6" w:space="0"/>
                                    <w:bottom w:val="single" w:color="000000" w:sz="6" w:space="0"/>
                                    <w:right w:val="single" w:color="000000" w:sz="6" w:space="0"/>
                                  </w:tcBorders>
                                </w:tcPr>
                                <w:p>
                                  <w:pPr>
                                    <w:rPr>
                                      <w:sz w:val="2"/>
                                      <w:szCs w:val="2"/>
                                    </w:rPr>
                                  </w:pPr>
                                </w:p>
                              </w:tc>
                              <w:tc>
                                <w:tcPr>
                                  <w:tcW w:w="5853" w:type="dxa"/>
                                  <w:vMerge w:val="continue"/>
                                  <w:tcBorders>
                                    <w:top w:val="nil"/>
                                    <w:left w:val="single" w:color="000000" w:sz="6" w:space="0"/>
                                    <w:bottom w:val="single" w:color="000000" w:sz="6" w:space="0"/>
                                    <w:right w:val="single" w:color="000000" w:sz="6" w:space="0"/>
                                  </w:tcBorders>
                                </w:tcPr>
                                <w:p>
                                  <w:pPr>
                                    <w:rPr>
                                      <w:sz w:val="2"/>
                                      <w:szCs w:val="2"/>
                                    </w:rPr>
                                  </w:pPr>
                                </w:p>
                              </w:tc>
                              <w:tc>
                                <w:tcPr>
                                  <w:tcW w:w="540"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4"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1498" w:hRule="atLeast"/>
                              </w:trPr>
                              <w:tc>
                                <w:tcPr>
                                  <w:tcW w:w="680" w:type="dxa"/>
                                  <w:tcBorders>
                                    <w:top w:val="single" w:color="000000" w:sz="6" w:space="0"/>
                                    <w:bottom w:val="single" w:color="000000" w:sz="6" w:space="0"/>
                                    <w:right w:val="single" w:color="000000" w:sz="6" w:space="0"/>
                                  </w:tcBorders>
                                </w:tcPr>
                                <w:p>
                                  <w:pPr>
                                    <w:pStyle w:val="274"/>
                                    <w:rPr>
                                      <w:sz w:val="24"/>
                                    </w:rPr>
                                  </w:pPr>
                                </w:p>
                                <w:p>
                                  <w:pPr>
                                    <w:pStyle w:val="274"/>
                                    <w:rPr>
                                      <w:sz w:val="24"/>
                                    </w:rPr>
                                  </w:pPr>
                                </w:p>
                                <w:p>
                                  <w:pPr>
                                    <w:pStyle w:val="274"/>
                                    <w:spacing w:before="178"/>
                                    <w:rPr>
                                      <w:sz w:val="24"/>
                                    </w:rPr>
                                  </w:pPr>
                                </w:p>
                                <w:p>
                                  <w:pPr>
                                    <w:pStyle w:val="274"/>
                                    <w:spacing w:before="1"/>
                                    <w:jc w:val="center"/>
                                    <w:rPr>
                                      <w:sz w:val="24"/>
                                    </w:rPr>
                                  </w:pPr>
                                  <w:r>
                                    <w:rPr>
                                      <w:spacing w:val="-10"/>
                                      <w:sz w:val="24"/>
                                    </w:rPr>
                                    <w:t>1</w:t>
                                  </w:r>
                                </w:p>
                              </w:tc>
                              <w:tc>
                                <w:tcPr>
                                  <w:tcW w:w="1201" w:type="dxa"/>
                                  <w:tcBorders>
                                    <w:top w:val="single" w:color="000000" w:sz="6" w:space="0"/>
                                    <w:left w:val="single" w:color="000000" w:sz="6" w:space="0"/>
                                    <w:bottom w:val="single" w:color="000000" w:sz="6" w:space="0"/>
                                    <w:right w:val="single" w:color="000000" w:sz="6" w:space="0"/>
                                  </w:tcBorders>
                                  <w:vAlign w:val="center"/>
                                </w:tcPr>
                                <w:p>
                                  <w:pPr>
                                    <w:pStyle w:val="274"/>
                                    <w:spacing w:line="290" w:lineRule="auto"/>
                                    <w:ind w:left="117" w:right="106"/>
                                    <w:jc w:val="center"/>
                                    <w:rPr>
                                      <w:sz w:val="24"/>
                                    </w:rPr>
                                  </w:pPr>
                                  <w:r>
                                    <w:rPr>
                                      <w:spacing w:val="-4"/>
                                      <w:sz w:val="24"/>
                                    </w:rPr>
                                    <w:t>营业执照等证明文</w:t>
                                  </w:r>
                                  <w:r>
                                    <w:rPr>
                                      <w:spacing w:val="-10"/>
                                      <w:sz w:val="24"/>
                                    </w:rPr>
                                    <w:t>件</w:t>
                                  </w:r>
                                </w:p>
                              </w:tc>
                              <w:tc>
                                <w:tcPr>
                                  <w:tcW w:w="5853" w:type="dxa"/>
                                  <w:tcBorders>
                                    <w:top w:val="single" w:color="000000" w:sz="6" w:space="0"/>
                                    <w:left w:val="single" w:color="000000" w:sz="6" w:space="0"/>
                                    <w:bottom w:val="single" w:color="000000" w:sz="6" w:space="0"/>
                                    <w:right w:val="single" w:color="000000" w:sz="6" w:space="0"/>
                                  </w:tcBorders>
                                  <w:vAlign w:val="center"/>
                                </w:tcPr>
                                <w:p>
                                  <w:pPr>
                                    <w:pStyle w:val="274"/>
                                    <w:spacing w:before="7"/>
                                    <w:ind w:left="104"/>
                                    <w:jc w:val="both"/>
                                    <w:rPr>
                                      <w:sz w:val="24"/>
                                    </w:rPr>
                                  </w:pPr>
                                  <w:r>
                                    <w:rPr>
                                      <w:spacing w:val="3"/>
                                      <w:sz w:val="24"/>
                                    </w:rPr>
                                    <w:t>法人或者其他组织的营业执照等主体资格证明文件，自然人的身份证明：供应商为法人的，应提交营业执</w:t>
                                  </w:r>
                                  <w:r>
                                    <w:rPr>
                                      <w:spacing w:val="-1"/>
                                      <w:sz w:val="24"/>
                                    </w:rPr>
                                    <w:t>照或法人登记证书的复印件；投标人为非法人组织的，</w:t>
                                  </w:r>
                                  <w:r>
                                    <w:rPr>
                                      <w:spacing w:val="-2"/>
                                      <w:sz w:val="24"/>
                                    </w:rPr>
                                    <w:t>应提交依法登记证书复印件</w:t>
                                  </w:r>
                                  <w:r>
                                    <w:rPr>
                                      <w:spacing w:val="-1"/>
                                      <w:sz w:val="24"/>
                                    </w:rPr>
                                    <w:t>。</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1661" w:hRule="atLeast"/>
                              </w:trPr>
                              <w:tc>
                                <w:tcPr>
                                  <w:tcW w:w="680" w:type="dxa"/>
                                  <w:tcBorders>
                                    <w:top w:val="single" w:color="000000" w:sz="6" w:space="0"/>
                                    <w:bottom w:val="single" w:color="000000" w:sz="6" w:space="0"/>
                                    <w:right w:val="single" w:color="000000" w:sz="6" w:space="0"/>
                                  </w:tcBorders>
                                </w:tcPr>
                                <w:p>
                                  <w:pPr>
                                    <w:pStyle w:val="274"/>
                                    <w:rPr>
                                      <w:sz w:val="24"/>
                                    </w:rPr>
                                  </w:pPr>
                                </w:p>
                                <w:p>
                                  <w:pPr>
                                    <w:pStyle w:val="274"/>
                                    <w:spacing w:before="115"/>
                                    <w:rPr>
                                      <w:sz w:val="24"/>
                                    </w:rPr>
                                  </w:pPr>
                                </w:p>
                                <w:p>
                                  <w:pPr>
                                    <w:pStyle w:val="274"/>
                                    <w:jc w:val="center"/>
                                    <w:rPr>
                                      <w:sz w:val="24"/>
                                    </w:rPr>
                                  </w:pPr>
                                  <w:r>
                                    <w:rPr>
                                      <w:spacing w:val="-10"/>
                                      <w:sz w:val="24"/>
                                    </w:rPr>
                                    <w:t>2</w:t>
                                  </w:r>
                                </w:p>
                              </w:tc>
                              <w:tc>
                                <w:tcPr>
                                  <w:tcW w:w="1201" w:type="dxa"/>
                                  <w:tcBorders>
                                    <w:top w:val="single" w:color="000000" w:sz="6" w:space="0"/>
                                    <w:left w:val="single" w:color="000000" w:sz="6" w:space="0"/>
                                    <w:bottom w:val="single" w:color="000000" w:sz="6" w:space="0"/>
                                    <w:right w:val="single" w:color="000000" w:sz="6" w:space="0"/>
                                  </w:tcBorders>
                                </w:tcPr>
                                <w:p>
                                  <w:pPr>
                                    <w:pStyle w:val="274"/>
                                    <w:spacing w:before="168" w:line="290" w:lineRule="auto"/>
                                    <w:ind w:left="117" w:right="106"/>
                                    <w:jc w:val="both"/>
                                    <w:rPr>
                                      <w:sz w:val="24"/>
                                    </w:rPr>
                                  </w:pPr>
                                  <w:r>
                                    <w:rPr>
                                      <w:spacing w:val="-4"/>
                                      <w:sz w:val="24"/>
                                    </w:rPr>
                                    <w:t>法定代表人（单位</w:t>
                                  </w:r>
                                  <w:r>
                                    <w:rPr>
                                      <w:sz w:val="24"/>
                                    </w:rPr>
                                    <w:t>负责人</w:t>
                                  </w:r>
                                  <w:r>
                                    <w:rPr>
                                      <w:spacing w:val="-10"/>
                                      <w:sz w:val="24"/>
                                    </w:rPr>
                                    <w:t>）</w:t>
                                  </w:r>
                                </w:p>
                                <w:p>
                                  <w:pPr>
                                    <w:pStyle w:val="274"/>
                                    <w:spacing w:before="5"/>
                                    <w:ind w:left="237"/>
                                    <w:rPr>
                                      <w:sz w:val="24"/>
                                    </w:rPr>
                                  </w:pPr>
                                  <w:r>
                                    <w:rPr>
                                      <w:spacing w:val="-4"/>
                                      <w:sz w:val="24"/>
                                    </w:rPr>
                                    <w:t>授权书</w:t>
                                  </w:r>
                                </w:p>
                              </w:tc>
                              <w:tc>
                                <w:tcPr>
                                  <w:tcW w:w="5853" w:type="dxa"/>
                                  <w:tcBorders>
                                    <w:top w:val="single" w:color="000000" w:sz="6" w:space="0"/>
                                    <w:left w:val="single" w:color="000000" w:sz="6" w:space="0"/>
                                    <w:bottom w:val="single" w:color="000000" w:sz="6" w:space="0"/>
                                    <w:right w:val="single" w:color="000000" w:sz="6" w:space="0"/>
                                  </w:tcBorders>
                                </w:tcPr>
                                <w:p>
                                  <w:pPr>
                                    <w:pStyle w:val="274"/>
                                    <w:spacing w:before="168"/>
                                    <w:ind w:left="104"/>
                                    <w:rPr>
                                      <w:sz w:val="24"/>
                                    </w:rPr>
                                  </w:pPr>
                                  <w:r>
                                    <w:rPr>
                                      <w:sz w:val="24"/>
                                    </w:rPr>
                                    <w:t>投标人代表是法人（单位负责人）</w:t>
                                  </w:r>
                                  <w:r>
                                    <w:rPr>
                                      <w:spacing w:val="-2"/>
                                      <w:sz w:val="24"/>
                                    </w:rPr>
                                    <w:t>的持有法定代表人</w:t>
                                  </w:r>
                                </w:p>
                                <w:p>
                                  <w:pPr>
                                    <w:pStyle w:val="274"/>
                                    <w:spacing w:before="67" w:line="290" w:lineRule="auto"/>
                                    <w:ind w:left="104" w:right="94"/>
                                    <w:rPr>
                                      <w:sz w:val="24"/>
                                    </w:rPr>
                                  </w:pPr>
                                  <w:r>
                                    <w:rPr>
                                      <w:spacing w:val="-6"/>
                                      <w:sz w:val="24"/>
                                    </w:rPr>
                                    <w:t>（单位负责人）身份证明，不是投标人法定代表人（单</w:t>
                                  </w:r>
                                  <w:r>
                                    <w:rPr>
                                      <w:spacing w:val="-2"/>
                                      <w:sz w:val="24"/>
                                    </w:rPr>
                                    <w:t>位负责人）的，应持有法定代表人（单位负责人）授</w:t>
                                  </w:r>
                                </w:p>
                                <w:p>
                                  <w:pPr>
                                    <w:pStyle w:val="274"/>
                                    <w:spacing w:before="3"/>
                                    <w:ind w:left="104"/>
                                    <w:rPr>
                                      <w:sz w:val="24"/>
                                    </w:rPr>
                                  </w:pPr>
                                  <w:r>
                                    <w:rPr>
                                      <w:sz w:val="24"/>
                                    </w:rPr>
                                    <w:t>权书，并附法定代表人（单位负责人）</w:t>
                                  </w:r>
                                  <w:r>
                                    <w:rPr>
                                      <w:spacing w:val="-2"/>
                                      <w:sz w:val="24"/>
                                    </w:rPr>
                                    <w:t>身份证明。</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1824" w:hRule="atLeast"/>
                              </w:trPr>
                              <w:tc>
                                <w:tcPr>
                                  <w:tcW w:w="680" w:type="dxa"/>
                                  <w:tcBorders>
                                    <w:top w:val="single" w:color="000000" w:sz="6" w:space="0"/>
                                    <w:bottom w:val="nil"/>
                                    <w:right w:val="single" w:color="000000" w:sz="6" w:space="0"/>
                                  </w:tcBorders>
                                </w:tcPr>
                                <w:p>
                                  <w:pPr>
                                    <w:pStyle w:val="274"/>
                                    <w:rPr>
                                      <w:sz w:val="24"/>
                                    </w:rPr>
                                  </w:pPr>
                                </w:p>
                                <w:p>
                                  <w:pPr>
                                    <w:pStyle w:val="274"/>
                                    <w:rPr>
                                      <w:sz w:val="24"/>
                                    </w:rPr>
                                  </w:pPr>
                                </w:p>
                                <w:p>
                                  <w:pPr>
                                    <w:pStyle w:val="274"/>
                                    <w:spacing w:before="63"/>
                                    <w:rPr>
                                      <w:sz w:val="24"/>
                                    </w:rPr>
                                  </w:pPr>
                                </w:p>
                                <w:p>
                                  <w:pPr>
                                    <w:pStyle w:val="274"/>
                                    <w:jc w:val="center"/>
                                    <w:rPr>
                                      <w:sz w:val="24"/>
                                    </w:rPr>
                                  </w:pPr>
                                  <w:r>
                                    <w:rPr>
                                      <w:spacing w:val="-10"/>
                                      <w:sz w:val="24"/>
                                    </w:rPr>
                                    <w:t>3</w:t>
                                  </w:r>
                                </w:p>
                              </w:tc>
                              <w:tc>
                                <w:tcPr>
                                  <w:tcW w:w="1201" w:type="dxa"/>
                                  <w:tcBorders>
                                    <w:top w:val="single" w:color="000000" w:sz="6" w:space="0"/>
                                    <w:left w:val="single" w:color="000000" w:sz="6" w:space="0"/>
                                    <w:bottom w:val="nil"/>
                                    <w:right w:val="single" w:color="000000" w:sz="6" w:space="0"/>
                                  </w:tcBorders>
                                </w:tcPr>
                                <w:p>
                                  <w:pPr>
                                    <w:pStyle w:val="274"/>
                                    <w:spacing w:before="119"/>
                                    <w:rPr>
                                      <w:sz w:val="24"/>
                                    </w:rPr>
                                  </w:pPr>
                                </w:p>
                                <w:p>
                                  <w:pPr>
                                    <w:pStyle w:val="274"/>
                                    <w:spacing w:line="290" w:lineRule="auto"/>
                                    <w:ind w:left="117" w:right="106"/>
                                    <w:jc w:val="both"/>
                                    <w:rPr>
                                      <w:sz w:val="24"/>
                                    </w:rPr>
                                  </w:pPr>
                                  <w:r>
                                    <w:rPr>
                                      <w:spacing w:val="-4"/>
                                      <w:sz w:val="24"/>
                                    </w:rPr>
                                    <w:t>湖南省政府采购供</w:t>
                                  </w:r>
                                  <w:r>
                                    <w:rPr>
                                      <w:spacing w:val="-3"/>
                                      <w:sz w:val="24"/>
                                    </w:rPr>
                                    <w:t>应商资格</w:t>
                                  </w:r>
                                </w:p>
                                <w:p>
                                  <w:pPr>
                                    <w:pStyle w:val="274"/>
                                    <w:spacing w:before="2" w:line="259" w:lineRule="exact"/>
                                    <w:ind w:left="237"/>
                                    <w:rPr>
                                      <w:sz w:val="24"/>
                                    </w:rPr>
                                  </w:pPr>
                                  <w:r>
                                    <w:rPr>
                                      <w:spacing w:val="-4"/>
                                      <w:sz w:val="24"/>
                                    </w:rPr>
                                    <w:t>承诺函</w:t>
                                  </w:r>
                                </w:p>
                              </w:tc>
                              <w:tc>
                                <w:tcPr>
                                  <w:tcW w:w="5853" w:type="dxa"/>
                                  <w:tcBorders>
                                    <w:top w:val="single" w:color="000000" w:sz="6" w:space="0"/>
                                    <w:left w:val="single" w:color="000000" w:sz="6" w:space="0"/>
                                    <w:bottom w:val="nil"/>
                                    <w:right w:val="single" w:color="000000" w:sz="6" w:space="0"/>
                                  </w:tcBorders>
                                </w:tcPr>
                                <w:p>
                                  <w:pPr>
                                    <w:pStyle w:val="274"/>
                                    <w:spacing w:before="213" w:line="312" w:lineRule="auto"/>
                                    <w:ind w:left="104" w:right="211"/>
                                    <w:jc w:val="both"/>
                                    <w:rPr>
                                      <w:sz w:val="24"/>
                                    </w:rPr>
                                  </w:pPr>
                                  <w:r>
                                    <w:rPr>
                                      <w:spacing w:val="-2"/>
                                      <w:sz w:val="24"/>
                                    </w:rPr>
                                    <w:t>投标人是否承诺独立承担民事责任、具有良好的商业信誉和健全的财务会计制度、依法缴纳税收和社会保</w:t>
                                  </w:r>
                                  <w:r>
                                    <w:rPr>
                                      <w:spacing w:val="-1"/>
                                      <w:sz w:val="24"/>
                                    </w:rPr>
                                    <w:t>障资金,在前三年的经营活动中无重大违法记录,未列</w:t>
                                  </w:r>
                                </w:p>
                                <w:p>
                                  <w:pPr>
                                    <w:pStyle w:val="274"/>
                                    <w:spacing w:line="306" w:lineRule="exact"/>
                                    <w:ind w:left="104"/>
                                    <w:rPr>
                                      <w:sz w:val="24"/>
                                    </w:rPr>
                                  </w:pPr>
                                  <w:r>
                                    <w:rPr>
                                      <w:spacing w:val="-1"/>
                                      <w:sz w:val="24"/>
                                    </w:rPr>
                                    <w:t>入严重失信行为名单,符合政府采购供应商的基本资</w:t>
                                  </w:r>
                                </w:p>
                              </w:tc>
                              <w:tc>
                                <w:tcPr>
                                  <w:tcW w:w="540" w:type="dxa"/>
                                  <w:vMerge w:val="restart"/>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vMerge w:val="restart"/>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vMerge w:val="restart"/>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35" w:hRule="atLeast"/>
                              </w:trPr>
                              <w:tc>
                                <w:tcPr>
                                  <w:tcW w:w="680" w:type="dxa"/>
                                  <w:tcBorders>
                                    <w:top w:val="nil"/>
                                    <w:bottom w:val="single" w:color="000000" w:sz="6" w:space="0"/>
                                    <w:right w:val="single" w:color="000000" w:sz="6" w:space="0"/>
                                  </w:tcBorders>
                                </w:tcPr>
                                <w:p>
                                  <w:pPr>
                                    <w:pStyle w:val="274"/>
                                    <w:rPr>
                                      <w:rFonts w:ascii="Times New Roman"/>
                                      <w:sz w:val="22"/>
                                    </w:rPr>
                                  </w:pPr>
                                </w:p>
                              </w:tc>
                              <w:tc>
                                <w:tcPr>
                                  <w:tcW w:w="1201" w:type="dxa"/>
                                  <w:tcBorders>
                                    <w:top w:val="nil"/>
                                    <w:left w:val="single" w:color="000000" w:sz="6" w:space="0"/>
                                    <w:bottom w:val="single" w:color="000000" w:sz="6" w:space="0"/>
                                    <w:right w:val="single" w:color="000000" w:sz="6" w:space="0"/>
                                  </w:tcBorders>
                                </w:tcPr>
                                <w:p>
                                  <w:pPr>
                                    <w:pStyle w:val="274"/>
                                    <w:rPr>
                                      <w:rFonts w:ascii="Times New Roman"/>
                                      <w:sz w:val="22"/>
                                    </w:rPr>
                                  </w:pPr>
                                </w:p>
                              </w:tc>
                              <w:tc>
                                <w:tcPr>
                                  <w:tcW w:w="5853" w:type="dxa"/>
                                  <w:tcBorders>
                                    <w:top w:val="nil"/>
                                    <w:left w:val="single" w:color="000000" w:sz="6" w:space="0"/>
                                    <w:bottom w:val="single" w:color="000000" w:sz="6" w:space="0"/>
                                    <w:right w:val="single" w:color="000000" w:sz="6" w:space="0"/>
                                  </w:tcBorders>
                                </w:tcPr>
                                <w:p>
                                  <w:pPr>
                                    <w:pStyle w:val="274"/>
                                    <w:spacing w:line="279" w:lineRule="exact"/>
                                    <w:ind w:left="104"/>
                                    <w:rPr>
                                      <w:sz w:val="24"/>
                                    </w:rPr>
                                  </w:pPr>
                                  <w:r>
                                    <w:rPr>
                                      <w:spacing w:val="-3"/>
                                      <w:sz w:val="24"/>
                                    </w:rPr>
                                    <w:t>格要求。</w:t>
                                  </w:r>
                                </w:p>
                              </w:tc>
                              <w:tc>
                                <w:tcPr>
                                  <w:tcW w:w="540" w:type="dxa"/>
                                  <w:vMerge w:val="continue"/>
                                  <w:tcBorders>
                                    <w:top w:val="nil"/>
                                    <w:left w:val="single" w:color="000000" w:sz="6" w:space="0"/>
                                    <w:bottom w:val="single" w:color="000000" w:sz="6" w:space="0"/>
                                    <w:right w:val="single" w:color="000000" w:sz="6" w:space="0"/>
                                  </w:tcBorders>
                                </w:tcPr>
                                <w:p>
                                  <w:pPr>
                                    <w:rPr>
                                      <w:sz w:val="2"/>
                                      <w:szCs w:val="2"/>
                                    </w:rPr>
                                  </w:pPr>
                                </w:p>
                              </w:tc>
                              <w:tc>
                                <w:tcPr>
                                  <w:tcW w:w="442" w:type="dxa"/>
                                  <w:vMerge w:val="continue"/>
                                  <w:tcBorders>
                                    <w:top w:val="nil"/>
                                    <w:left w:val="single" w:color="000000" w:sz="6" w:space="0"/>
                                    <w:bottom w:val="single" w:color="000000" w:sz="6" w:space="0"/>
                                    <w:right w:val="single" w:color="000000" w:sz="6" w:space="0"/>
                                  </w:tcBorders>
                                </w:tcPr>
                                <w:p>
                                  <w:pPr>
                                    <w:rPr>
                                      <w:sz w:val="2"/>
                                      <w:szCs w:val="2"/>
                                    </w:rPr>
                                  </w:pPr>
                                </w:p>
                              </w:tc>
                              <w:tc>
                                <w:tcPr>
                                  <w:tcW w:w="566" w:type="dxa"/>
                                  <w:vMerge w:val="continue"/>
                                  <w:tcBorders>
                                    <w:top w:val="nil"/>
                                    <w:left w:val="single" w:color="000000" w:sz="6" w:space="0"/>
                                    <w:bottom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27" w:hRule="atLeast"/>
                              </w:trPr>
                              <w:tc>
                                <w:tcPr>
                                  <w:tcW w:w="680" w:type="dxa"/>
                                  <w:tcBorders>
                                    <w:top w:val="single" w:color="000000" w:sz="6" w:space="0"/>
                                    <w:bottom w:val="nil"/>
                                    <w:right w:val="single" w:color="000000" w:sz="6" w:space="0"/>
                                  </w:tcBorders>
                                </w:tcPr>
                                <w:p>
                                  <w:pPr>
                                    <w:pStyle w:val="274"/>
                                    <w:rPr>
                                      <w:rFonts w:ascii="Times New Roman"/>
                                      <w:sz w:val="22"/>
                                    </w:rPr>
                                  </w:pPr>
                                </w:p>
                              </w:tc>
                              <w:tc>
                                <w:tcPr>
                                  <w:tcW w:w="1201" w:type="dxa"/>
                                  <w:tcBorders>
                                    <w:top w:val="single" w:color="000000" w:sz="6" w:space="0"/>
                                    <w:left w:val="single" w:color="000000" w:sz="6" w:space="0"/>
                                    <w:bottom w:val="nil"/>
                                    <w:right w:val="single" w:color="000000" w:sz="6" w:space="0"/>
                                  </w:tcBorders>
                                </w:tcPr>
                                <w:p>
                                  <w:pPr>
                                    <w:pStyle w:val="274"/>
                                    <w:rPr>
                                      <w:rFonts w:ascii="Times New Roman"/>
                                      <w:sz w:val="22"/>
                                    </w:rPr>
                                  </w:pPr>
                                </w:p>
                              </w:tc>
                              <w:tc>
                                <w:tcPr>
                                  <w:tcW w:w="5853" w:type="dxa"/>
                                  <w:tcBorders>
                                    <w:top w:val="single" w:color="000000" w:sz="6" w:space="0"/>
                                    <w:left w:val="single" w:color="000000" w:sz="6" w:space="0"/>
                                    <w:bottom w:val="nil"/>
                                    <w:right w:val="single" w:color="000000" w:sz="6" w:space="0"/>
                                  </w:tcBorders>
                                </w:tcPr>
                                <w:p>
                                  <w:pPr>
                                    <w:pStyle w:val="274"/>
                                    <w:spacing w:before="1" w:line="306" w:lineRule="exact"/>
                                    <w:ind w:left="104"/>
                                    <w:rPr>
                                      <w:sz w:val="24"/>
                                    </w:rPr>
                                  </w:pPr>
                                  <w:r>
                                    <w:rPr>
                                      <w:spacing w:val="-5"/>
                                      <w:sz w:val="24"/>
                                    </w:rPr>
                                    <w:t xml:space="preserve">查询渠道：信用中国网站 </w:t>
                                  </w:r>
                                  <w:r>
                                    <w:fldChar w:fldCharType="begin"/>
                                  </w:r>
                                  <w:r>
                                    <w:instrText xml:space="preserve"> HYPERLINK "http://www.creditchina.gov.cn/" \h </w:instrText>
                                  </w:r>
                                  <w:r>
                                    <w:fldChar w:fldCharType="separate"/>
                                  </w:r>
                                  <w:r>
                                    <w:rPr>
                                      <w:sz w:val="24"/>
                                    </w:rPr>
                                    <w:t>www.creditchina.gov.cn</w:t>
                                  </w:r>
                                  <w:r>
                                    <w:rPr>
                                      <w:sz w:val="24"/>
                                    </w:rPr>
                                    <w:fldChar w:fldCharType="end"/>
                                  </w:r>
                                  <w:r>
                                    <w:rPr>
                                      <w:spacing w:val="-10"/>
                                      <w:sz w:val="24"/>
                                    </w:rPr>
                                    <w:t>、</w:t>
                                  </w:r>
                                </w:p>
                              </w:tc>
                              <w:tc>
                                <w:tcPr>
                                  <w:tcW w:w="540" w:type="dxa"/>
                                  <w:vMerge w:val="restart"/>
                                  <w:tcBorders>
                                    <w:top w:val="single" w:color="000000" w:sz="6" w:space="0"/>
                                    <w:left w:val="single" w:color="000000" w:sz="6" w:space="0"/>
                                    <w:right w:val="single" w:color="000000" w:sz="6" w:space="0"/>
                                  </w:tcBorders>
                                </w:tcPr>
                                <w:p>
                                  <w:pPr>
                                    <w:pStyle w:val="274"/>
                                    <w:rPr>
                                      <w:rFonts w:ascii="Times New Roman"/>
                                      <w:sz w:val="22"/>
                                    </w:rPr>
                                  </w:pPr>
                                </w:p>
                              </w:tc>
                              <w:tc>
                                <w:tcPr>
                                  <w:tcW w:w="442" w:type="dxa"/>
                                  <w:vMerge w:val="restart"/>
                                  <w:tcBorders>
                                    <w:top w:val="single" w:color="000000" w:sz="6" w:space="0"/>
                                    <w:left w:val="single" w:color="000000" w:sz="6" w:space="0"/>
                                    <w:right w:val="single" w:color="000000" w:sz="6" w:space="0"/>
                                  </w:tcBorders>
                                </w:tcPr>
                                <w:p>
                                  <w:pPr>
                                    <w:pStyle w:val="274"/>
                                    <w:rPr>
                                      <w:rFonts w:ascii="Times New Roman"/>
                                      <w:sz w:val="22"/>
                                    </w:rPr>
                                  </w:pPr>
                                </w:p>
                              </w:tc>
                              <w:tc>
                                <w:tcPr>
                                  <w:tcW w:w="566" w:type="dxa"/>
                                  <w:vMerge w:val="restart"/>
                                  <w:tcBorders>
                                    <w:top w:val="single" w:color="000000" w:sz="6" w:space="0"/>
                                    <w:left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44"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18" w:line="306" w:lineRule="exact"/>
                                    <w:ind w:left="104"/>
                                    <w:rPr>
                                      <w:sz w:val="24"/>
                                    </w:rPr>
                                  </w:pPr>
                                  <w:r>
                                    <w:rPr>
                                      <w:spacing w:val="-8"/>
                                      <w:sz w:val="24"/>
                                    </w:rPr>
                                    <w:t xml:space="preserve">中国政府采购网 </w:t>
                                  </w:r>
                                  <w:r>
                                    <w:fldChar w:fldCharType="begin"/>
                                  </w:r>
                                  <w:r>
                                    <w:instrText xml:space="preserve"> HYPERLINK "http://www.ccgp.gov.cn/" \h </w:instrText>
                                  </w:r>
                                  <w:r>
                                    <w:fldChar w:fldCharType="separate"/>
                                  </w:r>
                                  <w:r>
                                    <w:rPr>
                                      <w:spacing w:val="-2"/>
                                      <w:sz w:val="24"/>
                                    </w:rPr>
                                    <w:t>www.ccgp.gov.cn</w:t>
                                  </w:r>
                                  <w:r>
                                    <w:rPr>
                                      <w:spacing w:val="-2"/>
                                      <w:sz w:val="24"/>
                                    </w:rPr>
                                    <w:fldChar w:fldCharType="end"/>
                                  </w:r>
                                  <w:r>
                                    <w:rPr>
                                      <w:spacing w:val="-2"/>
                                      <w:sz w:val="24"/>
                                    </w:rPr>
                                    <w:t>；</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66"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18"/>
                                    <w:ind w:left="104"/>
                                    <w:rPr>
                                      <w:sz w:val="24"/>
                                    </w:rPr>
                                  </w:pPr>
                                  <w:r>
                                    <w:rPr>
                                      <w:spacing w:val="-1"/>
                                      <w:sz w:val="24"/>
                                    </w:rPr>
                                    <w:t>查询时间：投标截止时间前；</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07"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40" w:line="247" w:lineRule="exact"/>
                                    <w:ind w:left="104"/>
                                    <w:rPr>
                                      <w:sz w:val="24"/>
                                    </w:rPr>
                                  </w:pPr>
                                  <w:r>
                                    <w:rPr>
                                      <w:spacing w:val="-2"/>
                                      <w:sz w:val="24"/>
                                    </w:rPr>
                                    <w:t>查询人：投标供应商</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49" w:hRule="atLeast"/>
                              </w:trPr>
                              <w:tc>
                                <w:tcPr>
                                  <w:tcW w:w="680" w:type="dxa"/>
                                  <w:tcBorders>
                                    <w:top w:val="nil"/>
                                    <w:bottom w:val="nil"/>
                                    <w:right w:val="single" w:color="000000" w:sz="6" w:space="0"/>
                                  </w:tcBorders>
                                </w:tcPr>
                                <w:p>
                                  <w:pPr>
                                    <w:pStyle w:val="274"/>
                                    <w:spacing w:before="84"/>
                                    <w:jc w:val="center"/>
                                    <w:rPr>
                                      <w:sz w:val="24"/>
                                    </w:rPr>
                                  </w:pPr>
                                  <w:r>
                                    <w:rPr>
                                      <w:spacing w:val="-10"/>
                                      <w:sz w:val="24"/>
                                    </w:rPr>
                                    <w:t>4</w:t>
                                  </w:r>
                                </w:p>
                              </w:tc>
                              <w:tc>
                                <w:tcPr>
                                  <w:tcW w:w="1201" w:type="dxa"/>
                                  <w:tcBorders>
                                    <w:top w:val="nil"/>
                                    <w:left w:val="single" w:color="000000" w:sz="6" w:space="0"/>
                                    <w:bottom w:val="nil"/>
                                    <w:right w:val="single" w:color="000000" w:sz="6" w:space="0"/>
                                  </w:tcBorders>
                                </w:tcPr>
                                <w:p>
                                  <w:pPr>
                                    <w:pStyle w:val="274"/>
                                    <w:spacing w:line="267" w:lineRule="exact"/>
                                    <w:ind w:left="117"/>
                                    <w:rPr>
                                      <w:sz w:val="24"/>
                                    </w:rPr>
                                  </w:pPr>
                                  <w:r>
                                    <w:rPr>
                                      <w:spacing w:val="-3"/>
                                      <w:sz w:val="24"/>
                                    </w:rPr>
                                    <w:t>供应商信</w:t>
                                  </w:r>
                                </w:p>
                                <w:p>
                                  <w:pPr>
                                    <w:pStyle w:val="274"/>
                                    <w:spacing w:before="4" w:line="258" w:lineRule="exact"/>
                                    <w:ind w:left="237"/>
                                    <w:rPr>
                                      <w:sz w:val="24"/>
                                    </w:rPr>
                                  </w:pPr>
                                  <w:r>
                                    <w:rPr>
                                      <w:spacing w:val="-4"/>
                                      <w:sz w:val="24"/>
                                    </w:rPr>
                                    <w:t>用记录</w:t>
                                  </w:r>
                                </w:p>
                              </w:tc>
                              <w:tc>
                                <w:tcPr>
                                  <w:tcW w:w="5853" w:type="dxa"/>
                                  <w:tcBorders>
                                    <w:top w:val="nil"/>
                                    <w:left w:val="single" w:color="000000" w:sz="6" w:space="0"/>
                                    <w:bottom w:val="nil"/>
                                    <w:right w:val="single" w:color="000000" w:sz="6" w:space="0"/>
                                  </w:tcBorders>
                                </w:tcPr>
                                <w:p>
                                  <w:pPr>
                                    <w:pStyle w:val="274"/>
                                    <w:spacing w:before="178"/>
                                    <w:ind w:left="104"/>
                                    <w:rPr>
                                      <w:sz w:val="24"/>
                                    </w:rPr>
                                  </w:pPr>
                                  <w:r>
                                    <w:rPr>
                                      <w:spacing w:val="-1"/>
                                      <w:sz w:val="24"/>
                                    </w:rPr>
                                    <w:t>信用信息查询记录和证据留存具体方式：查询结果网</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296"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line="276" w:lineRule="exact"/>
                                    <w:ind w:left="104"/>
                                    <w:rPr>
                                      <w:sz w:val="24"/>
                                    </w:rPr>
                                  </w:pPr>
                                  <w:r>
                                    <w:rPr>
                                      <w:spacing w:val="-1"/>
                                      <w:sz w:val="24"/>
                                    </w:rPr>
                                    <w:t>页打印页作为查询记录和证据，与其他采购文件一并</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427"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18"/>
                                    <w:ind w:left="104"/>
                                    <w:rPr>
                                      <w:sz w:val="24"/>
                                    </w:rPr>
                                  </w:pPr>
                                  <w:r>
                                    <w:rPr>
                                      <w:spacing w:val="-4"/>
                                      <w:sz w:val="24"/>
                                    </w:rPr>
                                    <w:t>保存；</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470" w:hRule="atLeast"/>
                              </w:trPr>
                              <w:tc>
                                <w:tcPr>
                                  <w:tcW w:w="680" w:type="dxa"/>
                                  <w:tcBorders>
                                    <w:top w:val="nil"/>
                                    <w:right w:val="single" w:color="000000" w:sz="6" w:space="0"/>
                                  </w:tcBorders>
                                </w:tcPr>
                                <w:p>
                                  <w:pPr>
                                    <w:pStyle w:val="274"/>
                                    <w:rPr>
                                      <w:rFonts w:ascii="Times New Roman"/>
                                      <w:sz w:val="22"/>
                                    </w:rPr>
                                  </w:pPr>
                                </w:p>
                              </w:tc>
                              <w:tc>
                                <w:tcPr>
                                  <w:tcW w:w="1201" w:type="dxa"/>
                                  <w:tcBorders>
                                    <w:top w:val="nil"/>
                                    <w:left w:val="single" w:color="000000" w:sz="6" w:space="0"/>
                                    <w:right w:val="single" w:color="000000" w:sz="6" w:space="0"/>
                                  </w:tcBorders>
                                </w:tcPr>
                                <w:p>
                                  <w:pPr>
                                    <w:pStyle w:val="274"/>
                                    <w:rPr>
                                      <w:rFonts w:ascii="Times New Roman"/>
                                      <w:sz w:val="22"/>
                                    </w:rPr>
                                  </w:pPr>
                                </w:p>
                              </w:tc>
                              <w:tc>
                                <w:tcPr>
                                  <w:tcW w:w="5853" w:type="dxa"/>
                                  <w:tcBorders>
                                    <w:top w:val="nil"/>
                                    <w:left w:val="single" w:color="000000" w:sz="6" w:space="0"/>
                                    <w:right w:val="single" w:color="000000" w:sz="6" w:space="0"/>
                                  </w:tcBorders>
                                </w:tcPr>
                                <w:p>
                                  <w:pPr>
                                    <w:pStyle w:val="274"/>
                                    <w:spacing w:before="101"/>
                                    <w:ind w:left="104"/>
                                    <w:rPr>
                                      <w:sz w:val="24"/>
                                    </w:rPr>
                                  </w:pPr>
                                  <w:r>
                                    <w:rPr>
                                      <w:spacing w:val="-1"/>
                                      <w:sz w:val="24"/>
                                    </w:rPr>
                                    <w:t>信用信息的使用原则：供应商在“信用中国”网站被</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bl>
                          <w:p>
                            <w:pPr>
                              <w:pStyle w:val="17"/>
                              <w:ind w:left="0"/>
                            </w:pPr>
                          </w:p>
                        </w:txbxContent>
                      </wps:txbx>
                      <wps:bodyPr wrap="square" lIns="0" tIns="0" rIns="0" bIns="0" rtlCol="0">
                        <a:noAutofit/>
                      </wps:bodyPr>
                    </wps:wsp>
                  </a:graphicData>
                </a:graphic>
              </wp:anchor>
            </w:drawing>
          </mc:Choice>
          <mc:Fallback>
            <w:pict>
              <v:shape id="Textbox 36" o:spid="_x0000_s1026" o:spt="202" type="#_x0000_t202" style="position:absolute;left:0pt;margin-left:62.35pt;margin-top:56.4pt;height:537.7pt;width:470.6pt;mso-position-horizontal-relative:page;z-index:251659264;mso-width-relative:page;mso-height-relative:page;" filled="f" stroked="f" coordsize="21600,21600" o:gfxdata="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BYdLBp2QAAAA0BAAAPAAAAAAAAAAEAIAAA&#10;ACIAAABkcnMvZG93bnJldi54bWxQSwECFAAUAAAACACHTuJA9FFF/pkBAAApAwAADgAAAAAAAAAB&#10;ACAAAAAoAQAAZHJzL2Uyb0RvYy54bWxQSwUGAAAAAAYABgBZAQAAMwUAAAAA&#10;">
                <v:fill on="f" focussize="0,0"/>
                <v:stroke on="f"/>
                <v:imagedata o:title=""/>
                <o:lock v:ext="edit" aspectratio="f"/>
                <v:textbox inset="0mm,0mm,0mm,0mm">
                  <w:txbxContent>
                    <w:tbl>
                      <w:tblPr>
                        <w:tblStyle w:val="44"/>
                        <w:tblW w:w="9282" w:type="dxa"/>
                        <w:tblInd w:w="65"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680"/>
                        <w:gridCol w:w="1201"/>
                        <w:gridCol w:w="5853"/>
                        <w:gridCol w:w="540"/>
                        <w:gridCol w:w="442"/>
                        <w:gridCol w:w="566"/>
                      </w:tblGrid>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38" w:hRule="atLeast"/>
                        </w:trPr>
                        <w:tc>
                          <w:tcPr>
                            <w:tcW w:w="680" w:type="dxa"/>
                            <w:vMerge w:val="restart"/>
                            <w:tcBorders>
                              <w:bottom w:val="single" w:color="000000" w:sz="6" w:space="0"/>
                              <w:right w:val="single" w:color="000000" w:sz="6" w:space="0"/>
                            </w:tcBorders>
                          </w:tcPr>
                          <w:p>
                            <w:pPr>
                              <w:pStyle w:val="274"/>
                              <w:spacing w:before="261" w:line="290" w:lineRule="auto"/>
                              <w:ind w:left="208" w:right="206"/>
                              <w:rPr>
                                <w:sz w:val="24"/>
                              </w:rPr>
                            </w:pPr>
                            <w:r>
                              <w:rPr>
                                <w:spacing w:val="-10"/>
                                <w:sz w:val="24"/>
                              </w:rPr>
                              <w:t>序号</w:t>
                            </w:r>
                          </w:p>
                        </w:tc>
                        <w:tc>
                          <w:tcPr>
                            <w:tcW w:w="1201"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114"/>
                              <w:rPr>
                                <w:sz w:val="24"/>
                              </w:rPr>
                            </w:pPr>
                            <w:r>
                              <w:rPr>
                                <w:spacing w:val="-3"/>
                                <w:sz w:val="24"/>
                              </w:rPr>
                              <w:t>审查项目</w:t>
                            </w:r>
                          </w:p>
                        </w:tc>
                        <w:tc>
                          <w:tcPr>
                            <w:tcW w:w="5853"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8"/>
                              <w:jc w:val="center"/>
                              <w:rPr>
                                <w:sz w:val="24"/>
                              </w:rPr>
                            </w:pPr>
                            <w:r>
                              <w:rPr>
                                <w:spacing w:val="-3"/>
                                <w:sz w:val="24"/>
                              </w:rPr>
                              <w:t>审查标准</w:t>
                            </w:r>
                          </w:p>
                        </w:tc>
                        <w:tc>
                          <w:tcPr>
                            <w:tcW w:w="1548" w:type="dxa"/>
                            <w:gridSpan w:val="3"/>
                            <w:tcBorders>
                              <w:left w:val="single" w:color="000000" w:sz="6" w:space="0"/>
                              <w:bottom w:val="single" w:color="000000" w:sz="4" w:space="0"/>
                            </w:tcBorders>
                          </w:tcPr>
                          <w:p>
                            <w:pPr>
                              <w:pStyle w:val="274"/>
                              <w:spacing w:before="170"/>
                              <w:ind w:left="409"/>
                              <w:rPr>
                                <w:sz w:val="24"/>
                              </w:rPr>
                            </w:pPr>
                            <w:r>
                              <w:rPr>
                                <w:spacing w:val="-4"/>
                                <w:sz w:val="24"/>
                              </w:rPr>
                              <w:t>投标人</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42" w:hRule="atLeast"/>
                        </w:trPr>
                        <w:tc>
                          <w:tcPr>
                            <w:tcW w:w="680" w:type="dxa"/>
                            <w:vMerge w:val="continue"/>
                            <w:tcBorders>
                              <w:top w:val="nil"/>
                              <w:bottom w:val="single" w:color="000000" w:sz="6" w:space="0"/>
                              <w:right w:val="single" w:color="000000" w:sz="6" w:space="0"/>
                            </w:tcBorders>
                          </w:tcPr>
                          <w:p>
                            <w:pPr>
                              <w:rPr>
                                <w:sz w:val="2"/>
                                <w:szCs w:val="2"/>
                              </w:rPr>
                            </w:pPr>
                          </w:p>
                        </w:tc>
                        <w:tc>
                          <w:tcPr>
                            <w:tcW w:w="1201" w:type="dxa"/>
                            <w:vMerge w:val="continue"/>
                            <w:tcBorders>
                              <w:top w:val="nil"/>
                              <w:left w:val="single" w:color="000000" w:sz="6" w:space="0"/>
                              <w:bottom w:val="single" w:color="000000" w:sz="6" w:space="0"/>
                              <w:right w:val="single" w:color="000000" w:sz="6" w:space="0"/>
                            </w:tcBorders>
                          </w:tcPr>
                          <w:p>
                            <w:pPr>
                              <w:rPr>
                                <w:sz w:val="2"/>
                                <w:szCs w:val="2"/>
                              </w:rPr>
                            </w:pPr>
                          </w:p>
                        </w:tc>
                        <w:tc>
                          <w:tcPr>
                            <w:tcW w:w="5853" w:type="dxa"/>
                            <w:vMerge w:val="continue"/>
                            <w:tcBorders>
                              <w:top w:val="nil"/>
                              <w:left w:val="single" w:color="000000" w:sz="6" w:space="0"/>
                              <w:bottom w:val="single" w:color="000000" w:sz="6" w:space="0"/>
                              <w:right w:val="single" w:color="000000" w:sz="6" w:space="0"/>
                            </w:tcBorders>
                          </w:tcPr>
                          <w:p>
                            <w:pPr>
                              <w:rPr>
                                <w:sz w:val="2"/>
                                <w:szCs w:val="2"/>
                              </w:rPr>
                            </w:pPr>
                          </w:p>
                        </w:tc>
                        <w:tc>
                          <w:tcPr>
                            <w:tcW w:w="540"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4"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1498" w:hRule="atLeast"/>
                        </w:trPr>
                        <w:tc>
                          <w:tcPr>
                            <w:tcW w:w="680" w:type="dxa"/>
                            <w:tcBorders>
                              <w:top w:val="single" w:color="000000" w:sz="6" w:space="0"/>
                              <w:bottom w:val="single" w:color="000000" w:sz="6" w:space="0"/>
                              <w:right w:val="single" w:color="000000" w:sz="6" w:space="0"/>
                            </w:tcBorders>
                          </w:tcPr>
                          <w:p>
                            <w:pPr>
                              <w:pStyle w:val="274"/>
                              <w:rPr>
                                <w:sz w:val="24"/>
                              </w:rPr>
                            </w:pPr>
                          </w:p>
                          <w:p>
                            <w:pPr>
                              <w:pStyle w:val="274"/>
                              <w:rPr>
                                <w:sz w:val="24"/>
                              </w:rPr>
                            </w:pPr>
                          </w:p>
                          <w:p>
                            <w:pPr>
                              <w:pStyle w:val="274"/>
                              <w:spacing w:before="178"/>
                              <w:rPr>
                                <w:sz w:val="24"/>
                              </w:rPr>
                            </w:pPr>
                          </w:p>
                          <w:p>
                            <w:pPr>
                              <w:pStyle w:val="274"/>
                              <w:spacing w:before="1"/>
                              <w:jc w:val="center"/>
                              <w:rPr>
                                <w:sz w:val="24"/>
                              </w:rPr>
                            </w:pPr>
                            <w:r>
                              <w:rPr>
                                <w:spacing w:val="-10"/>
                                <w:sz w:val="24"/>
                              </w:rPr>
                              <w:t>1</w:t>
                            </w:r>
                          </w:p>
                        </w:tc>
                        <w:tc>
                          <w:tcPr>
                            <w:tcW w:w="1201" w:type="dxa"/>
                            <w:tcBorders>
                              <w:top w:val="single" w:color="000000" w:sz="6" w:space="0"/>
                              <w:left w:val="single" w:color="000000" w:sz="6" w:space="0"/>
                              <w:bottom w:val="single" w:color="000000" w:sz="6" w:space="0"/>
                              <w:right w:val="single" w:color="000000" w:sz="6" w:space="0"/>
                            </w:tcBorders>
                            <w:vAlign w:val="center"/>
                          </w:tcPr>
                          <w:p>
                            <w:pPr>
                              <w:pStyle w:val="274"/>
                              <w:spacing w:line="290" w:lineRule="auto"/>
                              <w:ind w:left="117" w:right="106"/>
                              <w:jc w:val="center"/>
                              <w:rPr>
                                <w:sz w:val="24"/>
                              </w:rPr>
                            </w:pPr>
                            <w:r>
                              <w:rPr>
                                <w:spacing w:val="-4"/>
                                <w:sz w:val="24"/>
                              </w:rPr>
                              <w:t>营业执照等证明文</w:t>
                            </w:r>
                            <w:r>
                              <w:rPr>
                                <w:spacing w:val="-10"/>
                                <w:sz w:val="24"/>
                              </w:rPr>
                              <w:t>件</w:t>
                            </w:r>
                          </w:p>
                        </w:tc>
                        <w:tc>
                          <w:tcPr>
                            <w:tcW w:w="5853" w:type="dxa"/>
                            <w:tcBorders>
                              <w:top w:val="single" w:color="000000" w:sz="6" w:space="0"/>
                              <w:left w:val="single" w:color="000000" w:sz="6" w:space="0"/>
                              <w:bottom w:val="single" w:color="000000" w:sz="6" w:space="0"/>
                              <w:right w:val="single" w:color="000000" w:sz="6" w:space="0"/>
                            </w:tcBorders>
                            <w:vAlign w:val="center"/>
                          </w:tcPr>
                          <w:p>
                            <w:pPr>
                              <w:pStyle w:val="274"/>
                              <w:spacing w:before="7"/>
                              <w:ind w:left="104"/>
                              <w:jc w:val="both"/>
                              <w:rPr>
                                <w:sz w:val="24"/>
                              </w:rPr>
                            </w:pPr>
                            <w:r>
                              <w:rPr>
                                <w:spacing w:val="3"/>
                                <w:sz w:val="24"/>
                              </w:rPr>
                              <w:t>法人或者其他组织的营业执照等主体资格证明文件，自然人的身份证明：供应商为法人的，应提交营业执</w:t>
                            </w:r>
                            <w:r>
                              <w:rPr>
                                <w:spacing w:val="-1"/>
                                <w:sz w:val="24"/>
                              </w:rPr>
                              <w:t>照或法人登记证书的复印件；投标人为非法人组织的，</w:t>
                            </w:r>
                            <w:r>
                              <w:rPr>
                                <w:spacing w:val="-2"/>
                                <w:sz w:val="24"/>
                              </w:rPr>
                              <w:t>应提交依法登记证书复印件</w:t>
                            </w:r>
                            <w:r>
                              <w:rPr>
                                <w:spacing w:val="-1"/>
                                <w:sz w:val="24"/>
                              </w:rPr>
                              <w:t>。</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1661" w:hRule="atLeast"/>
                        </w:trPr>
                        <w:tc>
                          <w:tcPr>
                            <w:tcW w:w="680" w:type="dxa"/>
                            <w:tcBorders>
                              <w:top w:val="single" w:color="000000" w:sz="6" w:space="0"/>
                              <w:bottom w:val="single" w:color="000000" w:sz="6" w:space="0"/>
                              <w:right w:val="single" w:color="000000" w:sz="6" w:space="0"/>
                            </w:tcBorders>
                          </w:tcPr>
                          <w:p>
                            <w:pPr>
                              <w:pStyle w:val="274"/>
                              <w:rPr>
                                <w:sz w:val="24"/>
                              </w:rPr>
                            </w:pPr>
                          </w:p>
                          <w:p>
                            <w:pPr>
                              <w:pStyle w:val="274"/>
                              <w:spacing w:before="115"/>
                              <w:rPr>
                                <w:sz w:val="24"/>
                              </w:rPr>
                            </w:pPr>
                          </w:p>
                          <w:p>
                            <w:pPr>
                              <w:pStyle w:val="274"/>
                              <w:jc w:val="center"/>
                              <w:rPr>
                                <w:sz w:val="24"/>
                              </w:rPr>
                            </w:pPr>
                            <w:r>
                              <w:rPr>
                                <w:spacing w:val="-10"/>
                                <w:sz w:val="24"/>
                              </w:rPr>
                              <w:t>2</w:t>
                            </w:r>
                          </w:p>
                        </w:tc>
                        <w:tc>
                          <w:tcPr>
                            <w:tcW w:w="1201" w:type="dxa"/>
                            <w:tcBorders>
                              <w:top w:val="single" w:color="000000" w:sz="6" w:space="0"/>
                              <w:left w:val="single" w:color="000000" w:sz="6" w:space="0"/>
                              <w:bottom w:val="single" w:color="000000" w:sz="6" w:space="0"/>
                              <w:right w:val="single" w:color="000000" w:sz="6" w:space="0"/>
                            </w:tcBorders>
                          </w:tcPr>
                          <w:p>
                            <w:pPr>
                              <w:pStyle w:val="274"/>
                              <w:spacing w:before="168" w:line="290" w:lineRule="auto"/>
                              <w:ind w:left="117" w:right="106"/>
                              <w:jc w:val="both"/>
                              <w:rPr>
                                <w:sz w:val="24"/>
                              </w:rPr>
                            </w:pPr>
                            <w:r>
                              <w:rPr>
                                <w:spacing w:val="-4"/>
                                <w:sz w:val="24"/>
                              </w:rPr>
                              <w:t>法定代表人（单位</w:t>
                            </w:r>
                            <w:r>
                              <w:rPr>
                                <w:sz w:val="24"/>
                              </w:rPr>
                              <w:t>负责人</w:t>
                            </w:r>
                            <w:r>
                              <w:rPr>
                                <w:spacing w:val="-10"/>
                                <w:sz w:val="24"/>
                              </w:rPr>
                              <w:t>）</w:t>
                            </w:r>
                          </w:p>
                          <w:p>
                            <w:pPr>
                              <w:pStyle w:val="274"/>
                              <w:spacing w:before="5"/>
                              <w:ind w:left="237"/>
                              <w:rPr>
                                <w:sz w:val="24"/>
                              </w:rPr>
                            </w:pPr>
                            <w:r>
                              <w:rPr>
                                <w:spacing w:val="-4"/>
                                <w:sz w:val="24"/>
                              </w:rPr>
                              <w:t>授权书</w:t>
                            </w:r>
                          </w:p>
                        </w:tc>
                        <w:tc>
                          <w:tcPr>
                            <w:tcW w:w="5853" w:type="dxa"/>
                            <w:tcBorders>
                              <w:top w:val="single" w:color="000000" w:sz="6" w:space="0"/>
                              <w:left w:val="single" w:color="000000" w:sz="6" w:space="0"/>
                              <w:bottom w:val="single" w:color="000000" w:sz="6" w:space="0"/>
                              <w:right w:val="single" w:color="000000" w:sz="6" w:space="0"/>
                            </w:tcBorders>
                          </w:tcPr>
                          <w:p>
                            <w:pPr>
                              <w:pStyle w:val="274"/>
                              <w:spacing w:before="168"/>
                              <w:ind w:left="104"/>
                              <w:rPr>
                                <w:sz w:val="24"/>
                              </w:rPr>
                            </w:pPr>
                            <w:r>
                              <w:rPr>
                                <w:sz w:val="24"/>
                              </w:rPr>
                              <w:t>投标人代表是法人（单位负责人）</w:t>
                            </w:r>
                            <w:r>
                              <w:rPr>
                                <w:spacing w:val="-2"/>
                                <w:sz w:val="24"/>
                              </w:rPr>
                              <w:t>的持有法定代表人</w:t>
                            </w:r>
                          </w:p>
                          <w:p>
                            <w:pPr>
                              <w:pStyle w:val="274"/>
                              <w:spacing w:before="67" w:line="290" w:lineRule="auto"/>
                              <w:ind w:left="104" w:right="94"/>
                              <w:rPr>
                                <w:sz w:val="24"/>
                              </w:rPr>
                            </w:pPr>
                            <w:r>
                              <w:rPr>
                                <w:spacing w:val="-6"/>
                                <w:sz w:val="24"/>
                              </w:rPr>
                              <w:t>（单位负责人）身份证明，不是投标人法定代表人（单</w:t>
                            </w:r>
                            <w:r>
                              <w:rPr>
                                <w:spacing w:val="-2"/>
                                <w:sz w:val="24"/>
                              </w:rPr>
                              <w:t>位负责人）的，应持有法定代表人（单位负责人）授</w:t>
                            </w:r>
                          </w:p>
                          <w:p>
                            <w:pPr>
                              <w:pStyle w:val="274"/>
                              <w:spacing w:before="3"/>
                              <w:ind w:left="104"/>
                              <w:rPr>
                                <w:sz w:val="24"/>
                              </w:rPr>
                            </w:pPr>
                            <w:r>
                              <w:rPr>
                                <w:sz w:val="24"/>
                              </w:rPr>
                              <w:t>权书，并附法定代表人（单位负责人）</w:t>
                            </w:r>
                            <w:r>
                              <w:rPr>
                                <w:spacing w:val="-2"/>
                                <w:sz w:val="24"/>
                              </w:rPr>
                              <w:t>身份证明。</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1824" w:hRule="atLeast"/>
                        </w:trPr>
                        <w:tc>
                          <w:tcPr>
                            <w:tcW w:w="680" w:type="dxa"/>
                            <w:tcBorders>
                              <w:top w:val="single" w:color="000000" w:sz="6" w:space="0"/>
                              <w:bottom w:val="nil"/>
                              <w:right w:val="single" w:color="000000" w:sz="6" w:space="0"/>
                            </w:tcBorders>
                          </w:tcPr>
                          <w:p>
                            <w:pPr>
                              <w:pStyle w:val="274"/>
                              <w:rPr>
                                <w:sz w:val="24"/>
                              </w:rPr>
                            </w:pPr>
                          </w:p>
                          <w:p>
                            <w:pPr>
                              <w:pStyle w:val="274"/>
                              <w:rPr>
                                <w:sz w:val="24"/>
                              </w:rPr>
                            </w:pPr>
                          </w:p>
                          <w:p>
                            <w:pPr>
                              <w:pStyle w:val="274"/>
                              <w:spacing w:before="63"/>
                              <w:rPr>
                                <w:sz w:val="24"/>
                              </w:rPr>
                            </w:pPr>
                          </w:p>
                          <w:p>
                            <w:pPr>
                              <w:pStyle w:val="274"/>
                              <w:jc w:val="center"/>
                              <w:rPr>
                                <w:sz w:val="24"/>
                              </w:rPr>
                            </w:pPr>
                            <w:r>
                              <w:rPr>
                                <w:spacing w:val="-10"/>
                                <w:sz w:val="24"/>
                              </w:rPr>
                              <w:t>3</w:t>
                            </w:r>
                          </w:p>
                        </w:tc>
                        <w:tc>
                          <w:tcPr>
                            <w:tcW w:w="1201" w:type="dxa"/>
                            <w:tcBorders>
                              <w:top w:val="single" w:color="000000" w:sz="6" w:space="0"/>
                              <w:left w:val="single" w:color="000000" w:sz="6" w:space="0"/>
                              <w:bottom w:val="nil"/>
                              <w:right w:val="single" w:color="000000" w:sz="6" w:space="0"/>
                            </w:tcBorders>
                          </w:tcPr>
                          <w:p>
                            <w:pPr>
                              <w:pStyle w:val="274"/>
                              <w:spacing w:before="119"/>
                              <w:rPr>
                                <w:sz w:val="24"/>
                              </w:rPr>
                            </w:pPr>
                          </w:p>
                          <w:p>
                            <w:pPr>
                              <w:pStyle w:val="274"/>
                              <w:spacing w:line="290" w:lineRule="auto"/>
                              <w:ind w:left="117" w:right="106"/>
                              <w:jc w:val="both"/>
                              <w:rPr>
                                <w:sz w:val="24"/>
                              </w:rPr>
                            </w:pPr>
                            <w:r>
                              <w:rPr>
                                <w:spacing w:val="-4"/>
                                <w:sz w:val="24"/>
                              </w:rPr>
                              <w:t>湖南省政府采购供</w:t>
                            </w:r>
                            <w:r>
                              <w:rPr>
                                <w:spacing w:val="-3"/>
                                <w:sz w:val="24"/>
                              </w:rPr>
                              <w:t>应商资格</w:t>
                            </w:r>
                          </w:p>
                          <w:p>
                            <w:pPr>
                              <w:pStyle w:val="274"/>
                              <w:spacing w:before="2" w:line="259" w:lineRule="exact"/>
                              <w:ind w:left="237"/>
                              <w:rPr>
                                <w:sz w:val="24"/>
                              </w:rPr>
                            </w:pPr>
                            <w:r>
                              <w:rPr>
                                <w:spacing w:val="-4"/>
                                <w:sz w:val="24"/>
                              </w:rPr>
                              <w:t>承诺函</w:t>
                            </w:r>
                          </w:p>
                        </w:tc>
                        <w:tc>
                          <w:tcPr>
                            <w:tcW w:w="5853" w:type="dxa"/>
                            <w:tcBorders>
                              <w:top w:val="single" w:color="000000" w:sz="6" w:space="0"/>
                              <w:left w:val="single" w:color="000000" w:sz="6" w:space="0"/>
                              <w:bottom w:val="nil"/>
                              <w:right w:val="single" w:color="000000" w:sz="6" w:space="0"/>
                            </w:tcBorders>
                          </w:tcPr>
                          <w:p>
                            <w:pPr>
                              <w:pStyle w:val="274"/>
                              <w:spacing w:before="213" w:line="312" w:lineRule="auto"/>
                              <w:ind w:left="104" w:right="211"/>
                              <w:jc w:val="both"/>
                              <w:rPr>
                                <w:sz w:val="24"/>
                              </w:rPr>
                            </w:pPr>
                            <w:r>
                              <w:rPr>
                                <w:spacing w:val="-2"/>
                                <w:sz w:val="24"/>
                              </w:rPr>
                              <w:t>投标人是否承诺独立承担民事责任、具有良好的商业信誉和健全的财务会计制度、依法缴纳税收和社会保</w:t>
                            </w:r>
                            <w:r>
                              <w:rPr>
                                <w:spacing w:val="-1"/>
                                <w:sz w:val="24"/>
                              </w:rPr>
                              <w:t>障资金,在前三年的经营活动中无重大违法记录,未列</w:t>
                            </w:r>
                          </w:p>
                          <w:p>
                            <w:pPr>
                              <w:pStyle w:val="274"/>
                              <w:spacing w:line="306" w:lineRule="exact"/>
                              <w:ind w:left="104"/>
                              <w:rPr>
                                <w:sz w:val="24"/>
                              </w:rPr>
                            </w:pPr>
                            <w:r>
                              <w:rPr>
                                <w:spacing w:val="-1"/>
                                <w:sz w:val="24"/>
                              </w:rPr>
                              <w:t>入严重失信行为名单,符合政府采购供应商的基本资</w:t>
                            </w:r>
                          </w:p>
                        </w:tc>
                        <w:tc>
                          <w:tcPr>
                            <w:tcW w:w="540" w:type="dxa"/>
                            <w:vMerge w:val="restart"/>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vMerge w:val="restart"/>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vMerge w:val="restart"/>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35" w:hRule="atLeast"/>
                        </w:trPr>
                        <w:tc>
                          <w:tcPr>
                            <w:tcW w:w="680" w:type="dxa"/>
                            <w:tcBorders>
                              <w:top w:val="nil"/>
                              <w:bottom w:val="single" w:color="000000" w:sz="6" w:space="0"/>
                              <w:right w:val="single" w:color="000000" w:sz="6" w:space="0"/>
                            </w:tcBorders>
                          </w:tcPr>
                          <w:p>
                            <w:pPr>
                              <w:pStyle w:val="274"/>
                              <w:rPr>
                                <w:rFonts w:ascii="Times New Roman"/>
                                <w:sz w:val="22"/>
                              </w:rPr>
                            </w:pPr>
                          </w:p>
                        </w:tc>
                        <w:tc>
                          <w:tcPr>
                            <w:tcW w:w="1201" w:type="dxa"/>
                            <w:tcBorders>
                              <w:top w:val="nil"/>
                              <w:left w:val="single" w:color="000000" w:sz="6" w:space="0"/>
                              <w:bottom w:val="single" w:color="000000" w:sz="6" w:space="0"/>
                              <w:right w:val="single" w:color="000000" w:sz="6" w:space="0"/>
                            </w:tcBorders>
                          </w:tcPr>
                          <w:p>
                            <w:pPr>
                              <w:pStyle w:val="274"/>
                              <w:rPr>
                                <w:rFonts w:ascii="Times New Roman"/>
                                <w:sz w:val="22"/>
                              </w:rPr>
                            </w:pPr>
                          </w:p>
                        </w:tc>
                        <w:tc>
                          <w:tcPr>
                            <w:tcW w:w="5853" w:type="dxa"/>
                            <w:tcBorders>
                              <w:top w:val="nil"/>
                              <w:left w:val="single" w:color="000000" w:sz="6" w:space="0"/>
                              <w:bottom w:val="single" w:color="000000" w:sz="6" w:space="0"/>
                              <w:right w:val="single" w:color="000000" w:sz="6" w:space="0"/>
                            </w:tcBorders>
                          </w:tcPr>
                          <w:p>
                            <w:pPr>
                              <w:pStyle w:val="274"/>
                              <w:spacing w:line="279" w:lineRule="exact"/>
                              <w:ind w:left="104"/>
                              <w:rPr>
                                <w:sz w:val="24"/>
                              </w:rPr>
                            </w:pPr>
                            <w:r>
                              <w:rPr>
                                <w:spacing w:val="-3"/>
                                <w:sz w:val="24"/>
                              </w:rPr>
                              <w:t>格要求。</w:t>
                            </w:r>
                          </w:p>
                        </w:tc>
                        <w:tc>
                          <w:tcPr>
                            <w:tcW w:w="540" w:type="dxa"/>
                            <w:vMerge w:val="continue"/>
                            <w:tcBorders>
                              <w:top w:val="nil"/>
                              <w:left w:val="single" w:color="000000" w:sz="6" w:space="0"/>
                              <w:bottom w:val="single" w:color="000000" w:sz="6" w:space="0"/>
                              <w:right w:val="single" w:color="000000" w:sz="6" w:space="0"/>
                            </w:tcBorders>
                          </w:tcPr>
                          <w:p>
                            <w:pPr>
                              <w:rPr>
                                <w:sz w:val="2"/>
                                <w:szCs w:val="2"/>
                              </w:rPr>
                            </w:pPr>
                          </w:p>
                        </w:tc>
                        <w:tc>
                          <w:tcPr>
                            <w:tcW w:w="442" w:type="dxa"/>
                            <w:vMerge w:val="continue"/>
                            <w:tcBorders>
                              <w:top w:val="nil"/>
                              <w:left w:val="single" w:color="000000" w:sz="6" w:space="0"/>
                              <w:bottom w:val="single" w:color="000000" w:sz="6" w:space="0"/>
                              <w:right w:val="single" w:color="000000" w:sz="6" w:space="0"/>
                            </w:tcBorders>
                          </w:tcPr>
                          <w:p>
                            <w:pPr>
                              <w:rPr>
                                <w:sz w:val="2"/>
                                <w:szCs w:val="2"/>
                              </w:rPr>
                            </w:pPr>
                          </w:p>
                        </w:tc>
                        <w:tc>
                          <w:tcPr>
                            <w:tcW w:w="566" w:type="dxa"/>
                            <w:vMerge w:val="continue"/>
                            <w:tcBorders>
                              <w:top w:val="nil"/>
                              <w:left w:val="single" w:color="000000" w:sz="6" w:space="0"/>
                              <w:bottom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27" w:hRule="atLeast"/>
                        </w:trPr>
                        <w:tc>
                          <w:tcPr>
                            <w:tcW w:w="680" w:type="dxa"/>
                            <w:tcBorders>
                              <w:top w:val="single" w:color="000000" w:sz="6" w:space="0"/>
                              <w:bottom w:val="nil"/>
                              <w:right w:val="single" w:color="000000" w:sz="6" w:space="0"/>
                            </w:tcBorders>
                          </w:tcPr>
                          <w:p>
                            <w:pPr>
                              <w:pStyle w:val="274"/>
                              <w:rPr>
                                <w:rFonts w:ascii="Times New Roman"/>
                                <w:sz w:val="22"/>
                              </w:rPr>
                            </w:pPr>
                          </w:p>
                        </w:tc>
                        <w:tc>
                          <w:tcPr>
                            <w:tcW w:w="1201" w:type="dxa"/>
                            <w:tcBorders>
                              <w:top w:val="single" w:color="000000" w:sz="6" w:space="0"/>
                              <w:left w:val="single" w:color="000000" w:sz="6" w:space="0"/>
                              <w:bottom w:val="nil"/>
                              <w:right w:val="single" w:color="000000" w:sz="6" w:space="0"/>
                            </w:tcBorders>
                          </w:tcPr>
                          <w:p>
                            <w:pPr>
                              <w:pStyle w:val="274"/>
                              <w:rPr>
                                <w:rFonts w:ascii="Times New Roman"/>
                                <w:sz w:val="22"/>
                              </w:rPr>
                            </w:pPr>
                          </w:p>
                        </w:tc>
                        <w:tc>
                          <w:tcPr>
                            <w:tcW w:w="5853" w:type="dxa"/>
                            <w:tcBorders>
                              <w:top w:val="single" w:color="000000" w:sz="6" w:space="0"/>
                              <w:left w:val="single" w:color="000000" w:sz="6" w:space="0"/>
                              <w:bottom w:val="nil"/>
                              <w:right w:val="single" w:color="000000" w:sz="6" w:space="0"/>
                            </w:tcBorders>
                          </w:tcPr>
                          <w:p>
                            <w:pPr>
                              <w:pStyle w:val="274"/>
                              <w:spacing w:before="1" w:line="306" w:lineRule="exact"/>
                              <w:ind w:left="104"/>
                              <w:rPr>
                                <w:sz w:val="24"/>
                              </w:rPr>
                            </w:pPr>
                            <w:r>
                              <w:rPr>
                                <w:spacing w:val="-5"/>
                                <w:sz w:val="24"/>
                              </w:rPr>
                              <w:t xml:space="preserve">查询渠道：信用中国网站 </w:t>
                            </w:r>
                            <w:r>
                              <w:fldChar w:fldCharType="begin"/>
                            </w:r>
                            <w:r>
                              <w:instrText xml:space="preserve"> HYPERLINK "http://www.creditchina.gov.cn/" \h </w:instrText>
                            </w:r>
                            <w:r>
                              <w:fldChar w:fldCharType="separate"/>
                            </w:r>
                            <w:r>
                              <w:rPr>
                                <w:sz w:val="24"/>
                              </w:rPr>
                              <w:t>www.creditchina.gov.cn</w:t>
                            </w:r>
                            <w:r>
                              <w:rPr>
                                <w:sz w:val="24"/>
                              </w:rPr>
                              <w:fldChar w:fldCharType="end"/>
                            </w:r>
                            <w:r>
                              <w:rPr>
                                <w:spacing w:val="-10"/>
                                <w:sz w:val="24"/>
                              </w:rPr>
                              <w:t>、</w:t>
                            </w:r>
                          </w:p>
                        </w:tc>
                        <w:tc>
                          <w:tcPr>
                            <w:tcW w:w="540" w:type="dxa"/>
                            <w:vMerge w:val="restart"/>
                            <w:tcBorders>
                              <w:top w:val="single" w:color="000000" w:sz="6" w:space="0"/>
                              <w:left w:val="single" w:color="000000" w:sz="6" w:space="0"/>
                              <w:right w:val="single" w:color="000000" w:sz="6" w:space="0"/>
                            </w:tcBorders>
                          </w:tcPr>
                          <w:p>
                            <w:pPr>
                              <w:pStyle w:val="274"/>
                              <w:rPr>
                                <w:rFonts w:ascii="Times New Roman"/>
                                <w:sz w:val="22"/>
                              </w:rPr>
                            </w:pPr>
                          </w:p>
                        </w:tc>
                        <w:tc>
                          <w:tcPr>
                            <w:tcW w:w="442" w:type="dxa"/>
                            <w:vMerge w:val="restart"/>
                            <w:tcBorders>
                              <w:top w:val="single" w:color="000000" w:sz="6" w:space="0"/>
                              <w:left w:val="single" w:color="000000" w:sz="6" w:space="0"/>
                              <w:right w:val="single" w:color="000000" w:sz="6" w:space="0"/>
                            </w:tcBorders>
                          </w:tcPr>
                          <w:p>
                            <w:pPr>
                              <w:pStyle w:val="274"/>
                              <w:rPr>
                                <w:rFonts w:ascii="Times New Roman"/>
                                <w:sz w:val="22"/>
                              </w:rPr>
                            </w:pPr>
                          </w:p>
                        </w:tc>
                        <w:tc>
                          <w:tcPr>
                            <w:tcW w:w="566" w:type="dxa"/>
                            <w:vMerge w:val="restart"/>
                            <w:tcBorders>
                              <w:top w:val="single" w:color="000000" w:sz="6" w:space="0"/>
                              <w:left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44"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18" w:line="306" w:lineRule="exact"/>
                              <w:ind w:left="104"/>
                              <w:rPr>
                                <w:sz w:val="24"/>
                              </w:rPr>
                            </w:pPr>
                            <w:r>
                              <w:rPr>
                                <w:spacing w:val="-8"/>
                                <w:sz w:val="24"/>
                              </w:rPr>
                              <w:t xml:space="preserve">中国政府采购网 </w:t>
                            </w:r>
                            <w:r>
                              <w:fldChar w:fldCharType="begin"/>
                            </w:r>
                            <w:r>
                              <w:instrText xml:space="preserve"> HYPERLINK "http://www.ccgp.gov.cn/" \h </w:instrText>
                            </w:r>
                            <w:r>
                              <w:fldChar w:fldCharType="separate"/>
                            </w:r>
                            <w:r>
                              <w:rPr>
                                <w:spacing w:val="-2"/>
                                <w:sz w:val="24"/>
                              </w:rPr>
                              <w:t>www.ccgp.gov.cn</w:t>
                            </w:r>
                            <w:r>
                              <w:rPr>
                                <w:spacing w:val="-2"/>
                                <w:sz w:val="24"/>
                              </w:rPr>
                              <w:fldChar w:fldCharType="end"/>
                            </w:r>
                            <w:r>
                              <w:rPr>
                                <w:spacing w:val="-2"/>
                                <w:sz w:val="24"/>
                              </w:rPr>
                              <w:t>；</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66"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18"/>
                              <w:ind w:left="104"/>
                              <w:rPr>
                                <w:sz w:val="24"/>
                              </w:rPr>
                            </w:pPr>
                            <w:r>
                              <w:rPr>
                                <w:spacing w:val="-1"/>
                                <w:sz w:val="24"/>
                              </w:rPr>
                              <w:t>查询时间：投标截止时间前；</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307"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40" w:line="247" w:lineRule="exact"/>
                              <w:ind w:left="104"/>
                              <w:rPr>
                                <w:sz w:val="24"/>
                              </w:rPr>
                            </w:pPr>
                            <w:r>
                              <w:rPr>
                                <w:spacing w:val="-2"/>
                                <w:sz w:val="24"/>
                              </w:rPr>
                              <w:t>查询人：投标供应商</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49" w:hRule="atLeast"/>
                        </w:trPr>
                        <w:tc>
                          <w:tcPr>
                            <w:tcW w:w="680" w:type="dxa"/>
                            <w:tcBorders>
                              <w:top w:val="nil"/>
                              <w:bottom w:val="nil"/>
                              <w:right w:val="single" w:color="000000" w:sz="6" w:space="0"/>
                            </w:tcBorders>
                          </w:tcPr>
                          <w:p>
                            <w:pPr>
                              <w:pStyle w:val="274"/>
                              <w:spacing w:before="84"/>
                              <w:jc w:val="center"/>
                              <w:rPr>
                                <w:sz w:val="24"/>
                              </w:rPr>
                            </w:pPr>
                            <w:r>
                              <w:rPr>
                                <w:spacing w:val="-10"/>
                                <w:sz w:val="24"/>
                              </w:rPr>
                              <w:t>4</w:t>
                            </w:r>
                          </w:p>
                        </w:tc>
                        <w:tc>
                          <w:tcPr>
                            <w:tcW w:w="1201" w:type="dxa"/>
                            <w:tcBorders>
                              <w:top w:val="nil"/>
                              <w:left w:val="single" w:color="000000" w:sz="6" w:space="0"/>
                              <w:bottom w:val="nil"/>
                              <w:right w:val="single" w:color="000000" w:sz="6" w:space="0"/>
                            </w:tcBorders>
                          </w:tcPr>
                          <w:p>
                            <w:pPr>
                              <w:pStyle w:val="274"/>
                              <w:spacing w:line="267" w:lineRule="exact"/>
                              <w:ind w:left="117"/>
                              <w:rPr>
                                <w:sz w:val="24"/>
                              </w:rPr>
                            </w:pPr>
                            <w:r>
                              <w:rPr>
                                <w:spacing w:val="-3"/>
                                <w:sz w:val="24"/>
                              </w:rPr>
                              <w:t>供应商信</w:t>
                            </w:r>
                          </w:p>
                          <w:p>
                            <w:pPr>
                              <w:pStyle w:val="274"/>
                              <w:spacing w:before="4" w:line="258" w:lineRule="exact"/>
                              <w:ind w:left="237"/>
                              <w:rPr>
                                <w:sz w:val="24"/>
                              </w:rPr>
                            </w:pPr>
                            <w:r>
                              <w:rPr>
                                <w:spacing w:val="-4"/>
                                <w:sz w:val="24"/>
                              </w:rPr>
                              <w:t>用记录</w:t>
                            </w:r>
                          </w:p>
                        </w:tc>
                        <w:tc>
                          <w:tcPr>
                            <w:tcW w:w="5853" w:type="dxa"/>
                            <w:tcBorders>
                              <w:top w:val="nil"/>
                              <w:left w:val="single" w:color="000000" w:sz="6" w:space="0"/>
                              <w:bottom w:val="nil"/>
                              <w:right w:val="single" w:color="000000" w:sz="6" w:space="0"/>
                            </w:tcBorders>
                          </w:tcPr>
                          <w:p>
                            <w:pPr>
                              <w:pStyle w:val="274"/>
                              <w:spacing w:before="178"/>
                              <w:ind w:left="104"/>
                              <w:rPr>
                                <w:sz w:val="24"/>
                              </w:rPr>
                            </w:pPr>
                            <w:r>
                              <w:rPr>
                                <w:spacing w:val="-1"/>
                                <w:sz w:val="24"/>
                              </w:rPr>
                              <w:t>信用信息查询记录和证据留存具体方式：查询结果网</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296"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line="276" w:lineRule="exact"/>
                              <w:ind w:left="104"/>
                              <w:rPr>
                                <w:sz w:val="24"/>
                              </w:rPr>
                            </w:pPr>
                            <w:r>
                              <w:rPr>
                                <w:spacing w:val="-1"/>
                                <w:sz w:val="24"/>
                              </w:rPr>
                              <w:t>页打印页作为查询记录和证据，与其他采购文件一并</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427" w:hRule="atLeast"/>
                        </w:trPr>
                        <w:tc>
                          <w:tcPr>
                            <w:tcW w:w="680" w:type="dxa"/>
                            <w:tcBorders>
                              <w:top w:val="nil"/>
                              <w:bottom w:val="nil"/>
                              <w:right w:val="single" w:color="000000" w:sz="6" w:space="0"/>
                            </w:tcBorders>
                          </w:tcPr>
                          <w:p>
                            <w:pPr>
                              <w:pStyle w:val="274"/>
                              <w:rPr>
                                <w:rFonts w:ascii="Times New Roman"/>
                                <w:sz w:val="22"/>
                              </w:rPr>
                            </w:pPr>
                          </w:p>
                        </w:tc>
                        <w:tc>
                          <w:tcPr>
                            <w:tcW w:w="1201" w:type="dxa"/>
                            <w:tcBorders>
                              <w:top w:val="nil"/>
                              <w:left w:val="single" w:color="000000" w:sz="6" w:space="0"/>
                              <w:bottom w:val="nil"/>
                              <w:right w:val="single" w:color="000000" w:sz="6" w:space="0"/>
                            </w:tcBorders>
                          </w:tcPr>
                          <w:p>
                            <w:pPr>
                              <w:pStyle w:val="274"/>
                              <w:rPr>
                                <w:rFonts w:ascii="Times New Roman"/>
                                <w:sz w:val="22"/>
                              </w:rPr>
                            </w:pPr>
                          </w:p>
                        </w:tc>
                        <w:tc>
                          <w:tcPr>
                            <w:tcW w:w="5853" w:type="dxa"/>
                            <w:tcBorders>
                              <w:top w:val="nil"/>
                              <w:left w:val="single" w:color="000000" w:sz="6" w:space="0"/>
                              <w:bottom w:val="nil"/>
                              <w:right w:val="single" w:color="000000" w:sz="6" w:space="0"/>
                            </w:tcBorders>
                          </w:tcPr>
                          <w:p>
                            <w:pPr>
                              <w:pStyle w:val="274"/>
                              <w:spacing w:before="18"/>
                              <w:ind w:left="104"/>
                              <w:rPr>
                                <w:sz w:val="24"/>
                              </w:rPr>
                            </w:pPr>
                            <w:r>
                              <w:rPr>
                                <w:spacing w:val="-4"/>
                                <w:sz w:val="24"/>
                              </w:rPr>
                              <w:t>保存；</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470" w:hRule="atLeast"/>
                        </w:trPr>
                        <w:tc>
                          <w:tcPr>
                            <w:tcW w:w="680" w:type="dxa"/>
                            <w:tcBorders>
                              <w:top w:val="nil"/>
                              <w:right w:val="single" w:color="000000" w:sz="6" w:space="0"/>
                            </w:tcBorders>
                          </w:tcPr>
                          <w:p>
                            <w:pPr>
                              <w:pStyle w:val="274"/>
                              <w:rPr>
                                <w:rFonts w:ascii="Times New Roman"/>
                                <w:sz w:val="22"/>
                              </w:rPr>
                            </w:pPr>
                          </w:p>
                        </w:tc>
                        <w:tc>
                          <w:tcPr>
                            <w:tcW w:w="1201" w:type="dxa"/>
                            <w:tcBorders>
                              <w:top w:val="nil"/>
                              <w:left w:val="single" w:color="000000" w:sz="6" w:space="0"/>
                              <w:right w:val="single" w:color="000000" w:sz="6" w:space="0"/>
                            </w:tcBorders>
                          </w:tcPr>
                          <w:p>
                            <w:pPr>
                              <w:pStyle w:val="274"/>
                              <w:rPr>
                                <w:rFonts w:ascii="Times New Roman"/>
                                <w:sz w:val="22"/>
                              </w:rPr>
                            </w:pPr>
                          </w:p>
                        </w:tc>
                        <w:tc>
                          <w:tcPr>
                            <w:tcW w:w="5853" w:type="dxa"/>
                            <w:tcBorders>
                              <w:top w:val="nil"/>
                              <w:left w:val="single" w:color="000000" w:sz="6" w:space="0"/>
                              <w:right w:val="single" w:color="000000" w:sz="6" w:space="0"/>
                            </w:tcBorders>
                          </w:tcPr>
                          <w:p>
                            <w:pPr>
                              <w:pStyle w:val="274"/>
                              <w:spacing w:before="101"/>
                              <w:ind w:left="104"/>
                              <w:rPr>
                                <w:sz w:val="24"/>
                              </w:rPr>
                            </w:pPr>
                            <w:r>
                              <w:rPr>
                                <w:spacing w:val="-1"/>
                                <w:sz w:val="24"/>
                              </w:rPr>
                              <w:t>信用信息的使用原则：供应商在“信用中国”网站被</w:t>
                            </w:r>
                          </w:p>
                        </w:tc>
                        <w:tc>
                          <w:tcPr>
                            <w:tcW w:w="540" w:type="dxa"/>
                            <w:vMerge w:val="continue"/>
                            <w:tcBorders>
                              <w:top w:val="nil"/>
                              <w:left w:val="single" w:color="000000" w:sz="6" w:space="0"/>
                              <w:right w:val="single" w:color="000000" w:sz="6" w:space="0"/>
                            </w:tcBorders>
                          </w:tcPr>
                          <w:p>
                            <w:pPr>
                              <w:rPr>
                                <w:sz w:val="2"/>
                                <w:szCs w:val="2"/>
                              </w:rPr>
                            </w:pPr>
                          </w:p>
                        </w:tc>
                        <w:tc>
                          <w:tcPr>
                            <w:tcW w:w="442" w:type="dxa"/>
                            <w:vMerge w:val="continue"/>
                            <w:tcBorders>
                              <w:top w:val="nil"/>
                              <w:left w:val="single" w:color="000000" w:sz="6" w:space="0"/>
                              <w:right w:val="single" w:color="000000" w:sz="6" w:space="0"/>
                            </w:tcBorders>
                          </w:tcPr>
                          <w:p>
                            <w:pPr>
                              <w:rPr>
                                <w:sz w:val="2"/>
                                <w:szCs w:val="2"/>
                              </w:rPr>
                            </w:pPr>
                          </w:p>
                        </w:tc>
                        <w:tc>
                          <w:tcPr>
                            <w:tcW w:w="566" w:type="dxa"/>
                            <w:vMerge w:val="continue"/>
                            <w:tcBorders>
                              <w:top w:val="nil"/>
                              <w:left w:val="single" w:color="000000" w:sz="6" w:space="0"/>
                            </w:tcBorders>
                          </w:tcPr>
                          <w:p>
                            <w:pPr>
                              <w:rPr>
                                <w:sz w:val="2"/>
                                <w:szCs w:val="2"/>
                              </w:rPr>
                            </w:pPr>
                          </w:p>
                        </w:tc>
                      </w:tr>
                    </w:tbl>
                    <w:p>
                      <w:pPr>
                        <w:pStyle w:val="17"/>
                        <w:ind w:left="0"/>
                      </w:pPr>
                    </w:p>
                  </w:txbxContent>
                </v:textbox>
              </v:shape>
            </w:pict>
          </mc:Fallback>
        </mc:AlternateContent>
      </w:r>
      <w:r>
        <w:rPr>
          <w:spacing w:val="-2"/>
        </w:rPr>
        <w:t>项目名称：</w:t>
      </w:r>
      <w:r>
        <w:rPr>
          <w:rFonts w:hint="eastAsia"/>
          <w:spacing w:val="-2"/>
          <w:lang w:val="en-US" w:eastAsia="zh-CN"/>
        </w:rPr>
        <w:t>吉首市第一中学场馆改造项目</w:t>
      </w:r>
    </w:p>
    <w:p>
      <w:pPr>
        <w:pStyle w:val="17"/>
        <w:spacing w:before="155" w:line="439" w:lineRule="auto"/>
        <w:ind w:right="4076"/>
        <w:sectPr>
          <w:pgSz w:w="11910" w:h="16840"/>
          <w:pgMar w:top="1340" w:right="1133" w:bottom="1260" w:left="1275" w:header="878" w:footer="1075" w:gutter="0"/>
          <w:cols w:space="720" w:num="1"/>
        </w:sectPr>
      </w:pPr>
      <w:r>
        <w:t>编号:</w:t>
      </w:r>
      <w:r>
        <w:rPr>
          <w:rFonts w:hint="eastAsia" w:ascii="仿宋_GB2312" w:hAnsi="仿宋_GB2312" w:eastAsia="仿宋_GB2312" w:cs="仿宋_GB2312"/>
          <w:snapToGrid w:val="0"/>
          <w:color w:val="auto"/>
          <w:kern w:val="0"/>
          <w:sz w:val="24"/>
          <w:highlight w:val="none"/>
          <w:lang w:val="en-US" w:eastAsia="zh-CN"/>
        </w:rPr>
        <w:t>HNBZSRCG2026-029</w:t>
      </w:r>
    </w:p>
    <w:p>
      <w:pPr>
        <w:pStyle w:val="17"/>
        <w:spacing w:before="7"/>
        <w:ind w:left="0"/>
        <w:rPr>
          <w:sz w:val="5"/>
        </w:rPr>
      </w:pPr>
    </w:p>
    <w:tbl>
      <w:tblPr>
        <w:tblStyle w:val="44"/>
        <w:tblW w:w="9282" w:type="dxa"/>
        <w:tblInd w:w="5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680"/>
        <w:gridCol w:w="1201"/>
        <w:gridCol w:w="5853"/>
        <w:gridCol w:w="540"/>
        <w:gridCol w:w="442"/>
        <w:gridCol w:w="566"/>
      </w:tblGrid>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38" w:hRule="atLeast"/>
        </w:trPr>
        <w:tc>
          <w:tcPr>
            <w:tcW w:w="680" w:type="dxa"/>
            <w:vMerge w:val="restart"/>
            <w:tcBorders>
              <w:bottom w:val="single" w:color="000000" w:sz="6" w:space="0"/>
              <w:right w:val="single" w:color="000000" w:sz="6" w:space="0"/>
            </w:tcBorders>
          </w:tcPr>
          <w:p>
            <w:pPr>
              <w:pStyle w:val="274"/>
              <w:spacing w:before="261" w:line="290" w:lineRule="auto"/>
              <w:ind w:left="208" w:right="206"/>
              <w:rPr>
                <w:sz w:val="24"/>
              </w:rPr>
            </w:pPr>
            <w:r>
              <w:rPr>
                <w:spacing w:val="-10"/>
                <w:sz w:val="24"/>
              </w:rPr>
              <w:t>序号</w:t>
            </w:r>
          </w:p>
        </w:tc>
        <w:tc>
          <w:tcPr>
            <w:tcW w:w="1201"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114"/>
              <w:rPr>
                <w:sz w:val="24"/>
              </w:rPr>
            </w:pPr>
            <w:r>
              <w:rPr>
                <w:spacing w:val="-3"/>
                <w:sz w:val="24"/>
              </w:rPr>
              <w:t>审查项目</w:t>
            </w:r>
          </w:p>
        </w:tc>
        <w:tc>
          <w:tcPr>
            <w:tcW w:w="5853"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8"/>
              <w:jc w:val="center"/>
              <w:rPr>
                <w:sz w:val="24"/>
              </w:rPr>
            </w:pPr>
            <w:r>
              <w:rPr>
                <w:spacing w:val="-3"/>
                <w:sz w:val="24"/>
              </w:rPr>
              <w:t>审查标准</w:t>
            </w:r>
          </w:p>
        </w:tc>
        <w:tc>
          <w:tcPr>
            <w:tcW w:w="1548" w:type="dxa"/>
            <w:gridSpan w:val="3"/>
            <w:tcBorders>
              <w:left w:val="single" w:color="000000" w:sz="6" w:space="0"/>
              <w:bottom w:val="single" w:color="000000" w:sz="4" w:space="0"/>
            </w:tcBorders>
          </w:tcPr>
          <w:p>
            <w:pPr>
              <w:pStyle w:val="274"/>
              <w:spacing w:before="169"/>
              <w:ind w:left="409"/>
              <w:rPr>
                <w:sz w:val="24"/>
              </w:rPr>
            </w:pPr>
            <w:r>
              <w:rPr>
                <w:spacing w:val="-4"/>
                <w:sz w:val="24"/>
              </w:rPr>
              <w:t>投标人</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42" w:hRule="atLeast"/>
        </w:trPr>
        <w:tc>
          <w:tcPr>
            <w:tcW w:w="680" w:type="dxa"/>
            <w:vMerge w:val="continue"/>
            <w:tcBorders>
              <w:top w:val="nil"/>
              <w:bottom w:val="single" w:color="000000" w:sz="6" w:space="0"/>
              <w:right w:val="single" w:color="000000" w:sz="6" w:space="0"/>
            </w:tcBorders>
          </w:tcPr>
          <w:p>
            <w:pPr>
              <w:rPr>
                <w:sz w:val="2"/>
                <w:szCs w:val="2"/>
              </w:rPr>
            </w:pPr>
          </w:p>
        </w:tc>
        <w:tc>
          <w:tcPr>
            <w:tcW w:w="1201" w:type="dxa"/>
            <w:vMerge w:val="continue"/>
            <w:tcBorders>
              <w:top w:val="nil"/>
              <w:left w:val="single" w:color="000000" w:sz="6" w:space="0"/>
              <w:bottom w:val="single" w:color="000000" w:sz="6" w:space="0"/>
              <w:right w:val="single" w:color="000000" w:sz="6" w:space="0"/>
            </w:tcBorders>
          </w:tcPr>
          <w:p>
            <w:pPr>
              <w:rPr>
                <w:sz w:val="2"/>
                <w:szCs w:val="2"/>
              </w:rPr>
            </w:pPr>
          </w:p>
        </w:tc>
        <w:tc>
          <w:tcPr>
            <w:tcW w:w="5853" w:type="dxa"/>
            <w:vMerge w:val="continue"/>
            <w:tcBorders>
              <w:top w:val="nil"/>
              <w:left w:val="single" w:color="000000" w:sz="6" w:space="0"/>
              <w:bottom w:val="single" w:color="000000" w:sz="6" w:space="0"/>
              <w:right w:val="single" w:color="000000" w:sz="6" w:space="0"/>
            </w:tcBorders>
          </w:tcPr>
          <w:p>
            <w:pPr>
              <w:rPr>
                <w:sz w:val="2"/>
                <w:szCs w:val="2"/>
              </w:rPr>
            </w:pPr>
          </w:p>
        </w:tc>
        <w:tc>
          <w:tcPr>
            <w:tcW w:w="540"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4"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1867" w:hRule="atLeast"/>
        </w:trPr>
        <w:tc>
          <w:tcPr>
            <w:tcW w:w="680" w:type="dxa"/>
            <w:tcBorders>
              <w:top w:val="single" w:color="000000" w:sz="6" w:space="0"/>
              <w:bottom w:val="single" w:color="000000" w:sz="6" w:space="0"/>
              <w:right w:val="single" w:color="000000" w:sz="6" w:space="0"/>
            </w:tcBorders>
          </w:tcPr>
          <w:p>
            <w:pPr>
              <w:pStyle w:val="274"/>
              <w:rPr>
                <w:rFonts w:ascii="Times New Roman"/>
                <w:sz w:val="22"/>
              </w:rPr>
            </w:pPr>
          </w:p>
        </w:tc>
        <w:tc>
          <w:tcPr>
            <w:tcW w:w="1201"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853" w:type="dxa"/>
            <w:tcBorders>
              <w:top w:val="single" w:color="000000" w:sz="6" w:space="0"/>
              <w:left w:val="single" w:color="000000" w:sz="6" w:space="0"/>
              <w:bottom w:val="single" w:color="000000" w:sz="6" w:space="0"/>
              <w:right w:val="single" w:color="000000" w:sz="6" w:space="0"/>
            </w:tcBorders>
          </w:tcPr>
          <w:p>
            <w:pPr>
              <w:pStyle w:val="274"/>
              <w:spacing w:before="1" w:line="290" w:lineRule="auto"/>
              <w:ind w:left="104" w:right="-29"/>
              <w:rPr>
                <w:sz w:val="24"/>
              </w:rPr>
            </w:pPr>
            <w:r>
              <w:rPr>
                <w:spacing w:val="-2"/>
                <w:sz w:val="24"/>
              </w:rPr>
              <w:t>列入失信被执行人和重大税收违法案件当事人名单， 或在“中国政府采购网”网站被列入政府采购严重违 法失信行为记录名单。供应商有上述不良信用记录的，其投标无效。联合体形式投标的，联合体成员存在不</w:t>
            </w:r>
          </w:p>
          <w:p>
            <w:pPr>
              <w:pStyle w:val="274"/>
              <w:spacing w:before="7"/>
              <w:ind w:left="104"/>
              <w:rPr>
                <w:sz w:val="24"/>
              </w:rPr>
            </w:pPr>
            <w:r>
              <w:rPr>
                <w:spacing w:val="-1"/>
                <w:sz w:val="24"/>
              </w:rPr>
              <w:t>良信用记录，视同联合体存在不良信用记录。</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8870" w:hRule="atLeast"/>
        </w:trPr>
        <w:tc>
          <w:tcPr>
            <w:tcW w:w="680" w:type="dxa"/>
            <w:tcBorders>
              <w:top w:val="single" w:color="000000" w:sz="6" w:space="0"/>
              <w:bottom w:val="single" w:color="000000" w:sz="6" w:space="0"/>
              <w:right w:val="single" w:color="000000" w:sz="6" w:space="0"/>
            </w:tcBorders>
          </w:tcPr>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spacing w:before="27"/>
              <w:rPr>
                <w:sz w:val="24"/>
              </w:rPr>
            </w:pPr>
          </w:p>
          <w:p>
            <w:pPr>
              <w:pStyle w:val="274"/>
              <w:jc w:val="center"/>
              <w:rPr>
                <w:sz w:val="24"/>
              </w:rPr>
            </w:pPr>
            <w:r>
              <w:rPr>
                <w:spacing w:val="-10"/>
                <w:sz w:val="24"/>
              </w:rPr>
              <w:t>5</w:t>
            </w:r>
          </w:p>
        </w:tc>
        <w:tc>
          <w:tcPr>
            <w:tcW w:w="1201" w:type="dxa"/>
            <w:tcBorders>
              <w:top w:val="single" w:color="000000" w:sz="6" w:space="0"/>
              <w:left w:val="single" w:color="000000" w:sz="6" w:space="0"/>
              <w:bottom w:val="single" w:color="000000" w:sz="6" w:space="0"/>
              <w:right w:val="single" w:color="000000" w:sz="6" w:space="0"/>
            </w:tcBorders>
          </w:tcPr>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rPr>
                <w:sz w:val="24"/>
              </w:rPr>
            </w:pPr>
          </w:p>
          <w:p>
            <w:pPr>
              <w:pStyle w:val="274"/>
              <w:spacing w:before="209"/>
              <w:rPr>
                <w:sz w:val="24"/>
              </w:rPr>
            </w:pPr>
          </w:p>
          <w:p>
            <w:pPr>
              <w:pStyle w:val="274"/>
              <w:spacing w:before="1" w:line="242" w:lineRule="auto"/>
              <w:ind w:left="357" w:right="106" w:hanging="240"/>
              <w:rPr>
                <w:sz w:val="24"/>
              </w:rPr>
            </w:pPr>
            <w:r>
              <w:rPr>
                <w:spacing w:val="-4"/>
                <w:sz w:val="24"/>
              </w:rPr>
              <w:t>特定资格</w:t>
            </w:r>
            <w:r>
              <w:rPr>
                <w:spacing w:val="-6"/>
                <w:sz w:val="24"/>
              </w:rPr>
              <w:t>条件</w:t>
            </w:r>
          </w:p>
        </w:tc>
        <w:tc>
          <w:tcPr>
            <w:tcW w:w="5853" w:type="dxa"/>
            <w:tcBorders>
              <w:top w:val="single" w:color="000000" w:sz="6" w:space="0"/>
              <w:left w:val="single" w:color="000000" w:sz="6" w:space="0"/>
              <w:bottom w:val="single" w:color="000000" w:sz="6" w:space="0"/>
              <w:right w:val="single" w:color="000000" w:sz="6" w:space="0"/>
            </w:tcBorders>
          </w:tcPr>
          <w:p>
            <w:pPr>
              <w:pStyle w:val="274"/>
              <w:numPr>
                <w:ilvl w:val="0"/>
                <w:numId w:val="4"/>
              </w:numPr>
              <w:tabs>
                <w:tab w:val="left" w:pos="944"/>
              </w:tabs>
              <w:spacing w:before="0" w:after="0" w:line="364" w:lineRule="auto"/>
              <w:ind w:left="104" w:right="94" w:firstLine="480"/>
              <w:jc w:val="both"/>
              <w:rPr>
                <w:rFonts w:hint="eastAsia"/>
                <w:spacing w:val="-2"/>
                <w:sz w:val="24"/>
                <w:lang w:val="en-US" w:eastAsia="zh-CN"/>
              </w:rPr>
            </w:pPr>
            <w:r>
              <w:rPr>
                <w:rFonts w:hint="eastAsia"/>
                <w:spacing w:val="-2"/>
                <w:sz w:val="24"/>
                <w:lang w:val="en-US" w:eastAsia="zh-CN"/>
              </w:rPr>
              <w:t>具有建设行政主管部门颁发的市政公用工程施工或建筑工程施工总承包叁级及以上资质及以上资质以及有效期内的安全生产许可证（提供相应有效证书复印件）；</w:t>
            </w:r>
          </w:p>
          <w:p>
            <w:pPr>
              <w:pStyle w:val="274"/>
              <w:numPr>
                <w:ilvl w:val="0"/>
                <w:numId w:val="4"/>
              </w:numPr>
              <w:tabs>
                <w:tab w:val="left" w:pos="944"/>
              </w:tabs>
              <w:spacing w:before="0" w:after="0" w:line="364" w:lineRule="auto"/>
              <w:ind w:left="104" w:right="94" w:firstLine="480"/>
              <w:jc w:val="both"/>
              <w:rPr>
                <w:rFonts w:hint="eastAsia"/>
                <w:spacing w:val="-2"/>
                <w:sz w:val="24"/>
                <w:lang w:val="en-US" w:eastAsia="zh-CN"/>
              </w:rPr>
            </w:pPr>
            <w:r>
              <w:rPr>
                <w:rFonts w:hint="eastAsia"/>
                <w:spacing w:val="-2"/>
                <w:sz w:val="24"/>
                <w:lang w:val="en-US" w:eastAsia="zh-CN"/>
              </w:rPr>
              <w:t>拟任项目负责人须具有建设行政主管部门颁发的市政公用工程或建筑工程专业贰级及以上注册建造师执业资格、具有有效期内的B类安全生产考核合格证和无在建工程承诺书。（提供在本单位近半年以来任意连续三个月的社保证明）。</w:t>
            </w:r>
          </w:p>
          <w:p>
            <w:pPr>
              <w:pStyle w:val="274"/>
              <w:numPr>
                <w:ilvl w:val="0"/>
                <w:numId w:val="4"/>
              </w:numPr>
              <w:tabs>
                <w:tab w:val="left" w:pos="944"/>
              </w:tabs>
              <w:spacing w:before="0" w:after="0" w:line="364" w:lineRule="auto"/>
              <w:ind w:left="104" w:right="94" w:firstLine="480"/>
              <w:jc w:val="both"/>
              <w:rPr>
                <w:sz w:val="24"/>
              </w:rPr>
            </w:pPr>
            <w:r>
              <w:rPr>
                <w:rFonts w:hint="eastAsia"/>
                <w:spacing w:val="-2"/>
                <w:sz w:val="24"/>
                <w:lang w:val="en-US" w:eastAsia="zh-CN"/>
              </w:rPr>
              <w:t>湖南省外企业须按照湖南省住房和城乡建设厅要求办理入湘备案手续(以“湖南省住房和城乡建设网”查询为准)或具有有效的入湘施工登记证</w:t>
            </w:r>
            <w:r>
              <w:rPr>
                <w:spacing w:val="-2"/>
                <w:sz w:val="24"/>
              </w:rPr>
              <w:t>。</w:t>
            </w:r>
          </w:p>
          <w:p>
            <w:pPr>
              <w:pStyle w:val="274"/>
              <w:spacing w:line="364" w:lineRule="auto"/>
              <w:ind w:left="104" w:right="94" w:firstLine="480"/>
              <w:jc w:val="both"/>
              <w:rPr>
                <w:sz w:val="24"/>
              </w:rPr>
            </w:pPr>
            <w:r>
              <w:rPr>
                <w:spacing w:val="-2"/>
                <w:sz w:val="24"/>
              </w:rPr>
              <w:t>投标截止时，投标人应当在响应文件中如实填写项目经理在建情况，并承诺本项目成交结果公示中明确的公示期满之前，项目经理能按时到岗履职。评标期间，响应文件中没有承诺能够按时到岗履职的，评标委员会应当否决其投标。</w:t>
            </w:r>
          </w:p>
          <w:p>
            <w:pPr>
              <w:pStyle w:val="274"/>
              <w:spacing w:line="364" w:lineRule="auto"/>
              <w:ind w:left="104" w:right="94" w:firstLine="480"/>
              <w:jc w:val="both"/>
              <w:rPr>
                <w:sz w:val="24"/>
              </w:rPr>
            </w:pPr>
            <w:r>
              <w:rPr>
                <w:spacing w:val="-2"/>
                <w:sz w:val="24"/>
              </w:rPr>
              <w:t>本项目成交结果公示中明确的公示期满之前，项</w:t>
            </w:r>
            <w:r>
              <w:rPr>
                <w:sz w:val="24"/>
              </w:rPr>
              <w:t>目经理不能按时到岗履职(含不能从其他项目按期撤</w:t>
            </w:r>
            <w:r>
              <w:rPr>
                <w:spacing w:val="-2"/>
                <w:sz w:val="24"/>
              </w:rPr>
              <w:t>离)的采购人应提请相关部门依法认定为失信行为，并</w:t>
            </w:r>
            <w:r>
              <w:rPr>
                <w:spacing w:val="-1"/>
                <w:sz w:val="24"/>
              </w:rPr>
              <w:t>依规进行处罚，对于取得成交结果或中标人资格的，</w:t>
            </w:r>
          </w:p>
          <w:p>
            <w:pPr>
              <w:pStyle w:val="274"/>
              <w:spacing w:line="305" w:lineRule="exact"/>
              <w:ind w:left="104"/>
              <w:rPr>
                <w:sz w:val="24"/>
              </w:rPr>
            </w:pPr>
            <w:r>
              <w:rPr>
                <w:spacing w:val="-1"/>
                <w:sz w:val="24"/>
              </w:rPr>
              <w:t>还应取消其成交结果或中标人资格。</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bl>
    <w:p>
      <w:pPr>
        <w:pStyle w:val="274"/>
        <w:spacing w:after="0"/>
        <w:rPr>
          <w:rFonts w:ascii="Times New Roman"/>
          <w:sz w:val="22"/>
        </w:rPr>
        <w:sectPr>
          <w:pgSz w:w="11910" w:h="16840"/>
          <w:pgMar w:top="1340" w:right="1133" w:bottom="1260" w:left="1275" w:header="878" w:footer="1075" w:gutter="0"/>
          <w:cols w:space="720" w:num="1"/>
        </w:sectPr>
      </w:pPr>
    </w:p>
    <w:p>
      <w:pPr>
        <w:pStyle w:val="17"/>
        <w:spacing w:before="7"/>
        <w:ind w:left="0"/>
        <w:rPr>
          <w:sz w:val="5"/>
        </w:rPr>
      </w:pPr>
    </w:p>
    <w:tbl>
      <w:tblPr>
        <w:tblStyle w:val="44"/>
        <w:tblW w:w="9282" w:type="dxa"/>
        <w:tblInd w:w="5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680"/>
        <w:gridCol w:w="1201"/>
        <w:gridCol w:w="5853"/>
        <w:gridCol w:w="540"/>
        <w:gridCol w:w="442"/>
        <w:gridCol w:w="566"/>
      </w:tblGrid>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38" w:hRule="atLeast"/>
        </w:trPr>
        <w:tc>
          <w:tcPr>
            <w:tcW w:w="680" w:type="dxa"/>
            <w:vMerge w:val="restart"/>
            <w:tcBorders>
              <w:bottom w:val="single" w:color="000000" w:sz="6" w:space="0"/>
              <w:right w:val="single" w:color="000000" w:sz="6" w:space="0"/>
            </w:tcBorders>
          </w:tcPr>
          <w:p>
            <w:pPr>
              <w:pStyle w:val="274"/>
              <w:spacing w:before="261" w:line="290" w:lineRule="auto"/>
              <w:ind w:left="208" w:right="206"/>
              <w:rPr>
                <w:sz w:val="24"/>
              </w:rPr>
            </w:pPr>
            <w:r>
              <w:rPr>
                <w:spacing w:val="-10"/>
                <w:sz w:val="24"/>
              </w:rPr>
              <w:t>序号</w:t>
            </w:r>
          </w:p>
        </w:tc>
        <w:tc>
          <w:tcPr>
            <w:tcW w:w="1201"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114"/>
              <w:rPr>
                <w:sz w:val="24"/>
              </w:rPr>
            </w:pPr>
            <w:r>
              <w:rPr>
                <w:spacing w:val="-3"/>
                <w:sz w:val="24"/>
              </w:rPr>
              <w:t>审查项目</w:t>
            </w:r>
          </w:p>
        </w:tc>
        <w:tc>
          <w:tcPr>
            <w:tcW w:w="5853" w:type="dxa"/>
            <w:vMerge w:val="restart"/>
            <w:tcBorders>
              <w:left w:val="single" w:color="000000" w:sz="6" w:space="0"/>
              <w:bottom w:val="single" w:color="000000" w:sz="6" w:space="0"/>
              <w:right w:val="single" w:color="000000" w:sz="6" w:space="0"/>
            </w:tcBorders>
          </w:tcPr>
          <w:p>
            <w:pPr>
              <w:pStyle w:val="274"/>
              <w:spacing w:before="138"/>
              <w:rPr>
                <w:sz w:val="24"/>
              </w:rPr>
            </w:pPr>
          </w:p>
          <w:p>
            <w:pPr>
              <w:pStyle w:val="274"/>
              <w:ind w:left="8"/>
              <w:jc w:val="center"/>
              <w:rPr>
                <w:sz w:val="24"/>
              </w:rPr>
            </w:pPr>
            <w:r>
              <w:rPr>
                <w:spacing w:val="-3"/>
                <w:sz w:val="24"/>
              </w:rPr>
              <w:t>审查标准</w:t>
            </w:r>
          </w:p>
        </w:tc>
        <w:tc>
          <w:tcPr>
            <w:tcW w:w="1548" w:type="dxa"/>
            <w:gridSpan w:val="3"/>
            <w:tcBorders>
              <w:left w:val="single" w:color="000000" w:sz="6" w:space="0"/>
              <w:bottom w:val="single" w:color="000000" w:sz="4" w:space="0"/>
            </w:tcBorders>
          </w:tcPr>
          <w:p>
            <w:pPr>
              <w:pStyle w:val="274"/>
              <w:spacing w:before="169"/>
              <w:ind w:left="409"/>
              <w:rPr>
                <w:sz w:val="24"/>
              </w:rPr>
            </w:pPr>
            <w:r>
              <w:rPr>
                <w:spacing w:val="-4"/>
                <w:sz w:val="24"/>
              </w:rPr>
              <w:t>投标人</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542" w:hRule="atLeast"/>
        </w:trPr>
        <w:tc>
          <w:tcPr>
            <w:tcW w:w="680" w:type="dxa"/>
            <w:vMerge w:val="continue"/>
            <w:tcBorders>
              <w:top w:val="nil"/>
              <w:bottom w:val="single" w:color="000000" w:sz="6" w:space="0"/>
              <w:right w:val="single" w:color="000000" w:sz="6" w:space="0"/>
            </w:tcBorders>
          </w:tcPr>
          <w:p>
            <w:pPr>
              <w:rPr>
                <w:sz w:val="2"/>
                <w:szCs w:val="2"/>
              </w:rPr>
            </w:pPr>
          </w:p>
        </w:tc>
        <w:tc>
          <w:tcPr>
            <w:tcW w:w="1201" w:type="dxa"/>
            <w:vMerge w:val="continue"/>
            <w:tcBorders>
              <w:top w:val="nil"/>
              <w:left w:val="single" w:color="000000" w:sz="6" w:space="0"/>
              <w:bottom w:val="single" w:color="000000" w:sz="6" w:space="0"/>
              <w:right w:val="single" w:color="000000" w:sz="6" w:space="0"/>
            </w:tcBorders>
          </w:tcPr>
          <w:p>
            <w:pPr>
              <w:rPr>
                <w:sz w:val="2"/>
                <w:szCs w:val="2"/>
              </w:rPr>
            </w:pPr>
          </w:p>
        </w:tc>
        <w:tc>
          <w:tcPr>
            <w:tcW w:w="5853" w:type="dxa"/>
            <w:vMerge w:val="continue"/>
            <w:tcBorders>
              <w:top w:val="nil"/>
              <w:left w:val="single" w:color="000000" w:sz="6" w:space="0"/>
              <w:bottom w:val="single" w:color="000000" w:sz="6" w:space="0"/>
              <w:right w:val="single" w:color="000000" w:sz="6" w:space="0"/>
            </w:tcBorders>
          </w:tcPr>
          <w:p>
            <w:pPr>
              <w:rPr>
                <w:sz w:val="2"/>
                <w:szCs w:val="2"/>
              </w:rPr>
            </w:pPr>
          </w:p>
        </w:tc>
        <w:tc>
          <w:tcPr>
            <w:tcW w:w="540"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4"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4"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941" w:hRule="atLeast"/>
        </w:trPr>
        <w:tc>
          <w:tcPr>
            <w:tcW w:w="680" w:type="dxa"/>
            <w:tcBorders>
              <w:top w:val="single" w:color="000000" w:sz="6" w:space="0"/>
              <w:bottom w:val="single" w:color="000000" w:sz="6" w:space="0"/>
              <w:right w:val="single" w:color="000000" w:sz="6" w:space="0"/>
            </w:tcBorders>
          </w:tcPr>
          <w:p>
            <w:pPr>
              <w:pStyle w:val="274"/>
              <w:spacing w:before="61"/>
              <w:rPr>
                <w:sz w:val="24"/>
              </w:rPr>
            </w:pPr>
          </w:p>
          <w:p>
            <w:pPr>
              <w:pStyle w:val="274"/>
              <w:jc w:val="center"/>
              <w:rPr>
                <w:rFonts w:hint="eastAsia" w:eastAsia="宋体"/>
                <w:sz w:val="24"/>
                <w:lang w:eastAsia="zh-CN"/>
              </w:rPr>
            </w:pPr>
            <w:r>
              <w:rPr>
                <w:rFonts w:hint="eastAsia"/>
                <w:spacing w:val="-10"/>
                <w:sz w:val="24"/>
                <w:lang w:val="en-US" w:eastAsia="zh-CN"/>
              </w:rPr>
              <w:t>6</w:t>
            </w:r>
          </w:p>
        </w:tc>
        <w:tc>
          <w:tcPr>
            <w:tcW w:w="1201" w:type="dxa"/>
            <w:tcBorders>
              <w:top w:val="single" w:color="000000" w:sz="6" w:space="0"/>
              <w:left w:val="single" w:color="000000" w:sz="6" w:space="0"/>
              <w:bottom w:val="single" w:color="000000" w:sz="6" w:space="0"/>
              <w:right w:val="single" w:color="000000" w:sz="6" w:space="0"/>
            </w:tcBorders>
          </w:tcPr>
          <w:p>
            <w:pPr>
              <w:pStyle w:val="274"/>
              <w:spacing w:before="61"/>
              <w:rPr>
                <w:sz w:val="24"/>
              </w:rPr>
            </w:pPr>
          </w:p>
          <w:p>
            <w:pPr>
              <w:pStyle w:val="274"/>
              <w:ind w:left="117"/>
              <w:rPr>
                <w:sz w:val="24"/>
              </w:rPr>
            </w:pPr>
            <w:r>
              <w:rPr>
                <w:spacing w:val="-3"/>
                <w:sz w:val="24"/>
              </w:rPr>
              <w:t>投标报价</w:t>
            </w:r>
          </w:p>
        </w:tc>
        <w:tc>
          <w:tcPr>
            <w:tcW w:w="5853" w:type="dxa"/>
            <w:tcBorders>
              <w:top w:val="single" w:color="000000" w:sz="6" w:space="0"/>
              <w:left w:val="single" w:color="000000" w:sz="6" w:space="0"/>
              <w:bottom w:val="single" w:color="000000" w:sz="6" w:space="0"/>
              <w:right w:val="single" w:color="000000" w:sz="6" w:space="0"/>
            </w:tcBorders>
          </w:tcPr>
          <w:p>
            <w:pPr>
              <w:pStyle w:val="274"/>
              <w:spacing w:before="119" w:line="370" w:lineRule="atLeast"/>
              <w:ind w:left="104" w:right="94"/>
              <w:rPr>
                <w:sz w:val="24"/>
              </w:rPr>
            </w:pPr>
            <w:r>
              <w:rPr>
                <w:spacing w:val="-2"/>
                <w:sz w:val="24"/>
              </w:rPr>
              <w:t>投标报价是否响应磋商文件第二章投标须知“投标文</w:t>
            </w:r>
            <w:r>
              <w:rPr>
                <w:spacing w:val="-6"/>
                <w:sz w:val="24"/>
              </w:rPr>
              <w:t xml:space="preserve">件”第 </w:t>
            </w:r>
            <w:r>
              <w:rPr>
                <w:sz w:val="24"/>
              </w:rPr>
              <w:t>16</w:t>
            </w:r>
            <w:r>
              <w:rPr>
                <w:rFonts w:hint="eastAsia"/>
                <w:sz w:val="24"/>
                <w:lang w:val="en-US" w:eastAsia="zh-CN"/>
              </w:rPr>
              <w:t>.4</w:t>
            </w:r>
            <w:r>
              <w:rPr>
                <w:spacing w:val="-5"/>
                <w:sz w:val="24"/>
              </w:rPr>
              <w:t xml:space="preserve"> 款要求。</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940" w:hRule="atLeast"/>
        </w:trPr>
        <w:tc>
          <w:tcPr>
            <w:tcW w:w="680" w:type="dxa"/>
            <w:tcBorders>
              <w:top w:val="single" w:color="000000" w:sz="6" w:space="0"/>
              <w:bottom w:val="single" w:color="000000" w:sz="6" w:space="0"/>
              <w:right w:val="single" w:color="000000" w:sz="6" w:space="0"/>
            </w:tcBorders>
          </w:tcPr>
          <w:p>
            <w:pPr>
              <w:pStyle w:val="274"/>
              <w:spacing w:before="60"/>
              <w:rPr>
                <w:sz w:val="24"/>
              </w:rPr>
            </w:pPr>
          </w:p>
          <w:p>
            <w:pPr>
              <w:pStyle w:val="274"/>
              <w:jc w:val="center"/>
              <w:rPr>
                <w:rFonts w:hint="eastAsia" w:eastAsia="宋体"/>
                <w:sz w:val="24"/>
                <w:lang w:eastAsia="zh-CN"/>
              </w:rPr>
            </w:pPr>
            <w:r>
              <w:rPr>
                <w:rFonts w:hint="eastAsia"/>
                <w:spacing w:val="-10"/>
                <w:sz w:val="24"/>
                <w:lang w:val="en-US" w:eastAsia="zh-CN"/>
              </w:rPr>
              <w:t>7</w:t>
            </w:r>
          </w:p>
        </w:tc>
        <w:tc>
          <w:tcPr>
            <w:tcW w:w="1201" w:type="dxa"/>
            <w:tcBorders>
              <w:top w:val="single" w:color="000000" w:sz="6" w:space="0"/>
              <w:left w:val="single" w:color="000000" w:sz="6" w:space="0"/>
              <w:bottom w:val="single" w:color="000000" w:sz="6" w:space="0"/>
              <w:right w:val="single" w:color="000000" w:sz="6" w:space="0"/>
            </w:tcBorders>
          </w:tcPr>
          <w:p>
            <w:pPr>
              <w:pStyle w:val="274"/>
              <w:spacing w:before="121" w:line="370" w:lineRule="atLeast"/>
              <w:ind w:left="477" w:right="106" w:hanging="360"/>
              <w:rPr>
                <w:sz w:val="24"/>
              </w:rPr>
            </w:pPr>
            <w:r>
              <w:rPr>
                <w:spacing w:val="-4"/>
                <w:sz w:val="24"/>
              </w:rPr>
              <w:t>签署、盖</w:t>
            </w:r>
            <w:r>
              <w:rPr>
                <w:spacing w:val="-10"/>
                <w:sz w:val="24"/>
              </w:rPr>
              <w:t>章</w:t>
            </w:r>
          </w:p>
        </w:tc>
        <w:tc>
          <w:tcPr>
            <w:tcW w:w="5853" w:type="dxa"/>
            <w:tcBorders>
              <w:top w:val="single" w:color="000000" w:sz="6" w:space="0"/>
              <w:left w:val="single" w:color="000000" w:sz="6" w:space="0"/>
              <w:bottom w:val="single" w:color="000000" w:sz="6" w:space="0"/>
              <w:right w:val="single" w:color="000000" w:sz="6" w:space="0"/>
            </w:tcBorders>
          </w:tcPr>
          <w:p>
            <w:pPr>
              <w:pStyle w:val="274"/>
              <w:spacing w:before="169" w:line="292" w:lineRule="auto"/>
              <w:ind w:left="104" w:right="94"/>
              <w:rPr>
                <w:sz w:val="24"/>
              </w:rPr>
            </w:pPr>
            <w:r>
              <w:rPr>
                <w:spacing w:val="-2"/>
                <w:sz w:val="24"/>
              </w:rPr>
              <w:t>资格响应文件是否按磋商文件第二章投标须知要求进行签署、盖章。</w:t>
            </w:r>
          </w:p>
        </w:tc>
        <w:tc>
          <w:tcPr>
            <w:tcW w:w="540"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bottom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bottom w:val="single" w:color="000000" w:sz="6" w:space="0"/>
            </w:tcBorders>
          </w:tcPr>
          <w:p>
            <w:pPr>
              <w:pStyle w:val="274"/>
              <w:rPr>
                <w:rFonts w:ascii="Times New Roman"/>
                <w:sz w:val="2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Ex>
        <w:trPr>
          <w:trHeight w:val="913" w:hRule="atLeast"/>
        </w:trPr>
        <w:tc>
          <w:tcPr>
            <w:tcW w:w="680" w:type="dxa"/>
            <w:tcBorders>
              <w:top w:val="single" w:color="000000" w:sz="6" w:space="0"/>
              <w:right w:val="single" w:color="000000" w:sz="6" w:space="0"/>
            </w:tcBorders>
          </w:tcPr>
          <w:p>
            <w:pPr>
              <w:pStyle w:val="274"/>
              <w:spacing w:before="105" w:line="370" w:lineRule="atLeast"/>
              <w:ind w:left="208" w:right="206"/>
              <w:rPr>
                <w:sz w:val="24"/>
              </w:rPr>
            </w:pPr>
            <w:r>
              <w:rPr>
                <w:spacing w:val="-10"/>
                <w:sz w:val="24"/>
              </w:rPr>
              <w:t>结论</w:t>
            </w:r>
          </w:p>
        </w:tc>
        <w:tc>
          <w:tcPr>
            <w:tcW w:w="7054" w:type="dxa"/>
            <w:gridSpan w:val="2"/>
            <w:tcBorders>
              <w:top w:val="single" w:color="000000" w:sz="6" w:space="0"/>
              <w:left w:val="single" w:color="000000" w:sz="6" w:space="0"/>
              <w:right w:val="single" w:color="000000" w:sz="6" w:space="0"/>
            </w:tcBorders>
          </w:tcPr>
          <w:p>
            <w:pPr>
              <w:pStyle w:val="274"/>
              <w:spacing w:before="47"/>
              <w:rPr>
                <w:sz w:val="24"/>
              </w:rPr>
            </w:pPr>
          </w:p>
          <w:p>
            <w:pPr>
              <w:pStyle w:val="274"/>
              <w:ind w:left="1845"/>
              <w:rPr>
                <w:sz w:val="24"/>
              </w:rPr>
            </w:pPr>
            <w:r>
              <w:rPr>
                <w:spacing w:val="-1"/>
                <w:sz w:val="24"/>
              </w:rPr>
              <w:t>审查结果“合格”或“不合格”</w:t>
            </w:r>
          </w:p>
        </w:tc>
        <w:tc>
          <w:tcPr>
            <w:tcW w:w="540" w:type="dxa"/>
            <w:tcBorders>
              <w:top w:val="single" w:color="000000" w:sz="6" w:space="0"/>
              <w:left w:val="single" w:color="000000" w:sz="6" w:space="0"/>
              <w:right w:val="single" w:color="000000" w:sz="6" w:space="0"/>
            </w:tcBorders>
          </w:tcPr>
          <w:p>
            <w:pPr>
              <w:pStyle w:val="274"/>
              <w:rPr>
                <w:rFonts w:ascii="Times New Roman"/>
                <w:sz w:val="22"/>
              </w:rPr>
            </w:pPr>
          </w:p>
        </w:tc>
        <w:tc>
          <w:tcPr>
            <w:tcW w:w="442" w:type="dxa"/>
            <w:tcBorders>
              <w:top w:val="single" w:color="000000" w:sz="6" w:space="0"/>
              <w:left w:val="single" w:color="000000" w:sz="6" w:space="0"/>
              <w:right w:val="single" w:color="000000" w:sz="6" w:space="0"/>
            </w:tcBorders>
          </w:tcPr>
          <w:p>
            <w:pPr>
              <w:pStyle w:val="274"/>
              <w:rPr>
                <w:rFonts w:ascii="Times New Roman"/>
                <w:sz w:val="22"/>
              </w:rPr>
            </w:pPr>
          </w:p>
        </w:tc>
        <w:tc>
          <w:tcPr>
            <w:tcW w:w="566" w:type="dxa"/>
            <w:tcBorders>
              <w:top w:val="single" w:color="000000" w:sz="6" w:space="0"/>
              <w:left w:val="single" w:color="000000" w:sz="6" w:space="0"/>
            </w:tcBorders>
          </w:tcPr>
          <w:p>
            <w:pPr>
              <w:pStyle w:val="274"/>
              <w:rPr>
                <w:rFonts w:ascii="Times New Roman"/>
                <w:sz w:val="22"/>
              </w:rPr>
            </w:pPr>
          </w:p>
        </w:tc>
      </w:tr>
    </w:tbl>
    <w:p>
      <w:pPr>
        <w:pStyle w:val="17"/>
        <w:spacing w:before="90"/>
      </w:pPr>
      <w:r>
        <w:t>注：1</w:t>
      </w:r>
      <w:r>
        <w:rPr>
          <w:spacing w:val="-1"/>
        </w:rPr>
        <w:t>、上述内容合格用“√”表示，不合格用“×”表示；</w:t>
      </w:r>
    </w:p>
    <w:p>
      <w:pPr>
        <w:pStyle w:val="287"/>
        <w:numPr>
          <w:ilvl w:val="0"/>
          <w:numId w:val="5"/>
        </w:numPr>
        <w:tabs>
          <w:tab w:val="left" w:pos="980"/>
        </w:tabs>
        <w:spacing w:before="192" w:after="0" w:line="240" w:lineRule="auto"/>
        <w:ind w:left="980" w:right="0" w:hanging="360"/>
        <w:jc w:val="left"/>
        <w:rPr>
          <w:sz w:val="24"/>
        </w:rPr>
      </w:pPr>
      <w:r>
        <w:rPr>
          <w:spacing w:val="-1"/>
          <w:sz w:val="24"/>
        </w:rPr>
        <w:t>在结论栏中填写“合格”或“不合格”。</w:t>
      </w:r>
    </w:p>
    <w:p>
      <w:pPr>
        <w:pStyle w:val="287"/>
        <w:numPr>
          <w:ilvl w:val="0"/>
          <w:numId w:val="5"/>
        </w:numPr>
        <w:tabs>
          <w:tab w:val="left" w:pos="980"/>
        </w:tabs>
        <w:spacing w:before="192" w:after="0" w:line="240" w:lineRule="auto"/>
        <w:ind w:left="980" w:right="0" w:hanging="360"/>
        <w:jc w:val="left"/>
        <w:rPr>
          <w:sz w:val="24"/>
        </w:rPr>
      </w:pPr>
      <w:r>
        <w:rPr>
          <w:spacing w:val="-1"/>
          <w:sz w:val="24"/>
        </w:rPr>
        <w:t>以上内容有一项不合格的，则初步评审的综合评定结果为不合格。</w:t>
      </w:r>
    </w:p>
    <w:p>
      <w:pPr>
        <w:pStyle w:val="287"/>
        <w:numPr>
          <w:ilvl w:val="0"/>
          <w:numId w:val="5"/>
        </w:numPr>
        <w:tabs>
          <w:tab w:val="left" w:pos="980"/>
        </w:tabs>
        <w:spacing w:before="192" w:after="0" w:line="240" w:lineRule="auto"/>
        <w:ind w:left="980" w:right="0" w:hanging="360"/>
        <w:jc w:val="left"/>
        <w:rPr>
          <w:sz w:val="24"/>
        </w:rPr>
      </w:pPr>
      <w:r>
        <w:rPr>
          <w:spacing w:val="-1"/>
          <w:sz w:val="24"/>
        </w:rPr>
        <w:t>结论为“不合格”的供应商不得进入实质性评价打分程序。</w:t>
      </w:r>
    </w:p>
    <w:p>
      <w:pPr>
        <w:pStyle w:val="17"/>
        <w:ind w:left="0"/>
      </w:pPr>
    </w:p>
    <w:p>
      <w:pPr>
        <w:pStyle w:val="17"/>
        <w:spacing w:before="243"/>
        <w:ind w:left="0"/>
      </w:pPr>
    </w:p>
    <w:p>
      <w:pPr>
        <w:pStyle w:val="17"/>
        <w:spacing w:before="1"/>
      </w:pPr>
      <w:r>
        <w:rPr>
          <w:spacing w:val="-2"/>
        </w:rPr>
        <w:t>磋商小组签名：</w:t>
      </w:r>
    </w:p>
    <w:p>
      <w:pPr>
        <w:jc w:val="right"/>
        <w:rPr>
          <w:rFonts w:hint="eastAsia" w:ascii="仿宋_GB2312" w:hAnsi="仿宋_GB2312" w:eastAsia="仿宋_GB2312" w:cs="仿宋_GB2312"/>
          <w:b/>
          <w:bCs/>
          <w:snapToGrid w:val="0"/>
          <w:color w:val="auto"/>
          <w:kern w:val="0"/>
          <w:szCs w:val="21"/>
          <w:highlight w:val="none"/>
        </w:rPr>
      </w:pPr>
      <w:r>
        <w:rPr>
          <w:spacing w:val="-10"/>
        </w:rPr>
        <w:t>年</w:t>
      </w:r>
      <w:r>
        <w:tab/>
      </w:r>
      <w:r>
        <w:rPr>
          <w:spacing w:val="-10"/>
        </w:rPr>
        <w:t>月</w:t>
      </w:r>
      <w:r>
        <w:tab/>
      </w:r>
      <w:r>
        <w:rPr>
          <w:spacing w:val="-10"/>
        </w:rPr>
        <w:t>日</w:t>
      </w: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ind w:firstLine="422" w:firstLineChars="200"/>
        <w:jc w:val="left"/>
        <w:rPr>
          <w:rFonts w:hint="eastAsia" w:ascii="仿宋_GB2312" w:hAnsi="仿宋_GB2312" w:eastAsia="仿宋_GB2312" w:cs="仿宋_GB2312"/>
          <w:b/>
          <w:bCs/>
          <w:snapToGrid w:val="0"/>
          <w:color w:val="auto"/>
          <w:kern w:val="0"/>
          <w:szCs w:val="21"/>
          <w:highlight w:val="none"/>
        </w:rPr>
      </w:pPr>
    </w:p>
    <w:p>
      <w:pPr>
        <w:pStyle w:val="4"/>
        <w:rPr>
          <w:spacing w:val="-4"/>
          <w:sz w:val="28"/>
          <w:szCs w:val="28"/>
        </w:rPr>
      </w:pPr>
      <w:r>
        <w:rPr>
          <w:spacing w:val="-24"/>
          <w:sz w:val="28"/>
          <w:szCs w:val="28"/>
        </w:rPr>
        <w:t xml:space="preserve">附页 </w:t>
      </w:r>
      <w:r>
        <w:rPr>
          <w:rFonts w:hint="eastAsia"/>
          <w:sz w:val="28"/>
          <w:szCs w:val="28"/>
          <w:lang w:val="en-US" w:eastAsia="zh-CN"/>
        </w:rPr>
        <w:t>3</w:t>
      </w:r>
      <w:r>
        <w:rPr>
          <w:spacing w:val="-4"/>
          <w:sz w:val="28"/>
          <w:szCs w:val="28"/>
        </w:rPr>
        <w:t xml:space="preserve"> 符合性检查表</w:t>
      </w:r>
    </w:p>
    <w:p>
      <w:pPr>
        <w:pStyle w:val="4"/>
        <w:pageBreakBefore w:val="0"/>
        <w:widowControl w:val="0"/>
        <w:kinsoku/>
        <w:wordWrap/>
        <w:overflowPunct/>
        <w:topLinePunct w:val="0"/>
        <w:autoSpaceDE/>
        <w:autoSpaceDN/>
        <w:bidi w:val="0"/>
        <w:adjustRightInd/>
        <w:snapToGrid/>
        <w:spacing w:line="360" w:lineRule="auto"/>
        <w:jc w:val="center"/>
        <w:textAlignment w:val="auto"/>
        <w:rPr>
          <w:sz w:val="28"/>
        </w:rPr>
      </w:pPr>
      <w:r>
        <w:rPr>
          <w:spacing w:val="-4"/>
          <w:sz w:val="28"/>
        </w:rPr>
        <w:t>符合性检查表</w:t>
      </w:r>
    </w:p>
    <w:p>
      <w:pPr>
        <w:pStyle w:val="17"/>
        <w:pageBreakBefore w:val="0"/>
        <w:widowControl w:val="0"/>
        <w:kinsoku/>
        <w:wordWrap/>
        <w:overflowPunct/>
        <w:topLinePunct w:val="0"/>
        <w:autoSpaceDE/>
        <w:autoSpaceDN/>
        <w:bidi w:val="0"/>
        <w:adjustRightInd/>
        <w:snapToGrid/>
        <w:spacing w:before="155" w:line="360" w:lineRule="auto"/>
        <w:ind w:right="4076"/>
        <w:textAlignment w:val="auto"/>
        <w:rPr>
          <w:rFonts w:hint="eastAsia"/>
          <w:spacing w:val="-2"/>
          <w:lang w:val="en-US" w:eastAsia="zh-CN"/>
        </w:rPr>
      </w:pPr>
      <w:r>
        <w:rPr>
          <w:spacing w:val="-2"/>
        </w:rPr>
        <w:t>项目名称：</w:t>
      </w:r>
      <w:r>
        <w:rPr>
          <w:rFonts w:hint="eastAsia"/>
          <w:spacing w:val="-2"/>
          <w:lang w:val="en-US" w:eastAsia="zh-CN"/>
        </w:rPr>
        <w:t>吉首市第一中学场馆改造项目</w:t>
      </w:r>
    </w:p>
    <w:p>
      <w:pPr>
        <w:pStyle w:val="17"/>
        <w:pageBreakBefore w:val="0"/>
        <w:widowControl w:val="0"/>
        <w:kinsoku/>
        <w:wordWrap/>
        <w:overflowPunct/>
        <w:topLinePunct w:val="0"/>
        <w:autoSpaceDE/>
        <w:autoSpaceDN/>
        <w:bidi w:val="0"/>
        <w:adjustRightInd/>
        <w:snapToGrid/>
        <w:spacing w:before="155" w:line="360" w:lineRule="auto"/>
        <w:ind w:right="4076"/>
        <w:textAlignment w:val="auto"/>
      </w:pPr>
      <w:r>
        <w:t>代理编号:</w:t>
      </w:r>
      <w:r>
        <w:rPr>
          <w:rFonts w:hint="eastAsia"/>
          <w:lang w:val="en-US" w:eastAsia="zh-CN"/>
        </w:rPr>
        <w:t>HNBZSRCG2026-029</w:t>
      </w:r>
    </w:p>
    <w:tbl>
      <w:tblPr>
        <w:tblStyle w:val="44"/>
        <w:tblW w:w="9282"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2"/>
        <w:gridCol w:w="1588"/>
        <w:gridCol w:w="5128"/>
        <w:gridCol w:w="564"/>
        <w:gridCol w:w="564"/>
        <w:gridCol w:w="5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3" w:hRule="atLeast"/>
        </w:trPr>
        <w:tc>
          <w:tcPr>
            <w:tcW w:w="862" w:type="dxa"/>
            <w:vMerge w:val="restart"/>
          </w:tcPr>
          <w:p>
            <w:pPr>
              <w:pStyle w:val="274"/>
              <w:spacing w:before="224"/>
              <w:ind w:left="190"/>
              <w:rPr>
                <w:sz w:val="24"/>
              </w:rPr>
            </w:pPr>
            <w:r>
              <w:rPr>
                <w:spacing w:val="-5"/>
                <w:sz w:val="24"/>
              </w:rPr>
              <w:t>序号</w:t>
            </w:r>
          </w:p>
        </w:tc>
        <w:tc>
          <w:tcPr>
            <w:tcW w:w="1588" w:type="dxa"/>
            <w:vMerge w:val="restart"/>
          </w:tcPr>
          <w:p>
            <w:pPr>
              <w:pStyle w:val="274"/>
              <w:spacing w:before="224"/>
              <w:ind w:left="312"/>
              <w:rPr>
                <w:sz w:val="24"/>
              </w:rPr>
            </w:pPr>
            <w:r>
              <w:rPr>
                <w:spacing w:val="-3"/>
                <w:sz w:val="24"/>
              </w:rPr>
              <w:t>审查项目</w:t>
            </w:r>
          </w:p>
        </w:tc>
        <w:tc>
          <w:tcPr>
            <w:tcW w:w="5128" w:type="dxa"/>
            <w:vMerge w:val="restart"/>
          </w:tcPr>
          <w:p>
            <w:pPr>
              <w:pStyle w:val="274"/>
              <w:spacing w:before="224"/>
              <w:ind w:left="7"/>
              <w:jc w:val="center"/>
              <w:rPr>
                <w:sz w:val="24"/>
              </w:rPr>
            </w:pPr>
            <w:r>
              <w:rPr>
                <w:spacing w:val="-3"/>
                <w:sz w:val="24"/>
              </w:rPr>
              <w:t>审查标准</w:t>
            </w:r>
          </w:p>
        </w:tc>
        <w:tc>
          <w:tcPr>
            <w:tcW w:w="1704" w:type="dxa"/>
            <w:gridSpan w:val="3"/>
          </w:tcPr>
          <w:p>
            <w:pPr>
              <w:pStyle w:val="274"/>
              <w:spacing w:before="13" w:line="300" w:lineRule="exact"/>
              <w:ind w:left="488"/>
              <w:rPr>
                <w:sz w:val="24"/>
              </w:rPr>
            </w:pPr>
            <w:r>
              <w:rPr>
                <w:spacing w:val="-4"/>
                <w:sz w:val="24"/>
              </w:rPr>
              <w:t>投标人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62" w:type="dxa"/>
            <w:vMerge w:val="continue"/>
            <w:tcBorders>
              <w:top w:val="nil"/>
            </w:tcBorders>
          </w:tcPr>
          <w:p>
            <w:pPr>
              <w:rPr>
                <w:sz w:val="2"/>
                <w:szCs w:val="2"/>
              </w:rPr>
            </w:pPr>
          </w:p>
        </w:tc>
        <w:tc>
          <w:tcPr>
            <w:tcW w:w="1588" w:type="dxa"/>
            <w:vMerge w:val="continue"/>
            <w:tcBorders>
              <w:top w:val="nil"/>
            </w:tcBorders>
          </w:tcPr>
          <w:p>
            <w:pPr>
              <w:rPr>
                <w:sz w:val="2"/>
                <w:szCs w:val="2"/>
              </w:rPr>
            </w:pPr>
          </w:p>
        </w:tc>
        <w:tc>
          <w:tcPr>
            <w:tcW w:w="5128" w:type="dxa"/>
            <w:vMerge w:val="continue"/>
            <w:tcBorders>
              <w:top w:val="nil"/>
            </w:tcBorders>
          </w:tcPr>
          <w:p>
            <w:pPr>
              <w:rPr>
                <w:sz w:val="2"/>
                <w:szCs w:val="2"/>
              </w:rPr>
            </w:pPr>
          </w:p>
        </w:tc>
        <w:tc>
          <w:tcPr>
            <w:tcW w:w="564" w:type="dxa"/>
          </w:tcPr>
          <w:p>
            <w:pPr>
              <w:pStyle w:val="274"/>
              <w:rPr>
                <w:rFonts w:ascii="Times New Roman"/>
                <w:sz w:val="22"/>
              </w:rPr>
            </w:pPr>
          </w:p>
        </w:tc>
        <w:tc>
          <w:tcPr>
            <w:tcW w:w="564" w:type="dxa"/>
          </w:tcPr>
          <w:p>
            <w:pPr>
              <w:pStyle w:val="274"/>
              <w:rPr>
                <w:rFonts w:ascii="Times New Roman"/>
                <w:sz w:val="22"/>
              </w:rPr>
            </w:pPr>
          </w:p>
        </w:tc>
        <w:tc>
          <w:tcPr>
            <w:tcW w:w="576" w:type="dxa"/>
          </w:tcPr>
          <w:p>
            <w:pPr>
              <w:pStyle w:val="27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62" w:hRule="atLeast"/>
        </w:trPr>
        <w:tc>
          <w:tcPr>
            <w:tcW w:w="862" w:type="dxa"/>
            <w:vAlign w:val="center"/>
          </w:tcPr>
          <w:p>
            <w:pPr>
              <w:pStyle w:val="274"/>
              <w:spacing w:before="228"/>
              <w:ind w:left="8"/>
              <w:jc w:val="center"/>
              <w:rPr>
                <w:sz w:val="24"/>
              </w:rPr>
            </w:pPr>
            <w:r>
              <w:rPr>
                <w:spacing w:val="-10"/>
                <w:sz w:val="24"/>
              </w:rPr>
              <w:t>1</w:t>
            </w:r>
          </w:p>
        </w:tc>
        <w:tc>
          <w:tcPr>
            <w:tcW w:w="1588" w:type="dxa"/>
            <w:vAlign w:val="center"/>
          </w:tcPr>
          <w:p>
            <w:pPr>
              <w:pStyle w:val="274"/>
              <w:spacing w:before="228"/>
              <w:ind w:left="11"/>
              <w:jc w:val="center"/>
              <w:rPr>
                <w:sz w:val="24"/>
              </w:rPr>
            </w:pPr>
            <w:r>
              <w:rPr>
                <w:spacing w:val="-2"/>
                <w:sz w:val="24"/>
              </w:rPr>
              <w:t>签署、盖章</w:t>
            </w:r>
          </w:p>
        </w:tc>
        <w:tc>
          <w:tcPr>
            <w:tcW w:w="5128" w:type="dxa"/>
            <w:vAlign w:val="center"/>
          </w:tcPr>
          <w:p>
            <w:pPr>
              <w:pStyle w:val="274"/>
              <w:spacing w:before="60" w:line="259" w:lineRule="auto"/>
              <w:ind w:left="106" w:right="209"/>
              <w:jc w:val="center"/>
              <w:rPr>
                <w:sz w:val="24"/>
              </w:rPr>
            </w:pPr>
            <w:r>
              <w:rPr>
                <w:spacing w:val="-2"/>
                <w:sz w:val="24"/>
              </w:rPr>
              <w:t>响应文件是否按磋商文件第二章投标须知要求进行签署、盖章。</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2" w:hRule="atLeast"/>
        </w:trPr>
        <w:tc>
          <w:tcPr>
            <w:tcW w:w="862" w:type="dxa"/>
            <w:vAlign w:val="center"/>
          </w:tcPr>
          <w:p>
            <w:pPr>
              <w:pStyle w:val="274"/>
              <w:spacing w:before="187"/>
              <w:ind w:left="8"/>
              <w:jc w:val="center"/>
              <w:rPr>
                <w:sz w:val="24"/>
              </w:rPr>
            </w:pPr>
            <w:r>
              <w:rPr>
                <w:spacing w:val="-10"/>
                <w:sz w:val="24"/>
              </w:rPr>
              <w:t>2</w:t>
            </w:r>
          </w:p>
        </w:tc>
        <w:tc>
          <w:tcPr>
            <w:tcW w:w="1588" w:type="dxa"/>
            <w:vAlign w:val="center"/>
          </w:tcPr>
          <w:p>
            <w:pPr>
              <w:pStyle w:val="274"/>
              <w:spacing w:before="187"/>
              <w:ind w:left="11"/>
              <w:jc w:val="center"/>
              <w:rPr>
                <w:sz w:val="24"/>
              </w:rPr>
            </w:pPr>
            <w:r>
              <w:rPr>
                <w:spacing w:val="-3"/>
                <w:sz w:val="24"/>
              </w:rPr>
              <w:t>工期要求</w:t>
            </w:r>
          </w:p>
        </w:tc>
        <w:tc>
          <w:tcPr>
            <w:tcW w:w="5128" w:type="dxa"/>
            <w:vAlign w:val="center"/>
          </w:tcPr>
          <w:p>
            <w:pPr>
              <w:pStyle w:val="274"/>
              <w:spacing w:before="187"/>
              <w:ind w:left="106"/>
              <w:jc w:val="center"/>
              <w:rPr>
                <w:sz w:val="24"/>
              </w:rPr>
            </w:pPr>
            <w:r>
              <w:rPr>
                <w:spacing w:val="-1"/>
                <w:sz w:val="24"/>
              </w:rPr>
              <w:t>工期满足磋商文件要求。</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8" w:hRule="atLeast"/>
        </w:trPr>
        <w:tc>
          <w:tcPr>
            <w:tcW w:w="862" w:type="dxa"/>
            <w:vAlign w:val="center"/>
          </w:tcPr>
          <w:p>
            <w:pPr>
              <w:pStyle w:val="274"/>
              <w:spacing w:before="187"/>
              <w:ind w:left="8"/>
              <w:jc w:val="center"/>
              <w:rPr>
                <w:rFonts w:hint="eastAsia" w:eastAsia="宋体"/>
                <w:spacing w:val="-10"/>
                <w:sz w:val="24"/>
                <w:lang w:val="en-US" w:eastAsia="zh-CN"/>
              </w:rPr>
            </w:pPr>
            <w:r>
              <w:rPr>
                <w:rFonts w:hint="eastAsia"/>
                <w:spacing w:val="-10"/>
                <w:sz w:val="24"/>
                <w:lang w:val="en-US" w:eastAsia="zh-CN"/>
              </w:rPr>
              <w:t>3</w:t>
            </w:r>
          </w:p>
        </w:tc>
        <w:tc>
          <w:tcPr>
            <w:tcW w:w="1588" w:type="dxa"/>
            <w:vAlign w:val="center"/>
          </w:tcPr>
          <w:p>
            <w:pPr>
              <w:pStyle w:val="274"/>
              <w:spacing w:before="187"/>
              <w:ind w:left="11"/>
              <w:jc w:val="center"/>
              <w:rPr>
                <w:spacing w:val="-3"/>
                <w:sz w:val="24"/>
              </w:rPr>
            </w:pPr>
            <w:r>
              <w:rPr>
                <w:rFonts w:hint="eastAsia"/>
                <w:spacing w:val="-3"/>
                <w:sz w:val="24"/>
              </w:rPr>
              <w:t>响应文件有效期不足的</w:t>
            </w:r>
          </w:p>
        </w:tc>
        <w:tc>
          <w:tcPr>
            <w:tcW w:w="5128" w:type="dxa"/>
            <w:vAlign w:val="center"/>
          </w:tcPr>
          <w:p>
            <w:pPr>
              <w:pStyle w:val="274"/>
              <w:spacing w:before="187"/>
              <w:ind w:left="106"/>
              <w:jc w:val="center"/>
              <w:rPr>
                <w:spacing w:val="-1"/>
                <w:sz w:val="24"/>
              </w:rPr>
            </w:pPr>
            <w:r>
              <w:rPr>
                <w:rFonts w:hint="eastAsia"/>
                <w:spacing w:val="-1"/>
                <w:sz w:val="24"/>
              </w:rPr>
              <w:t>响应文件有效期不足的</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9" w:hRule="atLeast"/>
        </w:trPr>
        <w:tc>
          <w:tcPr>
            <w:tcW w:w="862" w:type="dxa"/>
            <w:vAlign w:val="center"/>
          </w:tcPr>
          <w:p>
            <w:pPr>
              <w:pStyle w:val="274"/>
              <w:spacing w:before="187"/>
              <w:ind w:left="8"/>
              <w:jc w:val="center"/>
              <w:rPr>
                <w:rFonts w:hint="default"/>
                <w:spacing w:val="-10"/>
                <w:sz w:val="24"/>
                <w:lang w:val="en-US" w:eastAsia="zh-CN"/>
              </w:rPr>
            </w:pPr>
            <w:r>
              <w:rPr>
                <w:rFonts w:hint="eastAsia"/>
                <w:spacing w:val="-10"/>
                <w:sz w:val="24"/>
                <w:lang w:val="en-US" w:eastAsia="zh-CN"/>
              </w:rPr>
              <w:t>4</w:t>
            </w:r>
          </w:p>
        </w:tc>
        <w:tc>
          <w:tcPr>
            <w:tcW w:w="1588" w:type="dxa"/>
            <w:vAlign w:val="center"/>
          </w:tcPr>
          <w:p>
            <w:pPr>
              <w:pStyle w:val="274"/>
              <w:spacing w:before="187"/>
              <w:ind w:left="11"/>
              <w:jc w:val="center"/>
              <w:rPr>
                <w:rFonts w:hint="eastAsia"/>
                <w:spacing w:val="-3"/>
                <w:sz w:val="24"/>
              </w:rPr>
            </w:pPr>
            <w:r>
              <w:rPr>
                <w:rFonts w:hint="eastAsia"/>
                <w:spacing w:val="-3"/>
                <w:sz w:val="24"/>
              </w:rPr>
              <w:t>不符合法律、规章、规范性文件和磋商文件规定的</w:t>
            </w:r>
          </w:p>
        </w:tc>
        <w:tc>
          <w:tcPr>
            <w:tcW w:w="5128" w:type="dxa"/>
            <w:vAlign w:val="center"/>
          </w:tcPr>
          <w:p>
            <w:pPr>
              <w:pStyle w:val="274"/>
              <w:spacing w:before="187"/>
              <w:ind w:left="106"/>
              <w:jc w:val="center"/>
              <w:rPr>
                <w:rFonts w:hint="eastAsia"/>
                <w:spacing w:val="-1"/>
                <w:sz w:val="24"/>
              </w:rPr>
            </w:pPr>
            <w:r>
              <w:rPr>
                <w:rFonts w:hint="eastAsia"/>
                <w:spacing w:val="-1"/>
                <w:sz w:val="24"/>
              </w:rPr>
              <w:t>不符合法律、规章、规范性文件和磋商文件规定的。</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63" w:hRule="atLeast"/>
        </w:trPr>
        <w:tc>
          <w:tcPr>
            <w:tcW w:w="862" w:type="dxa"/>
            <w:vAlign w:val="center"/>
          </w:tcPr>
          <w:p>
            <w:pPr>
              <w:pStyle w:val="274"/>
              <w:spacing w:before="37"/>
              <w:jc w:val="center"/>
              <w:rPr>
                <w:sz w:val="24"/>
              </w:rPr>
            </w:pPr>
          </w:p>
          <w:p>
            <w:pPr>
              <w:pStyle w:val="274"/>
              <w:ind w:left="8"/>
              <w:jc w:val="center"/>
              <w:rPr>
                <w:rFonts w:hint="eastAsia" w:eastAsia="宋体"/>
                <w:sz w:val="24"/>
                <w:lang w:eastAsia="zh-CN"/>
              </w:rPr>
            </w:pPr>
            <w:r>
              <w:rPr>
                <w:rFonts w:hint="eastAsia"/>
                <w:spacing w:val="-10"/>
                <w:sz w:val="24"/>
                <w:lang w:val="en-US" w:eastAsia="zh-CN"/>
              </w:rPr>
              <w:t>5</w:t>
            </w:r>
          </w:p>
        </w:tc>
        <w:tc>
          <w:tcPr>
            <w:tcW w:w="1588" w:type="dxa"/>
            <w:vAlign w:val="center"/>
          </w:tcPr>
          <w:p>
            <w:pPr>
              <w:pStyle w:val="274"/>
              <w:spacing w:before="37"/>
              <w:jc w:val="center"/>
              <w:rPr>
                <w:sz w:val="24"/>
              </w:rPr>
            </w:pPr>
          </w:p>
          <w:p>
            <w:pPr>
              <w:pStyle w:val="274"/>
              <w:ind w:left="11"/>
              <w:jc w:val="center"/>
              <w:rPr>
                <w:sz w:val="24"/>
              </w:rPr>
            </w:pPr>
            <w:r>
              <w:rPr>
                <w:rFonts w:hint="eastAsia"/>
                <w:spacing w:val="-2"/>
                <w:sz w:val="24"/>
              </w:rPr>
              <w:t>实质性响应</w:t>
            </w:r>
          </w:p>
        </w:tc>
        <w:tc>
          <w:tcPr>
            <w:tcW w:w="5128" w:type="dxa"/>
            <w:vAlign w:val="center"/>
          </w:tcPr>
          <w:p>
            <w:pPr>
              <w:pStyle w:val="274"/>
              <w:spacing w:before="192"/>
              <w:ind w:left="106"/>
              <w:jc w:val="center"/>
              <w:rPr>
                <w:sz w:val="24"/>
              </w:rPr>
            </w:pPr>
            <w:r>
              <w:rPr>
                <w:rFonts w:hint="eastAsia"/>
                <w:spacing w:val="-2"/>
                <w:sz w:val="24"/>
              </w:rPr>
              <w:t>实质性响应是指响应文件(包括首次响应文件、重新提交的响应文件)与磋商文件要求的所有条款、条件和规格相符，没有偏离。偏离指不满足、或不响应磋商文件的要求</w:t>
            </w:r>
            <w:r>
              <w:rPr>
                <w:spacing w:val="-2"/>
                <w:sz w:val="24"/>
              </w:rPr>
              <w:t>。</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19" w:hRule="atLeast"/>
        </w:trPr>
        <w:tc>
          <w:tcPr>
            <w:tcW w:w="862" w:type="dxa"/>
            <w:vAlign w:val="center"/>
          </w:tcPr>
          <w:p>
            <w:pPr>
              <w:pStyle w:val="274"/>
              <w:ind w:left="8"/>
              <w:jc w:val="center"/>
              <w:rPr>
                <w:rFonts w:hint="default"/>
                <w:spacing w:val="-10"/>
                <w:sz w:val="24"/>
                <w:lang w:val="en-US" w:eastAsia="zh-CN"/>
              </w:rPr>
            </w:pPr>
            <w:r>
              <w:rPr>
                <w:rFonts w:hint="eastAsia"/>
                <w:spacing w:val="-10"/>
                <w:sz w:val="24"/>
                <w:lang w:val="en-US" w:eastAsia="zh-CN"/>
              </w:rPr>
              <w:t>6</w:t>
            </w:r>
          </w:p>
        </w:tc>
        <w:tc>
          <w:tcPr>
            <w:tcW w:w="1588" w:type="dxa"/>
            <w:vAlign w:val="center"/>
          </w:tcPr>
          <w:p>
            <w:pPr>
              <w:pStyle w:val="274"/>
              <w:ind w:left="11"/>
              <w:jc w:val="center"/>
              <w:rPr>
                <w:rFonts w:hint="eastAsia"/>
                <w:spacing w:val="-2"/>
                <w:sz w:val="24"/>
              </w:rPr>
            </w:pPr>
            <w:r>
              <w:rPr>
                <w:rFonts w:hint="eastAsia"/>
                <w:spacing w:val="-2"/>
                <w:sz w:val="24"/>
              </w:rPr>
              <w:t>投标文件电子文档有病毒</w:t>
            </w:r>
          </w:p>
        </w:tc>
        <w:tc>
          <w:tcPr>
            <w:tcW w:w="5128" w:type="dxa"/>
            <w:vAlign w:val="center"/>
          </w:tcPr>
          <w:p>
            <w:pPr>
              <w:pStyle w:val="274"/>
              <w:spacing w:before="192"/>
              <w:ind w:left="106"/>
              <w:jc w:val="center"/>
              <w:rPr>
                <w:rFonts w:hint="eastAsia"/>
                <w:spacing w:val="-2"/>
                <w:sz w:val="24"/>
              </w:rPr>
            </w:pPr>
            <w:r>
              <w:rPr>
                <w:rFonts w:hint="eastAsia"/>
                <w:spacing w:val="-2"/>
                <w:sz w:val="24"/>
              </w:rPr>
              <w:t>投标文件电子文档有病毒</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19" w:hRule="atLeast"/>
        </w:trPr>
        <w:tc>
          <w:tcPr>
            <w:tcW w:w="862" w:type="dxa"/>
            <w:vAlign w:val="center"/>
          </w:tcPr>
          <w:p>
            <w:pPr>
              <w:pStyle w:val="274"/>
              <w:ind w:left="8"/>
              <w:jc w:val="center"/>
              <w:rPr>
                <w:rFonts w:hint="default"/>
                <w:spacing w:val="-10"/>
                <w:sz w:val="24"/>
                <w:lang w:val="en-US" w:eastAsia="zh-CN"/>
              </w:rPr>
            </w:pPr>
            <w:r>
              <w:rPr>
                <w:rFonts w:hint="eastAsia"/>
                <w:spacing w:val="-10"/>
                <w:sz w:val="24"/>
                <w:lang w:val="en-US" w:eastAsia="zh-CN"/>
              </w:rPr>
              <w:t>7</w:t>
            </w:r>
          </w:p>
        </w:tc>
        <w:tc>
          <w:tcPr>
            <w:tcW w:w="1588" w:type="dxa"/>
            <w:vAlign w:val="center"/>
          </w:tcPr>
          <w:p>
            <w:pPr>
              <w:pStyle w:val="274"/>
              <w:ind w:left="11"/>
              <w:jc w:val="center"/>
              <w:rPr>
                <w:rFonts w:hint="eastAsia"/>
                <w:spacing w:val="-2"/>
                <w:sz w:val="24"/>
              </w:rPr>
            </w:pPr>
            <w:r>
              <w:rPr>
                <w:rFonts w:hint="eastAsia"/>
                <w:spacing w:val="-2"/>
                <w:sz w:val="24"/>
              </w:rPr>
              <w:t>投标文件用不属于本中心的电子密钥进行加密</w:t>
            </w:r>
          </w:p>
        </w:tc>
        <w:tc>
          <w:tcPr>
            <w:tcW w:w="5128" w:type="dxa"/>
            <w:vAlign w:val="center"/>
          </w:tcPr>
          <w:p>
            <w:pPr>
              <w:pStyle w:val="274"/>
              <w:spacing w:before="192"/>
              <w:ind w:left="106"/>
              <w:jc w:val="center"/>
              <w:rPr>
                <w:rFonts w:hint="eastAsia"/>
                <w:spacing w:val="-2"/>
                <w:sz w:val="24"/>
              </w:rPr>
            </w:pPr>
            <w:r>
              <w:rPr>
                <w:rFonts w:hint="eastAsia"/>
                <w:spacing w:val="-2"/>
                <w:sz w:val="24"/>
              </w:rPr>
              <w:t>投标文件用不属于本中心的电子密钥进行加密</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19" w:hRule="atLeast"/>
        </w:trPr>
        <w:tc>
          <w:tcPr>
            <w:tcW w:w="862" w:type="dxa"/>
            <w:vAlign w:val="center"/>
          </w:tcPr>
          <w:p>
            <w:pPr>
              <w:pStyle w:val="274"/>
              <w:ind w:left="8"/>
              <w:jc w:val="center"/>
              <w:rPr>
                <w:rFonts w:hint="default"/>
                <w:spacing w:val="-10"/>
                <w:sz w:val="24"/>
                <w:lang w:val="en-US" w:eastAsia="zh-CN"/>
              </w:rPr>
            </w:pPr>
            <w:r>
              <w:rPr>
                <w:rFonts w:hint="eastAsia"/>
                <w:spacing w:val="-10"/>
                <w:sz w:val="24"/>
                <w:lang w:val="en-US" w:eastAsia="zh-CN"/>
              </w:rPr>
              <w:t>8</w:t>
            </w:r>
          </w:p>
        </w:tc>
        <w:tc>
          <w:tcPr>
            <w:tcW w:w="1588" w:type="dxa"/>
            <w:vAlign w:val="center"/>
          </w:tcPr>
          <w:p>
            <w:pPr>
              <w:pStyle w:val="274"/>
              <w:ind w:left="11"/>
              <w:jc w:val="center"/>
              <w:rPr>
                <w:rFonts w:hint="eastAsia"/>
                <w:spacing w:val="-2"/>
                <w:sz w:val="24"/>
              </w:rPr>
            </w:pPr>
            <w:r>
              <w:rPr>
                <w:rFonts w:hint="eastAsia"/>
                <w:spacing w:val="-2"/>
                <w:sz w:val="24"/>
              </w:rPr>
              <w:t>选了非本项目的加密规则文件，导致投标文件不能在开标时解密</w:t>
            </w:r>
          </w:p>
        </w:tc>
        <w:tc>
          <w:tcPr>
            <w:tcW w:w="5128" w:type="dxa"/>
            <w:vAlign w:val="center"/>
          </w:tcPr>
          <w:p>
            <w:pPr>
              <w:pStyle w:val="274"/>
              <w:spacing w:before="192"/>
              <w:ind w:left="106"/>
              <w:jc w:val="center"/>
              <w:rPr>
                <w:rFonts w:hint="eastAsia"/>
                <w:spacing w:val="-2"/>
                <w:sz w:val="24"/>
              </w:rPr>
            </w:pPr>
            <w:r>
              <w:rPr>
                <w:rFonts w:hint="eastAsia"/>
                <w:spacing w:val="-2"/>
                <w:sz w:val="24"/>
              </w:rPr>
              <w:t>选了非本项目的加密规则文件，导致投标文件不能在开标时解密</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1" w:hRule="atLeast"/>
        </w:trPr>
        <w:tc>
          <w:tcPr>
            <w:tcW w:w="862" w:type="dxa"/>
            <w:vAlign w:val="center"/>
          </w:tcPr>
          <w:p>
            <w:pPr>
              <w:pStyle w:val="274"/>
              <w:spacing w:before="178"/>
              <w:ind w:left="8"/>
              <w:jc w:val="center"/>
              <w:rPr>
                <w:rFonts w:hint="eastAsia" w:eastAsia="宋体"/>
                <w:sz w:val="24"/>
                <w:lang w:eastAsia="zh-CN"/>
              </w:rPr>
            </w:pPr>
            <w:r>
              <w:rPr>
                <w:rFonts w:hint="eastAsia"/>
                <w:spacing w:val="-10"/>
                <w:sz w:val="24"/>
                <w:lang w:val="en-US" w:eastAsia="zh-CN"/>
              </w:rPr>
              <w:t>9</w:t>
            </w:r>
          </w:p>
        </w:tc>
        <w:tc>
          <w:tcPr>
            <w:tcW w:w="1588" w:type="dxa"/>
            <w:vAlign w:val="center"/>
          </w:tcPr>
          <w:p>
            <w:pPr>
              <w:pStyle w:val="274"/>
              <w:spacing w:before="178"/>
              <w:ind w:left="11"/>
              <w:jc w:val="center"/>
              <w:rPr>
                <w:sz w:val="24"/>
              </w:rPr>
            </w:pPr>
            <w:r>
              <w:rPr>
                <w:spacing w:val="-2"/>
                <w:sz w:val="24"/>
              </w:rPr>
              <w:t>投标有效期</w:t>
            </w:r>
          </w:p>
        </w:tc>
        <w:tc>
          <w:tcPr>
            <w:tcW w:w="5128" w:type="dxa"/>
            <w:vAlign w:val="center"/>
          </w:tcPr>
          <w:p>
            <w:pPr>
              <w:pStyle w:val="274"/>
              <w:spacing w:before="178"/>
              <w:ind w:left="106"/>
              <w:jc w:val="center"/>
              <w:rPr>
                <w:sz w:val="24"/>
              </w:rPr>
            </w:pPr>
            <w:r>
              <w:rPr>
                <w:spacing w:val="-1"/>
                <w:sz w:val="24"/>
              </w:rPr>
              <w:t>投标有效期满足磋商文件要求。</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4" w:hRule="atLeast"/>
        </w:trPr>
        <w:tc>
          <w:tcPr>
            <w:tcW w:w="862" w:type="dxa"/>
            <w:vAlign w:val="center"/>
          </w:tcPr>
          <w:p>
            <w:pPr>
              <w:pStyle w:val="274"/>
              <w:spacing w:before="178"/>
              <w:ind w:left="8"/>
              <w:jc w:val="center"/>
              <w:rPr>
                <w:rFonts w:hint="default" w:eastAsia="宋体"/>
                <w:sz w:val="24"/>
                <w:lang w:val="en-US" w:eastAsia="zh-CN"/>
              </w:rPr>
            </w:pPr>
            <w:r>
              <w:rPr>
                <w:rFonts w:hint="eastAsia"/>
                <w:spacing w:val="-10"/>
                <w:sz w:val="24"/>
                <w:lang w:val="en-US" w:eastAsia="zh-CN"/>
              </w:rPr>
              <w:t>10</w:t>
            </w:r>
          </w:p>
        </w:tc>
        <w:tc>
          <w:tcPr>
            <w:tcW w:w="1588" w:type="dxa"/>
            <w:vAlign w:val="center"/>
          </w:tcPr>
          <w:p>
            <w:pPr>
              <w:pStyle w:val="274"/>
              <w:spacing w:before="178"/>
              <w:ind w:left="11"/>
              <w:jc w:val="center"/>
              <w:rPr>
                <w:sz w:val="24"/>
              </w:rPr>
            </w:pPr>
            <w:r>
              <w:rPr>
                <w:spacing w:val="-3"/>
                <w:sz w:val="24"/>
              </w:rPr>
              <w:t>附加条件</w:t>
            </w:r>
          </w:p>
        </w:tc>
        <w:tc>
          <w:tcPr>
            <w:tcW w:w="5128" w:type="dxa"/>
            <w:vAlign w:val="center"/>
          </w:tcPr>
          <w:p>
            <w:pPr>
              <w:pStyle w:val="274"/>
              <w:spacing w:before="178"/>
              <w:ind w:left="106"/>
              <w:jc w:val="center"/>
              <w:rPr>
                <w:sz w:val="24"/>
              </w:rPr>
            </w:pPr>
            <w:r>
              <w:rPr>
                <w:spacing w:val="-1"/>
                <w:sz w:val="24"/>
              </w:rPr>
              <w:t>响应文件未含有采购人不能接受的附加条件。</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97" w:hRule="atLeast"/>
        </w:trPr>
        <w:tc>
          <w:tcPr>
            <w:tcW w:w="862" w:type="dxa"/>
            <w:vAlign w:val="center"/>
          </w:tcPr>
          <w:p>
            <w:pPr>
              <w:pStyle w:val="274"/>
              <w:jc w:val="center"/>
              <w:rPr>
                <w:sz w:val="24"/>
              </w:rPr>
            </w:pPr>
          </w:p>
          <w:p>
            <w:pPr>
              <w:pStyle w:val="274"/>
              <w:spacing w:before="231"/>
              <w:jc w:val="center"/>
              <w:rPr>
                <w:sz w:val="24"/>
              </w:rPr>
            </w:pPr>
          </w:p>
          <w:p>
            <w:pPr>
              <w:pStyle w:val="274"/>
              <w:ind w:left="8"/>
              <w:jc w:val="center"/>
              <w:rPr>
                <w:rFonts w:hint="default" w:eastAsia="宋体"/>
                <w:sz w:val="24"/>
                <w:lang w:val="en-US" w:eastAsia="zh-CN"/>
              </w:rPr>
            </w:pPr>
            <w:r>
              <w:rPr>
                <w:rFonts w:hint="eastAsia"/>
                <w:spacing w:val="-10"/>
                <w:sz w:val="24"/>
                <w:lang w:val="en-US" w:eastAsia="zh-CN"/>
              </w:rPr>
              <w:t>11</w:t>
            </w:r>
          </w:p>
        </w:tc>
        <w:tc>
          <w:tcPr>
            <w:tcW w:w="1588" w:type="dxa"/>
            <w:vAlign w:val="center"/>
          </w:tcPr>
          <w:p>
            <w:pPr>
              <w:pStyle w:val="274"/>
              <w:jc w:val="center"/>
              <w:rPr>
                <w:sz w:val="24"/>
              </w:rPr>
            </w:pPr>
          </w:p>
          <w:p>
            <w:pPr>
              <w:pStyle w:val="274"/>
              <w:spacing w:before="231"/>
              <w:jc w:val="center"/>
              <w:rPr>
                <w:sz w:val="24"/>
              </w:rPr>
            </w:pPr>
          </w:p>
          <w:p>
            <w:pPr>
              <w:pStyle w:val="274"/>
              <w:ind w:left="11"/>
              <w:jc w:val="center"/>
              <w:rPr>
                <w:sz w:val="24"/>
              </w:rPr>
            </w:pPr>
            <w:r>
              <w:rPr>
                <w:spacing w:val="-2"/>
                <w:sz w:val="24"/>
              </w:rPr>
              <w:t>报价合理性</w:t>
            </w:r>
          </w:p>
        </w:tc>
        <w:tc>
          <w:tcPr>
            <w:tcW w:w="5128" w:type="dxa"/>
            <w:vAlign w:val="center"/>
          </w:tcPr>
          <w:p>
            <w:pPr>
              <w:pStyle w:val="274"/>
              <w:spacing w:before="97" w:line="388" w:lineRule="auto"/>
              <w:ind w:left="106" w:right="209"/>
              <w:jc w:val="center"/>
              <w:rPr>
                <w:sz w:val="24"/>
              </w:rPr>
            </w:pPr>
            <w:r>
              <w:rPr>
                <w:spacing w:val="-2"/>
                <w:sz w:val="24"/>
              </w:rPr>
              <w:t>报价合理，或供应商的报价明显低于其他通过符合性审查供应商的报价，有可能影响产品质</w:t>
            </w:r>
            <w:r>
              <w:rPr>
                <w:spacing w:val="-1"/>
                <w:sz w:val="24"/>
              </w:rPr>
              <w:t>量或者不能诚信履约的，能够应评标委员会要</w:t>
            </w:r>
          </w:p>
          <w:p>
            <w:pPr>
              <w:pStyle w:val="274"/>
              <w:spacing w:before="3"/>
              <w:ind w:left="106"/>
              <w:jc w:val="center"/>
              <w:rPr>
                <w:sz w:val="24"/>
              </w:rPr>
            </w:pPr>
            <w:r>
              <w:rPr>
                <w:spacing w:val="-1"/>
                <w:sz w:val="24"/>
              </w:rPr>
              <w:t>求在规定时间内证明其报价合理性的。</w:t>
            </w:r>
          </w:p>
        </w:tc>
        <w:tc>
          <w:tcPr>
            <w:tcW w:w="564" w:type="dxa"/>
            <w:vAlign w:val="center"/>
          </w:tcPr>
          <w:p>
            <w:pPr>
              <w:pStyle w:val="274"/>
              <w:jc w:val="center"/>
              <w:rPr>
                <w:rFonts w:ascii="Times New Roman"/>
                <w:sz w:val="22"/>
              </w:rPr>
            </w:pPr>
          </w:p>
        </w:tc>
        <w:tc>
          <w:tcPr>
            <w:tcW w:w="564" w:type="dxa"/>
            <w:vAlign w:val="center"/>
          </w:tcPr>
          <w:p>
            <w:pPr>
              <w:pStyle w:val="274"/>
              <w:jc w:val="center"/>
              <w:rPr>
                <w:rFonts w:ascii="Times New Roman"/>
                <w:sz w:val="22"/>
              </w:rPr>
            </w:pPr>
          </w:p>
        </w:tc>
        <w:tc>
          <w:tcPr>
            <w:tcW w:w="576" w:type="dxa"/>
            <w:vAlign w:val="center"/>
          </w:tcPr>
          <w:p>
            <w:pPr>
              <w:pStyle w:val="274"/>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7" w:hRule="atLeast"/>
        </w:trPr>
        <w:tc>
          <w:tcPr>
            <w:tcW w:w="7578" w:type="dxa"/>
            <w:gridSpan w:val="3"/>
          </w:tcPr>
          <w:p>
            <w:pPr>
              <w:pStyle w:val="274"/>
              <w:spacing w:before="108"/>
              <w:ind w:left="7"/>
              <w:jc w:val="center"/>
              <w:rPr>
                <w:sz w:val="24"/>
              </w:rPr>
            </w:pPr>
            <w:r>
              <w:rPr>
                <w:spacing w:val="-1"/>
                <w:sz w:val="24"/>
              </w:rPr>
              <w:t>审查结果“合格”或“不合格”</w:t>
            </w:r>
          </w:p>
        </w:tc>
        <w:tc>
          <w:tcPr>
            <w:tcW w:w="564" w:type="dxa"/>
          </w:tcPr>
          <w:p>
            <w:pPr>
              <w:pStyle w:val="274"/>
              <w:rPr>
                <w:rFonts w:ascii="Times New Roman"/>
                <w:sz w:val="22"/>
              </w:rPr>
            </w:pPr>
          </w:p>
        </w:tc>
        <w:tc>
          <w:tcPr>
            <w:tcW w:w="564" w:type="dxa"/>
          </w:tcPr>
          <w:p>
            <w:pPr>
              <w:pStyle w:val="274"/>
              <w:rPr>
                <w:rFonts w:ascii="Times New Roman"/>
                <w:sz w:val="22"/>
              </w:rPr>
            </w:pPr>
          </w:p>
        </w:tc>
        <w:tc>
          <w:tcPr>
            <w:tcW w:w="576" w:type="dxa"/>
          </w:tcPr>
          <w:p>
            <w:pPr>
              <w:pStyle w:val="274"/>
              <w:rPr>
                <w:rFonts w:ascii="Times New Roman"/>
                <w:sz w:val="22"/>
              </w:rPr>
            </w:pPr>
          </w:p>
        </w:tc>
      </w:tr>
    </w:tbl>
    <w:p>
      <w:pPr>
        <w:pStyle w:val="17"/>
        <w:pageBreakBefore w:val="0"/>
        <w:widowControl w:val="0"/>
        <w:kinsoku/>
        <w:wordWrap/>
        <w:overflowPunct/>
        <w:topLinePunct w:val="0"/>
        <w:autoSpaceDE/>
        <w:autoSpaceDN/>
        <w:bidi w:val="0"/>
        <w:adjustRightInd/>
        <w:snapToGrid/>
        <w:spacing w:line="360" w:lineRule="auto"/>
        <w:ind w:left="0"/>
        <w:textAlignment w:val="auto"/>
      </w:pPr>
    </w:p>
    <w:p>
      <w:pPr>
        <w:pStyle w:val="18"/>
      </w:pPr>
    </w:p>
    <w:p/>
    <w:p>
      <w:pPr>
        <w:pStyle w:val="17"/>
        <w:pageBreakBefore w:val="0"/>
        <w:widowControl w:val="0"/>
        <w:kinsoku/>
        <w:wordWrap/>
        <w:overflowPunct/>
        <w:topLinePunct w:val="0"/>
        <w:autoSpaceDE/>
        <w:autoSpaceDN/>
        <w:bidi w:val="0"/>
        <w:adjustRightInd/>
        <w:snapToGrid/>
        <w:spacing w:line="360" w:lineRule="auto"/>
        <w:textAlignment w:val="auto"/>
        <w:rPr>
          <w:sz w:val="24"/>
          <w:szCs w:val="24"/>
        </w:rPr>
      </w:pPr>
      <w:r>
        <w:rPr>
          <w:sz w:val="24"/>
          <w:szCs w:val="24"/>
        </w:rPr>
        <w:t>注：1</w:t>
      </w:r>
      <w:r>
        <w:rPr>
          <w:spacing w:val="-1"/>
          <w:sz w:val="24"/>
          <w:szCs w:val="24"/>
        </w:rPr>
        <w:t>、上述内容符合要求“√”表示，不符合要求“×”表示；</w:t>
      </w:r>
    </w:p>
    <w:p>
      <w:pPr>
        <w:pStyle w:val="17"/>
        <w:pageBreakBefore w:val="0"/>
        <w:widowControl w:val="0"/>
        <w:kinsoku/>
        <w:wordWrap/>
        <w:overflowPunct/>
        <w:topLinePunct w:val="0"/>
        <w:autoSpaceDE/>
        <w:autoSpaceDN/>
        <w:bidi w:val="0"/>
        <w:adjustRightInd/>
        <w:snapToGrid/>
        <w:spacing w:before="110" w:line="360" w:lineRule="auto"/>
        <w:ind w:right="284" w:firstLine="480"/>
        <w:textAlignment w:val="auto"/>
        <w:rPr>
          <w:sz w:val="24"/>
          <w:szCs w:val="24"/>
        </w:rPr>
      </w:pPr>
      <w:r>
        <w:rPr>
          <w:spacing w:val="-6"/>
          <w:sz w:val="24"/>
          <w:szCs w:val="24"/>
        </w:rPr>
        <w:t>2、全部符合要求的在结论栏中填写“合格”有一项不符合要求在结论栏中填写“不</w:t>
      </w:r>
      <w:r>
        <w:rPr>
          <w:spacing w:val="-2"/>
          <w:sz w:val="24"/>
          <w:szCs w:val="24"/>
        </w:rPr>
        <w:t>合格”。不合格的响应文件不得进入实质性评审打分程序。</w:t>
      </w:r>
    </w:p>
    <w:p>
      <w:pPr>
        <w:pStyle w:val="17"/>
        <w:pageBreakBefore w:val="0"/>
        <w:widowControl w:val="0"/>
        <w:kinsoku/>
        <w:wordWrap/>
        <w:overflowPunct/>
        <w:topLinePunct w:val="0"/>
        <w:autoSpaceDE/>
        <w:autoSpaceDN/>
        <w:bidi w:val="0"/>
        <w:adjustRightInd/>
        <w:snapToGrid/>
        <w:spacing w:before="1" w:line="360" w:lineRule="auto"/>
        <w:ind w:left="620"/>
        <w:textAlignment w:val="auto"/>
        <w:rPr>
          <w:rFonts w:hint="eastAsia" w:ascii="仿宋_GB2312" w:hAnsi="仿宋_GB2312" w:eastAsia="仿宋_GB2312" w:cs="仿宋_GB2312"/>
          <w:b/>
          <w:bCs/>
          <w:snapToGrid w:val="0"/>
          <w:color w:val="auto"/>
          <w:kern w:val="0"/>
          <w:szCs w:val="21"/>
          <w:highlight w:val="none"/>
        </w:rPr>
      </w:pPr>
      <w:r>
        <w:rPr>
          <w:spacing w:val="-2"/>
          <w:sz w:val="24"/>
          <w:szCs w:val="24"/>
        </w:rPr>
        <w:t>磋商小组签名：</w:t>
      </w:r>
      <w:r>
        <w:rPr>
          <w:rFonts w:hint="eastAsia"/>
          <w:spacing w:val="-2"/>
          <w:sz w:val="24"/>
          <w:szCs w:val="24"/>
          <w:lang w:val="en-US" w:eastAsia="zh-CN"/>
        </w:rPr>
        <w:t xml:space="preserve">                                          </w:t>
      </w:r>
      <w:r>
        <w:rPr>
          <w:spacing w:val="-10"/>
          <w:sz w:val="24"/>
          <w:szCs w:val="24"/>
        </w:rPr>
        <w:t>年</w:t>
      </w:r>
      <w:r>
        <w:rPr>
          <w:sz w:val="24"/>
          <w:szCs w:val="24"/>
        </w:rPr>
        <w:tab/>
      </w:r>
      <w:r>
        <w:rPr>
          <w:spacing w:val="-10"/>
          <w:sz w:val="24"/>
          <w:szCs w:val="24"/>
        </w:rPr>
        <w:t>月</w:t>
      </w:r>
      <w:r>
        <w:rPr>
          <w:sz w:val="24"/>
          <w:szCs w:val="24"/>
        </w:rPr>
        <w:tab/>
      </w:r>
      <w:r>
        <w:rPr>
          <w:spacing w:val="-10"/>
          <w:sz w:val="24"/>
          <w:szCs w:val="24"/>
        </w:rPr>
        <w:t>日</w:t>
      </w:r>
    </w:p>
    <w:p>
      <w:pPr>
        <w:pStyle w:val="4"/>
        <w:rPr>
          <w:spacing w:val="-22"/>
        </w:rPr>
      </w:pPr>
    </w:p>
    <w:p>
      <w:pPr>
        <w:pStyle w:val="4"/>
        <w:rPr>
          <w:spacing w:val="-22"/>
        </w:rPr>
      </w:pPr>
    </w:p>
    <w:p>
      <w:pPr>
        <w:pStyle w:val="4"/>
        <w:rPr>
          <w:spacing w:val="-22"/>
        </w:rPr>
      </w:pPr>
    </w:p>
    <w:p>
      <w:pPr>
        <w:pStyle w:val="4"/>
        <w:rPr>
          <w:spacing w:val="-22"/>
        </w:rPr>
      </w:pPr>
    </w:p>
    <w:p>
      <w:pPr>
        <w:pStyle w:val="4"/>
        <w:rPr>
          <w:spacing w:val="-22"/>
        </w:rPr>
      </w:pPr>
    </w:p>
    <w:p>
      <w:pPr>
        <w:pStyle w:val="4"/>
        <w:rPr>
          <w:spacing w:val="-22"/>
        </w:rPr>
      </w:pPr>
    </w:p>
    <w:p>
      <w:pPr>
        <w:pStyle w:val="17"/>
        <w:spacing w:before="57"/>
        <w:ind w:left="0"/>
        <w:rPr>
          <w:sz w:val="28"/>
        </w:rPr>
      </w:pPr>
    </w:p>
    <w:p>
      <w:pPr>
        <w:spacing w:before="0"/>
        <w:ind w:left="2850" w:right="0" w:firstLine="0"/>
        <w:jc w:val="left"/>
        <w:rPr>
          <w:spacing w:val="-3"/>
          <w:sz w:val="28"/>
        </w:rPr>
      </w:pPr>
    </w:p>
    <w:p>
      <w:pPr>
        <w:pStyle w:val="4"/>
        <w:rPr>
          <w:spacing w:val="-3"/>
          <w:sz w:val="28"/>
        </w:rPr>
      </w:pPr>
      <w:r>
        <w:rPr>
          <w:spacing w:val="-22"/>
        </w:rPr>
        <w:t xml:space="preserve">附页 </w:t>
      </w:r>
      <w:r>
        <w:rPr>
          <w:rFonts w:hint="eastAsia"/>
          <w:spacing w:val="-2"/>
          <w:lang w:val="en-US" w:eastAsia="zh-CN"/>
        </w:rPr>
        <w:t>4</w:t>
      </w:r>
      <w:r>
        <w:rPr>
          <w:spacing w:val="-10"/>
        </w:rPr>
        <w:t xml:space="preserve"> 澄清、说明、补正事项记要表</w:t>
      </w:r>
    </w:p>
    <w:p>
      <w:pPr>
        <w:spacing w:before="0"/>
        <w:ind w:left="2850" w:right="0" w:firstLine="0"/>
        <w:jc w:val="left"/>
        <w:rPr>
          <w:sz w:val="28"/>
        </w:rPr>
      </w:pPr>
      <w:r>
        <w:rPr>
          <w:spacing w:val="-3"/>
          <w:sz w:val="28"/>
        </w:rPr>
        <w:t>澄清、说明、补正事项记要表</w:t>
      </w:r>
    </w:p>
    <w:p>
      <w:pPr>
        <w:pStyle w:val="17"/>
        <w:spacing w:before="183" w:line="364" w:lineRule="auto"/>
        <w:ind w:right="4076"/>
        <w:rPr>
          <w:spacing w:val="-2"/>
        </w:rPr>
      </w:pPr>
      <w:r>
        <w:rPr>
          <w:spacing w:val="-2"/>
        </w:rPr>
        <w:t>项目名称：</w:t>
      </w:r>
      <w:r>
        <w:rPr>
          <w:rFonts w:hint="eastAsia"/>
          <w:spacing w:val="-2"/>
          <w:lang w:val="en-US" w:eastAsia="zh-CN"/>
        </w:rPr>
        <w:t>吉首市第一中学场馆改造项目</w:t>
      </w:r>
    </w:p>
    <w:p>
      <w:pPr>
        <w:pStyle w:val="17"/>
        <w:spacing w:before="183" w:line="364" w:lineRule="auto"/>
        <w:ind w:right="4076"/>
      </w:pPr>
      <w:r>
        <w:t>代理编号:</w:t>
      </w:r>
      <w:r>
        <w:rPr>
          <w:rFonts w:hint="eastAsia"/>
          <w:lang w:val="en-US" w:eastAsia="zh-CN"/>
        </w:rPr>
        <w:t>HNBZSRCG2026-029</w:t>
      </w:r>
    </w:p>
    <w:tbl>
      <w:tblPr>
        <w:tblStyle w:val="44"/>
        <w:tblW w:w="9286"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4245"/>
        <w:gridCol w:w="1477"/>
        <w:gridCol w:w="1389"/>
        <w:gridCol w:w="12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4" w:hRule="atLeast"/>
        </w:trPr>
        <w:tc>
          <w:tcPr>
            <w:tcW w:w="964" w:type="dxa"/>
            <w:vMerge w:val="restart"/>
          </w:tcPr>
          <w:p>
            <w:pPr>
              <w:pStyle w:val="274"/>
              <w:spacing w:before="230"/>
              <w:rPr>
                <w:sz w:val="24"/>
              </w:rPr>
            </w:pPr>
          </w:p>
          <w:p>
            <w:pPr>
              <w:pStyle w:val="274"/>
              <w:ind w:left="241"/>
              <w:rPr>
                <w:sz w:val="24"/>
              </w:rPr>
            </w:pPr>
            <w:r>
              <w:rPr>
                <w:spacing w:val="-5"/>
                <w:sz w:val="24"/>
              </w:rPr>
              <w:t>序号</w:t>
            </w:r>
          </w:p>
        </w:tc>
        <w:tc>
          <w:tcPr>
            <w:tcW w:w="4245" w:type="dxa"/>
            <w:vMerge w:val="restart"/>
          </w:tcPr>
          <w:p>
            <w:pPr>
              <w:pStyle w:val="274"/>
              <w:spacing w:before="230"/>
              <w:rPr>
                <w:sz w:val="24"/>
              </w:rPr>
            </w:pPr>
          </w:p>
          <w:p>
            <w:pPr>
              <w:pStyle w:val="274"/>
              <w:ind w:left="796"/>
              <w:rPr>
                <w:sz w:val="24"/>
              </w:rPr>
            </w:pPr>
            <w:r>
              <w:rPr>
                <w:spacing w:val="-1"/>
                <w:sz w:val="24"/>
              </w:rPr>
              <w:t>澄清、说明、补正、内容</w:t>
            </w:r>
          </w:p>
        </w:tc>
        <w:tc>
          <w:tcPr>
            <w:tcW w:w="4077" w:type="dxa"/>
            <w:gridSpan w:val="3"/>
          </w:tcPr>
          <w:p>
            <w:pPr>
              <w:pStyle w:val="274"/>
              <w:spacing w:before="164"/>
              <w:ind w:left="10"/>
              <w:jc w:val="center"/>
              <w:rPr>
                <w:sz w:val="24"/>
              </w:rPr>
            </w:pPr>
            <w:r>
              <w:rPr>
                <w:spacing w:val="-4"/>
                <w:sz w:val="24"/>
              </w:rPr>
              <w:t>投标人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0" w:hRule="atLeast"/>
        </w:trPr>
        <w:tc>
          <w:tcPr>
            <w:tcW w:w="964" w:type="dxa"/>
            <w:vMerge w:val="continue"/>
            <w:tcBorders>
              <w:top w:val="nil"/>
            </w:tcBorders>
          </w:tcPr>
          <w:p>
            <w:pPr>
              <w:rPr>
                <w:sz w:val="2"/>
                <w:szCs w:val="2"/>
              </w:rPr>
            </w:pPr>
          </w:p>
        </w:tc>
        <w:tc>
          <w:tcPr>
            <w:tcW w:w="4245" w:type="dxa"/>
            <w:vMerge w:val="continue"/>
            <w:tcBorders>
              <w:top w:val="nil"/>
            </w:tcBorders>
          </w:tcPr>
          <w:p>
            <w:pPr>
              <w:rPr>
                <w:sz w:val="2"/>
                <w:szCs w:val="2"/>
              </w:rPr>
            </w:pPr>
          </w:p>
        </w:tc>
        <w:tc>
          <w:tcPr>
            <w:tcW w:w="1477" w:type="dxa"/>
          </w:tcPr>
          <w:p>
            <w:pPr>
              <w:pStyle w:val="274"/>
              <w:rPr>
                <w:rFonts w:ascii="Times New Roman"/>
                <w:sz w:val="22"/>
              </w:rPr>
            </w:pPr>
          </w:p>
        </w:tc>
        <w:tc>
          <w:tcPr>
            <w:tcW w:w="1389" w:type="dxa"/>
          </w:tcPr>
          <w:p>
            <w:pPr>
              <w:pStyle w:val="274"/>
              <w:rPr>
                <w:rFonts w:ascii="Times New Roman"/>
                <w:sz w:val="22"/>
              </w:rPr>
            </w:pPr>
          </w:p>
        </w:tc>
        <w:tc>
          <w:tcPr>
            <w:tcW w:w="1211" w:type="dxa"/>
          </w:tcPr>
          <w:p>
            <w:pPr>
              <w:pStyle w:val="27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3" w:hRule="atLeast"/>
        </w:trPr>
        <w:tc>
          <w:tcPr>
            <w:tcW w:w="964" w:type="dxa"/>
          </w:tcPr>
          <w:p>
            <w:pPr>
              <w:pStyle w:val="274"/>
              <w:spacing w:before="178"/>
              <w:ind w:left="8"/>
              <w:jc w:val="center"/>
              <w:rPr>
                <w:sz w:val="24"/>
              </w:rPr>
            </w:pPr>
            <w:r>
              <w:rPr>
                <w:spacing w:val="-10"/>
                <w:sz w:val="24"/>
              </w:rPr>
              <w:t>1</w:t>
            </w:r>
          </w:p>
        </w:tc>
        <w:tc>
          <w:tcPr>
            <w:tcW w:w="4245" w:type="dxa"/>
          </w:tcPr>
          <w:p>
            <w:pPr>
              <w:pStyle w:val="274"/>
              <w:spacing w:before="178"/>
              <w:ind w:left="7"/>
              <w:jc w:val="center"/>
              <w:rPr>
                <w:sz w:val="24"/>
              </w:rPr>
            </w:pPr>
            <w:r>
              <w:rPr>
                <w:spacing w:val="-2"/>
                <w:sz w:val="24"/>
              </w:rPr>
              <w:t>磋商文件中需要澄清</w:t>
            </w:r>
          </w:p>
        </w:tc>
        <w:tc>
          <w:tcPr>
            <w:tcW w:w="1477" w:type="dxa"/>
          </w:tcPr>
          <w:p>
            <w:pPr>
              <w:pStyle w:val="274"/>
              <w:rPr>
                <w:rFonts w:ascii="Times New Roman"/>
                <w:sz w:val="22"/>
              </w:rPr>
            </w:pPr>
          </w:p>
        </w:tc>
        <w:tc>
          <w:tcPr>
            <w:tcW w:w="1389" w:type="dxa"/>
          </w:tcPr>
          <w:p>
            <w:pPr>
              <w:pStyle w:val="274"/>
              <w:rPr>
                <w:rFonts w:ascii="Times New Roman"/>
                <w:sz w:val="22"/>
              </w:rPr>
            </w:pPr>
          </w:p>
        </w:tc>
        <w:tc>
          <w:tcPr>
            <w:tcW w:w="1211" w:type="dxa"/>
          </w:tcPr>
          <w:p>
            <w:pPr>
              <w:pStyle w:val="27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4" w:hRule="atLeast"/>
        </w:trPr>
        <w:tc>
          <w:tcPr>
            <w:tcW w:w="964" w:type="dxa"/>
          </w:tcPr>
          <w:p>
            <w:pPr>
              <w:pStyle w:val="274"/>
              <w:spacing w:before="179"/>
              <w:ind w:left="8"/>
              <w:jc w:val="center"/>
              <w:rPr>
                <w:sz w:val="24"/>
              </w:rPr>
            </w:pPr>
            <w:r>
              <w:rPr>
                <w:spacing w:val="-10"/>
                <w:sz w:val="24"/>
              </w:rPr>
              <w:t>2</w:t>
            </w:r>
          </w:p>
        </w:tc>
        <w:tc>
          <w:tcPr>
            <w:tcW w:w="4245" w:type="dxa"/>
          </w:tcPr>
          <w:p>
            <w:pPr>
              <w:pStyle w:val="274"/>
              <w:spacing w:before="179"/>
              <w:ind w:left="7"/>
              <w:jc w:val="center"/>
              <w:rPr>
                <w:sz w:val="24"/>
              </w:rPr>
            </w:pPr>
            <w:r>
              <w:rPr>
                <w:spacing w:val="-1"/>
                <w:sz w:val="24"/>
              </w:rPr>
              <w:t>对响应文件中含义不明确</w:t>
            </w:r>
          </w:p>
        </w:tc>
        <w:tc>
          <w:tcPr>
            <w:tcW w:w="1477" w:type="dxa"/>
          </w:tcPr>
          <w:p>
            <w:pPr>
              <w:pStyle w:val="274"/>
              <w:rPr>
                <w:rFonts w:ascii="Times New Roman"/>
                <w:sz w:val="22"/>
              </w:rPr>
            </w:pPr>
          </w:p>
        </w:tc>
        <w:tc>
          <w:tcPr>
            <w:tcW w:w="1389" w:type="dxa"/>
          </w:tcPr>
          <w:p>
            <w:pPr>
              <w:pStyle w:val="274"/>
              <w:rPr>
                <w:rFonts w:ascii="Times New Roman"/>
                <w:sz w:val="22"/>
              </w:rPr>
            </w:pPr>
          </w:p>
        </w:tc>
        <w:tc>
          <w:tcPr>
            <w:tcW w:w="1211" w:type="dxa"/>
          </w:tcPr>
          <w:p>
            <w:pPr>
              <w:pStyle w:val="27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3" w:hRule="atLeast"/>
        </w:trPr>
        <w:tc>
          <w:tcPr>
            <w:tcW w:w="964" w:type="dxa"/>
          </w:tcPr>
          <w:p>
            <w:pPr>
              <w:pStyle w:val="274"/>
              <w:spacing w:before="179"/>
              <w:ind w:left="8"/>
              <w:jc w:val="center"/>
              <w:rPr>
                <w:sz w:val="24"/>
              </w:rPr>
            </w:pPr>
            <w:r>
              <w:rPr>
                <w:spacing w:val="-10"/>
                <w:sz w:val="24"/>
              </w:rPr>
              <w:t>3</w:t>
            </w:r>
          </w:p>
        </w:tc>
        <w:tc>
          <w:tcPr>
            <w:tcW w:w="4245" w:type="dxa"/>
          </w:tcPr>
          <w:p>
            <w:pPr>
              <w:pStyle w:val="274"/>
              <w:spacing w:before="179"/>
              <w:ind w:left="7"/>
              <w:jc w:val="center"/>
              <w:rPr>
                <w:sz w:val="24"/>
              </w:rPr>
            </w:pPr>
            <w:r>
              <w:rPr>
                <w:spacing w:val="-1"/>
                <w:sz w:val="24"/>
              </w:rPr>
              <w:t>对同类问题表述不一致</w:t>
            </w:r>
          </w:p>
        </w:tc>
        <w:tc>
          <w:tcPr>
            <w:tcW w:w="1477" w:type="dxa"/>
          </w:tcPr>
          <w:p>
            <w:pPr>
              <w:pStyle w:val="274"/>
              <w:rPr>
                <w:rFonts w:ascii="Times New Roman"/>
                <w:sz w:val="22"/>
              </w:rPr>
            </w:pPr>
          </w:p>
        </w:tc>
        <w:tc>
          <w:tcPr>
            <w:tcW w:w="1389" w:type="dxa"/>
          </w:tcPr>
          <w:p>
            <w:pPr>
              <w:pStyle w:val="274"/>
              <w:rPr>
                <w:rFonts w:ascii="Times New Roman"/>
                <w:sz w:val="22"/>
              </w:rPr>
            </w:pPr>
          </w:p>
        </w:tc>
        <w:tc>
          <w:tcPr>
            <w:tcW w:w="1211" w:type="dxa"/>
          </w:tcPr>
          <w:p>
            <w:pPr>
              <w:pStyle w:val="27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4" w:hRule="atLeast"/>
        </w:trPr>
        <w:tc>
          <w:tcPr>
            <w:tcW w:w="964" w:type="dxa"/>
          </w:tcPr>
          <w:p>
            <w:pPr>
              <w:pStyle w:val="274"/>
              <w:spacing w:before="179"/>
              <w:ind w:left="8"/>
              <w:jc w:val="center"/>
              <w:rPr>
                <w:sz w:val="24"/>
              </w:rPr>
            </w:pPr>
            <w:r>
              <w:rPr>
                <w:spacing w:val="-10"/>
                <w:sz w:val="24"/>
              </w:rPr>
              <w:t>4</w:t>
            </w:r>
          </w:p>
        </w:tc>
        <w:tc>
          <w:tcPr>
            <w:tcW w:w="4245" w:type="dxa"/>
          </w:tcPr>
          <w:p>
            <w:pPr>
              <w:pStyle w:val="274"/>
              <w:spacing w:before="179"/>
              <w:ind w:left="7"/>
              <w:jc w:val="center"/>
              <w:rPr>
                <w:sz w:val="24"/>
              </w:rPr>
            </w:pPr>
            <w:r>
              <w:rPr>
                <w:spacing w:val="-1"/>
                <w:sz w:val="24"/>
              </w:rPr>
              <w:t>明显文字和计算错误的</w:t>
            </w:r>
          </w:p>
        </w:tc>
        <w:tc>
          <w:tcPr>
            <w:tcW w:w="1477" w:type="dxa"/>
          </w:tcPr>
          <w:p>
            <w:pPr>
              <w:pStyle w:val="274"/>
              <w:rPr>
                <w:rFonts w:ascii="Times New Roman"/>
                <w:sz w:val="22"/>
              </w:rPr>
            </w:pPr>
          </w:p>
        </w:tc>
        <w:tc>
          <w:tcPr>
            <w:tcW w:w="1389" w:type="dxa"/>
          </w:tcPr>
          <w:p>
            <w:pPr>
              <w:pStyle w:val="274"/>
              <w:rPr>
                <w:rFonts w:ascii="Times New Roman"/>
                <w:sz w:val="22"/>
              </w:rPr>
            </w:pPr>
          </w:p>
        </w:tc>
        <w:tc>
          <w:tcPr>
            <w:tcW w:w="1211" w:type="dxa"/>
          </w:tcPr>
          <w:p>
            <w:pPr>
              <w:pStyle w:val="27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3" w:hRule="atLeast"/>
        </w:trPr>
        <w:tc>
          <w:tcPr>
            <w:tcW w:w="5209" w:type="dxa"/>
            <w:gridSpan w:val="2"/>
          </w:tcPr>
          <w:p>
            <w:pPr>
              <w:pStyle w:val="274"/>
              <w:spacing w:before="180"/>
              <w:ind w:left="922"/>
              <w:rPr>
                <w:sz w:val="24"/>
              </w:rPr>
            </w:pPr>
            <w:r>
              <w:rPr>
                <w:spacing w:val="-1"/>
                <w:sz w:val="24"/>
              </w:rPr>
              <w:t>审查结果“合格”或“不合格”</w:t>
            </w:r>
          </w:p>
        </w:tc>
        <w:tc>
          <w:tcPr>
            <w:tcW w:w="1477" w:type="dxa"/>
          </w:tcPr>
          <w:p>
            <w:pPr>
              <w:pStyle w:val="274"/>
              <w:rPr>
                <w:rFonts w:ascii="Times New Roman"/>
                <w:sz w:val="22"/>
              </w:rPr>
            </w:pPr>
          </w:p>
        </w:tc>
        <w:tc>
          <w:tcPr>
            <w:tcW w:w="1389" w:type="dxa"/>
          </w:tcPr>
          <w:p>
            <w:pPr>
              <w:pStyle w:val="274"/>
              <w:rPr>
                <w:rFonts w:ascii="Times New Roman"/>
                <w:sz w:val="22"/>
              </w:rPr>
            </w:pPr>
          </w:p>
        </w:tc>
        <w:tc>
          <w:tcPr>
            <w:tcW w:w="1211" w:type="dxa"/>
          </w:tcPr>
          <w:p>
            <w:pPr>
              <w:pStyle w:val="274"/>
              <w:rPr>
                <w:rFonts w:ascii="Times New Roman"/>
                <w:sz w:val="22"/>
              </w:rPr>
            </w:pPr>
          </w:p>
        </w:tc>
      </w:tr>
    </w:tbl>
    <w:p>
      <w:pPr>
        <w:pStyle w:val="17"/>
        <w:spacing w:before="97" w:line="388" w:lineRule="auto"/>
        <w:ind w:right="283"/>
      </w:pPr>
      <w:r>
        <w:rPr>
          <w:spacing w:val="-2"/>
        </w:rPr>
        <w:t>备注：如有澄清、说明、补正事项，请写明详细的内容，无请画“/”，如有澄清请详细记录响应文件的第几页，需要澄清内容。</w:t>
      </w:r>
    </w:p>
    <w:p>
      <w:pPr>
        <w:pStyle w:val="17"/>
        <w:spacing w:before="29"/>
        <w:ind w:left="0"/>
      </w:pPr>
    </w:p>
    <w:p>
      <w:pPr>
        <w:pStyle w:val="17"/>
      </w:pPr>
      <w:r>
        <w:rPr>
          <w:spacing w:val="-2"/>
        </w:rPr>
        <w:t>磋商小组签名：</w:t>
      </w:r>
    </w:p>
    <w:p>
      <w:pPr>
        <w:pStyle w:val="17"/>
        <w:tabs>
          <w:tab w:val="left" w:pos="6980"/>
          <w:tab w:val="left" w:pos="7700"/>
        </w:tabs>
        <w:spacing w:before="107"/>
        <w:ind w:left="6141"/>
      </w:pPr>
      <w:r>
        <w:rPr>
          <w:spacing w:val="-10"/>
        </w:rPr>
        <w:t>年</w:t>
      </w:r>
      <w:r>
        <w:tab/>
      </w:r>
      <w:r>
        <w:rPr>
          <w:spacing w:val="-10"/>
        </w:rPr>
        <w:t>月</w:t>
      </w:r>
      <w:r>
        <w:tab/>
      </w:r>
      <w:r>
        <w:rPr>
          <w:spacing w:val="-10"/>
        </w:rPr>
        <w:t>日</w:t>
      </w:r>
    </w:p>
    <w:p>
      <w:pPr>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_GB2312" w:hAnsi="仿宋_GB2312" w:eastAsia="仿宋_GB2312" w:cs="仿宋_GB2312"/>
          <w:b/>
          <w:bCs/>
          <w:snapToGrid w:val="0"/>
          <w:color w:val="auto"/>
          <w:kern w:val="0"/>
          <w:szCs w:val="21"/>
          <w:highlight w:val="none"/>
        </w:rPr>
      </w:pPr>
    </w:p>
    <w:p>
      <w:pPr>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_GB2312" w:hAnsi="仿宋_GB2312" w:eastAsia="仿宋_GB2312" w:cs="仿宋_GB2312"/>
          <w:b/>
          <w:bCs/>
          <w:snapToGrid w:val="0"/>
          <w:color w:val="auto"/>
          <w:kern w:val="0"/>
          <w:szCs w:val="21"/>
          <w:highlight w:val="none"/>
        </w:rPr>
      </w:pPr>
    </w:p>
    <w:p>
      <w:pPr>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_GB2312" w:hAnsi="仿宋_GB2312" w:eastAsia="仿宋_GB2312" w:cs="仿宋_GB2312"/>
          <w:b/>
          <w:bCs/>
          <w:snapToGrid w:val="0"/>
          <w:color w:val="auto"/>
          <w:kern w:val="0"/>
          <w:szCs w:val="21"/>
          <w:highlight w:val="none"/>
        </w:rPr>
      </w:pPr>
    </w:p>
    <w:p>
      <w:pPr>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_GB2312" w:hAnsi="仿宋_GB2312" w:eastAsia="仿宋_GB2312" w:cs="仿宋_GB2312"/>
          <w:b/>
          <w:bCs/>
          <w:snapToGrid w:val="0"/>
          <w:color w:val="auto"/>
          <w:kern w:val="0"/>
          <w:szCs w:val="21"/>
          <w:highlight w:val="none"/>
        </w:rPr>
      </w:pPr>
    </w:p>
    <w:p>
      <w:pPr>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_GB2312" w:hAnsi="仿宋_GB2312" w:eastAsia="仿宋_GB2312" w:cs="仿宋_GB2312"/>
          <w:b/>
          <w:bCs/>
          <w:snapToGrid w:val="0"/>
          <w:color w:val="auto"/>
          <w:kern w:val="0"/>
          <w:szCs w:val="21"/>
          <w:highlight w:val="none"/>
        </w:rPr>
      </w:pPr>
    </w:p>
    <w:p>
      <w:pPr>
        <w:pStyle w:val="4"/>
        <w:rPr>
          <w:sz w:val="28"/>
        </w:rPr>
      </w:pPr>
      <w:r>
        <w:rPr>
          <w:spacing w:val="-24"/>
        </w:rPr>
        <w:t xml:space="preserve">附页 </w:t>
      </w:r>
      <w:r>
        <w:rPr>
          <w:rFonts w:hint="eastAsia"/>
          <w:lang w:val="en-US" w:eastAsia="zh-CN"/>
        </w:rPr>
        <w:t>5</w:t>
      </w:r>
      <w:r>
        <w:rPr>
          <w:spacing w:val="-4"/>
        </w:rPr>
        <w:t xml:space="preserve"> </w:t>
      </w:r>
      <w:r>
        <w:rPr>
          <w:rFonts w:hint="eastAsia"/>
          <w:spacing w:val="-4"/>
          <w:lang w:val="en-US" w:eastAsia="zh-CN"/>
        </w:rPr>
        <w:t>评审因素</w:t>
      </w:r>
      <w:r>
        <w:rPr>
          <w:spacing w:val="-4"/>
        </w:rPr>
        <w:t>及标准</w:t>
      </w:r>
    </w:p>
    <w:p>
      <w:pPr>
        <w:ind w:firstLine="422" w:firstLineChars="200"/>
        <w:jc w:val="left"/>
        <w:rPr>
          <w:rFonts w:hint="eastAsia" w:ascii="仿宋_GB2312" w:hAnsi="仿宋_GB2312" w:eastAsia="仿宋_GB2312" w:cs="仿宋_GB2312"/>
          <w:b/>
          <w:bCs/>
          <w:snapToGrid w:val="0"/>
          <w:color w:val="auto"/>
          <w:kern w:val="0"/>
          <w:szCs w:val="21"/>
          <w:highlight w:val="none"/>
        </w:rPr>
      </w:pPr>
      <w:bookmarkStart w:id="5" w:name="_bookmark26"/>
      <w:bookmarkEnd w:id="5"/>
      <w:bookmarkStart w:id="6" w:name="附表7.1 评标方法及标准表"/>
      <w:bookmarkEnd w:id="6"/>
    </w:p>
    <w:p>
      <w:pPr>
        <w:jc w:val="center"/>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 w:val="28"/>
          <w:szCs w:val="28"/>
          <w:highlight w:val="none"/>
        </w:rPr>
        <w:t>评审因素和标准</w:t>
      </w:r>
    </w:p>
    <w:tbl>
      <w:tblPr>
        <w:tblStyle w:val="44"/>
        <w:tblW w:w="9322"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6"/>
        <w:gridCol w:w="921"/>
        <w:gridCol w:w="1376"/>
        <w:gridCol w:w="727"/>
        <w:gridCol w:w="843"/>
        <w:gridCol w:w="5334"/>
        <w:gridCol w:w="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gridBefore w:val="1"/>
          <w:wBefore w:w="96" w:type="dxa"/>
          <w:trHeight w:val="298" w:hRule="exact"/>
        </w:trPr>
        <w:tc>
          <w:tcPr>
            <w:tcW w:w="9226" w:type="dxa"/>
            <w:gridSpan w:val="6"/>
            <w:noWrap w:val="0"/>
            <w:tcMar>
              <w:left w:w="0" w:type="dxa"/>
              <w:right w:w="0" w:type="dxa"/>
            </w:tcMar>
            <w:vAlign w:val="top"/>
          </w:tcPr>
          <w:p>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评审因素及分值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gridBefore w:val="1"/>
          <w:wBefore w:w="96" w:type="dxa"/>
          <w:trHeight w:val="336" w:hRule="exact"/>
        </w:trPr>
        <w:tc>
          <w:tcPr>
            <w:tcW w:w="3867" w:type="dxa"/>
            <w:gridSpan w:val="4"/>
            <w:noWrap w:val="0"/>
            <w:tcMar>
              <w:left w:w="0" w:type="dxa"/>
              <w:right w:w="0" w:type="dxa"/>
            </w:tcMar>
            <w:vAlign w:val="top"/>
          </w:tcPr>
          <w:p>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59" w:type="dxa"/>
            <w:gridSpan w:val="2"/>
            <w:noWrap w:val="0"/>
            <w:tcMar>
              <w:left w:w="0" w:type="dxa"/>
              <w:right w:w="0" w:type="dxa"/>
            </w:tcMar>
            <w:vAlign w:val="top"/>
          </w:tcPr>
          <w:p>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分值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gridBefore w:val="1"/>
          <w:wBefore w:w="96" w:type="dxa"/>
          <w:trHeight w:val="333" w:hRule="exact"/>
        </w:trPr>
        <w:tc>
          <w:tcPr>
            <w:tcW w:w="3867" w:type="dxa"/>
            <w:gridSpan w:val="4"/>
            <w:noWrap w:val="0"/>
            <w:tcMar>
              <w:left w:w="0" w:type="dxa"/>
              <w:right w:w="0" w:type="dxa"/>
            </w:tcMar>
            <w:vAlign w:val="top"/>
          </w:tcPr>
          <w:p>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报价</w:t>
            </w:r>
            <w:r>
              <w:rPr>
                <w:rFonts w:hint="eastAsia" w:ascii="宋体" w:hAnsi="宋体" w:cs="宋体"/>
                <w:b/>
                <w:color w:val="auto"/>
                <w:szCs w:val="21"/>
                <w:highlight w:val="none"/>
                <w:lang w:eastAsia="zh-CN"/>
              </w:rPr>
              <w:t>部分</w:t>
            </w:r>
          </w:p>
        </w:tc>
        <w:tc>
          <w:tcPr>
            <w:tcW w:w="5359" w:type="dxa"/>
            <w:gridSpan w:val="2"/>
            <w:noWrap w:val="0"/>
            <w:tcMar>
              <w:left w:w="0" w:type="dxa"/>
              <w:right w:w="0" w:type="dxa"/>
            </w:tcMar>
            <w:vAlign w:val="top"/>
          </w:tcPr>
          <w:p>
            <w:pPr>
              <w:adjustRightInd w:val="0"/>
              <w:snapToGrid w:val="0"/>
              <w:spacing w:line="300" w:lineRule="exact"/>
              <w:ind w:left="628" w:leftChars="1" w:hanging="626" w:hangingChars="297"/>
              <w:jc w:val="center"/>
              <w:rPr>
                <w:rFonts w:hint="default" w:ascii="宋体" w:hAnsi="宋体" w:cs="宋体"/>
                <w:b/>
                <w:color w:val="auto"/>
                <w:szCs w:val="21"/>
                <w:highlight w:val="none"/>
                <w:lang w:val="en-US"/>
              </w:rPr>
            </w:pPr>
            <w:r>
              <w:rPr>
                <w:rFonts w:hint="eastAsia" w:ascii="宋体" w:hAnsi="宋体" w:cs="宋体"/>
                <w:b/>
                <w:color w:val="auto"/>
                <w:szCs w:val="21"/>
                <w:highlight w:val="none"/>
              </w:rPr>
              <w:t>A</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gridBefore w:val="1"/>
          <w:wBefore w:w="96" w:type="dxa"/>
          <w:trHeight w:val="333" w:hRule="exact"/>
        </w:trPr>
        <w:tc>
          <w:tcPr>
            <w:tcW w:w="3867" w:type="dxa"/>
            <w:gridSpan w:val="4"/>
            <w:noWrap w:val="0"/>
            <w:tcMar>
              <w:left w:w="0" w:type="dxa"/>
              <w:right w:w="0" w:type="dxa"/>
            </w:tcMar>
            <w:vAlign w:val="top"/>
          </w:tcPr>
          <w:p>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商务部分</w:t>
            </w:r>
          </w:p>
        </w:tc>
        <w:tc>
          <w:tcPr>
            <w:tcW w:w="5359" w:type="dxa"/>
            <w:gridSpan w:val="2"/>
            <w:noWrap w:val="0"/>
            <w:tcMar>
              <w:left w:w="0" w:type="dxa"/>
              <w:right w:w="0" w:type="dxa"/>
            </w:tcMar>
            <w:vAlign w:val="top"/>
          </w:tcPr>
          <w:p>
            <w:pPr>
              <w:adjustRightInd w:val="0"/>
              <w:snapToGrid w:val="0"/>
              <w:spacing w:line="300" w:lineRule="exact"/>
              <w:ind w:left="628" w:leftChars="1" w:hanging="626" w:hangingChars="297"/>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A</w:t>
            </w:r>
            <w:r>
              <w:rPr>
                <w:rFonts w:ascii="宋体" w:hAnsi="宋体" w:cs="宋体"/>
                <w:b/>
                <w:color w:val="auto"/>
                <w:szCs w:val="21"/>
                <w:highlight w:val="none"/>
              </w:rPr>
              <w:t>2</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gridBefore w:val="1"/>
          <w:wBefore w:w="96" w:type="dxa"/>
          <w:trHeight w:val="384" w:hRule="exact"/>
        </w:trPr>
        <w:tc>
          <w:tcPr>
            <w:tcW w:w="3867" w:type="dxa"/>
            <w:gridSpan w:val="4"/>
            <w:noWrap w:val="0"/>
            <w:tcMar>
              <w:left w:w="0" w:type="dxa"/>
              <w:right w:w="0" w:type="dxa"/>
            </w:tcMar>
            <w:vAlign w:val="top"/>
          </w:tcPr>
          <w:p>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技术部分</w:t>
            </w:r>
          </w:p>
        </w:tc>
        <w:tc>
          <w:tcPr>
            <w:tcW w:w="5359" w:type="dxa"/>
            <w:gridSpan w:val="2"/>
            <w:noWrap w:val="0"/>
            <w:tcMar>
              <w:left w:w="0" w:type="dxa"/>
              <w:right w:w="0" w:type="dxa"/>
            </w:tcMar>
            <w:vAlign w:val="top"/>
          </w:tcPr>
          <w:p>
            <w:pPr>
              <w:adjustRightInd w:val="0"/>
              <w:snapToGrid w:val="0"/>
              <w:spacing w:line="300" w:lineRule="exact"/>
              <w:ind w:left="628" w:leftChars="1" w:hanging="626" w:hangingChars="297"/>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A</w:t>
            </w: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337" w:hRule="atLeast"/>
          <w:tblHeader/>
          <w:jc w:val="center"/>
        </w:trPr>
        <w:tc>
          <w:tcPr>
            <w:tcW w:w="1017" w:type="dxa"/>
            <w:gridSpan w:val="2"/>
            <w:noWrap w:val="0"/>
            <w:vAlign w:val="center"/>
          </w:tcPr>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76" w:type="dxa"/>
            <w:noWrap w:val="0"/>
            <w:vAlign w:val="center"/>
          </w:tcPr>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评审因素</w:t>
            </w:r>
          </w:p>
        </w:tc>
        <w:tc>
          <w:tcPr>
            <w:tcW w:w="727" w:type="dxa"/>
            <w:noWrap w:val="0"/>
            <w:vAlign w:val="center"/>
          </w:tcPr>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分值</w:t>
            </w:r>
          </w:p>
        </w:tc>
        <w:tc>
          <w:tcPr>
            <w:tcW w:w="6177" w:type="dxa"/>
            <w:gridSpan w:val="2"/>
            <w:noWrap w:val="0"/>
            <w:vAlign w:val="center"/>
          </w:tcPr>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评分标准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1818" w:hRule="atLeast"/>
          <w:jc w:val="center"/>
        </w:trPr>
        <w:tc>
          <w:tcPr>
            <w:tcW w:w="1017" w:type="dxa"/>
            <w:gridSpan w:val="2"/>
            <w:noWrap w:val="0"/>
            <w:vAlign w:val="center"/>
          </w:tcPr>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w:t>
            </w:r>
          </w:p>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c>
          <w:tcPr>
            <w:tcW w:w="1376" w:type="dxa"/>
            <w:noWrap w:val="0"/>
            <w:vAlign w:val="center"/>
          </w:tcPr>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727" w:type="dxa"/>
            <w:noWrap w:val="0"/>
            <w:vAlign w:val="center"/>
          </w:tcPr>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c>
          <w:tcPr>
            <w:tcW w:w="6177" w:type="dxa"/>
            <w:gridSpan w:val="2"/>
            <w:noWrap w:val="0"/>
            <w:vAlign w:val="center"/>
          </w:tcPr>
          <w:p>
            <w:pPr>
              <w:adjustRightInd/>
              <w:snapToGrid/>
              <w:spacing w:line="24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满足磋商文件要求且最后报价最低的供应商的价格为磋商基准价，其价格分为满分。其他供应商的价格分统一按照下列公式计算：磋商报价得分=（磋商基准价/最后磋商报价）×</w:t>
            </w:r>
            <w:r>
              <w:rPr>
                <w:rFonts w:hint="eastAsia" w:ascii="宋体" w:hAnsi="宋体" w:cs="宋体"/>
                <w:color w:val="auto"/>
                <w:szCs w:val="21"/>
                <w:highlight w:val="none"/>
                <w:lang w:val="en-US" w:eastAsia="zh-CN"/>
              </w:rPr>
              <w:t>30</w:t>
            </w:r>
          </w:p>
          <w:p>
            <w:pP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供应商符合《政府采购促进中小企业发展暂行办法》规定的，用扣除后的价格参与评审；</w:t>
            </w:r>
          </w:p>
          <w:p>
            <w:pPr>
              <w:adjustRightInd/>
              <w:snapToGrid/>
              <w:spacing w:line="24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价格评审过程中，不得去掉最后报价中的最高报价和最低报价。</w:t>
            </w:r>
            <w:r>
              <w:rPr>
                <w:rFonts w:hint="eastAsia" w:ascii="宋体" w:hAnsi="宋体" w:eastAsia="宋体" w:cs="宋体"/>
                <w:color w:val="auto"/>
                <w:szCs w:val="21"/>
                <w:highlight w:val="none"/>
                <w:lang w:val="en-US" w:eastAsia="zh-CN"/>
              </w:rPr>
              <w:t>注：</w:t>
            </w:r>
            <w:r>
              <w:rPr>
                <w:rFonts w:hint="eastAsia" w:ascii="宋体" w:hAnsi="宋体" w:eastAsia="宋体" w:cs="宋体"/>
                <w:color w:val="auto"/>
                <w:szCs w:val="21"/>
                <w:highlight w:val="none"/>
              </w:rPr>
              <w:t>出现下列情形之一的，评审委员会应当启动异常低价投标（响应）审查程序：</w:t>
            </w:r>
          </w:p>
          <w:p>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%的，即投标报价小于全部通过符合性审查供应商投标报价平均值×</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w:t>
            </w:r>
          </w:p>
          <w:p>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%的，即投标报价小于通过符合性审查的次低报价供应商投标报价×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w:t>
            </w:r>
          </w:p>
          <w:p>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%的，即投标报价小于采购项目最高限价×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w:t>
            </w:r>
          </w:p>
          <w:p>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（4）评审委员会基于专业判断，认为供应商报价过低，有可能影响产品质量或者不能诚信履约的其他情形。</w:t>
            </w:r>
          </w:p>
          <w:p>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属于上述第（1）项至第（4）项情形的，应当要求相关供应商在评审现场合理的时间内对投标（响应）价格作出解释</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pPr>
              <w:adjustRightInd/>
              <w:snapToGrid/>
              <w:spacing w:line="240" w:lineRule="auto"/>
              <w:rPr>
                <w:rFonts w:hint="eastAsia" w:ascii="宋体" w:hAnsi="宋体" w:cs="宋体"/>
                <w:color w:val="auto"/>
                <w:sz w:val="21"/>
                <w:szCs w:val="21"/>
                <w:highlight w:val="none"/>
              </w:rPr>
            </w:pPr>
            <w:r>
              <w:rPr>
                <w:rFonts w:hint="eastAsia" w:ascii="宋体" w:hAnsi="宋体" w:eastAsia="宋体" w:cs="宋体"/>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ascii="宋体" w:hAnsi="宋体" w:eastAsia="宋体" w:cs="宋体"/>
                <w:b/>
                <w:bCs/>
                <w:color w:val="auto"/>
                <w:szCs w:val="21"/>
                <w:highlight w:val="none"/>
              </w:rPr>
              <w:t>无效投标处理。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1024" w:hRule="atLeast"/>
          <w:jc w:val="center"/>
        </w:trPr>
        <w:tc>
          <w:tcPr>
            <w:tcW w:w="1017" w:type="dxa"/>
            <w:gridSpan w:val="2"/>
            <w:vMerge w:val="restart"/>
            <w:noWrap w:val="0"/>
            <w:vAlign w:val="center"/>
          </w:tcPr>
          <w:p>
            <w:pPr>
              <w:spacing w:line="220" w:lineRule="exact"/>
              <w:rPr>
                <w:rFonts w:hint="eastAsia" w:ascii="宋体" w:hAnsi="宋体" w:cs="宋体"/>
                <w:color w:val="auto"/>
                <w:szCs w:val="21"/>
                <w:highlight w:val="none"/>
              </w:rPr>
            </w:pPr>
          </w:p>
          <w:p>
            <w:pPr>
              <w:spacing w:line="2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商务</w:t>
            </w:r>
          </w:p>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tc>
        <w:tc>
          <w:tcPr>
            <w:tcW w:w="1376" w:type="dxa"/>
            <w:noWrap w:val="0"/>
            <w:vAlign w:val="center"/>
          </w:tcPr>
          <w:p>
            <w:pPr>
              <w:spacing w:line="2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类似业绩</w:t>
            </w:r>
          </w:p>
        </w:tc>
        <w:tc>
          <w:tcPr>
            <w:tcW w:w="727" w:type="dxa"/>
            <w:noWrap w:val="0"/>
            <w:vAlign w:val="center"/>
          </w:tcPr>
          <w:p>
            <w:pPr>
              <w:spacing w:line="22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分</w:t>
            </w:r>
          </w:p>
        </w:tc>
        <w:tc>
          <w:tcPr>
            <w:tcW w:w="6177" w:type="dxa"/>
            <w:gridSpan w:val="2"/>
            <w:noWrap w:val="0"/>
            <w:vAlign w:val="center"/>
          </w:tcPr>
          <w:p>
            <w:pP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lang w:val="en-US" w:eastAsia="zh-CN"/>
                <w14:textFill>
                  <w14:solidFill>
                    <w14:schemeClr w14:val="tx1"/>
                  </w14:solidFill>
                </w14:textFill>
              </w:rPr>
              <w:t>提供近三年（</w:t>
            </w:r>
            <w:r>
              <w:rPr>
                <w:rFonts w:hint="eastAsia" w:ascii="宋体" w:hAnsi="宋体" w:eastAsia="宋体" w:cs="宋体"/>
                <w:color w:val="000000" w:themeColor="text1"/>
                <w:szCs w:val="21"/>
                <w:highlight w:val="none"/>
                <w:lang w:val="en-US" w:eastAsia="zh-CN"/>
                <w14:textFill>
                  <w14:solidFill>
                    <w14:schemeClr w14:val="tx1"/>
                  </w14:solidFill>
                </w14:textFill>
              </w:rPr>
              <w:t>2023年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月1日至投标截止时间前</w:t>
            </w:r>
            <w:r>
              <w:rPr>
                <w:rFonts w:hint="eastAsia" w:ascii="宋体" w:hAnsi="宋体" w:cs="宋体"/>
                <w:color w:val="000000" w:themeColor="text1"/>
                <w:szCs w:val="21"/>
                <w:highlight w:val="none"/>
                <w:lang w:val="en-US" w:eastAsia="zh-CN"/>
                <w14:textFill>
                  <w14:solidFill>
                    <w14:schemeClr w14:val="tx1"/>
                  </w14:solidFill>
                </w14:textFill>
              </w:rPr>
              <w:t>）的建筑工程或市政工程类似工程施工业绩</w:t>
            </w:r>
            <w:r>
              <w:rPr>
                <w:rFonts w:hint="eastAsia" w:ascii="宋体" w:hAnsi="宋体" w:eastAsia="宋体" w:cs="宋体"/>
                <w:color w:val="000000" w:themeColor="text1"/>
                <w:szCs w:val="21"/>
                <w:highlight w:val="none"/>
                <w:lang w:val="en-US" w:eastAsia="zh-CN"/>
                <w14:textFill>
                  <w14:solidFill>
                    <w14:schemeClr w14:val="tx1"/>
                  </w14:solidFill>
                </w14:textFill>
              </w:rPr>
              <w:t>，每提供1个计5分，最高计</w:t>
            </w: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lang w:val="en-US" w:eastAsia="zh-CN"/>
                <w14:textFill>
                  <w14:solidFill>
                    <w14:schemeClr w14:val="tx1"/>
                  </w14:solidFill>
                </w14:textFill>
              </w:rPr>
              <w:t>分。（注：；须提供相应的合同（至少包含合同首页、项目内容和合同签章页）复印件并加盖供应商公章，否则不计分。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1437" w:hRule="atLeast"/>
          <w:jc w:val="center"/>
        </w:trPr>
        <w:tc>
          <w:tcPr>
            <w:tcW w:w="1017" w:type="dxa"/>
            <w:gridSpan w:val="2"/>
            <w:vMerge w:val="continue"/>
            <w:noWrap w:val="0"/>
            <w:vAlign w:val="center"/>
          </w:tcPr>
          <w:p>
            <w:pPr>
              <w:spacing w:line="220" w:lineRule="exact"/>
              <w:jc w:val="center"/>
              <w:rPr>
                <w:rFonts w:hint="eastAsia" w:ascii="宋体" w:hAnsi="宋体" w:cs="宋体"/>
                <w:color w:val="auto"/>
                <w:szCs w:val="21"/>
                <w:highlight w:val="none"/>
              </w:rPr>
            </w:pPr>
          </w:p>
        </w:tc>
        <w:tc>
          <w:tcPr>
            <w:tcW w:w="1376" w:type="dxa"/>
            <w:noWrap w:val="0"/>
            <w:vAlign w:val="center"/>
          </w:tcPr>
          <w:p>
            <w:pPr>
              <w:numPr>
                <w:ilvl w:val="0"/>
                <w:numId w:val="0"/>
              </w:numP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团队管理人员</w:t>
            </w:r>
          </w:p>
        </w:tc>
        <w:tc>
          <w:tcPr>
            <w:tcW w:w="727" w:type="dxa"/>
            <w:noWrap w:val="0"/>
            <w:vAlign w:val="center"/>
          </w:tcPr>
          <w:p>
            <w:pPr>
              <w:spacing w:line="22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10分</w:t>
            </w:r>
          </w:p>
        </w:tc>
        <w:tc>
          <w:tcPr>
            <w:tcW w:w="6177" w:type="dxa"/>
            <w:gridSpan w:val="2"/>
            <w:noWrap w:val="0"/>
            <w:vAlign w:val="center"/>
          </w:tcPr>
          <w:p>
            <w:pPr>
              <w:numPr>
                <w:ilvl w:val="0"/>
                <w:numId w:val="0"/>
              </w:numPr>
              <w:rPr>
                <w:rFonts w:hint="eastAsia"/>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拟任</w:t>
            </w:r>
            <w:r>
              <w:rPr>
                <w:rFonts w:hint="eastAsia" w:ascii="宋体" w:hAnsi="宋体" w:cs="宋体"/>
                <w:color w:val="000000" w:themeColor="text1"/>
                <w:szCs w:val="21"/>
                <w:highlight w:val="none"/>
                <w:lang w:val="en-US" w:eastAsia="zh-CN"/>
                <w14:textFill>
                  <w14:solidFill>
                    <w14:schemeClr w14:val="tx1"/>
                  </w14:solidFill>
                </w14:textFill>
              </w:rPr>
              <w:t>项目人员</w:t>
            </w:r>
            <w:r>
              <w:rPr>
                <w:rFonts w:hint="eastAsia" w:ascii="宋体" w:hAnsi="宋体" w:eastAsia="宋体" w:cs="宋体"/>
                <w:color w:val="000000" w:themeColor="text1"/>
                <w:szCs w:val="21"/>
                <w:highlight w:val="none"/>
                <w:lang w:val="en-US" w:eastAsia="zh-CN"/>
                <w14:textFill>
                  <w14:solidFill>
                    <w14:schemeClr w14:val="tx1"/>
                  </w14:solidFill>
                </w14:textFill>
              </w:rPr>
              <w:t>具备</w:t>
            </w:r>
            <w:r>
              <w:rPr>
                <w:rFonts w:hint="eastAsia" w:ascii="宋体" w:hAnsi="宋体" w:cs="宋体"/>
                <w:color w:val="000000" w:themeColor="text1"/>
                <w:szCs w:val="21"/>
                <w:highlight w:val="none"/>
                <w:lang w:val="en-US" w:eastAsia="zh-CN"/>
                <w14:textFill>
                  <w14:solidFill>
                    <w14:schemeClr w14:val="tx1"/>
                  </w14:solidFill>
                </w14:textFill>
              </w:rPr>
              <w:t>市政工程或</w:t>
            </w:r>
            <w:r>
              <w:rPr>
                <w:rFonts w:hint="eastAsia" w:ascii="宋体" w:hAnsi="宋体" w:eastAsia="宋体" w:cs="宋体"/>
                <w:color w:val="000000" w:themeColor="text1"/>
                <w:szCs w:val="21"/>
                <w:highlight w:val="none"/>
                <w:lang w:val="en-US" w:eastAsia="zh-CN"/>
                <w14:textFill>
                  <w14:solidFill>
                    <w14:schemeClr w14:val="tx1"/>
                  </w14:solidFill>
                </w14:textFill>
              </w:rPr>
              <w:t>建筑工程专业</w:t>
            </w:r>
            <w:r>
              <w:rPr>
                <w:rFonts w:hint="eastAsia" w:ascii="宋体" w:hAnsi="宋体" w:cs="宋体"/>
                <w:color w:val="000000" w:themeColor="text1"/>
                <w:szCs w:val="21"/>
                <w:highlight w:val="none"/>
                <w:lang w:val="en-US" w:eastAsia="zh-CN"/>
                <w14:textFill>
                  <w14:solidFill>
                    <w14:schemeClr w14:val="tx1"/>
                  </w14:solidFill>
                </w14:textFill>
              </w:rPr>
              <w:t>类中级（含）及以上职称</w:t>
            </w:r>
            <w:r>
              <w:rPr>
                <w:rFonts w:hint="eastAsia" w:ascii="宋体" w:hAnsi="宋体" w:eastAsia="宋体" w:cs="宋体"/>
                <w:color w:val="000000" w:themeColor="text1"/>
                <w:szCs w:val="21"/>
                <w:highlight w:val="none"/>
                <w:lang w:val="en-US" w:eastAsia="zh-CN"/>
                <w14:textFill>
                  <w14:solidFill>
                    <w14:schemeClr w14:val="tx1"/>
                  </w14:solidFill>
                </w14:textFill>
              </w:rPr>
              <w:t>的计</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lang w:val="en-US" w:eastAsia="zh-CN"/>
                <w14:textFill>
                  <w14:solidFill>
                    <w14:schemeClr w14:val="tx1"/>
                  </w14:solidFill>
                </w14:textFill>
              </w:rPr>
              <w:t>分，本项目最多计</w:t>
            </w: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lang w:val="en-US" w:eastAsia="zh-CN"/>
                <w14:textFill>
                  <w14:solidFill>
                    <w14:schemeClr w14:val="tx1"/>
                  </w14:solidFill>
                </w14:textFill>
              </w:rPr>
              <w:t>分。（提供证书复印件及</w:t>
            </w:r>
            <w:r>
              <w:rPr>
                <w:rFonts w:hint="eastAsia" w:ascii="宋体" w:hAnsi="宋体" w:cs="宋体"/>
                <w:color w:val="000000" w:themeColor="text1"/>
                <w:szCs w:val="21"/>
                <w:highlight w:val="none"/>
                <w:lang w:val="en-US" w:eastAsia="zh-CN"/>
                <w14:textFill>
                  <w14:solidFill>
                    <w14:schemeClr w14:val="tx1"/>
                  </w14:solidFill>
                </w14:textFill>
              </w:rPr>
              <w:t>递交响应文件</w:t>
            </w:r>
            <w:r>
              <w:rPr>
                <w:rFonts w:hint="eastAsia" w:ascii="宋体" w:hAnsi="宋体" w:eastAsia="宋体" w:cs="宋体"/>
                <w:color w:val="000000" w:themeColor="text1"/>
                <w:szCs w:val="21"/>
                <w:highlight w:val="none"/>
                <w:lang w:val="en-US" w:eastAsia="zh-CN"/>
                <w14:textFill>
                  <w14:solidFill>
                    <w14:schemeClr w14:val="tx1"/>
                  </w14:solidFill>
                </w14:textFill>
              </w:rPr>
              <w:t>截止时间前</w:t>
            </w:r>
            <w:r>
              <w:rPr>
                <w:rFonts w:hint="eastAsia" w:ascii="宋体" w:hAnsi="宋体" w:cs="宋体"/>
                <w:color w:val="000000" w:themeColor="text1"/>
                <w:szCs w:val="21"/>
                <w:highlight w:val="none"/>
                <w:lang w:val="en-US" w:eastAsia="zh-CN"/>
                <w14:textFill>
                  <w14:solidFill>
                    <w14:schemeClr w14:val="tx1"/>
                  </w14:solidFill>
                </w14:textFill>
              </w:rPr>
              <w:t>半年</w:t>
            </w:r>
            <w:r>
              <w:rPr>
                <w:rFonts w:hint="eastAsia" w:ascii="宋体" w:hAnsi="宋体" w:eastAsia="宋体" w:cs="宋体"/>
                <w:color w:val="000000" w:themeColor="text1"/>
                <w:szCs w:val="21"/>
                <w:highlight w:val="none"/>
                <w:lang w:val="en-US" w:eastAsia="zh-CN"/>
                <w14:textFill>
                  <w14:solidFill>
                    <w14:schemeClr w14:val="tx1"/>
                  </w14:solidFill>
                </w14:textFill>
              </w:rPr>
              <w:t>内（2026年</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月-2026年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月）任意</w:t>
            </w:r>
            <w:r>
              <w:rPr>
                <w:rFonts w:hint="eastAsia" w:ascii="宋体" w:hAnsi="宋体" w:cs="宋体"/>
                <w:color w:val="000000" w:themeColor="text1"/>
                <w:szCs w:val="21"/>
                <w:highlight w:val="none"/>
                <w:lang w:val="en-US" w:eastAsia="zh-CN"/>
                <w14:textFill>
                  <w14:solidFill>
                    <w14:schemeClr w14:val="tx1"/>
                  </w14:solidFill>
                </w14:textFill>
              </w:rPr>
              <w:t>连续三</w:t>
            </w:r>
            <w:r>
              <w:rPr>
                <w:rFonts w:hint="eastAsia" w:ascii="宋体" w:hAnsi="宋体" w:eastAsia="宋体" w:cs="宋体"/>
                <w:color w:val="000000" w:themeColor="text1"/>
                <w:szCs w:val="21"/>
                <w:highlight w:val="none"/>
                <w:lang w:val="en-US" w:eastAsia="zh-CN"/>
                <w14:textFill>
                  <w14:solidFill>
                    <w14:schemeClr w14:val="tx1"/>
                  </w14:solidFill>
                </w14:textFill>
              </w:rPr>
              <w:t>个月在投标单位的社保证明材料，否则不计分）。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910" w:hRule="atLeast"/>
          <w:jc w:val="center"/>
        </w:trPr>
        <w:tc>
          <w:tcPr>
            <w:tcW w:w="1017" w:type="dxa"/>
            <w:gridSpan w:val="2"/>
            <w:vMerge w:val="restart"/>
            <w:noWrap w:val="0"/>
            <w:vAlign w:val="center"/>
          </w:tcPr>
          <w:p>
            <w:pPr>
              <w:spacing w:line="2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p>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tc>
        <w:tc>
          <w:tcPr>
            <w:tcW w:w="1376"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施工方案与技术措施</w:t>
            </w:r>
          </w:p>
        </w:tc>
        <w:tc>
          <w:tcPr>
            <w:tcW w:w="727"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施工方案及技术措施，包括但不限于①对项目总体概况分析及实施方案；②项目主要及关键方案，对重点、难点分析；③施工平面布置；④主要施工顺序、施工工艺、作业方法、作业流程、操作要领；⑤水电驳接方案。</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满足上述5项要求且内容完善针对性强的计10分，每存在一处缺漏项的扣2分，内容不完整或欠合理的每处扣1分，扣完为止。</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450" w:hRule="atLeast"/>
          <w:jc w:val="center"/>
        </w:trPr>
        <w:tc>
          <w:tcPr>
            <w:tcW w:w="1017" w:type="dxa"/>
            <w:gridSpan w:val="2"/>
            <w:vMerge w:val="continue"/>
            <w:noWrap w:val="0"/>
            <w:vAlign w:val="center"/>
          </w:tcPr>
          <w:p>
            <w:pPr>
              <w:spacing w:line="220" w:lineRule="exact"/>
              <w:jc w:val="center"/>
              <w:rPr>
                <w:rFonts w:hint="eastAsia" w:ascii="宋体" w:hAnsi="宋体" w:cs="宋体"/>
                <w:color w:val="auto"/>
                <w:szCs w:val="21"/>
                <w:highlight w:val="none"/>
              </w:rPr>
            </w:pPr>
          </w:p>
        </w:tc>
        <w:tc>
          <w:tcPr>
            <w:tcW w:w="1376"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工程进度计划与保证措施</w:t>
            </w:r>
          </w:p>
        </w:tc>
        <w:tc>
          <w:tcPr>
            <w:tcW w:w="727"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工程进度计划与保证措施，包括但不限于①进度计划梯道图、网络图，②对项目特点、关键线路、控制性工程以及重难点工程的分析，③工程进度计划，④对控制性工程、重难点工程进行合理配置资源的措施。</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满足上述4项要求且内容完善针对性强的计10分，每存在一处缺漏项的扣2.5分，内容不完整或欠合理的每处扣1.5分，扣完为止。</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325" w:hRule="atLeast"/>
          <w:jc w:val="center"/>
        </w:trPr>
        <w:tc>
          <w:tcPr>
            <w:tcW w:w="1017" w:type="dxa"/>
            <w:gridSpan w:val="2"/>
            <w:vMerge w:val="continue"/>
            <w:noWrap w:val="0"/>
            <w:vAlign w:val="center"/>
          </w:tcPr>
          <w:p>
            <w:pPr>
              <w:spacing w:line="220" w:lineRule="exact"/>
              <w:jc w:val="center"/>
              <w:rPr>
                <w:rFonts w:hint="eastAsia" w:ascii="宋体" w:hAnsi="宋体" w:cs="宋体"/>
                <w:color w:val="auto"/>
                <w:szCs w:val="21"/>
                <w:highlight w:val="none"/>
              </w:rPr>
            </w:pPr>
          </w:p>
        </w:tc>
        <w:tc>
          <w:tcPr>
            <w:tcW w:w="1376"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质量管理体系与措施</w:t>
            </w:r>
          </w:p>
        </w:tc>
        <w:tc>
          <w:tcPr>
            <w:tcW w:w="727"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供应商须提供质量管理体系与措施，包括但不限于①质量管理体系、②职责分工、③材料采购、④过程控制及检验、⑤质量控制措施。</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满足上述5项要求且内容完善针对性强的计10分，每存在一处缺漏项的扣2分，内容不完整或欠合理的每处扣1分，扣完为止。</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910" w:hRule="atLeast"/>
          <w:jc w:val="center"/>
        </w:trPr>
        <w:tc>
          <w:tcPr>
            <w:tcW w:w="1017" w:type="dxa"/>
            <w:gridSpan w:val="2"/>
            <w:vMerge w:val="continue"/>
            <w:noWrap w:val="0"/>
            <w:vAlign w:val="center"/>
          </w:tcPr>
          <w:p>
            <w:pPr>
              <w:spacing w:line="220" w:lineRule="exact"/>
              <w:jc w:val="center"/>
              <w:rPr>
                <w:rFonts w:hint="eastAsia" w:ascii="宋体" w:hAnsi="宋体" w:cs="宋体"/>
                <w:color w:val="auto"/>
                <w:szCs w:val="21"/>
                <w:highlight w:val="none"/>
              </w:rPr>
            </w:pPr>
          </w:p>
        </w:tc>
        <w:tc>
          <w:tcPr>
            <w:tcW w:w="1376"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安全管理体系与措施</w:t>
            </w:r>
          </w:p>
        </w:tc>
        <w:tc>
          <w:tcPr>
            <w:tcW w:w="727"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供应商须提供安全管理体系与措施，包括但不限于①安全体系与措施；②安全责任与组织架构；③风险识别与评估；④应急预案与事故处理。</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满足上述4项要求且内容完善针对性强的计10分，每存在一处缺漏项的扣2.5分，内容不完整或欠合理的每处扣1.5分，扣完为止。</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910" w:hRule="atLeast"/>
          <w:jc w:val="center"/>
        </w:trPr>
        <w:tc>
          <w:tcPr>
            <w:tcW w:w="1017" w:type="dxa"/>
            <w:gridSpan w:val="2"/>
            <w:vMerge w:val="continue"/>
            <w:noWrap w:val="0"/>
            <w:vAlign w:val="center"/>
          </w:tcPr>
          <w:p>
            <w:pPr>
              <w:spacing w:line="220" w:lineRule="exact"/>
              <w:jc w:val="center"/>
              <w:rPr>
                <w:rFonts w:hint="eastAsia" w:ascii="宋体" w:hAnsi="宋体" w:cs="宋体"/>
                <w:color w:val="auto"/>
                <w:szCs w:val="21"/>
                <w:highlight w:val="none"/>
              </w:rPr>
            </w:pPr>
          </w:p>
        </w:tc>
        <w:tc>
          <w:tcPr>
            <w:tcW w:w="1376"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文明施工现场措施</w:t>
            </w:r>
          </w:p>
        </w:tc>
        <w:tc>
          <w:tcPr>
            <w:tcW w:w="727" w:type="dxa"/>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分</w:t>
            </w:r>
          </w:p>
        </w:tc>
        <w:tc>
          <w:tcPr>
            <w:tcW w:w="6177" w:type="dxa"/>
            <w:gridSpan w:val="2"/>
            <w:noWrap w:val="0"/>
            <w:vAlign w:val="center"/>
          </w:tcPr>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根据供应商提供的环境保护管理体系与措施，包括但不限于①文明施工管理制度；②施工现场布置及人员管理；③环境保护措施（含</w:t>
            </w:r>
            <w:r>
              <w:rPr>
                <w:rFonts w:hint="eastAsia" w:ascii="宋体" w:hAnsi="宋体" w:cs="宋体"/>
                <w:color w:val="auto"/>
                <w:szCs w:val="21"/>
                <w:highlight w:val="none"/>
                <w:lang w:val="en-US" w:eastAsia="zh-CN"/>
              </w:rPr>
              <w:t>噪声</w:t>
            </w:r>
            <w:r>
              <w:rPr>
                <w:rFonts w:hint="eastAsia" w:ascii="宋体" w:hAnsi="宋体" w:eastAsia="宋体" w:cs="宋体"/>
                <w:color w:val="auto"/>
                <w:szCs w:val="21"/>
                <w:highlight w:val="none"/>
                <w:lang w:val="en-US" w:eastAsia="zh-CN"/>
              </w:rPr>
              <w:t>、扬尘、污水等控制与处理措施）；④文明施工优化方案及合理化建议。</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满足上述4项要求且内容完善针对性强的计</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分，每存在一处缺漏项的扣2分，内容不完整或欠合理的每处扣1分，扣完为止。</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910" w:hRule="atLeast"/>
          <w:jc w:val="center"/>
        </w:trPr>
        <w:tc>
          <w:tcPr>
            <w:tcW w:w="1017" w:type="dxa"/>
            <w:gridSpan w:val="2"/>
            <w:noWrap w:val="0"/>
            <w:vAlign w:val="center"/>
          </w:tcPr>
          <w:p>
            <w:pPr>
              <w:spacing w:line="220" w:lineRule="exact"/>
              <w:jc w:val="center"/>
              <w:rPr>
                <w:rFonts w:hint="eastAsia" w:ascii="宋体" w:hAnsi="宋体" w:cs="宋体"/>
                <w:color w:val="auto"/>
                <w:szCs w:val="21"/>
                <w:highlight w:val="none"/>
              </w:rPr>
            </w:pPr>
          </w:p>
        </w:tc>
        <w:tc>
          <w:tcPr>
            <w:tcW w:w="1376" w:type="dxa"/>
            <w:noWrap w:val="0"/>
            <w:vAlign w:val="center"/>
          </w:tcPr>
          <w:p>
            <w:pPr>
              <w:numPr>
                <w:ilvl w:val="0"/>
                <w:numId w:val="0"/>
              </w:numPr>
              <w:ind w:left="0" w:leftChars="0" w:firstLine="0" w:firstLineChars="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质保</w:t>
            </w:r>
            <w:r>
              <w:rPr>
                <w:rFonts w:hint="default" w:ascii="宋体" w:hAnsi="宋体" w:eastAsia="宋体" w:cs="宋体"/>
                <w:color w:val="auto"/>
                <w:szCs w:val="21"/>
                <w:highlight w:val="none"/>
                <w:lang w:val="en-US" w:eastAsia="zh-CN"/>
              </w:rPr>
              <w:t>承诺</w:t>
            </w:r>
          </w:p>
        </w:tc>
        <w:tc>
          <w:tcPr>
            <w:tcW w:w="727" w:type="dxa"/>
            <w:noWrap w:val="0"/>
            <w:vAlign w:val="center"/>
          </w:tcPr>
          <w:p>
            <w:pPr>
              <w:spacing w:line="22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w:t>
            </w:r>
          </w:p>
        </w:tc>
        <w:tc>
          <w:tcPr>
            <w:tcW w:w="6177" w:type="dxa"/>
            <w:gridSpan w:val="2"/>
            <w:noWrap w:val="0"/>
            <w:vAlign w:val="center"/>
          </w:tcPr>
          <w:p>
            <w:pPr>
              <w:pStyle w:val="60"/>
              <w:jc w:val="left"/>
              <w:rPr>
                <w:rFonts w:hint="eastAsia" w:ascii="宋体" w:hAnsi="宋体" w:eastAsia="宋体" w:cs="宋体"/>
                <w:color w:val="auto"/>
                <w:szCs w:val="21"/>
                <w:highlight w:val="none"/>
                <w:lang w:val="en-US" w:eastAsia="zh-CN"/>
              </w:rPr>
            </w:pPr>
            <w:r>
              <w:rPr>
                <w:rFonts w:hint="eastAsia" w:ascii="宋体" w:hAnsi="宋体" w:eastAsia="宋体" w:cs="宋体"/>
                <w:b w:val="0"/>
                <w:strike w:val="0"/>
                <w:dstrike w:val="0"/>
                <w:color w:val="auto"/>
                <w:kern w:val="2"/>
                <w:sz w:val="21"/>
                <w:szCs w:val="21"/>
                <w:highlight w:val="none"/>
                <w:lang w:val="en-US" w:eastAsia="zh-CN" w:bidi="ar-SA"/>
              </w:rPr>
              <w:t>承诺质保期在建设部[2000]年第80号令《房屋建筑工程质量保修办法》的基础上，</w:t>
            </w:r>
            <w:r>
              <w:rPr>
                <w:rFonts w:hint="eastAsia" w:ascii="宋体" w:hAnsi="宋体" w:cs="宋体"/>
                <w:b w:val="0"/>
                <w:strike w:val="0"/>
                <w:dstrike w:val="0"/>
                <w:color w:val="auto"/>
                <w:kern w:val="2"/>
                <w:sz w:val="21"/>
                <w:szCs w:val="21"/>
                <w:highlight w:val="none"/>
                <w:lang w:val="en-US" w:eastAsia="zh-CN" w:bidi="ar-SA"/>
              </w:rPr>
              <w:t>整体</w:t>
            </w:r>
            <w:r>
              <w:rPr>
                <w:rFonts w:hint="eastAsia" w:ascii="宋体" w:hAnsi="宋体" w:eastAsia="宋体" w:cs="宋体"/>
                <w:b w:val="0"/>
                <w:strike w:val="0"/>
                <w:dstrike w:val="0"/>
                <w:color w:val="auto"/>
                <w:kern w:val="2"/>
                <w:sz w:val="21"/>
                <w:szCs w:val="21"/>
                <w:highlight w:val="none"/>
                <w:lang w:val="en-US" w:eastAsia="zh-CN" w:bidi="ar-SA"/>
              </w:rPr>
              <w:t>每延长半年，计</w:t>
            </w:r>
            <w:r>
              <w:rPr>
                <w:rFonts w:hint="eastAsia" w:ascii="宋体" w:hAnsi="宋体" w:cs="宋体"/>
                <w:b w:val="0"/>
                <w:strike w:val="0"/>
                <w:dstrike w:val="0"/>
                <w:color w:val="auto"/>
                <w:kern w:val="2"/>
                <w:sz w:val="21"/>
                <w:szCs w:val="21"/>
                <w:highlight w:val="none"/>
                <w:lang w:val="en-US" w:eastAsia="zh-CN" w:bidi="ar-SA"/>
              </w:rPr>
              <w:t>1</w:t>
            </w:r>
            <w:r>
              <w:rPr>
                <w:rFonts w:hint="eastAsia" w:ascii="宋体" w:hAnsi="宋体" w:eastAsia="宋体" w:cs="宋体"/>
                <w:b w:val="0"/>
                <w:strike w:val="0"/>
                <w:dstrike w:val="0"/>
                <w:color w:val="auto"/>
                <w:kern w:val="2"/>
                <w:sz w:val="21"/>
                <w:szCs w:val="21"/>
                <w:highlight w:val="none"/>
                <w:lang w:val="en-US" w:eastAsia="zh-CN" w:bidi="ar-SA"/>
              </w:rPr>
              <w:t>分，本项最多计</w:t>
            </w:r>
            <w:r>
              <w:rPr>
                <w:rFonts w:hint="eastAsia" w:ascii="宋体" w:hAnsi="宋体" w:cs="宋体"/>
                <w:b w:val="0"/>
                <w:strike w:val="0"/>
                <w:dstrike w:val="0"/>
                <w:color w:val="auto"/>
                <w:kern w:val="2"/>
                <w:sz w:val="21"/>
                <w:szCs w:val="21"/>
                <w:highlight w:val="none"/>
                <w:lang w:val="en-US" w:eastAsia="zh-CN" w:bidi="ar-SA"/>
              </w:rPr>
              <w:t>2</w:t>
            </w:r>
            <w:r>
              <w:rPr>
                <w:rFonts w:hint="eastAsia" w:ascii="宋体" w:hAnsi="宋体" w:eastAsia="宋体" w:cs="宋体"/>
                <w:b w:val="0"/>
                <w:strike w:val="0"/>
                <w:dstrike w:val="0"/>
                <w:color w:val="auto"/>
                <w:kern w:val="2"/>
                <w:sz w:val="21"/>
                <w:szCs w:val="21"/>
                <w:highlight w:val="none"/>
                <w:lang w:val="en-US" w:eastAsia="zh-CN" w:bidi="ar-SA"/>
              </w:rPr>
              <w:t>分。注</w:t>
            </w:r>
            <w:r>
              <w:rPr>
                <w:rFonts w:hint="eastAsia" w:ascii="宋体" w:hAnsi="宋体" w:cs="宋体"/>
                <w:b w:val="0"/>
                <w:strike w:val="0"/>
                <w:dstrike w:val="0"/>
                <w:color w:val="auto"/>
                <w:kern w:val="2"/>
                <w:sz w:val="21"/>
                <w:szCs w:val="21"/>
                <w:highlight w:val="none"/>
                <w:lang w:val="en-US" w:eastAsia="zh-CN" w:bidi="ar-SA"/>
              </w:rPr>
              <w:t>：</w:t>
            </w:r>
            <w:r>
              <w:rPr>
                <w:rFonts w:hint="eastAsia" w:ascii="宋体" w:hAnsi="宋体" w:eastAsia="宋体" w:cs="宋体"/>
                <w:b w:val="0"/>
                <w:strike w:val="0"/>
                <w:dstrike w:val="0"/>
                <w:color w:val="auto"/>
                <w:kern w:val="2"/>
                <w:sz w:val="21"/>
                <w:szCs w:val="21"/>
                <w:highlight w:val="none"/>
                <w:lang w:val="en-US" w:eastAsia="zh-CN" w:bidi="ar-SA"/>
              </w:rPr>
              <w:t>提供承诺并加盖供应商公章，格式自拟。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485" w:hRule="atLeast"/>
          <w:jc w:val="center"/>
        </w:trPr>
        <w:tc>
          <w:tcPr>
            <w:tcW w:w="2393" w:type="dxa"/>
            <w:gridSpan w:val="3"/>
            <w:noWrap w:val="0"/>
            <w:vAlign w:val="center"/>
          </w:tcPr>
          <w:p>
            <w:pPr>
              <w:tabs>
                <w:tab w:val="left" w:pos="1988"/>
              </w:tabs>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合计</w:t>
            </w:r>
          </w:p>
        </w:tc>
        <w:tc>
          <w:tcPr>
            <w:tcW w:w="727" w:type="dxa"/>
            <w:noWrap w:val="0"/>
            <w:vAlign w:val="center"/>
          </w:tcPr>
          <w:p>
            <w:pPr>
              <w:tabs>
                <w:tab w:val="left" w:pos="1988"/>
              </w:tabs>
              <w:spacing w:line="220" w:lineRule="exact"/>
              <w:jc w:val="center"/>
              <w:rPr>
                <w:rFonts w:hint="eastAsia" w:ascii="宋体" w:hAnsi="宋体" w:cs="宋体"/>
                <w:color w:val="auto"/>
                <w:szCs w:val="21"/>
                <w:highlight w:val="none"/>
              </w:rPr>
            </w:pPr>
            <w:r>
              <w:rPr>
                <w:rFonts w:hint="eastAsia" w:ascii="宋体" w:hAnsi="宋体" w:cs="宋体"/>
                <w:snapToGrid w:val="0"/>
                <w:color w:val="auto"/>
                <w:kern w:val="0"/>
                <w:szCs w:val="21"/>
                <w:highlight w:val="none"/>
              </w:rPr>
              <w:t>100</w:t>
            </w:r>
          </w:p>
        </w:tc>
        <w:tc>
          <w:tcPr>
            <w:tcW w:w="6177" w:type="dxa"/>
            <w:gridSpan w:val="2"/>
            <w:noWrap w:val="0"/>
            <w:vAlign w:val="center"/>
          </w:tcPr>
          <w:p>
            <w:pP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5" w:type="dxa"/>
          <w:trHeight w:val="485" w:hRule="atLeast"/>
          <w:jc w:val="center"/>
        </w:trPr>
        <w:tc>
          <w:tcPr>
            <w:tcW w:w="9297" w:type="dxa"/>
            <w:gridSpan w:val="6"/>
            <w:noWrap w:val="0"/>
            <w:vAlign w:val="center"/>
          </w:tcPr>
          <w:p>
            <w:pPr>
              <w:rPr>
                <w:rFonts w:hint="eastAsia" w:ascii="宋体" w:hAnsi="宋体" w:cs="宋体"/>
                <w:color w:val="auto"/>
                <w:szCs w:val="21"/>
                <w:highlight w:val="none"/>
              </w:rPr>
            </w:pPr>
            <w:r>
              <w:rPr>
                <w:rFonts w:hint="default" w:ascii="宋体" w:hAnsi="宋体" w:cs="宋体"/>
                <w:color w:val="auto"/>
                <w:szCs w:val="21"/>
                <w:highlight w:val="none"/>
                <w:lang w:val="en-US"/>
              </w:rPr>
              <w:t>注：技术部分评审因素中的“</w:t>
            </w:r>
            <w:r>
              <w:rPr>
                <w:rFonts w:hint="eastAsia" w:ascii="宋体" w:hAnsi="宋体" w:cs="宋体"/>
                <w:color w:val="auto"/>
                <w:szCs w:val="21"/>
                <w:highlight w:val="none"/>
                <w:lang w:val="en-US" w:eastAsia="zh-CN"/>
              </w:rPr>
              <w:t>不</w:t>
            </w:r>
            <w:r>
              <w:rPr>
                <w:rFonts w:hint="default" w:ascii="宋体" w:hAnsi="宋体" w:cs="宋体"/>
                <w:color w:val="auto"/>
                <w:szCs w:val="21"/>
                <w:highlight w:val="none"/>
                <w:lang w:val="en-US"/>
              </w:rPr>
              <w:t>完善、不合理”是指具有明显缺陷、 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bl>
    <w:p>
      <w:pPr>
        <w:widowControl/>
        <w:jc w:val="center"/>
        <w:rPr>
          <w:rFonts w:hint="eastAsia" w:ascii="仿宋_GB2312" w:hAnsi="仿宋_GB2312" w:eastAsia="仿宋_GB2312" w:cs="仿宋_GB2312"/>
          <w:snapToGrid w:val="0"/>
          <w:color w:val="auto"/>
          <w:kern w:val="0"/>
          <w:sz w:val="24"/>
          <w:highlight w:val="none"/>
        </w:rPr>
      </w:pPr>
    </w:p>
    <w:p>
      <w:pPr>
        <w:widowControl/>
        <w:jc w:val="center"/>
        <w:rPr>
          <w:rFonts w:hint="eastAsia" w:ascii="仿宋_GB2312" w:hAnsi="仿宋_GB2312" w:eastAsia="仿宋_GB2312" w:cs="仿宋_GB2312"/>
          <w:snapToGrid w:val="0"/>
          <w:color w:val="auto"/>
          <w:kern w:val="0"/>
          <w:sz w:val="24"/>
          <w:highlight w:val="none"/>
        </w:rPr>
      </w:pPr>
    </w:p>
    <w:p>
      <w:pPr>
        <w:pStyle w:val="3"/>
        <w:ind w:firstLine="482" w:firstLineChars="200"/>
        <w:jc w:val="center"/>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br w:type="page"/>
      </w:r>
      <w:bookmarkStart w:id="7" w:name="_Toc698"/>
      <w:r>
        <w:rPr>
          <w:rFonts w:hint="eastAsia" w:ascii="仿宋_GB2312" w:hAnsi="仿宋_GB2312" w:eastAsia="仿宋_GB2312" w:cs="仿宋_GB2312"/>
          <w:snapToGrid w:val="0"/>
          <w:color w:val="auto"/>
          <w:kern w:val="0"/>
          <w:highlight w:val="none"/>
        </w:rPr>
        <w:t>磋商须知正文</w:t>
      </w:r>
      <w:bookmarkEnd w:id="7"/>
    </w:p>
    <w:p>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8" w:name="_Toc13390"/>
      <w:r>
        <w:rPr>
          <w:rFonts w:hint="eastAsia" w:ascii="仿宋_GB2312" w:hAnsi="仿宋_GB2312" w:eastAsia="仿宋_GB2312" w:cs="仿宋_GB2312"/>
          <w:snapToGrid w:val="0"/>
          <w:color w:val="auto"/>
          <w:kern w:val="0"/>
          <w:sz w:val="24"/>
          <w:szCs w:val="24"/>
          <w:highlight w:val="none"/>
        </w:rPr>
        <w:t>一、说明</w:t>
      </w:r>
      <w:bookmarkEnd w:id="8"/>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1.适用范围</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1.1 本磋商文件仅适用于磋商须知前附表</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以下简称</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b/>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中所叙述的采购项目。</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2.定义</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2.1 “采购人”是指依法进行政府采购的国家机关、事业单位、团体组织。本次政府采购的采购人名称、地址、电话、联系人见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2.2 “采购代理机构”是指接受采购人委托，代理采购项目的集中采购机构和其他采购代理机构。本次政府采购的采购代理机构名称、地址、电话、联系人见</w:t>
      </w:r>
      <w:r>
        <w:rPr>
          <w:rFonts w:hint="eastAsia" w:ascii="仿宋_GB2312" w:hAnsi="仿宋_GB2312" w:eastAsia="仿宋_GB2312" w:cs="仿宋_GB2312"/>
          <w:b/>
          <w:snapToGrid w:val="0"/>
          <w:color w:val="auto"/>
          <w:kern w:val="0"/>
          <w:szCs w:val="21"/>
          <w:highlight w:val="none"/>
        </w:rPr>
        <w:t>磋商须知前附表。</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2.3 “供应商”是指响应磋商文件要求、参加竞争性磋商采购的法人、其他组织或者自然人。本次政府采购项目邀请的供应商通过</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所述方式，邀请符合资格条件的供应商提交响应文件（含资格证明资料），参与竞争性磋商采购活动。</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2.4 “磋商小组”是指依据财政部</w:t>
      </w:r>
      <w:r>
        <w:rPr>
          <w:rFonts w:hint="eastAsia" w:ascii="仿宋_GB2312" w:hAnsi="仿宋_GB2312" w:eastAsia="仿宋_GB2312" w:cs="仿宋_GB2312"/>
          <w:bCs/>
          <w:snapToGrid w:val="0"/>
          <w:color w:val="auto"/>
          <w:kern w:val="0"/>
          <w:szCs w:val="21"/>
          <w:highlight w:val="none"/>
        </w:rPr>
        <w:t>《政府采购竞争性磋商采购方式管理暂行办法》有关规定组建，依法依规</w:t>
      </w:r>
      <w:r>
        <w:rPr>
          <w:rFonts w:hint="eastAsia" w:ascii="仿宋_GB2312" w:hAnsi="仿宋_GB2312" w:eastAsia="仿宋_GB2312" w:cs="仿宋_GB2312"/>
          <w:snapToGrid w:val="0"/>
          <w:color w:val="auto"/>
          <w:kern w:val="0"/>
          <w:szCs w:val="21"/>
          <w:highlight w:val="none"/>
        </w:rPr>
        <w:t>履行其职责和义务的机构。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2.5 “货物”是指各种形态和种类的物品，包括原资料、燃料、设备、产品等，详见《政府采购品目分类目录》</w:t>
      </w:r>
      <w:r>
        <w:rPr>
          <w:rFonts w:hint="eastAsia" w:ascii="仿宋_GB2312" w:hAnsi="仿宋_GB2312" w:eastAsia="仿宋_GB2312" w:cs="仿宋_GB2312"/>
          <w:snapToGrid w:val="0"/>
          <w:color w:val="auto"/>
          <w:kern w:val="0"/>
          <w:szCs w:val="21"/>
          <w:highlight w:val="none"/>
          <w:lang w:eastAsia="zh-CN"/>
        </w:rPr>
        <w:t>（</w:t>
      </w:r>
      <w:r>
        <w:rPr>
          <w:rStyle w:val="47"/>
          <w:rFonts w:hint="eastAsia" w:ascii="仿宋_GB2312" w:hAnsi="仿宋_GB2312" w:eastAsia="仿宋_GB2312" w:cs="仿宋_GB2312"/>
          <w:b w:val="0"/>
          <w:snapToGrid w:val="0"/>
          <w:color w:val="auto"/>
          <w:kern w:val="0"/>
          <w:highlight w:val="none"/>
        </w:rPr>
        <w:t>财库</w:t>
      </w:r>
      <w:r>
        <w:rPr>
          <w:rStyle w:val="47"/>
          <w:rFonts w:hint="eastAsia" w:ascii="仿宋_GB2312" w:hAnsi="仿宋_GB2312" w:eastAsia="仿宋_GB2312" w:cs="仿宋_GB2312"/>
          <w:b w:val="0"/>
          <w:snapToGrid w:val="0"/>
          <w:color w:val="auto"/>
          <w:kern w:val="0"/>
          <w:highlight w:val="none"/>
          <w:lang w:eastAsia="zh-CN"/>
        </w:rPr>
        <w:t>〔2013〕189号）</w:t>
      </w:r>
      <w:r>
        <w:rPr>
          <w:rFonts w:hint="eastAsia" w:ascii="仿宋_GB2312" w:hAnsi="仿宋_GB2312" w:eastAsia="仿宋_GB2312" w:cs="仿宋_GB2312"/>
          <w:snapToGrid w:val="0"/>
          <w:color w:val="auto"/>
          <w:kern w:val="0"/>
          <w:szCs w:val="21"/>
          <w:highlight w:val="none"/>
        </w:rPr>
        <w:t>。</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 “工程”是指建设工程，包括建筑物和构筑物的新建、改建、扩建、装修、拆除、修缮等，详见《政府采购品目分类目录》</w:t>
      </w:r>
      <w:r>
        <w:rPr>
          <w:rFonts w:hint="eastAsia" w:ascii="仿宋_GB2312" w:hAnsi="仿宋_GB2312" w:eastAsia="仿宋_GB2312" w:cs="仿宋_GB2312"/>
          <w:snapToGrid w:val="0"/>
          <w:color w:val="auto"/>
          <w:kern w:val="0"/>
          <w:szCs w:val="21"/>
          <w:highlight w:val="none"/>
          <w:lang w:eastAsia="zh-CN"/>
        </w:rPr>
        <w:t>（</w:t>
      </w:r>
      <w:r>
        <w:rPr>
          <w:rStyle w:val="47"/>
          <w:rFonts w:hint="eastAsia" w:ascii="仿宋_GB2312" w:hAnsi="仿宋_GB2312" w:eastAsia="仿宋_GB2312" w:cs="仿宋_GB2312"/>
          <w:b w:val="0"/>
          <w:snapToGrid w:val="0"/>
          <w:color w:val="auto"/>
          <w:kern w:val="0"/>
          <w:highlight w:val="none"/>
        </w:rPr>
        <w:t>财库</w:t>
      </w:r>
      <w:r>
        <w:rPr>
          <w:rStyle w:val="47"/>
          <w:rFonts w:hint="eastAsia" w:ascii="仿宋_GB2312" w:hAnsi="仿宋_GB2312" w:eastAsia="仿宋_GB2312" w:cs="仿宋_GB2312"/>
          <w:b w:val="0"/>
          <w:snapToGrid w:val="0"/>
          <w:color w:val="auto"/>
          <w:kern w:val="0"/>
          <w:highlight w:val="none"/>
          <w:lang w:eastAsia="zh-CN"/>
        </w:rPr>
        <w:t>〔2013〕189号）</w:t>
      </w:r>
      <w:r>
        <w:rPr>
          <w:rFonts w:hint="eastAsia" w:ascii="仿宋_GB2312" w:hAnsi="仿宋_GB2312" w:eastAsia="仿宋_GB2312" w:cs="仿宋_GB2312"/>
          <w:snapToGrid w:val="0"/>
          <w:color w:val="auto"/>
          <w:kern w:val="0"/>
          <w:szCs w:val="21"/>
          <w:highlight w:val="none"/>
        </w:rPr>
        <w:t>。</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2.7 “服务”是指除货物和工程以外的其他政府采购对象，详见《政府采购品目分类目录》</w:t>
      </w:r>
      <w:r>
        <w:rPr>
          <w:rFonts w:hint="eastAsia" w:ascii="仿宋_GB2312" w:hAnsi="仿宋_GB2312" w:eastAsia="仿宋_GB2312" w:cs="仿宋_GB2312"/>
          <w:snapToGrid w:val="0"/>
          <w:color w:val="auto"/>
          <w:kern w:val="0"/>
          <w:szCs w:val="21"/>
          <w:highlight w:val="none"/>
          <w:lang w:eastAsia="zh-CN"/>
        </w:rPr>
        <w:t>（</w:t>
      </w:r>
      <w:r>
        <w:rPr>
          <w:rStyle w:val="47"/>
          <w:rFonts w:hint="eastAsia" w:ascii="仿宋_GB2312" w:hAnsi="仿宋_GB2312" w:eastAsia="仿宋_GB2312" w:cs="仿宋_GB2312"/>
          <w:b w:val="0"/>
          <w:snapToGrid w:val="0"/>
          <w:color w:val="auto"/>
          <w:kern w:val="0"/>
          <w:highlight w:val="none"/>
        </w:rPr>
        <w:t>财库</w:t>
      </w:r>
      <w:r>
        <w:rPr>
          <w:rStyle w:val="47"/>
          <w:rFonts w:hint="eastAsia" w:ascii="仿宋_GB2312" w:hAnsi="仿宋_GB2312" w:eastAsia="仿宋_GB2312" w:cs="仿宋_GB2312"/>
          <w:b w:val="0"/>
          <w:snapToGrid w:val="0"/>
          <w:color w:val="auto"/>
          <w:kern w:val="0"/>
          <w:highlight w:val="none"/>
          <w:lang w:eastAsia="zh-CN"/>
        </w:rPr>
        <w:t>〔2013〕189号）</w:t>
      </w:r>
      <w:r>
        <w:rPr>
          <w:rFonts w:hint="eastAsia" w:ascii="仿宋_GB2312" w:hAnsi="仿宋_GB2312" w:eastAsia="仿宋_GB2312" w:cs="仿宋_GB2312"/>
          <w:snapToGrid w:val="0"/>
          <w:color w:val="auto"/>
          <w:kern w:val="0"/>
          <w:szCs w:val="21"/>
          <w:highlight w:val="none"/>
        </w:rPr>
        <w:t>。</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2.8 “节能产品”或者“环保产品”是指财政部发布的《关于印发节能产品政府采购品目清单的通知》（财库〔2020〕19号）或者《关于印发环境标志产品政府采购品目清单的通知》</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财库〔2019〕18号</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的产品。</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2.9 “进口产品”是指通过中国海关报关验放进入中国境内且产自关境外的产品，详见《关于政府采购进口产品管理有关问题的通知》</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财库</w:t>
      </w:r>
      <w:r>
        <w:rPr>
          <w:rFonts w:hint="eastAsia" w:ascii="仿宋_GB2312" w:hAnsi="仿宋_GB2312" w:eastAsia="仿宋_GB2312" w:cs="仿宋_GB2312"/>
          <w:snapToGrid w:val="0"/>
          <w:color w:val="auto"/>
          <w:kern w:val="0"/>
          <w:szCs w:val="21"/>
          <w:highlight w:val="none"/>
          <w:lang w:eastAsia="zh-CN"/>
        </w:rPr>
        <w:t>〔2007〕119号）</w:t>
      </w:r>
      <w:r>
        <w:rPr>
          <w:rFonts w:hint="eastAsia" w:ascii="仿宋_GB2312" w:hAnsi="仿宋_GB2312" w:eastAsia="仿宋_GB2312" w:cs="仿宋_GB2312"/>
          <w:snapToGrid w:val="0"/>
          <w:color w:val="auto"/>
          <w:kern w:val="0"/>
          <w:szCs w:val="21"/>
          <w:highlight w:val="none"/>
        </w:rPr>
        <w:t>。</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3.供应商的资格要求</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 供应商应当符合</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中规定的资格条件要求。</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3.2供应商不得存在下列情形之一：</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（l）与采购人、采购代理机构存在</w:t>
      </w:r>
      <w:r>
        <w:rPr>
          <w:rFonts w:hint="eastAsia" w:ascii="仿宋_GB2312" w:hAnsi="仿宋_GB2312" w:eastAsia="仿宋_GB2312" w:cs="仿宋_GB2312"/>
          <w:bCs/>
          <w:snapToGrid w:val="0"/>
          <w:color w:val="auto"/>
          <w:kern w:val="0"/>
          <w:szCs w:val="21"/>
          <w:highlight w:val="none"/>
        </w:rPr>
        <w:t>隶属关系或者其他利害关系</w:t>
      </w:r>
      <w:r>
        <w:rPr>
          <w:rFonts w:hint="eastAsia" w:ascii="仿宋_GB2312" w:hAnsi="仿宋_GB2312" w:eastAsia="仿宋_GB2312" w:cs="仿宋_GB2312"/>
          <w:snapToGrid w:val="0"/>
          <w:color w:val="auto"/>
          <w:kern w:val="0"/>
          <w:szCs w:val="21"/>
          <w:highlight w:val="none"/>
        </w:rPr>
        <w:t>。</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（2）与其他供应商的法定代表人（或者负责人）为同一人，或者与其他供应商存在直接控股、管理关系。</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w:t>
      </w:r>
      <w:r>
        <w:rPr>
          <w:rFonts w:hint="eastAsia" w:ascii="仿宋_GB2312" w:hAnsi="仿宋_GB2312" w:eastAsia="仿宋_GB2312" w:cs="仿宋_GB2312"/>
          <w:bCs/>
          <w:snapToGrid w:val="0"/>
          <w:color w:val="auto"/>
          <w:kern w:val="0"/>
          <w:szCs w:val="21"/>
          <w:highlight w:val="none"/>
        </w:rPr>
        <w:t>受到刑事处罚，或者受到二百万元以上的罚款、责令停产停业、在一至三年内禁止参加政府采购活动、暂扣或者吊销许可证、暂扣或者吊销执照等情形之一的行政处罚，或者存在</w:t>
      </w:r>
      <w:r>
        <w:rPr>
          <w:rFonts w:hint="eastAsia" w:ascii="仿宋_GB2312" w:hAnsi="仿宋_GB2312" w:eastAsia="仿宋_GB2312" w:cs="仿宋_GB2312"/>
          <w:snapToGrid w:val="0"/>
          <w:color w:val="auto"/>
          <w:kern w:val="0"/>
          <w:szCs w:val="21"/>
          <w:highlight w:val="none"/>
        </w:rPr>
        <w:t>财政部门认定的其他重大违法记录。</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 xml:space="preserve">4.参与磋商的费用 </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4.1 无论磋商的结果如何，供应商应自行承担所有与竞争性磋商采购活动有关的全部费用。</w:t>
      </w:r>
    </w:p>
    <w:p>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highlight w:val="none"/>
        </w:rPr>
      </w:pPr>
      <w:r>
        <w:rPr>
          <w:rFonts w:hint="eastAsia" w:ascii="仿宋_GB2312" w:hAnsi="仿宋_GB2312" w:eastAsia="仿宋_GB2312" w:cs="仿宋_GB2312"/>
          <w:b/>
          <w:snapToGrid w:val="0"/>
          <w:color w:val="auto"/>
          <w:kern w:val="0"/>
          <w:highlight w:val="none"/>
          <w:lang w:eastAsia="zh-CN"/>
        </w:rPr>
        <w:t>5.</w:t>
      </w:r>
      <w:r>
        <w:rPr>
          <w:rFonts w:hint="eastAsia" w:ascii="仿宋_GB2312" w:hAnsi="仿宋_GB2312" w:eastAsia="仿宋_GB2312" w:cs="仿宋_GB2312"/>
          <w:b/>
          <w:bCs/>
          <w:snapToGrid w:val="0"/>
          <w:color w:val="auto"/>
          <w:kern w:val="0"/>
          <w:highlight w:val="none"/>
        </w:rPr>
        <w:t>授权委托</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5.1供应商代表为供应商法定代表人的，应具备法定代表人身份证明。供应商代表不是供应商法定代表人的，应具备法定代表人授权书，并附法定代表人身份证明。</w:t>
      </w:r>
    </w:p>
    <w:p>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lang w:eastAsia="zh-CN"/>
        </w:rPr>
        <w:t>6.</w:t>
      </w:r>
      <w:r>
        <w:rPr>
          <w:rFonts w:hint="eastAsia" w:ascii="仿宋_GB2312" w:hAnsi="仿宋_GB2312" w:eastAsia="仿宋_GB2312" w:cs="仿宋_GB2312"/>
          <w:b/>
          <w:snapToGrid w:val="0"/>
          <w:color w:val="auto"/>
          <w:kern w:val="0"/>
          <w:highlight w:val="none"/>
        </w:rPr>
        <w:t>联合体形式</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除</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中另有规定，本次</w:t>
      </w:r>
      <w:r>
        <w:rPr>
          <w:rFonts w:hint="eastAsia" w:ascii="仿宋_GB2312" w:hAnsi="仿宋_GB2312" w:eastAsia="仿宋_GB2312" w:cs="仿宋_GB2312"/>
          <w:snapToGrid w:val="0"/>
          <w:color w:val="auto"/>
          <w:kern w:val="0"/>
          <w:highlight w:val="none"/>
          <w:lang w:eastAsia="zh-CN"/>
        </w:rPr>
        <w:t>磋商</w:t>
      </w:r>
      <w:r>
        <w:rPr>
          <w:rFonts w:hint="eastAsia" w:ascii="仿宋_GB2312" w:hAnsi="仿宋_GB2312" w:eastAsia="仿宋_GB2312" w:cs="仿宋_GB2312"/>
          <w:snapToGrid w:val="0"/>
          <w:color w:val="auto"/>
          <w:kern w:val="0"/>
          <w:highlight w:val="none"/>
        </w:rPr>
        <w:t>采购不接受为联合体形式的供应商。</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7.现场勘察</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7.1供应商应按</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中规定</w:t>
      </w:r>
      <w:r>
        <w:rPr>
          <w:rFonts w:hint="eastAsia" w:ascii="仿宋_GB2312" w:hAnsi="仿宋_GB2312" w:eastAsia="仿宋_GB2312" w:cs="仿宋_GB2312"/>
          <w:snapToGrid w:val="0"/>
          <w:color w:val="auto"/>
          <w:kern w:val="0"/>
          <w:szCs w:val="21"/>
          <w:highlight w:val="none"/>
        </w:rPr>
        <w:t>对采购项目现场和周围环境的现场考察。</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7.2</w:t>
      </w:r>
      <w:r>
        <w:rPr>
          <w:rFonts w:hint="eastAsia" w:ascii="仿宋_GB2312" w:hAnsi="仿宋_GB2312" w:eastAsia="仿宋_GB2312" w:cs="仿宋_GB2312"/>
          <w:snapToGrid w:val="0"/>
          <w:color w:val="auto"/>
          <w:kern w:val="0"/>
          <w:szCs w:val="21"/>
          <w:highlight w:val="none"/>
          <w:lang w:eastAsia="zh-CN"/>
        </w:rPr>
        <w:t>勘查现场</w:t>
      </w:r>
      <w:r>
        <w:rPr>
          <w:rFonts w:hint="eastAsia" w:ascii="仿宋_GB2312" w:hAnsi="仿宋_GB2312" w:eastAsia="仿宋_GB2312" w:cs="仿宋_GB2312"/>
          <w:snapToGrid w:val="0"/>
          <w:color w:val="auto"/>
          <w:kern w:val="0"/>
          <w:szCs w:val="21"/>
          <w:highlight w:val="none"/>
        </w:rPr>
        <w:t>的费用由供应商自己承担，勘察期间所发生的人身伤害及财产损失由供应商自己负责。</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7.3采购人不对供应商据此而做出的推论、理解和结论负责。一旦成交，供应商不得以任何借口，提出额外补偿，或延长合同期限的要求。</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8.采购进口产品</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8.1除</w:t>
      </w:r>
      <w:r>
        <w:rPr>
          <w:rFonts w:hint="eastAsia" w:ascii="仿宋_GB2312" w:hAnsi="仿宋_GB2312" w:eastAsia="仿宋_GB2312" w:cs="仿宋_GB2312"/>
          <w:b/>
          <w:snapToGrid w:val="0"/>
          <w:color w:val="auto"/>
          <w:kern w:val="0"/>
          <w:szCs w:val="21"/>
          <w:highlight w:val="none"/>
        </w:rPr>
        <w:t>磋商文件前附表</w:t>
      </w:r>
      <w:r>
        <w:rPr>
          <w:rFonts w:hint="eastAsia" w:ascii="仿宋_GB2312" w:hAnsi="仿宋_GB2312" w:eastAsia="仿宋_GB2312" w:cs="仿宋_GB2312"/>
          <w:snapToGrid w:val="0"/>
          <w:color w:val="auto"/>
          <w:kern w:val="0"/>
          <w:szCs w:val="21"/>
          <w:highlight w:val="none"/>
        </w:rPr>
        <w:t>另有规定外，本项目拒绝进口产品参加竞争性磋商采购活动。</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8.2本章第7.1</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规定同意购买进口产品的，本项目</w:t>
      </w:r>
      <w:r>
        <w:rPr>
          <w:rFonts w:hint="eastAsia" w:ascii="仿宋_GB2312" w:hAnsi="仿宋_GB2312" w:eastAsia="仿宋_GB2312" w:cs="仿宋_GB2312"/>
          <w:snapToGrid w:val="0"/>
          <w:color w:val="auto"/>
          <w:kern w:val="0"/>
          <w:szCs w:val="21"/>
          <w:highlight w:val="none"/>
          <w:lang w:val="zh-CN"/>
        </w:rPr>
        <w:t>采购活动</w:t>
      </w:r>
      <w:r>
        <w:rPr>
          <w:rFonts w:hint="eastAsia" w:ascii="仿宋_GB2312" w:hAnsi="仿宋_GB2312" w:eastAsia="仿宋_GB2312" w:cs="仿宋_GB2312"/>
          <w:snapToGrid w:val="0"/>
          <w:color w:val="auto"/>
          <w:kern w:val="0"/>
          <w:szCs w:val="21"/>
          <w:highlight w:val="none"/>
        </w:rPr>
        <w:t>不限制满足磋商文件要求的国内产品参与竞争性磋商。</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9.</w:t>
      </w:r>
      <w:r>
        <w:rPr>
          <w:rFonts w:hint="eastAsia" w:ascii="仿宋_GB2312" w:hAnsi="仿宋_GB2312" w:eastAsia="仿宋_GB2312" w:cs="仿宋_GB2312"/>
          <w:b/>
          <w:snapToGrid w:val="0"/>
          <w:color w:val="auto"/>
          <w:kern w:val="0"/>
          <w:szCs w:val="21"/>
          <w:highlight w:val="none"/>
        </w:rPr>
        <w:t xml:space="preserve"> 政府采购政策支持</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9.1对列入财政部、国家发展改革委发布的《关于印发节能产品政府采购品目清单的通知》（财库〔2020〕19号）且属于应当“强制采购的节能产品”，按照规定实行强制采购。实行政府采购强制采购的节能产品见</w:t>
      </w:r>
      <w:r>
        <w:rPr>
          <w:rFonts w:hint="eastAsia" w:ascii="仿宋_GB2312" w:hAnsi="仿宋_GB2312" w:eastAsia="仿宋_GB2312" w:cs="仿宋_GB2312"/>
          <w:b/>
          <w:snapToGrid w:val="0"/>
          <w:color w:val="auto"/>
          <w:kern w:val="0"/>
          <w:szCs w:val="21"/>
          <w:highlight w:val="none"/>
        </w:rPr>
        <w:t>磋商文件前附表。</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9.2对列入财政部、国家发展改革委发布的《关于印发节能产品政府采购品目清单的通知》（财库〔2020〕19号）的“非强制采购节能产品”，财政部、环境保护部发布的《关于印发环境标志产品政府采购品目清单的通知》</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财库〔2019〕18号</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的“环境标志产品”</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以及中小企业，实行优先采购，按照省级以上财政部门有关政策规定</w:t>
      </w:r>
      <w:r>
        <w:rPr>
          <w:rFonts w:hint="eastAsia" w:ascii="仿宋_GB2312" w:hAnsi="仿宋_GB2312" w:eastAsia="仿宋_GB2312" w:cs="仿宋_GB2312"/>
          <w:snapToGrid w:val="0"/>
          <w:color w:val="auto"/>
          <w:kern w:val="0"/>
          <w:highlight w:val="none"/>
          <w:lang w:eastAsia="zh-CN"/>
        </w:rPr>
        <w:t>，在</w:t>
      </w:r>
      <w:r>
        <w:rPr>
          <w:rFonts w:hint="eastAsia" w:ascii="仿宋_GB2312" w:hAnsi="仿宋_GB2312" w:eastAsia="仿宋_GB2312" w:cs="仿宋_GB2312"/>
          <w:snapToGrid w:val="0"/>
          <w:color w:val="auto"/>
          <w:kern w:val="0"/>
          <w:highlight w:val="none"/>
        </w:rPr>
        <w:t>评审时进行价格扣除或加分。实行政府采购优先采购的优惠率见</w:t>
      </w:r>
      <w:r>
        <w:rPr>
          <w:rFonts w:hint="eastAsia" w:ascii="仿宋_GB2312" w:hAnsi="仿宋_GB2312" w:eastAsia="仿宋_GB2312" w:cs="仿宋_GB2312"/>
          <w:b/>
          <w:snapToGrid w:val="0"/>
          <w:color w:val="auto"/>
          <w:kern w:val="0"/>
          <w:highlight w:val="none"/>
        </w:rPr>
        <w:t>磋商文件前附表。</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9.3产品同时属于“非强制采购节能产品</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环境标志产品”的，评审时只有其中一项能享受优先待遇</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供应商自行选择，并在报价文件</w:t>
      </w:r>
      <w:r>
        <w:rPr>
          <w:rFonts w:hint="eastAsia" w:ascii="仿宋_GB2312" w:hAnsi="仿宋_GB2312" w:eastAsia="仿宋_GB2312" w:cs="仿宋_GB2312"/>
          <w:snapToGrid w:val="0"/>
          <w:color w:val="auto"/>
          <w:kern w:val="0"/>
          <w:szCs w:val="21"/>
          <w:highlight w:val="none"/>
          <w:lang w:eastAsia="zh-CN"/>
        </w:rPr>
        <w:t>中</w:t>
      </w:r>
      <w:r>
        <w:rPr>
          <w:rFonts w:hint="eastAsia" w:ascii="仿宋_GB2312" w:hAnsi="仿宋_GB2312" w:eastAsia="仿宋_GB2312" w:cs="仿宋_GB2312"/>
          <w:snapToGrid w:val="0"/>
          <w:color w:val="auto"/>
          <w:kern w:val="0"/>
          <w:szCs w:val="21"/>
          <w:highlight w:val="none"/>
        </w:rPr>
        <w:t>填报相关信息及数据</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；中小企业可以与同时属于“非强制采购节能产品</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环境标志产品”中的一项重复计算。</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9.4同一项目中部分产品属于优先采购政策的，评审时只对该部分产品的报价实行价格扣除及加分。</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9.5符合本章第9.1</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第9.2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规定的，应提供相关证明资料。</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9.6供应商有融资、担保需求的，具体办理流程可向</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所列金融机构和担保机构询问。</w:t>
      </w:r>
    </w:p>
    <w:p>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9" w:name="_Toc43"/>
      <w:r>
        <w:rPr>
          <w:rFonts w:hint="eastAsia" w:ascii="仿宋_GB2312" w:hAnsi="仿宋_GB2312" w:eastAsia="仿宋_GB2312" w:cs="仿宋_GB2312"/>
          <w:snapToGrid w:val="0"/>
          <w:color w:val="auto"/>
          <w:kern w:val="0"/>
          <w:sz w:val="24"/>
          <w:szCs w:val="24"/>
          <w:highlight w:val="none"/>
        </w:rPr>
        <w:t>二、磋商文件</w:t>
      </w:r>
      <w:bookmarkEnd w:id="9"/>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lang w:eastAsia="zh-CN"/>
        </w:rPr>
        <w:t>10.</w:t>
      </w:r>
      <w:r>
        <w:rPr>
          <w:rFonts w:hint="eastAsia" w:ascii="仿宋_GB2312" w:hAnsi="仿宋_GB2312" w:eastAsia="仿宋_GB2312" w:cs="仿宋_GB2312"/>
          <w:b/>
          <w:bCs/>
          <w:snapToGrid w:val="0"/>
          <w:color w:val="auto"/>
          <w:kern w:val="0"/>
          <w:szCs w:val="21"/>
          <w:highlight w:val="none"/>
        </w:rPr>
        <w:t>磋商文件的组成</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10.1 磋商文件由下列文件组成：</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第一章 磋商邀请</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第二章 磋商须知</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第三章 政府采购合同格式条款</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第四章 采购需求</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第五章 响应文件组成</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10.2磋商小组根据与供应商磋商情况可能实质性变动的内容，包括采购需求中的技术、服务要求以及合同条款，在</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中明确。</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10.3</w:t>
      </w:r>
      <w:r>
        <w:rPr>
          <w:rFonts w:hint="eastAsia" w:ascii="仿宋_GB2312" w:hAnsi="仿宋_GB2312" w:eastAsia="仿宋_GB2312" w:cs="仿宋_GB2312"/>
          <w:snapToGrid w:val="0"/>
          <w:color w:val="auto"/>
          <w:kern w:val="0"/>
          <w:szCs w:val="21"/>
          <w:highlight w:val="none"/>
        </w:rPr>
        <w:t>供应商应仔细阅读</w:t>
      </w:r>
      <w:r>
        <w:rPr>
          <w:rFonts w:hint="eastAsia" w:ascii="仿宋_GB2312" w:hAnsi="仿宋_GB2312" w:eastAsia="仿宋_GB2312" w:cs="仿宋_GB2312"/>
          <w:bCs/>
          <w:snapToGrid w:val="0"/>
          <w:color w:val="auto"/>
          <w:kern w:val="0"/>
          <w:szCs w:val="21"/>
          <w:highlight w:val="none"/>
        </w:rPr>
        <w:t>磋商</w:t>
      </w:r>
      <w:r>
        <w:rPr>
          <w:rFonts w:hint="eastAsia" w:ascii="仿宋_GB2312" w:hAnsi="仿宋_GB2312" w:eastAsia="仿宋_GB2312" w:cs="仿宋_GB2312"/>
          <w:snapToGrid w:val="0"/>
          <w:color w:val="auto"/>
          <w:kern w:val="0"/>
          <w:szCs w:val="21"/>
          <w:highlight w:val="none"/>
        </w:rPr>
        <w:t>文件的全部内容，按照</w:t>
      </w:r>
      <w:r>
        <w:rPr>
          <w:rFonts w:hint="eastAsia" w:ascii="仿宋_GB2312" w:hAnsi="仿宋_GB2312" w:eastAsia="仿宋_GB2312" w:cs="仿宋_GB2312"/>
          <w:bCs/>
          <w:snapToGrid w:val="0"/>
          <w:color w:val="auto"/>
          <w:kern w:val="0"/>
          <w:szCs w:val="21"/>
          <w:highlight w:val="none"/>
        </w:rPr>
        <w:t>磋商</w:t>
      </w:r>
      <w:r>
        <w:rPr>
          <w:rFonts w:hint="eastAsia" w:ascii="仿宋_GB2312" w:hAnsi="仿宋_GB2312" w:eastAsia="仿宋_GB2312" w:cs="仿宋_GB2312"/>
          <w:snapToGrid w:val="0"/>
          <w:color w:val="auto"/>
          <w:kern w:val="0"/>
          <w:szCs w:val="21"/>
          <w:highlight w:val="none"/>
        </w:rPr>
        <w:t>文件要求编制响应文件。任何对</w:t>
      </w:r>
      <w:r>
        <w:rPr>
          <w:rFonts w:hint="eastAsia" w:ascii="仿宋_GB2312" w:hAnsi="仿宋_GB2312" w:eastAsia="仿宋_GB2312" w:cs="仿宋_GB2312"/>
          <w:bCs/>
          <w:snapToGrid w:val="0"/>
          <w:color w:val="auto"/>
          <w:kern w:val="0"/>
          <w:szCs w:val="21"/>
          <w:highlight w:val="none"/>
        </w:rPr>
        <w:t>磋商</w:t>
      </w:r>
      <w:r>
        <w:rPr>
          <w:rFonts w:hint="eastAsia" w:ascii="仿宋_GB2312" w:hAnsi="仿宋_GB2312" w:eastAsia="仿宋_GB2312" w:cs="仿宋_GB2312"/>
          <w:snapToGrid w:val="0"/>
          <w:color w:val="auto"/>
          <w:kern w:val="0"/>
          <w:szCs w:val="21"/>
          <w:highlight w:val="none"/>
        </w:rPr>
        <w:t>文件的忽略或误解不能作为响应文件存在缺陷或瑕疵的理由，其风险由供应商承担。</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11.</w:t>
      </w:r>
      <w:r>
        <w:rPr>
          <w:rFonts w:hint="eastAsia" w:ascii="仿宋_GB2312" w:hAnsi="仿宋_GB2312" w:eastAsia="仿宋_GB2312" w:cs="仿宋_GB2312"/>
          <w:b/>
          <w:snapToGrid w:val="0"/>
          <w:color w:val="auto"/>
          <w:kern w:val="0"/>
          <w:highlight w:val="none"/>
        </w:rPr>
        <w:t xml:space="preserve"> </w:t>
      </w:r>
      <w:r>
        <w:rPr>
          <w:rFonts w:hint="eastAsia" w:ascii="仿宋_GB2312" w:hAnsi="仿宋_GB2312" w:eastAsia="仿宋_GB2312" w:cs="仿宋_GB2312"/>
          <w:b/>
          <w:snapToGrid w:val="0"/>
          <w:color w:val="auto"/>
          <w:kern w:val="0"/>
          <w:szCs w:val="21"/>
          <w:highlight w:val="none"/>
        </w:rPr>
        <w:t>磋商文件的提供期限</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11.1磋商文件的提供期限自开始发出之日起不得少于五个工作日。具体提供期限见</w:t>
      </w:r>
      <w:r>
        <w:rPr>
          <w:rFonts w:hint="eastAsia" w:ascii="仿宋_GB2312" w:hAnsi="仿宋_GB2312" w:eastAsia="仿宋_GB2312" w:cs="仿宋_GB2312"/>
          <w:b/>
          <w:snapToGrid w:val="0"/>
          <w:color w:val="auto"/>
          <w:kern w:val="0"/>
          <w:szCs w:val="21"/>
          <w:highlight w:val="none"/>
        </w:rPr>
        <w:t>磋商文件前附表</w:t>
      </w:r>
      <w:r>
        <w:rPr>
          <w:rFonts w:hint="eastAsia" w:ascii="仿宋_GB2312" w:hAnsi="仿宋_GB2312" w:eastAsia="仿宋_GB2312" w:cs="仿宋_GB2312"/>
          <w:snapToGrid w:val="0"/>
          <w:color w:val="auto"/>
          <w:kern w:val="0"/>
          <w:szCs w:val="21"/>
          <w:highlight w:val="none"/>
        </w:rPr>
        <w:t>。</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11.2供应商应持</w:t>
      </w:r>
      <w:r>
        <w:rPr>
          <w:rFonts w:hint="eastAsia" w:ascii="仿宋_GB2312" w:hAnsi="仿宋_GB2312" w:eastAsia="仿宋_GB2312" w:cs="仿宋_GB2312"/>
          <w:b/>
          <w:snapToGrid w:val="0"/>
          <w:color w:val="auto"/>
          <w:kern w:val="0"/>
          <w:szCs w:val="21"/>
          <w:highlight w:val="none"/>
        </w:rPr>
        <w:t>磋商文件前附表</w:t>
      </w:r>
      <w:r>
        <w:rPr>
          <w:rFonts w:hint="eastAsia" w:ascii="仿宋_GB2312" w:hAnsi="仿宋_GB2312" w:eastAsia="仿宋_GB2312" w:cs="仿宋_GB2312"/>
          <w:snapToGrid w:val="0"/>
          <w:color w:val="auto"/>
          <w:kern w:val="0"/>
          <w:szCs w:val="21"/>
          <w:highlight w:val="none"/>
        </w:rPr>
        <w:t>规定的资料获取磋商文件。</w:t>
      </w:r>
    </w:p>
    <w:p>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b/>
          <w:snapToGrid w:val="0"/>
          <w:color w:val="auto"/>
          <w:kern w:val="0"/>
          <w:highlight w:val="none"/>
        </w:rPr>
        <w:t>12.提交首次响应文件的截止时间</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12.1供应商提交首次响应文件截止时间见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13.磋商文件的澄清</w:t>
      </w:r>
      <w:r>
        <w:rPr>
          <w:rFonts w:hint="eastAsia" w:ascii="仿宋_GB2312" w:hAnsi="仿宋_GB2312" w:eastAsia="仿宋_GB2312" w:cs="仿宋_GB2312"/>
          <w:b/>
          <w:snapToGrid w:val="0"/>
          <w:color w:val="auto"/>
          <w:kern w:val="0"/>
          <w:szCs w:val="21"/>
          <w:highlight w:val="none"/>
          <w:lang w:val="zh-CN"/>
        </w:rPr>
        <w:t>或者</w:t>
      </w:r>
      <w:r>
        <w:rPr>
          <w:rFonts w:hint="eastAsia" w:ascii="仿宋_GB2312" w:hAnsi="仿宋_GB2312" w:eastAsia="仿宋_GB2312" w:cs="仿宋_GB2312"/>
          <w:b/>
          <w:bCs/>
          <w:snapToGrid w:val="0"/>
          <w:color w:val="auto"/>
          <w:kern w:val="0"/>
          <w:szCs w:val="21"/>
          <w:highlight w:val="none"/>
        </w:rPr>
        <w:t>修改</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 xml:space="preserve">13.1在提交首次响应文件截止之日前，采购人、采购代理机构可以对已发出的磋商文件进行必要的澄清或者修改。 </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13.2澄清或者修改的内容可能影响响应文件编制的，采购人、采购代理机构应当在提交首次响应文件截止之日</w:t>
      </w:r>
      <w:r>
        <w:rPr>
          <w:rFonts w:hint="eastAsia" w:ascii="仿宋_GB2312" w:hAnsi="仿宋_GB2312" w:eastAsia="仿宋_GB2312" w:cs="仿宋_GB2312"/>
          <w:snapToGrid w:val="0"/>
          <w:color w:val="auto"/>
          <w:kern w:val="0"/>
          <w:szCs w:val="21"/>
          <w:highlight w:val="none"/>
          <w:lang w:val="en-US" w:eastAsia="zh-CN"/>
        </w:rPr>
        <w:t>5</w:t>
      </w:r>
      <w:r>
        <w:rPr>
          <w:rFonts w:hint="eastAsia" w:ascii="仿宋_GB2312" w:hAnsi="仿宋_GB2312" w:eastAsia="仿宋_GB2312" w:cs="仿宋_GB2312"/>
          <w:snapToGrid w:val="0"/>
          <w:color w:val="auto"/>
          <w:kern w:val="0"/>
          <w:szCs w:val="21"/>
          <w:highlight w:val="none"/>
        </w:rPr>
        <w:t>日前，以书面形式通知所有接收磋商文件的供应商，不足</w:t>
      </w:r>
      <w:r>
        <w:rPr>
          <w:rFonts w:hint="eastAsia" w:ascii="仿宋_GB2312" w:hAnsi="仿宋_GB2312" w:eastAsia="仿宋_GB2312" w:cs="仿宋_GB2312"/>
          <w:snapToGrid w:val="0"/>
          <w:color w:val="auto"/>
          <w:kern w:val="0"/>
          <w:szCs w:val="21"/>
          <w:highlight w:val="none"/>
          <w:lang w:val="en-US" w:eastAsia="zh-CN"/>
        </w:rPr>
        <w:t>5</w:t>
      </w:r>
      <w:r>
        <w:rPr>
          <w:rFonts w:hint="eastAsia" w:ascii="仿宋_GB2312" w:hAnsi="仿宋_GB2312" w:eastAsia="仿宋_GB2312" w:cs="仿宋_GB2312"/>
          <w:snapToGrid w:val="0"/>
          <w:color w:val="auto"/>
          <w:kern w:val="0"/>
          <w:szCs w:val="21"/>
          <w:highlight w:val="none"/>
        </w:rPr>
        <w:t>日的，顺延供应商提交首次响应文件截止时间。</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13.2提交首次响应文件截止时间前对磋商文件澄清或者修改内容</w:t>
      </w:r>
      <w:r>
        <w:rPr>
          <w:rFonts w:hint="eastAsia" w:ascii="仿宋_GB2312" w:hAnsi="仿宋_GB2312" w:eastAsia="仿宋_GB2312" w:cs="仿宋_GB2312"/>
          <w:snapToGrid w:val="0"/>
          <w:color w:val="auto"/>
          <w:kern w:val="0"/>
          <w:highlight w:val="none"/>
          <w:lang w:eastAsia="zh-CN"/>
        </w:rPr>
        <w:t>，作</w:t>
      </w:r>
      <w:r>
        <w:rPr>
          <w:rFonts w:hint="eastAsia" w:ascii="仿宋_GB2312" w:hAnsi="仿宋_GB2312" w:eastAsia="仿宋_GB2312" w:cs="仿宋_GB2312"/>
          <w:snapToGrid w:val="0"/>
          <w:color w:val="auto"/>
          <w:kern w:val="0"/>
          <w:highlight w:val="none"/>
        </w:rPr>
        <w:t>为磋商文件的组成部分。</w:t>
      </w:r>
    </w:p>
    <w:p>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10" w:name="_Toc5878"/>
      <w:r>
        <w:rPr>
          <w:rFonts w:hint="eastAsia" w:ascii="仿宋_GB2312" w:hAnsi="仿宋_GB2312" w:eastAsia="仿宋_GB2312" w:cs="仿宋_GB2312"/>
          <w:snapToGrid w:val="0"/>
          <w:color w:val="auto"/>
          <w:kern w:val="0"/>
          <w:sz w:val="24"/>
          <w:szCs w:val="24"/>
          <w:highlight w:val="none"/>
        </w:rPr>
        <w:t>三、响应文件</w:t>
      </w:r>
      <w:bookmarkEnd w:id="10"/>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14.一般要求</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14.1 供应商应仔细阅读磋商文件的所有内容，按磋商文件的要求编制响应文件，并保证所提供的全部资料的真实性，以使其响应文件对磋商文件做出实质性的响应。</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 xml:space="preserve">14.2 </w:t>
      </w:r>
      <w:r>
        <w:rPr>
          <w:rFonts w:hint="eastAsia" w:ascii="仿宋_GB2312" w:hAnsi="仿宋_GB2312" w:eastAsia="仿宋_GB2312" w:cs="仿宋_GB2312"/>
          <w:snapToGrid w:val="0"/>
          <w:color w:val="auto"/>
          <w:kern w:val="0"/>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bCs/>
          <w:snapToGrid w:val="0"/>
          <w:color w:val="auto"/>
          <w:kern w:val="0"/>
          <w:highlight w:val="none"/>
        </w:rPr>
        <w:t xml:space="preserve">14.3 </w:t>
      </w:r>
      <w:r>
        <w:rPr>
          <w:rFonts w:hint="eastAsia" w:ascii="仿宋_GB2312" w:hAnsi="仿宋_GB2312" w:eastAsia="仿宋_GB2312" w:cs="仿宋_GB2312"/>
          <w:snapToGrid w:val="0"/>
          <w:color w:val="auto"/>
          <w:kern w:val="0"/>
          <w:highlight w:val="none"/>
        </w:rPr>
        <w:t>计量单位应使用我国法定计量单位，未列明时应默认为我国法定计量单位。</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14.4 响应文件应采用书面形式，电报、传真、电子邮件形式的响应文件概不接受。</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14.5 供应商应按磋商文件中提供的响应文件格式填写。</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15.</w:t>
      </w:r>
      <w:r>
        <w:rPr>
          <w:rFonts w:hint="eastAsia" w:ascii="仿宋_GB2312" w:hAnsi="仿宋_GB2312" w:eastAsia="仿宋_GB2312" w:cs="仿宋_GB2312"/>
          <w:b/>
          <w:snapToGrid w:val="0"/>
          <w:color w:val="auto"/>
          <w:kern w:val="0"/>
          <w:szCs w:val="21"/>
          <w:highlight w:val="none"/>
        </w:rPr>
        <w:t>响应文件</w:t>
      </w:r>
      <w:r>
        <w:rPr>
          <w:rFonts w:hint="eastAsia" w:ascii="仿宋_GB2312" w:hAnsi="仿宋_GB2312" w:eastAsia="仿宋_GB2312" w:cs="仿宋_GB2312"/>
          <w:b/>
          <w:bCs/>
          <w:snapToGrid w:val="0"/>
          <w:color w:val="auto"/>
          <w:kern w:val="0"/>
          <w:szCs w:val="21"/>
          <w:highlight w:val="none"/>
        </w:rPr>
        <w:t>的组成</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15.1 响应文件包括下列内容：</w:t>
      </w:r>
      <w:r>
        <w:rPr>
          <w:rFonts w:hint="eastAsia" w:ascii="仿宋_GB2312" w:hAnsi="仿宋_GB2312" w:eastAsia="仿宋_GB2312" w:cs="仿宋_GB2312"/>
          <w:snapToGrid w:val="0"/>
          <w:color w:val="auto"/>
          <w:kern w:val="0"/>
          <w:szCs w:val="21"/>
          <w:highlight w:val="none"/>
        </w:rPr>
        <w:t xml:space="preserve"> </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（1）磋商响应声明</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（2）保证金</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（3）联合体协议书</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（4）供应商的资格证明文件</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（5）服务方案说明</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（6）技术/商务响应与偏离表</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（7）提供享受政府采购政策的证明材料</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（8）报价一览表及报价文件</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（9）供应商认为需提供的其他资料</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15.2在磋商过程中，</w:t>
      </w:r>
      <w:r>
        <w:rPr>
          <w:rFonts w:hint="eastAsia" w:ascii="仿宋_GB2312" w:hAnsi="仿宋_GB2312" w:eastAsia="仿宋_GB2312" w:cs="仿宋_GB2312"/>
          <w:snapToGrid w:val="0"/>
          <w:color w:val="auto"/>
          <w:kern w:val="0"/>
          <w:szCs w:val="21"/>
          <w:highlight w:val="none"/>
        </w:rPr>
        <w:t>供应商</w:t>
      </w:r>
      <w:r>
        <w:rPr>
          <w:rFonts w:hint="eastAsia" w:ascii="仿宋_GB2312" w:hAnsi="仿宋_GB2312" w:eastAsia="仿宋_GB2312" w:cs="仿宋_GB2312"/>
          <w:snapToGrid w:val="0"/>
          <w:color w:val="auto"/>
          <w:kern w:val="0"/>
          <w:highlight w:val="none"/>
        </w:rPr>
        <w:t>根据</w:t>
      </w:r>
      <w:r>
        <w:rPr>
          <w:rFonts w:hint="eastAsia" w:ascii="仿宋_GB2312" w:hAnsi="仿宋_GB2312" w:eastAsia="仿宋_GB2312" w:cs="仿宋_GB2312"/>
          <w:snapToGrid w:val="0"/>
          <w:color w:val="auto"/>
          <w:kern w:val="0"/>
          <w:szCs w:val="21"/>
          <w:highlight w:val="none"/>
        </w:rPr>
        <w:t>磋商小组</w:t>
      </w:r>
      <w:r>
        <w:rPr>
          <w:rFonts w:hint="eastAsia" w:ascii="仿宋_GB2312" w:hAnsi="仿宋_GB2312" w:eastAsia="仿宋_GB2312" w:cs="仿宋_GB2312"/>
          <w:bCs/>
          <w:snapToGrid w:val="0"/>
          <w:color w:val="auto"/>
          <w:kern w:val="0"/>
          <w:szCs w:val="21"/>
          <w:highlight w:val="none"/>
        </w:rPr>
        <w:t>书面形式要求</w:t>
      </w:r>
      <w:r>
        <w:rPr>
          <w:rFonts w:hint="eastAsia" w:ascii="仿宋_GB2312" w:hAnsi="仿宋_GB2312" w:eastAsia="仿宋_GB2312" w:cs="仿宋_GB2312"/>
          <w:snapToGrid w:val="0"/>
          <w:color w:val="auto"/>
          <w:kern w:val="0"/>
          <w:szCs w:val="21"/>
          <w:highlight w:val="none"/>
        </w:rPr>
        <w:t>提交的</w:t>
      </w:r>
      <w:r>
        <w:rPr>
          <w:rFonts w:hint="eastAsia" w:ascii="仿宋_GB2312" w:hAnsi="仿宋_GB2312" w:eastAsia="仿宋_GB2312" w:cs="仿宋_GB2312"/>
          <w:snapToGrid w:val="0"/>
          <w:color w:val="auto"/>
          <w:kern w:val="0"/>
          <w:highlight w:val="none"/>
        </w:rPr>
        <w:t>最后报价（或者</w:t>
      </w:r>
      <w:r>
        <w:rPr>
          <w:rFonts w:hint="eastAsia" w:ascii="仿宋_GB2312" w:hAnsi="仿宋_GB2312" w:eastAsia="仿宋_GB2312" w:cs="仿宋_GB2312"/>
          <w:bCs/>
          <w:snapToGrid w:val="0"/>
          <w:color w:val="auto"/>
          <w:kern w:val="0"/>
          <w:szCs w:val="21"/>
          <w:highlight w:val="none"/>
        </w:rPr>
        <w:t>重</w:t>
      </w:r>
      <w:r>
        <w:rPr>
          <w:rFonts w:hint="eastAsia" w:ascii="仿宋_GB2312" w:hAnsi="仿宋_GB2312" w:eastAsia="仿宋_GB2312" w:cs="仿宋_GB2312"/>
          <w:snapToGrid w:val="0"/>
          <w:color w:val="auto"/>
          <w:kern w:val="0"/>
          <w:szCs w:val="21"/>
          <w:highlight w:val="none"/>
        </w:rPr>
        <w:t>新提交的响应文件和</w:t>
      </w:r>
      <w:r>
        <w:rPr>
          <w:rFonts w:hint="eastAsia" w:ascii="仿宋_GB2312" w:hAnsi="仿宋_GB2312" w:eastAsia="仿宋_GB2312" w:cs="仿宋_GB2312"/>
          <w:snapToGrid w:val="0"/>
          <w:color w:val="auto"/>
          <w:kern w:val="0"/>
          <w:highlight w:val="none"/>
        </w:rPr>
        <w:t>最后报价）是</w:t>
      </w:r>
      <w:r>
        <w:rPr>
          <w:rFonts w:hint="eastAsia" w:ascii="仿宋_GB2312" w:hAnsi="仿宋_GB2312" w:eastAsia="仿宋_GB2312" w:cs="仿宋_GB2312"/>
          <w:snapToGrid w:val="0"/>
          <w:color w:val="auto"/>
          <w:kern w:val="0"/>
          <w:szCs w:val="21"/>
          <w:highlight w:val="none"/>
        </w:rPr>
        <w:t>响应文件</w:t>
      </w:r>
      <w:r>
        <w:rPr>
          <w:rFonts w:hint="eastAsia" w:ascii="仿宋_GB2312" w:hAnsi="仿宋_GB2312" w:eastAsia="仿宋_GB2312" w:cs="仿宋_GB2312"/>
          <w:snapToGrid w:val="0"/>
          <w:color w:val="auto"/>
          <w:kern w:val="0"/>
          <w:highlight w:val="none"/>
        </w:rPr>
        <w:t>的有效组成部分。</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snapToGrid w:val="0"/>
          <w:color w:val="auto"/>
          <w:kern w:val="0"/>
          <w:highlight w:val="none"/>
        </w:rPr>
        <w:t>15.3</w:t>
      </w:r>
      <w:r>
        <w:rPr>
          <w:rFonts w:hint="eastAsia" w:ascii="仿宋_GB2312" w:hAnsi="仿宋_GB2312" w:eastAsia="仿宋_GB2312" w:cs="仿宋_GB2312"/>
          <w:snapToGrid w:val="0"/>
          <w:color w:val="auto"/>
          <w:kern w:val="0"/>
          <w:szCs w:val="21"/>
          <w:highlight w:val="none"/>
        </w:rPr>
        <w:t>磋商文件规定可能发生实质性变动的，供应商应当在</w:t>
      </w:r>
      <w:r>
        <w:rPr>
          <w:rFonts w:hint="eastAsia" w:ascii="仿宋_GB2312" w:hAnsi="仿宋_GB2312" w:eastAsia="仿宋_GB2312" w:cs="仿宋_GB2312"/>
          <w:snapToGrid w:val="0"/>
          <w:color w:val="auto"/>
          <w:kern w:val="0"/>
          <w:highlight w:val="none"/>
        </w:rPr>
        <w:t>《技术/商务响应与偏离表》中对应内容注明。</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15.4</w:t>
      </w:r>
      <w:r>
        <w:rPr>
          <w:rFonts w:hint="eastAsia" w:ascii="仿宋_GB2312" w:hAnsi="仿宋_GB2312" w:eastAsia="仿宋_GB2312" w:cs="仿宋_GB2312"/>
          <w:snapToGrid w:val="0"/>
          <w:color w:val="auto"/>
          <w:kern w:val="0"/>
          <w:szCs w:val="21"/>
          <w:highlight w:val="none"/>
        </w:rPr>
        <w:t>根据《政府采购法》第四十二条的规定，供应商无论成交与否，其响应文件不予退还。</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16.报价</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16.1供应商应当根据磋商文件要求和范围，以</w:t>
      </w:r>
      <w:r>
        <w:rPr>
          <w:rFonts w:hint="eastAsia" w:ascii="仿宋_GB2312" w:hAnsi="仿宋_GB2312" w:eastAsia="仿宋_GB2312" w:cs="仿宋_GB2312"/>
          <w:bCs/>
          <w:snapToGrid w:val="0"/>
          <w:color w:val="auto"/>
          <w:kern w:val="0"/>
          <w:szCs w:val="21"/>
          <w:highlight w:val="none"/>
        </w:rPr>
        <w:t>人民币</w:t>
      </w:r>
      <w:r>
        <w:rPr>
          <w:rFonts w:hint="eastAsia" w:ascii="仿宋_GB2312" w:hAnsi="仿宋_GB2312" w:eastAsia="仿宋_GB2312" w:cs="仿宋_GB2312"/>
          <w:snapToGrid w:val="0"/>
          <w:color w:val="auto"/>
          <w:kern w:val="0"/>
          <w:szCs w:val="21"/>
          <w:highlight w:val="none"/>
        </w:rPr>
        <w:t>报价，以元为单位，保留小数点后两位。</w:t>
      </w:r>
    </w:p>
    <w:p>
      <w:pPr>
        <w:pStyle w:val="167"/>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highlight w:val="none"/>
        </w:rPr>
      </w:pPr>
      <w:r>
        <w:rPr>
          <w:rFonts w:hint="eastAsia" w:ascii="仿宋_GB2312" w:hAnsi="仿宋_GB2312" w:eastAsia="仿宋_GB2312" w:cs="仿宋_GB2312"/>
          <w:snapToGrid w:val="0"/>
          <w:color w:val="auto"/>
          <w:highlight w:val="none"/>
        </w:rPr>
        <w:t>16.2供应商应按第五章 响应文件组成格式填写。</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16.3响应文件中标明的价格在合同执行过程中是固定不变的，不得以任何理由予以变更。以可变动价格提交的报价将被认为是非实质响应而被拒绝。</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16.4</w:t>
      </w:r>
      <w:r>
        <w:rPr>
          <w:rFonts w:hint="eastAsia" w:ascii="仿宋_GB2312" w:hAnsi="仿宋_GB2312" w:eastAsia="仿宋_GB2312" w:cs="仿宋_GB2312"/>
          <w:snapToGrid w:val="0"/>
          <w:color w:val="auto"/>
          <w:kern w:val="0"/>
          <w:highlight w:val="none"/>
          <w:lang w:val="zh-CN"/>
        </w:rPr>
        <w:t>供应商</w:t>
      </w:r>
      <w:r>
        <w:rPr>
          <w:rFonts w:hint="eastAsia" w:ascii="仿宋_GB2312" w:hAnsi="仿宋_GB2312" w:eastAsia="仿宋_GB2312" w:cs="仿宋_GB2312"/>
          <w:snapToGrid w:val="0"/>
          <w:color w:val="auto"/>
          <w:kern w:val="0"/>
          <w:highlight w:val="none"/>
        </w:rPr>
        <w:t>的报价不得超过采购项目预算，采购项目预算或其计算方法见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w:t>
      </w:r>
    </w:p>
    <w:p>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17.供应商符合磋商文件规定的证明文件</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17.1供应商应提交满足本章第3.1款规定的资格条件要求的证明文件</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该证明文件作为响应文件的一部分。</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17.2如果供应商为联合体，则应提交联合体各方资格证明文件、联合体协议。否则，在评审时将其视为无效响应。</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17.3 除</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另有规定外，供应商提供的货物及服务不是供应商制造或拥有的，则必须提供经销</w:t>
      </w:r>
      <w:r>
        <w:rPr>
          <w:rFonts w:hint="eastAsia" w:ascii="仿宋_GB2312" w:hAnsi="仿宋_GB2312" w:eastAsia="仿宋_GB2312" w:cs="仿宋_GB2312"/>
          <w:snapToGrid w:val="0"/>
          <w:color w:val="auto"/>
          <w:kern w:val="0"/>
          <w:szCs w:val="21"/>
          <w:highlight w:val="none"/>
          <w:lang w:eastAsia="zh-CN"/>
        </w:rPr>
        <w:t>或</w:t>
      </w:r>
      <w:r>
        <w:rPr>
          <w:rFonts w:hint="eastAsia" w:ascii="仿宋_GB2312" w:hAnsi="仿宋_GB2312" w:eastAsia="仿宋_GB2312" w:cs="仿宋_GB2312"/>
          <w:snapToGrid w:val="0"/>
          <w:color w:val="auto"/>
          <w:kern w:val="0"/>
          <w:szCs w:val="21"/>
          <w:highlight w:val="none"/>
        </w:rPr>
        <w:t>代理采购货物</w:t>
      </w:r>
      <w:r>
        <w:rPr>
          <w:rFonts w:hint="eastAsia" w:ascii="仿宋_GB2312" w:hAnsi="仿宋_GB2312" w:eastAsia="仿宋_GB2312" w:cs="仿宋_GB2312"/>
          <w:snapToGrid w:val="0"/>
          <w:color w:val="auto"/>
          <w:kern w:val="0"/>
          <w:szCs w:val="21"/>
          <w:highlight w:val="none"/>
          <w:lang w:eastAsia="zh-CN"/>
        </w:rPr>
        <w:t>或</w:t>
      </w:r>
      <w:r>
        <w:rPr>
          <w:rFonts w:hint="eastAsia" w:ascii="仿宋_GB2312" w:hAnsi="仿宋_GB2312" w:eastAsia="仿宋_GB2312" w:cs="仿宋_GB2312"/>
          <w:snapToGrid w:val="0"/>
          <w:color w:val="auto"/>
          <w:kern w:val="0"/>
          <w:szCs w:val="21"/>
          <w:highlight w:val="none"/>
        </w:rPr>
        <w:t>采购货物提供售后服务的证明文件。</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lang w:eastAsia="zh-CN"/>
        </w:rPr>
        <w:t>18.</w:t>
      </w:r>
      <w:r>
        <w:rPr>
          <w:rFonts w:hint="eastAsia" w:ascii="仿宋_GB2312" w:hAnsi="仿宋_GB2312" w:eastAsia="仿宋_GB2312" w:cs="仿宋_GB2312"/>
          <w:b/>
          <w:snapToGrid w:val="0"/>
          <w:color w:val="auto"/>
          <w:kern w:val="0"/>
          <w:szCs w:val="21"/>
          <w:highlight w:val="none"/>
        </w:rPr>
        <w:t>样品提供</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 xml:space="preserve">18.1 </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szCs w:val="21"/>
          <w:highlight w:val="none"/>
        </w:rPr>
        <w:t>规定</w:t>
      </w:r>
      <w:r>
        <w:rPr>
          <w:rFonts w:hint="eastAsia" w:ascii="仿宋_GB2312" w:hAnsi="仿宋_GB2312" w:eastAsia="仿宋_GB2312" w:cs="仿宋_GB2312"/>
          <w:bCs/>
          <w:snapToGrid w:val="0"/>
          <w:color w:val="auto"/>
          <w:kern w:val="0"/>
          <w:highlight w:val="none"/>
        </w:rPr>
        <w:t>供应商</w:t>
      </w:r>
      <w:r>
        <w:rPr>
          <w:rFonts w:hint="eastAsia" w:ascii="仿宋_GB2312" w:hAnsi="仿宋_GB2312" w:eastAsia="仿宋_GB2312" w:cs="仿宋_GB2312"/>
          <w:snapToGrid w:val="0"/>
          <w:color w:val="auto"/>
          <w:kern w:val="0"/>
          <w:szCs w:val="21"/>
          <w:highlight w:val="none"/>
        </w:rPr>
        <w:t>在</w:t>
      </w:r>
      <w:r>
        <w:rPr>
          <w:rFonts w:hint="eastAsia" w:ascii="仿宋_GB2312" w:hAnsi="仿宋_GB2312" w:eastAsia="仿宋_GB2312" w:cs="仿宋_GB2312"/>
          <w:snapToGrid w:val="0"/>
          <w:color w:val="auto"/>
          <w:kern w:val="0"/>
          <w:highlight w:val="none"/>
        </w:rPr>
        <w:t>磋商</w:t>
      </w:r>
      <w:r>
        <w:rPr>
          <w:rFonts w:hint="eastAsia" w:ascii="仿宋_GB2312" w:hAnsi="仿宋_GB2312" w:eastAsia="仿宋_GB2312" w:cs="仿宋_GB2312"/>
          <w:snapToGrid w:val="0"/>
          <w:color w:val="auto"/>
          <w:kern w:val="0"/>
          <w:szCs w:val="21"/>
          <w:highlight w:val="none"/>
        </w:rPr>
        <w:t>时提供样品的，</w:t>
      </w:r>
      <w:r>
        <w:rPr>
          <w:rFonts w:hint="eastAsia" w:ascii="仿宋_GB2312" w:hAnsi="仿宋_GB2312" w:eastAsia="仿宋_GB2312" w:cs="仿宋_GB2312"/>
          <w:bCs/>
          <w:snapToGrid w:val="0"/>
          <w:color w:val="auto"/>
          <w:kern w:val="0"/>
          <w:highlight w:val="none"/>
        </w:rPr>
        <w:t>供应商</w:t>
      </w:r>
      <w:r>
        <w:rPr>
          <w:rFonts w:hint="eastAsia" w:ascii="仿宋_GB2312" w:hAnsi="仿宋_GB2312" w:eastAsia="仿宋_GB2312" w:cs="仿宋_GB2312"/>
          <w:snapToGrid w:val="0"/>
          <w:color w:val="auto"/>
          <w:kern w:val="0"/>
          <w:szCs w:val="21"/>
          <w:highlight w:val="none"/>
        </w:rPr>
        <w:t>有以下情形之一的，在评审时将其视为无效响应。</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（1）未在</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szCs w:val="21"/>
          <w:highlight w:val="none"/>
        </w:rPr>
        <w:t>规定的提交时间、地点提交的；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w:t>
      </w:r>
      <w:r>
        <w:rPr>
          <w:rFonts w:hint="eastAsia" w:ascii="仿宋_GB2312" w:hAnsi="仿宋_GB2312" w:eastAsia="仿宋_GB2312" w:cs="仿宋_GB2312"/>
          <w:bCs/>
          <w:snapToGrid w:val="0"/>
          <w:color w:val="auto"/>
          <w:kern w:val="0"/>
          <w:highlight w:val="none"/>
        </w:rPr>
        <w:t>供应商</w:t>
      </w:r>
      <w:r>
        <w:rPr>
          <w:rFonts w:hint="eastAsia" w:ascii="仿宋_GB2312" w:hAnsi="仿宋_GB2312" w:eastAsia="仿宋_GB2312" w:cs="仿宋_GB2312"/>
          <w:snapToGrid w:val="0"/>
          <w:color w:val="auto"/>
          <w:kern w:val="0"/>
          <w:szCs w:val="21"/>
          <w:highlight w:val="none"/>
        </w:rPr>
        <w:t>提供的样品与响应文件中提供样品的型号、规格不一致的。</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19.</w:t>
      </w:r>
      <w:r>
        <w:rPr>
          <w:rFonts w:hint="eastAsia" w:ascii="仿宋_GB2312" w:hAnsi="仿宋_GB2312" w:eastAsia="仿宋_GB2312" w:cs="仿宋_GB2312"/>
          <w:snapToGrid w:val="0"/>
          <w:color w:val="auto"/>
          <w:kern w:val="0"/>
          <w:highlight w:val="none"/>
        </w:rPr>
        <w:t xml:space="preserve"> </w:t>
      </w:r>
      <w:r>
        <w:rPr>
          <w:rFonts w:hint="eastAsia" w:ascii="仿宋_GB2312" w:hAnsi="仿宋_GB2312" w:eastAsia="仿宋_GB2312" w:cs="仿宋_GB2312"/>
          <w:b/>
          <w:bCs/>
          <w:snapToGrid w:val="0"/>
          <w:color w:val="auto"/>
          <w:kern w:val="0"/>
          <w:szCs w:val="21"/>
          <w:highlight w:val="none"/>
        </w:rPr>
        <w:t>磋商保证金</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highlight w:val="none"/>
        </w:rPr>
      </w:pPr>
      <w:r>
        <w:rPr>
          <w:rFonts w:hint="eastAsia" w:ascii="仿宋_GB2312" w:hAnsi="仿宋_GB2312" w:eastAsia="仿宋_GB2312" w:cs="仿宋_GB2312"/>
          <w:snapToGrid w:val="0"/>
          <w:color w:val="auto"/>
          <w:kern w:val="0"/>
          <w:highlight w:val="none"/>
        </w:rPr>
        <w:t>19.1</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规定交纳磋商</w:t>
      </w:r>
      <w:r>
        <w:rPr>
          <w:rFonts w:hint="eastAsia" w:ascii="仿宋_GB2312" w:hAnsi="仿宋_GB2312" w:eastAsia="仿宋_GB2312" w:cs="仿宋_GB2312"/>
          <w:bCs/>
          <w:snapToGrid w:val="0"/>
          <w:color w:val="auto"/>
          <w:kern w:val="0"/>
          <w:highlight w:val="none"/>
        </w:rPr>
        <w:t>保证金的</w:t>
      </w:r>
      <w:r>
        <w:rPr>
          <w:rFonts w:hint="eastAsia" w:ascii="仿宋_GB2312" w:hAnsi="仿宋_GB2312" w:eastAsia="仿宋_GB2312" w:cs="仿宋_GB2312"/>
          <w:snapToGrid w:val="0"/>
          <w:color w:val="auto"/>
          <w:kern w:val="0"/>
          <w:highlight w:val="none"/>
        </w:rPr>
        <w:t>，应按</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规定的磋商</w:t>
      </w:r>
      <w:r>
        <w:rPr>
          <w:rFonts w:hint="eastAsia" w:ascii="仿宋_GB2312" w:hAnsi="仿宋_GB2312" w:eastAsia="仿宋_GB2312" w:cs="仿宋_GB2312"/>
          <w:bCs/>
          <w:snapToGrid w:val="0"/>
          <w:color w:val="auto"/>
          <w:kern w:val="0"/>
          <w:highlight w:val="none"/>
        </w:rPr>
        <w:t>保证金形式交纳，不得以现金方式交纳</w:t>
      </w:r>
      <w:r>
        <w:rPr>
          <w:rFonts w:hint="eastAsia" w:ascii="仿宋_GB2312" w:hAnsi="仿宋_GB2312" w:eastAsia="仿宋_GB2312" w:cs="仿宋_GB2312"/>
          <w:snapToGrid w:val="0"/>
          <w:color w:val="auto"/>
          <w:kern w:val="0"/>
          <w:highlight w:val="none"/>
        </w:rPr>
        <w:t>，在提交首次响应文件截止时间前，</w:t>
      </w:r>
      <w:r>
        <w:rPr>
          <w:rFonts w:hint="eastAsia" w:ascii="仿宋_GB2312" w:hAnsi="仿宋_GB2312" w:eastAsia="仿宋_GB2312" w:cs="仿宋_GB2312"/>
          <w:bCs/>
          <w:snapToGrid w:val="0"/>
          <w:color w:val="auto"/>
          <w:kern w:val="0"/>
          <w:highlight w:val="none"/>
        </w:rPr>
        <w:t>向采购代理机构交纳不超过</w:t>
      </w:r>
      <w:r>
        <w:rPr>
          <w:rFonts w:hint="eastAsia" w:ascii="仿宋_GB2312" w:hAnsi="仿宋_GB2312" w:eastAsia="仿宋_GB2312" w:cs="仿宋_GB2312"/>
          <w:snapToGrid w:val="0"/>
          <w:color w:val="auto"/>
          <w:kern w:val="0"/>
          <w:highlight w:val="none"/>
          <w:lang w:val="zh-CN"/>
        </w:rPr>
        <w:t>采购项目预算2﹪</w:t>
      </w:r>
      <w:r>
        <w:rPr>
          <w:rFonts w:hint="eastAsia" w:ascii="仿宋_GB2312" w:hAnsi="仿宋_GB2312" w:eastAsia="仿宋_GB2312" w:cs="仿宋_GB2312"/>
          <w:bCs/>
          <w:snapToGrid w:val="0"/>
          <w:color w:val="auto"/>
          <w:kern w:val="0"/>
          <w:highlight w:val="none"/>
        </w:rPr>
        <w:t>的磋商保证金</w:t>
      </w:r>
      <w:r>
        <w:rPr>
          <w:rFonts w:hint="eastAsia" w:ascii="仿宋_GB2312" w:hAnsi="仿宋_GB2312" w:eastAsia="仿宋_GB2312" w:cs="仿宋_GB2312"/>
          <w:bCs/>
          <w:snapToGrid w:val="0"/>
          <w:color w:val="auto"/>
          <w:kern w:val="0"/>
          <w:highlight w:val="none"/>
          <w:lang w:eastAsia="zh-CN"/>
        </w:rPr>
        <w:t>（</w:t>
      </w:r>
      <w:r>
        <w:rPr>
          <w:rFonts w:hint="eastAsia" w:ascii="仿宋_GB2312" w:hAnsi="仿宋_GB2312" w:eastAsia="仿宋_GB2312" w:cs="仿宋_GB2312"/>
          <w:bCs/>
          <w:snapToGrid w:val="0"/>
          <w:color w:val="auto"/>
          <w:kern w:val="0"/>
          <w:highlight w:val="none"/>
        </w:rPr>
        <w:t>数额采用四舍五入，计算至元</w:t>
      </w:r>
      <w:r>
        <w:rPr>
          <w:rFonts w:hint="eastAsia" w:ascii="仿宋_GB2312" w:hAnsi="仿宋_GB2312" w:eastAsia="仿宋_GB2312" w:cs="仿宋_GB2312"/>
          <w:bCs/>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。磋商</w:t>
      </w:r>
      <w:r>
        <w:rPr>
          <w:rFonts w:hint="eastAsia" w:ascii="仿宋_GB2312" w:hAnsi="仿宋_GB2312" w:eastAsia="仿宋_GB2312" w:cs="仿宋_GB2312"/>
          <w:bCs/>
          <w:snapToGrid w:val="0"/>
          <w:color w:val="auto"/>
          <w:kern w:val="0"/>
          <w:highlight w:val="none"/>
        </w:rPr>
        <w:t>保证金有效期应当与</w:t>
      </w:r>
      <w:r>
        <w:rPr>
          <w:rFonts w:hint="eastAsia" w:ascii="仿宋_GB2312" w:hAnsi="仿宋_GB2312" w:eastAsia="仿宋_GB2312" w:cs="仿宋_GB2312"/>
          <w:snapToGrid w:val="0"/>
          <w:color w:val="auto"/>
          <w:kern w:val="0"/>
          <w:highlight w:val="none"/>
        </w:rPr>
        <w:t>本章第20.1</w:t>
      </w:r>
      <w:r>
        <w:rPr>
          <w:rFonts w:hint="eastAsia" w:ascii="仿宋_GB2312" w:hAnsi="仿宋_GB2312" w:eastAsia="仿宋_GB2312" w:cs="仿宋_GB2312"/>
          <w:snapToGrid w:val="0"/>
          <w:color w:val="auto"/>
          <w:kern w:val="0"/>
          <w:highlight w:val="none"/>
          <w:lang w:val="zh-CN"/>
        </w:rPr>
        <w:t>款</w:t>
      </w:r>
      <w:r>
        <w:rPr>
          <w:rFonts w:hint="eastAsia" w:ascii="仿宋_GB2312" w:hAnsi="仿宋_GB2312" w:eastAsia="仿宋_GB2312" w:cs="仿宋_GB2312"/>
          <w:snapToGrid w:val="0"/>
          <w:color w:val="auto"/>
          <w:kern w:val="0"/>
          <w:highlight w:val="none"/>
        </w:rPr>
        <w:t>规定的</w:t>
      </w:r>
      <w:r>
        <w:rPr>
          <w:rFonts w:hint="eastAsia" w:ascii="仿宋_GB2312" w:hAnsi="仿宋_GB2312" w:eastAsia="仿宋_GB2312" w:cs="仿宋_GB2312"/>
          <w:bCs/>
          <w:snapToGrid w:val="0"/>
          <w:color w:val="auto"/>
          <w:kern w:val="0"/>
          <w:highlight w:val="none"/>
        </w:rPr>
        <w:t>响应文件有效期一致。</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19.2</w:t>
      </w:r>
      <w:r>
        <w:rPr>
          <w:rFonts w:hint="eastAsia" w:ascii="仿宋_GB2312" w:hAnsi="仿宋_GB2312" w:eastAsia="仿宋_GB2312" w:cs="仿宋_GB2312"/>
          <w:snapToGrid w:val="0"/>
          <w:color w:val="auto"/>
          <w:kern w:val="0"/>
          <w:szCs w:val="21"/>
          <w:highlight w:val="none"/>
          <w:lang w:val="zh-CN"/>
        </w:rPr>
        <w:t>供应商为联合体的，可以由联合体中的一方或者共同交纳磋商保证金，其交纳的磋商保证金，对联合体各方均具有约束力。</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19.3供应商未按照磋商文件要求提交磋商保证金的，响应无效。</w:t>
      </w:r>
    </w:p>
    <w:p>
      <w:pPr>
        <w:pStyle w:val="23"/>
        <w:pageBreakBefore w:val="0"/>
        <w:tabs>
          <w:tab w:val="left" w:pos="630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19.4采购代理机构在成交通知书发出后5个工作日内退还未成交供应商的磋商保证金；在采购合同</w:t>
      </w:r>
      <w:r>
        <w:rPr>
          <w:rFonts w:hint="eastAsia" w:ascii="仿宋_GB2312" w:hAnsi="仿宋_GB2312" w:eastAsia="仿宋_GB2312" w:cs="仿宋_GB2312"/>
          <w:snapToGrid w:val="0"/>
          <w:color w:val="auto"/>
          <w:kern w:val="0"/>
          <w:highlight w:val="none"/>
          <w:lang w:eastAsia="zh-CN"/>
        </w:rPr>
        <w:t>签订</w:t>
      </w:r>
      <w:r>
        <w:rPr>
          <w:rFonts w:hint="eastAsia" w:ascii="仿宋_GB2312" w:hAnsi="仿宋_GB2312" w:eastAsia="仿宋_GB2312" w:cs="仿宋_GB2312"/>
          <w:snapToGrid w:val="0"/>
          <w:color w:val="auto"/>
          <w:kern w:val="0"/>
          <w:highlight w:val="none"/>
        </w:rPr>
        <w:t>后5个工作日内退还成交供应商的磋商保证金，但因供应商自身原因导致无法及时退还的除外。</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19.5 有下列情形之一的，磋商保证金不予退还，并上缴本级财政国库：</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（1）供应商在提交首次响应文件截止时间后撤回响应文件的；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（2）供应商在响应文件中提供虚假资料的；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（3）确定成交结果后，无正当理由放弃成交资格的；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lang w:eastAsia="zh-CN"/>
        </w:rPr>
        <w:t>（4）</w:t>
      </w:r>
      <w:r>
        <w:rPr>
          <w:rFonts w:hint="eastAsia" w:ascii="仿宋_GB2312" w:hAnsi="仿宋_GB2312" w:eastAsia="仿宋_GB2312" w:cs="仿宋_GB2312"/>
          <w:snapToGrid w:val="0"/>
          <w:color w:val="auto"/>
          <w:kern w:val="0"/>
          <w:szCs w:val="21"/>
          <w:highlight w:val="none"/>
        </w:rPr>
        <w:t xml:space="preserve"> 除因不可抗力或磋商文件认可的情形以外，成交供应商不与采购人签订合同的；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（5）供应商与采购人、其他供应商或者采购代理机构恶意串通的；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（6）磋商文件规定的其他情形。</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20.</w:t>
      </w:r>
      <w:r>
        <w:rPr>
          <w:rFonts w:hint="eastAsia" w:ascii="仿宋_GB2312" w:hAnsi="仿宋_GB2312" w:eastAsia="仿宋_GB2312" w:cs="仿宋_GB2312"/>
          <w:snapToGrid w:val="0"/>
          <w:color w:val="auto"/>
          <w:kern w:val="0"/>
          <w:szCs w:val="21"/>
          <w:highlight w:val="none"/>
        </w:rPr>
        <w:t xml:space="preserve"> </w:t>
      </w:r>
      <w:r>
        <w:rPr>
          <w:rFonts w:hint="eastAsia" w:ascii="仿宋_GB2312" w:hAnsi="仿宋_GB2312" w:eastAsia="仿宋_GB2312" w:cs="仿宋_GB2312"/>
          <w:b/>
          <w:snapToGrid w:val="0"/>
          <w:color w:val="auto"/>
          <w:kern w:val="0"/>
          <w:highlight w:val="none"/>
        </w:rPr>
        <w:t>响应文件</w:t>
      </w:r>
      <w:r>
        <w:rPr>
          <w:rFonts w:hint="eastAsia" w:ascii="仿宋_GB2312" w:hAnsi="仿宋_GB2312" w:eastAsia="仿宋_GB2312" w:cs="仿宋_GB2312"/>
          <w:b/>
          <w:snapToGrid w:val="0"/>
          <w:color w:val="auto"/>
          <w:kern w:val="0"/>
          <w:szCs w:val="21"/>
          <w:highlight w:val="none"/>
        </w:rPr>
        <w:t>有效期</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20.1响应文件</w:t>
      </w:r>
      <w:r>
        <w:rPr>
          <w:rFonts w:hint="eastAsia" w:ascii="仿宋_GB2312" w:hAnsi="仿宋_GB2312" w:eastAsia="仿宋_GB2312" w:cs="仿宋_GB2312"/>
          <w:snapToGrid w:val="0"/>
          <w:color w:val="auto"/>
          <w:kern w:val="0"/>
          <w:szCs w:val="21"/>
          <w:highlight w:val="none"/>
        </w:rPr>
        <w:t>有效期见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szCs w:val="21"/>
          <w:highlight w:val="none"/>
        </w:rPr>
        <w:t>，在此期间</w:t>
      </w:r>
      <w:r>
        <w:rPr>
          <w:rFonts w:hint="eastAsia" w:ascii="仿宋_GB2312" w:hAnsi="仿宋_GB2312" w:eastAsia="仿宋_GB2312" w:cs="仿宋_GB2312"/>
          <w:snapToGrid w:val="0"/>
          <w:color w:val="auto"/>
          <w:kern w:val="0"/>
          <w:highlight w:val="none"/>
        </w:rPr>
        <w:t>响应</w:t>
      </w:r>
      <w:r>
        <w:rPr>
          <w:rFonts w:hint="eastAsia" w:ascii="仿宋_GB2312" w:hAnsi="仿宋_GB2312" w:eastAsia="仿宋_GB2312" w:cs="仿宋_GB2312"/>
          <w:snapToGrid w:val="0"/>
          <w:color w:val="auto"/>
          <w:kern w:val="0"/>
          <w:szCs w:val="21"/>
          <w:highlight w:val="none"/>
        </w:rPr>
        <w:t>文件对供应商具有法律约束力，</w:t>
      </w:r>
      <w:r>
        <w:rPr>
          <w:rFonts w:hint="eastAsia" w:ascii="仿宋_GB2312" w:hAnsi="仿宋_GB2312" w:eastAsia="仿宋_GB2312" w:cs="仿宋_GB2312"/>
          <w:snapToGrid w:val="0"/>
          <w:color w:val="auto"/>
          <w:kern w:val="0"/>
          <w:highlight w:val="none"/>
        </w:rPr>
        <w:t>从</w:t>
      </w:r>
      <w:r>
        <w:rPr>
          <w:rFonts w:hint="eastAsia" w:ascii="仿宋_GB2312" w:hAnsi="仿宋_GB2312" w:eastAsia="仿宋_GB2312" w:cs="仿宋_GB2312"/>
          <w:snapToGrid w:val="0"/>
          <w:color w:val="auto"/>
          <w:kern w:val="0"/>
          <w:szCs w:val="21"/>
          <w:highlight w:val="none"/>
        </w:rPr>
        <w:t>提交首次响应文件截止时间</w:t>
      </w:r>
      <w:r>
        <w:rPr>
          <w:rFonts w:hint="eastAsia" w:ascii="仿宋_GB2312" w:hAnsi="仿宋_GB2312" w:eastAsia="仿宋_GB2312" w:cs="仿宋_GB2312"/>
          <w:snapToGrid w:val="0"/>
          <w:color w:val="auto"/>
          <w:kern w:val="0"/>
          <w:highlight w:val="none"/>
        </w:rPr>
        <w:t>之日起计算。响应文件有效期不足的将被视为无效响应。</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21.响应文件的签署及规定</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21.1响应文件的正本和副本应装订成册，正本一份，副本份数见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。正本和副本的封面上应标记“正本”或“副本”的字样，当正本和副本有差异时，以正本为准。</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21.2 响应文件正本和副本应按磋商文件要求签章处盖单位章和由法定代表人或其委托代理人签字；任何加行、涂改、增删，应有法定代表人或其委托代理人在旁边签字。否则，将导致响应文件无效。</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21.3 在磋商过程中，供应商按磋商文件规定和磋商小组要求提交的最后报价</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或者</w:t>
      </w:r>
      <w:r>
        <w:rPr>
          <w:rFonts w:hint="eastAsia" w:ascii="仿宋_GB2312" w:hAnsi="仿宋_GB2312" w:eastAsia="仿宋_GB2312" w:cs="仿宋_GB2312"/>
          <w:bCs/>
          <w:snapToGrid w:val="0"/>
          <w:color w:val="auto"/>
          <w:kern w:val="0"/>
          <w:highlight w:val="none"/>
        </w:rPr>
        <w:t>重</w:t>
      </w:r>
      <w:r>
        <w:rPr>
          <w:rFonts w:hint="eastAsia" w:ascii="仿宋_GB2312" w:hAnsi="仿宋_GB2312" w:eastAsia="仿宋_GB2312" w:cs="仿宋_GB2312"/>
          <w:snapToGrid w:val="0"/>
          <w:color w:val="auto"/>
          <w:kern w:val="0"/>
          <w:highlight w:val="none"/>
        </w:rPr>
        <w:t>新提交的响应文件和最后报价</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，一式两份，可打印或用不</w:t>
      </w:r>
      <w:r>
        <w:rPr>
          <w:rFonts w:hint="eastAsia" w:ascii="仿宋_GB2312" w:hAnsi="仿宋_GB2312" w:eastAsia="仿宋_GB2312" w:cs="仿宋_GB2312"/>
          <w:snapToGrid w:val="0"/>
          <w:color w:val="auto"/>
          <w:kern w:val="0"/>
          <w:highlight w:val="none"/>
          <w:lang w:eastAsia="zh-CN"/>
        </w:rPr>
        <w:t>褪色</w:t>
      </w:r>
      <w:r>
        <w:rPr>
          <w:rFonts w:hint="eastAsia" w:ascii="仿宋_GB2312" w:hAnsi="仿宋_GB2312" w:eastAsia="仿宋_GB2312" w:cs="仿宋_GB2312"/>
          <w:snapToGrid w:val="0"/>
          <w:color w:val="auto"/>
          <w:kern w:val="0"/>
          <w:highlight w:val="none"/>
        </w:rPr>
        <w:t>墨水书写，但需经法定代表人或其委托代理人签字，或者加盖供应商单位章。否则，将导致响应文件无效。</w:t>
      </w:r>
    </w:p>
    <w:p>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11" w:name="_Toc20185"/>
      <w:r>
        <w:rPr>
          <w:rFonts w:hint="eastAsia" w:ascii="仿宋_GB2312" w:hAnsi="仿宋_GB2312" w:eastAsia="仿宋_GB2312" w:cs="仿宋_GB2312"/>
          <w:snapToGrid w:val="0"/>
          <w:color w:val="auto"/>
          <w:kern w:val="0"/>
          <w:sz w:val="24"/>
          <w:szCs w:val="24"/>
          <w:highlight w:val="none"/>
        </w:rPr>
        <w:t>四、响应文件的递交</w:t>
      </w:r>
      <w:bookmarkEnd w:id="11"/>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22.</w:t>
      </w:r>
      <w:r>
        <w:rPr>
          <w:rFonts w:hint="eastAsia" w:ascii="仿宋_GB2312" w:hAnsi="仿宋_GB2312" w:eastAsia="仿宋_GB2312" w:cs="仿宋_GB2312"/>
          <w:b/>
          <w:snapToGrid w:val="0"/>
          <w:color w:val="auto"/>
          <w:kern w:val="0"/>
          <w:szCs w:val="21"/>
          <w:highlight w:val="none"/>
        </w:rPr>
        <w:t>响应文件</w:t>
      </w:r>
      <w:r>
        <w:rPr>
          <w:rFonts w:hint="eastAsia" w:ascii="仿宋_GB2312" w:hAnsi="仿宋_GB2312" w:eastAsia="仿宋_GB2312" w:cs="仿宋_GB2312"/>
          <w:b/>
          <w:bCs/>
          <w:snapToGrid w:val="0"/>
          <w:color w:val="auto"/>
          <w:kern w:val="0"/>
          <w:szCs w:val="21"/>
          <w:highlight w:val="none"/>
        </w:rPr>
        <w:t>的密封和标记</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22.1响应文件应密封包装，加贴封条，并在封套的封口</w:t>
      </w:r>
      <w:r>
        <w:rPr>
          <w:rFonts w:hint="eastAsia" w:ascii="仿宋_GB2312" w:hAnsi="仿宋_GB2312" w:eastAsia="仿宋_GB2312" w:cs="仿宋_GB2312"/>
          <w:snapToGrid w:val="0"/>
          <w:color w:val="auto"/>
          <w:kern w:val="0"/>
          <w:highlight w:val="none"/>
          <w:lang w:eastAsia="zh-CN"/>
        </w:rPr>
        <w:t>处加</w:t>
      </w:r>
      <w:r>
        <w:rPr>
          <w:rFonts w:hint="eastAsia" w:ascii="仿宋_GB2312" w:hAnsi="仿宋_GB2312" w:eastAsia="仿宋_GB2312" w:cs="仿宋_GB2312"/>
          <w:snapToGrid w:val="0"/>
          <w:color w:val="auto"/>
          <w:kern w:val="0"/>
          <w:highlight w:val="none"/>
        </w:rPr>
        <w:t>盖供应商单位章或者由法定代表人或其委托代理人签字。</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22.2响应文件封套上应写明的内容见</w:t>
      </w:r>
      <w:r>
        <w:rPr>
          <w:rFonts w:hint="eastAsia" w:ascii="仿宋_GB2312" w:hAnsi="仿宋_GB2312" w:eastAsia="仿宋_GB2312" w:cs="仿宋_GB2312"/>
          <w:b/>
          <w:snapToGrid w:val="0"/>
          <w:color w:val="auto"/>
          <w:kern w:val="0"/>
          <w:szCs w:val="21"/>
          <w:highlight w:val="none"/>
        </w:rPr>
        <w:t>磋商须知前附表。</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22.3响应文件如果未按上述规定密封和加写标记，采购人或采购代理机构将拒绝接收。</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23.响应文件的</w:t>
      </w:r>
      <w:r>
        <w:rPr>
          <w:rFonts w:hint="eastAsia" w:ascii="仿宋_GB2312" w:hAnsi="仿宋_GB2312" w:eastAsia="仿宋_GB2312" w:cs="仿宋_GB2312"/>
          <w:b/>
          <w:snapToGrid w:val="0"/>
          <w:color w:val="auto"/>
          <w:kern w:val="0"/>
          <w:szCs w:val="21"/>
          <w:highlight w:val="none"/>
          <w:lang w:val="zh-CN"/>
        </w:rPr>
        <w:t>补充、修改或者撤回</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23.1供应商在提交首次响应文件截止时间前，可以对所提交的首次响应文件进行补充、修改或者撤回，并书面通知采购人、采购代理机构。该通知应有供应商法定代表人或其委托代理人签字。</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23.2</w:t>
      </w:r>
      <w:r>
        <w:rPr>
          <w:rFonts w:hint="eastAsia" w:ascii="仿宋_GB2312" w:hAnsi="仿宋_GB2312" w:eastAsia="仿宋_GB2312" w:cs="仿宋_GB2312"/>
          <w:snapToGrid w:val="0"/>
          <w:color w:val="auto"/>
          <w:kern w:val="0"/>
          <w:highlight w:val="none"/>
          <w:lang w:val="zh-CN"/>
        </w:rPr>
        <w:t>补充、修改的内容与响应文件不一致时，以补充、修改的内容为准。</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24.响应文件的递交与接收</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24.1 供应商应在提交首次响应文件截止时间前，将响应文件送达</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中指定的地点。</w:t>
      </w:r>
      <w:r>
        <w:rPr>
          <w:rFonts w:hint="eastAsia" w:ascii="仿宋_GB2312" w:hAnsi="仿宋_GB2312" w:eastAsia="仿宋_GB2312" w:cs="仿宋_GB2312"/>
          <w:snapToGrid w:val="0"/>
          <w:color w:val="auto"/>
          <w:kern w:val="0"/>
          <w:highlight w:val="none"/>
        </w:rPr>
        <w:t>在截止时间后送达的响应文件，采购人、采购代理机构或者磋商小组应当拒收。</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24.2在提交首次响应文件截止时间后，由</w:t>
      </w:r>
      <w:r>
        <w:rPr>
          <w:rFonts w:hint="eastAsia" w:ascii="仿宋_GB2312" w:hAnsi="仿宋_GB2312" w:eastAsia="仿宋_GB2312" w:cs="仿宋_GB2312"/>
          <w:bCs/>
          <w:snapToGrid w:val="0"/>
          <w:color w:val="auto"/>
          <w:kern w:val="0"/>
          <w:highlight w:val="none"/>
        </w:rPr>
        <w:t>供应商代表</w:t>
      </w:r>
      <w:r>
        <w:rPr>
          <w:rFonts w:hint="eastAsia" w:ascii="仿宋_GB2312" w:hAnsi="仿宋_GB2312" w:eastAsia="仿宋_GB2312" w:cs="仿宋_GB2312"/>
          <w:snapToGrid w:val="0"/>
          <w:color w:val="auto"/>
          <w:kern w:val="0"/>
          <w:highlight w:val="none"/>
        </w:rPr>
        <w:t>当场查验</w:t>
      </w:r>
      <w:r>
        <w:rPr>
          <w:rFonts w:hint="eastAsia" w:ascii="仿宋_GB2312" w:hAnsi="仿宋_GB2312" w:eastAsia="仿宋_GB2312" w:cs="仿宋_GB2312"/>
          <w:bCs/>
          <w:snapToGrid w:val="0"/>
          <w:color w:val="auto"/>
          <w:kern w:val="0"/>
          <w:highlight w:val="none"/>
        </w:rPr>
        <w:t>响应文件</w:t>
      </w:r>
      <w:r>
        <w:rPr>
          <w:rFonts w:hint="eastAsia" w:ascii="仿宋_GB2312" w:hAnsi="仿宋_GB2312" w:eastAsia="仿宋_GB2312" w:cs="仿宋_GB2312"/>
          <w:snapToGrid w:val="0"/>
          <w:color w:val="auto"/>
          <w:kern w:val="0"/>
          <w:highlight w:val="none"/>
        </w:rPr>
        <w:t>的密封状况，采购人或</w:t>
      </w:r>
      <w:r>
        <w:rPr>
          <w:rFonts w:hint="eastAsia" w:ascii="仿宋_GB2312" w:hAnsi="仿宋_GB2312" w:eastAsia="仿宋_GB2312" w:cs="仿宋_GB2312"/>
          <w:bCs/>
          <w:snapToGrid w:val="0"/>
          <w:color w:val="auto"/>
          <w:kern w:val="0"/>
          <w:highlight w:val="none"/>
        </w:rPr>
        <w:t>采购代理机构</w:t>
      </w:r>
      <w:r>
        <w:rPr>
          <w:rFonts w:hint="eastAsia" w:ascii="仿宋_GB2312" w:hAnsi="仿宋_GB2312" w:eastAsia="仿宋_GB2312" w:cs="仿宋_GB2312"/>
          <w:snapToGrid w:val="0"/>
          <w:color w:val="auto"/>
          <w:kern w:val="0"/>
          <w:highlight w:val="none"/>
        </w:rPr>
        <w:t>不当场拆封</w:t>
      </w:r>
      <w:r>
        <w:rPr>
          <w:rFonts w:hint="eastAsia" w:ascii="仿宋_GB2312" w:hAnsi="仿宋_GB2312" w:eastAsia="仿宋_GB2312" w:cs="仿宋_GB2312"/>
          <w:bCs/>
          <w:snapToGrid w:val="0"/>
          <w:color w:val="auto"/>
          <w:kern w:val="0"/>
          <w:highlight w:val="none"/>
        </w:rPr>
        <w:t>响应文件</w:t>
      </w:r>
      <w:r>
        <w:rPr>
          <w:rFonts w:hint="eastAsia" w:ascii="仿宋_GB2312" w:hAnsi="仿宋_GB2312" w:eastAsia="仿宋_GB2312" w:cs="仿宋_GB2312"/>
          <w:snapToGrid w:val="0"/>
          <w:color w:val="auto"/>
          <w:kern w:val="0"/>
          <w:highlight w:val="none"/>
        </w:rPr>
        <w:t>。</w:t>
      </w:r>
    </w:p>
    <w:p>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12" w:name="_Toc12310"/>
      <w:r>
        <w:rPr>
          <w:rFonts w:hint="eastAsia" w:ascii="仿宋_GB2312" w:hAnsi="仿宋_GB2312" w:eastAsia="仿宋_GB2312" w:cs="仿宋_GB2312"/>
          <w:snapToGrid w:val="0"/>
          <w:color w:val="auto"/>
          <w:kern w:val="0"/>
          <w:sz w:val="24"/>
          <w:szCs w:val="24"/>
          <w:highlight w:val="none"/>
        </w:rPr>
        <w:t>五、响应文件的磋商与评审</w:t>
      </w:r>
      <w:bookmarkEnd w:id="12"/>
    </w:p>
    <w:p>
      <w:pPr>
        <w:pageBreakBefore w:val="0"/>
        <w:tabs>
          <w:tab w:val="left" w:pos="0"/>
        </w:tabs>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25.磋商程序</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25.1磋商程序：响应文件审查、磋商（包括澄清）、响应文件评审、</w:t>
      </w:r>
      <w:r>
        <w:rPr>
          <w:rFonts w:hint="eastAsia" w:ascii="仿宋_GB2312" w:hAnsi="仿宋_GB2312" w:eastAsia="仿宋_GB2312" w:cs="仿宋_GB2312"/>
          <w:bCs/>
          <w:snapToGrid w:val="0"/>
          <w:color w:val="auto"/>
          <w:kern w:val="0"/>
          <w:szCs w:val="21"/>
          <w:highlight w:val="none"/>
        </w:rPr>
        <w:t>提出成交供应商。其中，</w:t>
      </w:r>
      <w:r>
        <w:rPr>
          <w:rFonts w:hint="eastAsia" w:ascii="仿宋_GB2312" w:hAnsi="仿宋_GB2312" w:eastAsia="仿宋_GB2312" w:cs="仿宋_GB2312"/>
          <w:snapToGrid w:val="0"/>
          <w:color w:val="auto"/>
          <w:kern w:val="0"/>
          <w:szCs w:val="21"/>
          <w:highlight w:val="none"/>
        </w:rPr>
        <w:t>磋商按本章</w:t>
      </w:r>
      <w:r>
        <w:rPr>
          <w:rFonts w:hint="eastAsia" w:ascii="仿宋_GB2312" w:hAnsi="仿宋_GB2312" w:eastAsia="仿宋_GB2312" w:cs="仿宋_GB2312"/>
          <w:snapToGrid w:val="0"/>
          <w:color w:val="auto"/>
          <w:kern w:val="0"/>
          <w:highlight w:val="none"/>
        </w:rPr>
        <w:t>第30.1</w:t>
      </w:r>
      <w:r>
        <w:rPr>
          <w:rFonts w:hint="eastAsia" w:ascii="仿宋_GB2312" w:hAnsi="仿宋_GB2312" w:eastAsia="仿宋_GB2312" w:cs="仿宋_GB2312"/>
          <w:snapToGrid w:val="0"/>
          <w:color w:val="auto"/>
          <w:kern w:val="0"/>
          <w:szCs w:val="21"/>
          <w:highlight w:val="none"/>
          <w:lang w:val="zh-CN"/>
        </w:rPr>
        <w:t>款或</w:t>
      </w:r>
      <w:r>
        <w:rPr>
          <w:rFonts w:hint="eastAsia" w:ascii="仿宋_GB2312" w:hAnsi="仿宋_GB2312" w:eastAsia="仿宋_GB2312" w:cs="仿宋_GB2312"/>
          <w:snapToGrid w:val="0"/>
          <w:color w:val="auto"/>
          <w:kern w:val="0"/>
          <w:highlight w:val="none"/>
        </w:rPr>
        <w:t>第30.2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情形</w:t>
      </w:r>
      <w:r>
        <w:rPr>
          <w:rFonts w:hint="eastAsia" w:ascii="仿宋_GB2312" w:hAnsi="仿宋_GB2312" w:eastAsia="仿宋_GB2312" w:cs="仿宋_GB2312"/>
          <w:bCs/>
          <w:snapToGrid w:val="0"/>
          <w:color w:val="auto"/>
          <w:kern w:val="0"/>
          <w:szCs w:val="21"/>
          <w:highlight w:val="none"/>
        </w:rPr>
        <w:t>进行。</w:t>
      </w:r>
    </w:p>
    <w:p>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26.</w:t>
      </w:r>
      <w:r>
        <w:rPr>
          <w:rFonts w:hint="eastAsia" w:ascii="仿宋_GB2312" w:hAnsi="仿宋_GB2312" w:eastAsia="仿宋_GB2312" w:cs="仿宋_GB2312"/>
          <w:snapToGrid w:val="0"/>
          <w:color w:val="auto"/>
          <w:kern w:val="0"/>
          <w:highlight w:val="none"/>
        </w:rPr>
        <w:t xml:space="preserve"> </w:t>
      </w:r>
      <w:r>
        <w:rPr>
          <w:rFonts w:hint="eastAsia" w:ascii="仿宋_GB2312" w:hAnsi="仿宋_GB2312" w:eastAsia="仿宋_GB2312" w:cs="仿宋_GB2312"/>
          <w:b/>
          <w:snapToGrid w:val="0"/>
          <w:color w:val="auto"/>
          <w:kern w:val="0"/>
          <w:szCs w:val="21"/>
          <w:highlight w:val="none"/>
        </w:rPr>
        <w:t xml:space="preserve">响应文件审查 </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26.1资格性审查：根据本章第3.1项规定的供应商资格条件要求，对</w:t>
      </w:r>
      <w:r>
        <w:rPr>
          <w:rFonts w:hint="eastAsia" w:ascii="仿宋_GB2312" w:hAnsi="仿宋_GB2312" w:eastAsia="仿宋_GB2312" w:cs="仿宋_GB2312"/>
          <w:snapToGrid w:val="0"/>
          <w:color w:val="auto"/>
          <w:kern w:val="0"/>
          <w:highlight w:val="none"/>
        </w:rPr>
        <w:t>响应</w:t>
      </w:r>
      <w:r>
        <w:rPr>
          <w:rFonts w:hint="eastAsia" w:ascii="仿宋_GB2312" w:hAnsi="仿宋_GB2312" w:eastAsia="仿宋_GB2312" w:cs="仿宋_GB2312"/>
          <w:snapToGrid w:val="0"/>
          <w:color w:val="auto"/>
          <w:kern w:val="0"/>
          <w:szCs w:val="21"/>
          <w:highlight w:val="none"/>
        </w:rPr>
        <w:t>文件的资格证明等进行审查，以确定供应商是否具备磋商资格条件。</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26.2符合性审查</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 xml:space="preserve"> 对响应文件</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包括首次提交的响应文件、重新提交的响应文件</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的有效性、完整性和响应程度进行审查，以确定是否对磋商文件的实质性要求作出响应。</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26.3响应文件审查结束后，磋商小组所有成员集中与单一供应商分别进行磋商，并给予所有参加磋商的供应商平等的磋商机会。供应商应派其法定代表人或委托代理人参加磋商。</w:t>
      </w:r>
    </w:p>
    <w:p>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27.实质性响应</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u w:val="single"/>
        </w:rPr>
      </w:pPr>
      <w:r>
        <w:rPr>
          <w:rFonts w:hint="eastAsia" w:ascii="仿宋_GB2312" w:hAnsi="仿宋_GB2312" w:eastAsia="仿宋_GB2312" w:cs="仿宋_GB2312"/>
          <w:snapToGrid w:val="0"/>
          <w:color w:val="auto"/>
          <w:kern w:val="0"/>
          <w:highlight w:val="none"/>
        </w:rPr>
        <w:t>27.1实质性响应是指响应文件</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包括首次响应文件、重新提交的响应文件</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与磋商文件要求的所有条款、条件和规格相符，没有偏离。偏离指</w:t>
      </w:r>
      <w:r>
        <w:rPr>
          <w:rFonts w:hint="eastAsia" w:ascii="仿宋_GB2312" w:hAnsi="仿宋_GB2312" w:eastAsia="仿宋_GB2312" w:cs="仿宋_GB2312"/>
          <w:snapToGrid w:val="0"/>
          <w:color w:val="auto"/>
          <w:kern w:val="0"/>
          <w:highlight w:val="none"/>
          <w:lang w:eastAsia="zh-CN"/>
        </w:rPr>
        <w:t>不满足或不</w:t>
      </w:r>
      <w:r>
        <w:rPr>
          <w:rFonts w:hint="eastAsia" w:ascii="仿宋_GB2312" w:hAnsi="仿宋_GB2312" w:eastAsia="仿宋_GB2312" w:cs="仿宋_GB2312"/>
          <w:snapToGrid w:val="0"/>
          <w:color w:val="auto"/>
          <w:kern w:val="0"/>
          <w:highlight w:val="none"/>
        </w:rPr>
        <w:t>响应磋商文件的要求。</w:t>
      </w:r>
    </w:p>
    <w:p>
      <w:pPr>
        <w:pageBreakBefore w:val="0"/>
        <w:tabs>
          <w:tab w:val="left" w:pos="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27.2</w:t>
      </w:r>
      <w:r>
        <w:rPr>
          <w:rFonts w:hint="eastAsia" w:ascii="仿宋_GB2312" w:hAnsi="仿宋_GB2312" w:eastAsia="仿宋_GB2312" w:cs="仿宋_GB2312"/>
          <w:snapToGrid w:val="0"/>
          <w:color w:val="auto"/>
          <w:kern w:val="0"/>
          <w:highlight w:val="none"/>
        </w:rPr>
        <w:t>响应文件是否实质性响应磋商文件要求由磋商小组依据磋商文件规定认定。</w:t>
      </w:r>
      <w:r>
        <w:rPr>
          <w:rFonts w:hint="eastAsia" w:ascii="仿宋_GB2312" w:hAnsi="仿宋_GB2312" w:eastAsia="仿宋_GB2312" w:cs="仿宋_GB2312"/>
          <w:snapToGrid w:val="0"/>
          <w:color w:val="auto"/>
          <w:kern w:val="0"/>
          <w:szCs w:val="21"/>
          <w:highlight w:val="none"/>
        </w:rPr>
        <w:t>磋商小组决定</w:t>
      </w:r>
      <w:r>
        <w:rPr>
          <w:rFonts w:hint="eastAsia" w:ascii="仿宋_GB2312" w:hAnsi="仿宋_GB2312" w:eastAsia="仿宋_GB2312" w:cs="仿宋_GB2312"/>
          <w:snapToGrid w:val="0"/>
          <w:color w:val="auto"/>
          <w:kern w:val="0"/>
          <w:highlight w:val="none"/>
        </w:rPr>
        <w:t>响应文件</w:t>
      </w:r>
      <w:r>
        <w:rPr>
          <w:rFonts w:hint="eastAsia" w:ascii="仿宋_GB2312" w:hAnsi="仿宋_GB2312" w:eastAsia="仿宋_GB2312" w:cs="仿宋_GB2312"/>
          <w:snapToGrid w:val="0"/>
          <w:color w:val="auto"/>
          <w:kern w:val="0"/>
          <w:szCs w:val="21"/>
          <w:highlight w:val="none"/>
        </w:rPr>
        <w:t>的响应性只根据</w:t>
      </w:r>
      <w:r>
        <w:rPr>
          <w:rFonts w:hint="eastAsia" w:ascii="仿宋_GB2312" w:hAnsi="仿宋_GB2312" w:eastAsia="仿宋_GB2312" w:cs="仿宋_GB2312"/>
          <w:snapToGrid w:val="0"/>
          <w:color w:val="auto"/>
          <w:kern w:val="0"/>
          <w:highlight w:val="none"/>
        </w:rPr>
        <w:t>响应文件</w:t>
      </w:r>
      <w:r>
        <w:rPr>
          <w:rFonts w:hint="eastAsia" w:ascii="仿宋_GB2312" w:hAnsi="仿宋_GB2312" w:eastAsia="仿宋_GB2312" w:cs="仿宋_GB2312"/>
          <w:snapToGrid w:val="0"/>
          <w:color w:val="auto"/>
          <w:kern w:val="0"/>
          <w:szCs w:val="21"/>
          <w:highlight w:val="none"/>
        </w:rPr>
        <w:t>本身的真实无误的内容，而不依据外部的证据。</w:t>
      </w:r>
    </w:p>
    <w:p>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 xml:space="preserve">28.无效响应 </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snapToGrid w:val="0"/>
          <w:color w:val="auto"/>
          <w:kern w:val="0"/>
          <w:highlight w:val="none"/>
        </w:rPr>
        <w:t>28.1磋商小组在对资格性和符合性进行审查时，有下列情况之一的，</w:t>
      </w:r>
      <w:r>
        <w:rPr>
          <w:rFonts w:hint="eastAsia" w:ascii="仿宋_GB2312" w:hAnsi="仿宋_GB2312" w:eastAsia="仿宋_GB2312" w:cs="仿宋_GB2312"/>
          <w:snapToGrid w:val="0"/>
          <w:color w:val="auto"/>
          <w:kern w:val="0"/>
          <w:highlight w:val="none"/>
          <w:lang w:eastAsia="zh-CN"/>
        </w:rPr>
        <w:t>属于</w:t>
      </w:r>
      <w:r>
        <w:rPr>
          <w:rFonts w:hint="eastAsia" w:ascii="仿宋_GB2312" w:hAnsi="仿宋_GB2312" w:eastAsia="仿宋_GB2312" w:cs="仿宋_GB2312"/>
          <w:snapToGrid w:val="0"/>
          <w:color w:val="auto"/>
          <w:kern w:val="0"/>
          <w:highlight w:val="none"/>
        </w:rPr>
        <w:t>无效响应，磋商小组应当告知有关供应商：</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（1）供应商不具备本章第3.1款规定的供应商资格条件要求，或存在本章第3.3款情形的；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（2）联合体不符合本章第3.2款规定的；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（3）应交未交磋商保证金或金额不足、磋商保证金缴纳形式不符合磋商文件要求的；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（4）响应文件未按照磋商文件要求签署、盖章的；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（4）响应文件不满足本章第27.1款规定的实质性要求的；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（5）报价超过采购项目预算的；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（6）响应文件有效期不足的；</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（7）响应文件不符合法律、规章、规范性文件和磋商文件规定及要求的。</w:t>
      </w:r>
    </w:p>
    <w:p>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29.澄清</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30.磋商</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lang w:val="zh-CN"/>
        </w:rPr>
      </w:pPr>
      <w:r>
        <w:rPr>
          <w:rFonts w:hint="eastAsia" w:ascii="仿宋_GB2312" w:hAnsi="仿宋_GB2312" w:eastAsia="仿宋_GB2312" w:cs="仿宋_GB2312"/>
          <w:snapToGrid w:val="0"/>
          <w:color w:val="auto"/>
          <w:kern w:val="0"/>
          <w:szCs w:val="21"/>
          <w:highlight w:val="none"/>
        </w:rPr>
        <w:t>30.1</w:t>
      </w:r>
      <w:r>
        <w:rPr>
          <w:rFonts w:hint="eastAsia" w:ascii="仿宋_GB2312" w:hAnsi="仿宋_GB2312" w:eastAsia="仿宋_GB2312" w:cs="仿宋_GB2312"/>
          <w:snapToGrid w:val="0"/>
          <w:color w:val="auto"/>
          <w:kern w:val="0"/>
          <w:highlight w:val="none"/>
        </w:rPr>
        <w:t>本章第10.2项</w:t>
      </w:r>
      <w:r>
        <w:rPr>
          <w:rFonts w:hint="eastAsia" w:ascii="仿宋_GB2312" w:hAnsi="仿宋_GB2312" w:eastAsia="仿宋_GB2312" w:cs="仿宋_GB2312"/>
          <w:snapToGrid w:val="0"/>
          <w:color w:val="auto"/>
          <w:kern w:val="0"/>
          <w:szCs w:val="21"/>
          <w:highlight w:val="none"/>
        </w:rPr>
        <w:t>未明确磋商文件实质性变动内容的，或者磋商文件明确了可能发生实质性变动内容，但在磋商过程中，</w:t>
      </w:r>
      <w:r>
        <w:rPr>
          <w:rFonts w:hint="eastAsia" w:ascii="仿宋_GB2312" w:hAnsi="仿宋_GB2312" w:eastAsia="仿宋_GB2312" w:cs="仿宋_GB2312"/>
          <w:bCs/>
          <w:snapToGrid w:val="0"/>
          <w:color w:val="auto"/>
          <w:kern w:val="0"/>
          <w:szCs w:val="21"/>
          <w:highlight w:val="none"/>
        </w:rPr>
        <w:t>磋商小组</w:t>
      </w:r>
      <w:r>
        <w:rPr>
          <w:rFonts w:hint="eastAsia" w:ascii="仿宋_GB2312" w:hAnsi="仿宋_GB2312" w:eastAsia="仿宋_GB2312" w:cs="仿宋_GB2312"/>
          <w:snapToGrid w:val="0"/>
          <w:color w:val="auto"/>
          <w:kern w:val="0"/>
          <w:szCs w:val="21"/>
          <w:highlight w:val="none"/>
        </w:rPr>
        <w:t>根据磋商情况</w:t>
      </w:r>
      <w:r>
        <w:rPr>
          <w:rFonts w:hint="eastAsia" w:ascii="仿宋_GB2312" w:hAnsi="仿宋_GB2312" w:eastAsia="仿宋_GB2312" w:cs="仿宋_GB2312"/>
          <w:bCs/>
          <w:snapToGrid w:val="0"/>
          <w:color w:val="auto"/>
          <w:kern w:val="0"/>
          <w:szCs w:val="21"/>
          <w:highlight w:val="none"/>
        </w:rPr>
        <w:t>认为</w:t>
      </w:r>
      <w:r>
        <w:rPr>
          <w:rFonts w:hint="eastAsia" w:ascii="仿宋_GB2312" w:hAnsi="仿宋_GB2312" w:eastAsia="仿宋_GB2312" w:cs="仿宋_GB2312"/>
          <w:snapToGrid w:val="0"/>
          <w:color w:val="auto"/>
          <w:kern w:val="0"/>
          <w:szCs w:val="21"/>
          <w:highlight w:val="none"/>
        </w:rPr>
        <w:t>磋商文件无需发生实质性变动的，磋商小组应当直接与响应文件审查合格的供应商就价格组织多轮磋商。</w:t>
      </w:r>
    </w:p>
    <w:p>
      <w:pPr>
        <w:pageBreakBefore w:val="0"/>
        <w:widowControl/>
        <w:tabs>
          <w:tab w:val="left" w:pos="1080"/>
          <w:tab w:val="left" w:pos="126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（1）磋商结束后，磋商小组应当要求所有继续参加磋商的供应商在磋商小组规定时间内提交最后报价。</w:t>
      </w:r>
    </w:p>
    <w:p>
      <w:pPr>
        <w:pageBreakBefore w:val="0"/>
        <w:widowControl/>
        <w:tabs>
          <w:tab w:val="left" w:pos="1080"/>
          <w:tab w:val="left" w:pos="126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（2）磋商文件明确可能发生实质性变动，但在磋商过程中</w:t>
      </w:r>
      <w:r>
        <w:rPr>
          <w:rFonts w:hint="eastAsia" w:ascii="仿宋_GB2312" w:hAnsi="仿宋_GB2312" w:eastAsia="仿宋_GB2312" w:cs="仿宋_GB2312"/>
          <w:bCs/>
          <w:snapToGrid w:val="0"/>
          <w:color w:val="auto"/>
          <w:kern w:val="0"/>
          <w:szCs w:val="21"/>
          <w:highlight w:val="none"/>
        </w:rPr>
        <w:t>磋商小组</w:t>
      </w:r>
      <w:r>
        <w:rPr>
          <w:rFonts w:hint="eastAsia" w:ascii="仿宋_GB2312" w:hAnsi="仿宋_GB2312" w:eastAsia="仿宋_GB2312" w:cs="仿宋_GB2312"/>
          <w:snapToGrid w:val="0"/>
          <w:color w:val="auto"/>
          <w:kern w:val="0"/>
          <w:szCs w:val="21"/>
          <w:highlight w:val="none"/>
        </w:rPr>
        <w:t>根据磋商情况</w:t>
      </w:r>
      <w:r>
        <w:rPr>
          <w:rFonts w:hint="eastAsia" w:ascii="仿宋_GB2312" w:hAnsi="仿宋_GB2312" w:eastAsia="仿宋_GB2312" w:cs="仿宋_GB2312"/>
          <w:bCs/>
          <w:snapToGrid w:val="0"/>
          <w:color w:val="auto"/>
          <w:kern w:val="0"/>
          <w:szCs w:val="21"/>
          <w:highlight w:val="none"/>
        </w:rPr>
        <w:t>认为</w:t>
      </w:r>
      <w:r>
        <w:rPr>
          <w:rFonts w:hint="eastAsia" w:ascii="仿宋_GB2312" w:hAnsi="仿宋_GB2312" w:eastAsia="仿宋_GB2312" w:cs="仿宋_GB2312"/>
          <w:snapToGrid w:val="0"/>
          <w:color w:val="auto"/>
          <w:kern w:val="0"/>
          <w:szCs w:val="21"/>
          <w:highlight w:val="none"/>
        </w:rPr>
        <w:t>磋商文件无需发生实质性变动的，磋商小组不另行通知。</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30.2</w:t>
      </w:r>
      <w:r>
        <w:rPr>
          <w:rFonts w:hint="eastAsia" w:ascii="仿宋_GB2312" w:hAnsi="仿宋_GB2312" w:eastAsia="仿宋_GB2312" w:cs="仿宋_GB2312"/>
          <w:snapToGrid w:val="0"/>
          <w:color w:val="auto"/>
          <w:kern w:val="0"/>
          <w:highlight w:val="none"/>
        </w:rPr>
        <w:t>本章第10.2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明确磋商文件实质性变动内容的，</w:t>
      </w:r>
      <w:r>
        <w:rPr>
          <w:rFonts w:hint="eastAsia" w:ascii="仿宋_GB2312" w:hAnsi="仿宋_GB2312" w:eastAsia="仿宋_GB2312" w:cs="仿宋_GB2312"/>
          <w:bCs/>
          <w:snapToGrid w:val="0"/>
          <w:color w:val="auto"/>
          <w:kern w:val="0"/>
          <w:szCs w:val="21"/>
          <w:highlight w:val="none"/>
        </w:rPr>
        <w:t>磋商小组</w:t>
      </w:r>
      <w:r>
        <w:rPr>
          <w:rFonts w:hint="eastAsia" w:ascii="仿宋_GB2312" w:hAnsi="仿宋_GB2312" w:eastAsia="仿宋_GB2312" w:cs="仿宋_GB2312"/>
          <w:snapToGrid w:val="0"/>
          <w:color w:val="auto"/>
          <w:kern w:val="0"/>
          <w:szCs w:val="21"/>
          <w:highlight w:val="none"/>
        </w:rPr>
        <w:t>可以组织多轮磋商。</w:t>
      </w:r>
      <w:r>
        <w:rPr>
          <w:rFonts w:hint="eastAsia" w:ascii="仿宋_GB2312" w:hAnsi="仿宋_GB2312" w:eastAsia="仿宋_GB2312" w:cs="仿宋_GB2312"/>
          <w:bCs/>
          <w:snapToGrid w:val="0"/>
          <w:color w:val="auto"/>
          <w:kern w:val="0"/>
          <w:szCs w:val="21"/>
          <w:highlight w:val="none"/>
        </w:rPr>
        <w:t>在每一轮磋商中，磋商小组</w:t>
      </w:r>
      <w:r>
        <w:rPr>
          <w:rFonts w:hint="eastAsia" w:ascii="仿宋_GB2312" w:hAnsi="仿宋_GB2312" w:eastAsia="仿宋_GB2312" w:cs="仿宋_GB2312"/>
          <w:snapToGrid w:val="0"/>
          <w:color w:val="auto"/>
          <w:kern w:val="0"/>
          <w:szCs w:val="21"/>
          <w:highlight w:val="none"/>
        </w:rPr>
        <w:t>可以根据磋商文件规定和磋商情况，</w:t>
      </w:r>
      <w:r>
        <w:rPr>
          <w:rFonts w:hint="eastAsia" w:ascii="仿宋_GB2312" w:hAnsi="仿宋_GB2312" w:eastAsia="仿宋_GB2312" w:cs="仿宋_GB2312"/>
          <w:bCs/>
          <w:snapToGrid w:val="0"/>
          <w:color w:val="auto"/>
          <w:kern w:val="0"/>
          <w:szCs w:val="21"/>
          <w:highlight w:val="none"/>
        </w:rPr>
        <w:t>对磋商文件的</w:t>
      </w:r>
      <w:r>
        <w:rPr>
          <w:rFonts w:hint="eastAsia" w:ascii="仿宋_GB2312" w:hAnsi="仿宋_GB2312" w:eastAsia="仿宋_GB2312" w:cs="仿宋_GB2312"/>
          <w:snapToGrid w:val="0"/>
          <w:color w:val="auto"/>
          <w:kern w:val="0"/>
          <w:szCs w:val="21"/>
          <w:highlight w:val="none"/>
        </w:rPr>
        <w:t>采购需求中的技术、服务要求以及合同草案条款</w:t>
      </w:r>
      <w:r>
        <w:rPr>
          <w:rFonts w:hint="eastAsia" w:ascii="仿宋_GB2312" w:hAnsi="仿宋_GB2312" w:eastAsia="仿宋_GB2312" w:cs="仿宋_GB2312"/>
          <w:bCs/>
          <w:snapToGrid w:val="0"/>
          <w:color w:val="auto"/>
          <w:kern w:val="0"/>
          <w:szCs w:val="21"/>
          <w:highlight w:val="none"/>
        </w:rPr>
        <w:t>作实质性变动</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磋商文件的实质性变动内容为磋商文件的组成部分</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，并以书面形式要求</w:t>
      </w:r>
      <w:r>
        <w:rPr>
          <w:rFonts w:hint="eastAsia" w:ascii="仿宋_GB2312" w:hAnsi="仿宋_GB2312" w:eastAsia="仿宋_GB2312" w:cs="仿宋_GB2312"/>
          <w:snapToGrid w:val="0"/>
          <w:color w:val="auto"/>
          <w:kern w:val="0"/>
          <w:szCs w:val="21"/>
          <w:highlight w:val="none"/>
        </w:rPr>
        <w:t>响应文件审查合格</w:t>
      </w:r>
      <w:r>
        <w:rPr>
          <w:rFonts w:hint="eastAsia" w:ascii="仿宋_GB2312" w:hAnsi="仿宋_GB2312" w:eastAsia="仿宋_GB2312" w:cs="仿宋_GB2312"/>
          <w:bCs/>
          <w:snapToGrid w:val="0"/>
          <w:color w:val="auto"/>
          <w:kern w:val="0"/>
          <w:szCs w:val="21"/>
          <w:highlight w:val="none"/>
        </w:rPr>
        <w:t>的供应商，在规定的</w:t>
      </w:r>
      <w:r>
        <w:rPr>
          <w:rFonts w:hint="eastAsia" w:ascii="仿宋_GB2312" w:hAnsi="仿宋_GB2312" w:eastAsia="仿宋_GB2312" w:cs="仿宋_GB2312"/>
          <w:snapToGrid w:val="0"/>
          <w:color w:val="auto"/>
          <w:kern w:val="0"/>
          <w:szCs w:val="21"/>
          <w:highlight w:val="none"/>
        </w:rPr>
        <w:t>截止时间前</w:t>
      </w:r>
      <w:r>
        <w:rPr>
          <w:rFonts w:hint="eastAsia" w:ascii="仿宋_GB2312" w:hAnsi="仿宋_GB2312" w:eastAsia="仿宋_GB2312" w:cs="仿宋_GB2312"/>
          <w:bCs/>
          <w:snapToGrid w:val="0"/>
          <w:color w:val="auto"/>
          <w:kern w:val="0"/>
          <w:szCs w:val="21"/>
          <w:highlight w:val="none"/>
        </w:rPr>
        <w:t>重</w:t>
      </w:r>
      <w:r>
        <w:rPr>
          <w:rFonts w:hint="eastAsia" w:ascii="仿宋_GB2312" w:hAnsi="仿宋_GB2312" w:eastAsia="仿宋_GB2312" w:cs="仿宋_GB2312"/>
          <w:snapToGrid w:val="0"/>
          <w:color w:val="auto"/>
          <w:kern w:val="0"/>
          <w:szCs w:val="21"/>
          <w:highlight w:val="none"/>
        </w:rPr>
        <w:t>新提交响应文件</w:t>
      </w:r>
      <w:r>
        <w:rPr>
          <w:rFonts w:hint="eastAsia" w:ascii="仿宋_GB2312" w:hAnsi="仿宋_GB2312" w:eastAsia="仿宋_GB2312" w:cs="仿宋_GB2312"/>
          <w:bCs/>
          <w:snapToGrid w:val="0"/>
          <w:color w:val="auto"/>
          <w:kern w:val="0"/>
          <w:szCs w:val="21"/>
          <w:highlight w:val="none"/>
        </w:rPr>
        <w:t>。</w:t>
      </w:r>
      <w:r>
        <w:rPr>
          <w:rFonts w:hint="eastAsia" w:ascii="仿宋_GB2312" w:hAnsi="仿宋_GB2312" w:eastAsia="仿宋_GB2312" w:cs="仿宋_GB2312"/>
          <w:snapToGrid w:val="0"/>
          <w:color w:val="auto"/>
          <w:kern w:val="0"/>
          <w:szCs w:val="21"/>
          <w:highlight w:val="none"/>
        </w:rPr>
        <w:t>磋商小组应当根据本章第26.2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规定对供应商重新提交的响应文件进行审查。供应商重新提交的响应文件审查不合格的，不得进入下一轮磋商，也不得要求提交最后报价。</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（1）磋商文件能够详细列明采购需求的技术、服务要求的，磋商结束后，磋商小组应当要求所有继续参加磋商的供应商在规定时间内提交最后报价。</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30.3</w:t>
      </w:r>
      <w:r>
        <w:rPr>
          <w:rFonts w:hint="eastAsia" w:ascii="仿宋_GB2312" w:hAnsi="仿宋_GB2312" w:eastAsia="仿宋_GB2312" w:cs="仿宋_GB2312"/>
          <w:snapToGrid w:val="0"/>
          <w:color w:val="auto"/>
          <w:kern w:val="0"/>
          <w:highlight w:val="none"/>
        </w:rPr>
        <w:t xml:space="preserve"> </w:t>
      </w:r>
      <w:r>
        <w:rPr>
          <w:rFonts w:hint="eastAsia" w:ascii="仿宋_GB2312" w:hAnsi="仿宋_GB2312" w:eastAsia="仿宋_GB2312" w:cs="仿宋_GB2312"/>
          <w:bCs/>
          <w:snapToGrid w:val="0"/>
          <w:color w:val="auto"/>
          <w:kern w:val="0"/>
          <w:highlight w:val="none"/>
        </w:rPr>
        <w:t>重</w:t>
      </w:r>
      <w:r>
        <w:rPr>
          <w:rFonts w:hint="eastAsia" w:ascii="仿宋_GB2312" w:hAnsi="仿宋_GB2312" w:eastAsia="仿宋_GB2312" w:cs="仿宋_GB2312"/>
          <w:snapToGrid w:val="0"/>
          <w:color w:val="auto"/>
          <w:kern w:val="0"/>
          <w:highlight w:val="none"/>
        </w:rPr>
        <w:t>新提交的响应文件或者最后报价应按</w:t>
      </w:r>
      <w:r>
        <w:rPr>
          <w:rFonts w:hint="eastAsia" w:ascii="仿宋_GB2312" w:hAnsi="仿宋_GB2312" w:eastAsia="仿宋_GB2312" w:cs="仿宋_GB2312"/>
          <w:snapToGrid w:val="0"/>
          <w:color w:val="auto"/>
          <w:kern w:val="0"/>
          <w:szCs w:val="21"/>
          <w:highlight w:val="none"/>
        </w:rPr>
        <w:t>本章第</w:t>
      </w:r>
      <w:r>
        <w:rPr>
          <w:rFonts w:hint="eastAsia" w:ascii="仿宋_GB2312" w:hAnsi="仿宋_GB2312" w:eastAsia="仿宋_GB2312" w:cs="仿宋_GB2312"/>
          <w:snapToGrid w:val="0"/>
          <w:color w:val="auto"/>
          <w:kern w:val="0"/>
          <w:highlight w:val="none"/>
        </w:rPr>
        <w:t>21.3</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规定，</w:t>
      </w:r>
      <w:r>
        <w:rPr>
          <w:rFonts w:hint="eastAsia" w:ascii="仿宋_GB2312" w:hAnsi="仿宋_GB2312" w:eastAsia="仿宋_GB2312" w:cs="仿宋_GB2312"/>
          <w:snapToGrid w:val="0"/>
          <w:color w:val="auto"/>
          <w:kern w:val="0"/>
          <w:szCs w:val="21"/>
          <w:highlight w:val="none"/>
        </w:rPr>
        <w:t>由其法定代表人或其委托代理人签字或者加盖</w:t>
      </w:r>
      <w:r>
        <w:rPr>
          <w:rFonts w:hint="eastAsia" w:ascii="仿宋_GB2312" w:hAnsi="仿宋_GB2312" w:eastAsia="仿宋_GB2312" w:cs="仿宋_GB2312"/>
          <w:snapToGrid w:val="0"/>
          <w:color w:val="auto"/>
          <w:kern w:val="0"/>
          <w:highlight w:val="none"/>
        </w:rPr>
        <w:t>供应商单位</w:t>
      </w:r>
      <w:r>
        <w:rPr>
          <w:rFonts w:hint="eastAsia" w:ascii="仿宋_GB2312" w:hAnsi="仿宋_GB2312" w:eastAsia="仿宋_GB2312" w:cs="仿宋_GB2312"/>
          <w:snapToGrid w:val="0"/>
          <w:color w:val="auto"/>
          <w:kern w:val="0"/>
          <w:szCs w:val="21"/>
          <w:highlight w:val="none"/>
        </w:rPr>
        <w:t>章，在规定时间内密封递交给磋商小组</w:t>
      </w:r>
      <w:r>
        <w:rPr>
          <w:rFonts w:hint="eastAsia" w:ascii="仿宋_GB2312" w:hAnsi="仿宋_GB2312" w:eastAsia="仿宋_GB2312" w:cs="仿宋_GB2312"/>
          <w:bCs/>
          <w:snapToGrid w:val="0"/>
          <w:color w:val="auto"/>
          <w:kern w:val="0"/>
          <w:szCs w:val="21"/>
          <w:highlight w:val="none"/>
        </w:rPr>
        <w:t>。</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30.4</w:t>
      </w:r>
      <w:r>
        <w:rPr>
          <w:rFonts w:hint="eastAsia" w:ascii="仿宋_GB2312" w:hAnsi="仿宋_GB2312" w:eastAsia="仿宋_GB2312" w:cs="仿宋_GB2312"/>
          <w:snapToGrid w:val="0"/>
          <w:color w:val="auto"/>
          <w:kern w:val="0"/>
          <w:szCs w:val="21"/>
          <w:highlight w:val="none"/>
          <w:lang w:val="zh-CN"/>
        </w:rPr>
        <w:t>供应商的</w:t>
      </w:r>
      <w:r>
        <w:rPr>
          <w:rFonts w:hint="eastAsia" w:ascii="仿宋_GB2312" w:hAnsi="仿宋_GB2312" w:eastAsia="仿宋_GB2312" w:cs="仿宋_GB2312"/>
          <w:bCs/>
          <w:snapToGrid w:val="0"/>
          <w:color w:val="auto"/>
          <w:kern w:val="0"/>
          <w:szCs w:val="21"/>
          <w:highlight w:val="none"/>
        </w:rPr>
        <w:t>最</w:t>
      </w:r>
      <w:r>
        <w:rPr>
          <w:rFonts w:hint="eastAsia" w:ascii="仿宋_GB2312" w:hAnsi="仿宋_GB2312" w:eastAsia="仿宋_GB2312" w:cs="仿宋_GB2312"/>
          <w:snapToGrid w:val="0"/>
          <w:color w:val="auto"/>
          <w:kern w:val="0"/>
          <w:szCs w:val="21"/>
          <w:highlight w:val="none"/>
          <w:lang w:val="zh-CN"/>
        </w:rPr>
        <w:t>后</w:t>
      </w:r>
      <w:r>
        <w:rPr>
          <w:rFonts w:hint="eastAsia" w:ascii="仿宋_GB2312" w:hAnsi="仿宋_GB2312" w:eastAsia="仿宋_GB2312" w:cs="仿宋_GB2312"/>
          <w:bCs/>
          <w:snapToGrid w:val="0"/>
          <w:color w:val="auto"/>
          <w:kern w:val="0"/>
          <w:szCs w:val="21"/>
          <w:highlight w:val="none"/>
        </w:rPr>
        <w:t>报价及</w:t>
      </w:r>
      <w:r>
        <w:rPr>
          <w:rFonts w:hint="eastAsia" w:ascii="仿宋_GB2312" w:hAnsi="仿宋_GB2312" w:eastAsia="仿宋_GB2312" w:cs="仿宋_GB2312"/>
          <w:snapToGrid w:val="0"/>
          <w:color w:val="auto"/>
          <w:kern w:val="0"/>
          <w:szCs w:val="21"/>
          <w:highlight w:val="none"/>
        </w:rPr>
        <w:t>政府采购政策规定的价格扣除情况，磋商小组应召集所有参加最后报价的供应商当场开封</w:t>
      </w:r>
      <w:r>
        <w:rPr>
          <w:rFonts w:hint="eastAsia" w:ascii="仿宋_GB2312" w:hAnsi="仿宋_GB2312" w:eastAsia="仿宋_GB2312" w:cs="仿宋_GB2312"/>
          <w:bCs/>
          <w:snapToGrid w:val="0"/>
          <w:color w:val="auto"/>
          <w:kern w:val="0"/>
          <w:szCs w:val="21"/>
          <w:highlight w:val="none"/>
        </w:rPr>
        <w:t>公布，并由供应商代表签字确认。</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30.5提交首次响应文件的供应商，在提交最后报价之前，可以根据磋商情况退出磋商，</w:t>
      </w:r>
      <w:r>
        <w:rPr>
          <w:rFonts w:hint="eastAsia" w:ascii="仿宋_GB2312" w:hAnsi="仿宋_GB2312" w:eastAsia="仿宋_GB2312" w:cs="仿宋_GB2312"/>
          <w:snapToGrid w:val="0"/>
          <w:color w:val="auto"/>
          <w:kern w:val="0"/>
          <w:highlight w:val="none"/>
        </w:rPr>
        <w:t>并书面通知采购代理机构或者磋商小组。该通知由供应商法定代表人或其委托代理人签字。</w:t>
      </w:r>
      <w:r>
        <w:rPr>
          <w:rFonts w:hint="eastAsia" w:ascii="仿宋_GB2312" w:hAnsi="仿宋_GB2312" w:eastAsia="仿宋_GB2312" w:cs="仿宋_GB2312"/>
          <w:snapToGrid w:val="0"/>
          <w:color w:val="auto"/>
          <w:kern w:val="0"/>
          <w:szCs w:val="21"/>
          <w:highlight w:val="none"/>
        </w:rPr>
        <w:t>采购代理机构</w:t>
      </w:r>
      <w:r>
        <w:rPr>
          <w:rFonts w:hint="eastAsia" w:ascii="仿宋_GB2312" w:hAnsi="仿宋_GB2312" w:eastAsia="仿宋_GB2312" w:cs="仿宋_GB2312"/>
          <w:snapToGrid w:val="0"/>
          <w:color w:val="auto"/>
          <w:kern w:val="0"/>
          <w:highlight w:val="none"/>
        </w:rPr>
        <w:t>按</w:t>
      </w:r>
      <w:r>
        <w:rPr>
          <w:rFonts w:hint="eastAsia" w:ascii="仿宋_GB2312" w:hAnsi="仿宋_GB2312" w:eastAsia="仿宋_GB2312" w:cs="仿宋_GB2312"/>
          <w:snapToGrid w:val="0"/>
          <w:color w:val="auto"/>
          <w:kern w:val="0"/>
          <w:szCs w:val="21"/>
          <w:highlight w:val="none"/>
        </w:rPr>
        <w:t>本章第</w:t>
      </w:r>
      <w:r>
        <w:rPr>
          <w:rFonts w:hint="eastAsia" w:ascii="仿宋_GB2312" w:hAnsi="仿宋_GB2312" w:eastAsia="仿宋_GB2312" w:cs="仿宋_GB2312"/>
          <w:snapToGrid w:val="0"/>
          <w:color w:val="auto"/>
          <w:kern w:val="0"/>
          <w:highlight w:val="none"/>
        </w:rPr>
        <w:t>19.4</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规定</w:t>
      </w:r>
      <w:r>
        <w:rPr>
          <w:rFonts w:hint="eastAsia" w:ascii="仿宋_GB2312" w:hAnsi="仿宋_GB2312" w:eastAsia="仿宋_GB2312" w:cs="仿宋_GB2312"/>
          <w:snapToGrid w:val="0"/>
          <w:color w:val="auto"/>
          <w:kern w:val="0"/>
          <w:szCs w:val="21"/>
          <w:highlight w:val="none"/>
        </w:rPr>
        <w:t>退还退出磋商的供应商的磋商保证金。</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30.6</w:t>
      </w:r>
      <w:r>
        <w:rPr>
          <w:rFonts w:hint="eastAsia" w:ascii="仿宋_GB2312" w:hAnsi="仿宋_GB2312" w:eastAsia="仿宋_GB2312" w:cs="仿宋_GB2312"/>
          <w:snapToGrid w:val="0"/>
          <w:color w:val="auto"/>
          <w:kern w:val="0"/>
          <w:szCs w:val="21"/>
          <w:highlight w:val="none"/>
        </w:rPr>
        <w:t>提交首次响应文件的供应商，未按磋商文件规定及磋商小组要求提交最后报价</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或者</w:t>
      </w:r>
      <w:r>
        <w:rPr>
          <w:rFonts w:hint="eastAsia" w:ascii="仿宋_GB2312" w:hAnsi="仿宋_GB2312" w:eastAsia="仿宋_GB2312" w:cs="仿宋_GB2312"/>
          <w:bCs/>
          <w:snapToGrid w:val="0"/>
          <w:color w:val="auto"/>
          <w:kern w:val="0"/>
          <w:szCs w:val="21"/>
          <w:highlight w:val="none"/>
        </w:rPr>
        <w:t>重</w:t>
      </w:r>
      <w:r>
        <w:rPr>
          <w:rFonts w:hint="eastAsia" w:ascii="仿宋_GB2312" w:hAnsi="仿宋_GB2312" w:eastAsia="仿宋_GB2312" w:cs="仿宋_GB2312"/>
          <w:snapToGrid w:val="0"/>
          <w:color w:val="auto"/>
          <w:kern w:val="0"/>
          <w:szCs w:val="21"/>
          <w:highlight w:val="none"/>
        </w:rPr>
        <w:t>新提交的响应文件和最后报价</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，且又</w:t>
      </w:r>
      <w:r>
        <w:rPr>
          <w:rFonts w:hint="eastAsia" w:ascii="仿宋_GB2312" w:hAnsi="仿宋_GB2312" w:eastAsia="仿宋_GB2312" w:cs="仿宋_GB2312"/>
          <w:snapToGrid w:val="0"/>
          <w:color w:val="auto"/>
          <w:kern w:val="0"/>
          <w:highlight w:val="none"/>
        </w:rPr>
        <w:t>未按</w:t>
      </w:r>
      <w:r>
        <w:rPr>
          <w:rFonts w:hint="eastAsia" w:ascii="仿宋_GB2312" w:hAnsi="仿宋_GB2312" w:eastAsia="仿宋_GB2312" w:cs="仿宋_GB2312"/>
          <w:snapToGrid w:val="0"/>
          <w:color w:val="auto"/>
          <w:kern w:val="0"/>
          <w:szCs w:val="21"/>
          <w:highlight w:val="none"/>
        </w:rPr>
        <w:t>本章第</w:t>
      </w:r>
      <w:r>
        <w:rPr>
          <w:rFonts w:hint="eastAsia" w:ascii="仿宋_GB2312" w:hAnsi="仿宋_GB2312" w:eastAsia="仿宋_GB2312" w:cs="仿宋_GB2312"/>
          <w:snapToGrid w:val="0"/>
          <w:color w:val="auto"/>
          <w:kern w:val="0"/>
          <w:highlight w:val="none"/>
        </w:rPr>
        <w:t>30.5</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规定</w:t>
      </w:r>
      <w:r>
        <w:rPr>
          <w:rFonts w:hint="eastAsia" w:ascii="仿宋_GB2312" w:hAnsi="仿宋_GB2312" w:eastAsia="仿宋_GB2312" w:cs="仿宋_GB2312"/>
          <w:snapToGrid w:val="0"/>
          <w:color w:val="auto"/>
          <w:kern w:val="0"/>
          <w:szCs w:val="21"/>
          <w:highlight w:val="none"/>
        </w:rPr>
        <w:t>退出磋商的，供应商的磋商保证金不予退还。</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30.7磋商文件在磋商过程中未发生实质性变动的，参加磋商供应商的次轮报价不得高于上轮报价，否则视为无效响应。</w:t>
      </w:r>
    </w:p>
    <w:p>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31.响应文件评审</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31.1经磋商确定最终采购需求和提交最后报价的供应商后，由磋商小组采用综合评分法对提交最后报价的供应商的响应文件和最后报价进行综合评价。</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仿宋_GB2312" w:hAnsi="仿宋_GB2312" w:eastAsia="仿宋_GB2312" w:cs="仿宋_GB2312"/>
          <w:b/>
          <w:bCs/>
          <w:snapToGrid w:val="0"/>
          <w:color w:val="auto"/>
          <w:kern w:val="0"/>
          <w:szCs w:val="21"/>
          <w:highlight w:val="none"/>
        </w:rPr>
        <w:t>磋商须知前附表。</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31.3最后报价调整。磋商小组以各供应商最后报价为基础，按照符合政府采购支持中小企业发展的相应条件，对供应商的最后报价进行价格扣除，用扣除后的最后报价计算价格得分，具体价格扣除比例见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31.4综合评分法中的价格分采用低价优先法计算，即满足磋商文件要求且经调整后的最后报价最低的供应商的价格为磋商基准价，其价格分为满分。其他供应商的价格分按照下列公式计算：</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磋商报价得分=（磋商基准价/最后磋商报价）×价格权值×100</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项目评审过程中，不得去掉最后报价中的最高报价和最低报价。</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31.5</w:t>
      </w:r>
      <w:r>
        <w:rPr>
          <w:rFonts w:hint="eastAsia" w:ascii="仿宋_GB2312" w:hAnsi="仿宋_GB2312" w:eastAsia="仿宋_GB2312" w:cs="仿宋_GB2312"/>
          <w:snapToGrid w:val="0"/>
          <w:color w:val="auto"/>
          <w:kern w:val="0"/>
          <w:szCs w:val="21"/>
          <w:highlight w:val="none"/>
        </w:rPr>
        <w:t>涉及政府采购政策优惠对供应商分值进行调整的，</w:t>
      </w:r>
      <w:r>
        <w:rPr>
          <w:rFonts w:hint="eastAsia" w:ascii="仿宋_GB2312" w:hAnsi="仿宋_GB2312" w:eastAsia="仿宋_GB2312" w:cs="仿宋_GB2312"/>
          <w:bCs/>
          <w:snapToGrid w:val="0"/>
          <w:color w:val="auto"/>
          <w:kern w:val="0"/>
          <w:szCs w:val="21"/>
          <w:highlight w:val="none"/>
        </w:rPr>
        <w:t>按</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bCs/>
          <w:snapToGrid w:val="0"/>
          <w:color w:val="auto"/>
          <w:kern w:val="0"/>
          <w:szCs w:val="21"/>
          <w:highlight w:val="none"/>
        </w:rPr>
        <w:t>规定</w:t>
      </w:r>
      <w:r>
        <w:rPr>
          <w:rFonts w:hint="eastAsia" w:ascii="仿宋_GB2312" w:hAnsi="仿宋_GB2312" w:eastAsia="仿宋_GB2312" w:cs="仿宋_GB2312"/>
          <w:snapToGrid w:val="0"/>
          <w:color w:val="auto"/>
          <w:kern w:val="0"/>
          <w:szCs w:val="21"/>
          <w:highlight w:val="none"/>
        </w:rPr>
        <w:t>调整供应商的技术、商务、价格得分或总得分。</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31.6涉及多处或部分获得政府采购政策优惠的，其多处或部分享受政府采购优惠政策的计算方法见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相关规定。</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31.7评审时，磋商小组各成员应当独立对每个供应商的</w:t>
      </w:r>
      <w:r>
        <w:rPr>
          <w:rFonts w:hint="eastAsia" w:ascii="仿宋_GB2312" w:hAnsi="仿宋_GB2312" w:eastAsia="仿宋_GB2312" w:cs="仿宋_GB2312"/>
          <w:bCs/>
          <w:snapToGrid w:val="0"/>
          <w:color w:val="auto"/>
          <w:kern w:val="0"/>
          <w:szCs w:val="21"/>
          <w:highlight w:val="none"/>
        </w:rPr>
        <w:t>响应文件</w:t>
      </w:r>
      <w:r>
        <w:rPr>
          <w:rFonts w:hint="eastAsia" w:ascii="仿宋_GB2312" w:hAnsi="仿宋_GB2312" w:eastAsia="仿宋_GB2312" w:cs="仿宋_GB2312"/>
          <w:snapToGrid w:val="0"/>
          <w:color w:val="auto"/>
          <w:kern w:val="0"/>
          <w:szCs w:val="21"/>
          <w:highlight w:val="none"/>
        </w:rPr>
        <w:t>进行评价、评分，并按照政府采购优惠政策对最后报价进行价格扣除和技术、商务、价格加分后，汇总各供应商的总得分。</w:t>
      </w:r>
    </w:p>
    <w:p>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32</w:t>
      </w:r>
      <w:r>
        <w:rPr>
          <w:rFonts w:hint="eastAsia" w:ascii="仿宋_GB2312" w:hAnsi="仿宋_GB2312" w:eastAsia="仿宋_GB2312" w:cs="仿宋_GB2312"/>
          <w:b/>
          <w:snapToGrid w:val="0"/>
          <w:color w:val="auto"/>
          <w:kern w:val="0"/>
          <w:szCs w:val="21"/>
          <w:highlight w:val="none"/>
        </w:rPr>
        <w:t>.</w:t>
      </w:r>
      <w:r>
        <w:rPr>
          <w:rFonts w:hint="eastAsia" w:ascii="仿宋_GB2312" w:hAnsi="仿宋_GB2312" w:eastAsia="仿宋_GB2312" w:cs="仿宋_GB2312"/>
          <w:b/>
          <w:bCs/>
          <w:snapToGrid w:val="0"/>
          <w:color w:val="auto"/>
          <w:kern w:val="0"/>
          <w:szCs w:val="21"/>
          <w:highlight w:val="none"/>
        </w:rPr>
        <w:t>提出成交供应商</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 xml:space="preserve">    32.1</w:t>
      </w:r>
      <w:r>
        <w:rPr>
          <w:rFonts w:hint="eastAsia" w:ascii="仿宋_GB2312" w:hAnsi="仿宋_GB2312" w:eastAsia="仿宋_GB2312" w:cs="仿宋_GB2312"/>
          <w:bCs/>
          <w:snapToGrid w:val="0"/>
          <w:color w:val="auto"/>
          <w:kern w:val="0"/>
          <w:szCs w:val="21"/>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财库〔2014〕214号</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仿宋_GB2312" w:hAnsi="仿宋_GB2312" w:eastAsia="仿宋_GB2312" w:cs="仿宋_GB2312"/>
          <w:bCs/>
          <w:snapToGrid w:val="0"/>
          <w:color w:val="auto"/>
          <w:kern w:val="0"/>
          <w:szCs w:val="21"/>
          <w:highlight w:val="none"/>
        </w:rPr>
        <w:t>可以推荐2家成交候选供应商。</w:t>
      </w:r>
    </w:p>
    <w:p>
      <w:pPr>
        <w:pageBreakBefore w:val="0"/>
        <w:tabs>
          <w:tab w:val="left" w:pos="0"/>
        </w:tabs>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33.确定成交供应商</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33.1采购代理机构应当在评审结束后2个工作日内将评审报告送采购人确认。</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33.2采购人应当在收到评审报告后5个工作日内，从评审报告提出的成交候选供应商中，按照排序由高到低的原则确定成交供应商，也可以书面授权磋商小组直接确定成交供应商。</w:t>
      </w:r>
    </w:p>
    <w:p>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34.磋商终止</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34.1</w:t>
      </w:r>
      <w:r>
        <w:rPr>
          <w:rFonts w:hint="eastAsia" w:ascii="仿宋_GB2312" w:hAnsi="仿宋_GB2312" w:eastAsia="仿宋_GB2312" w:cs="仿宋_GB2312"/>
          <w:snapToGrid w:val="0"/>
          <w:color w:val="auto"/>
          <w:kern w:val="0"/>
          <w:szCs w:val="21"/>
          <w:highlight w:val="none"/>
        </w:rPr>
        <w:t>出现下列情形之一的，采购人或者采购代理机构应当终止竞争性磋商采购活动，</w:t>
      </w:r>
      <w:r>
        <w:rPr>
          <w:rFonts w:hint="eastAsia" w:ascii="仿宋_GB2312" w:hAnsi="仿宋_GB2312" w:eastAsia="仿宋_GB2312" w:cs="仿宋_GB2312"/>
          <w:snapToGrid w:val="0"/>
          <w:color w:val="auto"/>
          <w:kern w:val="0"/>
          <w:highlight w:val="none"/>
        </w:rPr>
        <w:t>在本章第37.1款指定的媒体上</w:t>
      </w:r>
      <w:r>
        <w:rPr>
          <w:rFonts w:hint="eastAsia" w:ascii="仿宋_GB2312" w:hAnsi="仿宋_GB2312" w:eastAsia="仿宋_GB2312" w:cs="仿宋_GB2312"/>
          <w:snapToGrid w:val="0"/>
          <w:color w:val="auto"/>
          <w:kern w:val="0"/>
          <w:szCs w:val="21"/>
          <w:highlight w:val="none"/>
        </w:rPr>
        <w:t xml:space="preserve">发布项目终止公告并说明原因，重新开展采购活动： </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（1）因情况变化，不再符合规定的竞争性磋商采购方式适用情形的；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（2）出现影响采购公正的违法、违规行为的；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w:t>
      </w:r>
      <w:r>
        <w:rPr>
          <w:rFonts w:hint="eastAsia" w:ascii="仿宋_GB2312" w:hAnsi="仿宋_GB2312" w:eastAsia="仿宋_GB2312" w:cs="仿宋_GB2312"/>
          <w:bCs/>
          <w:snapToGrid w:val="0"/>
          <w:color w:val="auto"/>
          <w:kern w:val="0"/>
          <w:szCs w:val="21"/>
          <w:highlight w:val="none"/>
        </w:rPr>
        <w:t>除《政府采购竞争性磋商采购方式管理暂行办法》</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财库〔2014〕214号</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仿宋_GB2312" w:hAnsi="仿宋_GB2312" w:eastAsia="仿宋_GB2312" w:cs="仿宋_GB2312"/>
          <w:bCs/>
          <w:snapToGrid w:val="0"/>
          <w:color w:val="auto"/>
          <w:kern w:val="0"/>
          <w:szCs w:val="21"/>
          <w:highlight w:val="none"/>
        </w:rPr>
        <w:t>情形外，在采购过程中符合要求的供应商或者报价未超过采购预算的供应商不足3家的；</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（4）因重大变故，采购任务取消的。</w:t>
      </w:r>
    </w:p>
    <w:p>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lang w:eastAsia="zh-CN"/>
        </w:rPr>
        <w:t>35.</w:t>
      </w:r>
      <w:r>
        <w:rPr>
          <w:rFonts w:hint="eastAsia" w:ascii="仿宋_GB2312" w:hAnsi="仿宋_GB2312" w:eastAsia="仿宋_GB2312" w:cs="仿宋_GB2312"/>
          <w:b/>
          <w:snapToGrid w:val="0"/>
          <w:color w:val="auto"/>
          <w:kern w:val="0"/>
          <w:szCs w:val="21"/>
          <w:highlight w:val="none"/>
        </w:rPr>
        <w:t>重新评审</w:t>
      </w:r>
    </w:p>
    <w:p>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36.保密及串通行为</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36.1磋商小组成员以及与评审工作有关的人员不得泄露评审情况以及评审过程中获悉的国家秘密、商业秘密。</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36.2供应商不得与采购人、采购代理机构、其他供应商恶意串通；不得向采购人、采购代理机构或者磋商小组成员行贿或者提供其他不正当利益；不得提供虚假资料谋取成交；不得以任何方式干扰、影响采购工作。</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rPr>
        <w:t>36.3</w:t>
      </w:r>
      <w:r>
        <w:rPr>
          <w:rFonts w:hint="eastAsia" w:ascii="仿宋_GB2312" w:hAnsi="仿宋_GB2312" w:eastAsia="仿宋_GB2312" w:cs="仿宋_GB2312"/>
          <w:snapToGrid w:val="0"/>
          <w:color w:val="auto"/>
          <w:sz w:val="21"/>
          <w:szCs w:val="21"/>
          <w:highlight w:val="none"/>
          <w:lang w:val="zh-CN"/>
        </w:rPr>
        <w:t>有下列情形之一的，属于恶意串通，对供应商依照政府采购法第七十七条第一款的规定追究法律责任：</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（一）供应商直接或者间接从采购人或者采购代理机构处获得其他供应商的相关情况并修改其投标文件或者响应文件；</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（二）供应商按照采购人或者采购代理机构的授意撤换、修改投标文件或者响应文件；</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（三）供应商之间协商报价、技术方案等投标文件或者响应文件的实质性内容；</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（四）属于同一集团、协会、商会等组织成员的供应商按照该组织要求协同参加政府采购活动；</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（五）供应商之间事先约定由某一特定供应商中标、成交；</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（六）供应商之间商定部分供应商放弃参加政府采购活动或者放弃中标、成交；</w:t>
      </w:r>
    </w:p>
    <w:p>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（七）供应商与采购人或者采购代理机构之间、供应商相互之间，为谋求特定供应商中标、成交或者排斥其他供应商的其他串通行为。</w:t>
      </w:r>
    </w:p>
    <w:p>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13" w:name="_Toc14496"/>
      <w:r>
        <w:rPr>
          <w:rFonts w:hint="eastAsia" w:ascii="仿宋_GB2312" w:hAnsi="仿宋_GB2312" w:eastAsia="仿宋_GB2312" w:cs="仿宋_GB2312"/>
          <w:snapToGrid w:val="0"/>
          <w:color w:val="auto"/>
          <w:kern w:val="0"/>
          <w:sz w:val="24"/>
          <w:szCs w:val="24"/>
          <w:highlight w:val="none"/>
        </w:rPr>
        <w:t>六、成交结果信息公布与授予合同</w:t>
      </w:r>
      <w:bookmarkEnd w:id="13"/>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37.成交信息的公布</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37.1成交供应商确定后2个工作日内，成交结果信息将在</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指定的媒体上公布。</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38.询问及质疑</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szCs w:val="21"/>
          <w:highlight w:val="none"/>
        </w:rPr>
        <w:t>38.1供应商对政府采购活动事项有疑问的，可以向采购人或采购代理机构提出询问。</w:t>
      </w:r>
    </w:p>
    <w:p>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38.2供应商若认为磋商文件、采购过程和成交结果使自己的权益受到损害，可以按法律、行政法规及湖南省财政厅规范性文件规定向采购人或采购代理机构提出质疑。</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38.3接收质疑函的方式：质疑函原件可采取当面递交或邮寄、快递的方式送达采购人或代理机构。如采用快递形式，须用</w:t>
      </w:r>
      <w:r>
        <w:rPr>
          <w:rFonts w:hint="eastAsia" w:ascii="仿宋_GB2312" w:hAnsi="仿宋_GB2312" w:eastAsia="仿宋_GB2312" w:cs="仿宋_GB2312"/>
          <w:b/>
          <w:bCs/>
          <w:snapToGrid w:val="0"/>
          <w:color w:val="auto"/>
          <w:kern w:val="0"/>
          <w:szCs w:val="21"/>
          <w:highlight w:val="none"/>
        </w:rPr>
        <w:t>EMS。</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39.成交通知</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39.1成交供应商确定后，采购人或采购代理机构将以书面形式向成交供应商发出成交通知书。成交通知书对采购人和成交供应商具有同等法律效力。</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39.2 成交通知书是合同文件的组成部分。</w:t>
      </w:r>
    </w:p>
    <w:p>
      <w:pPr>
        <w:pageBreakBefore w:val="0"/>
        <w:tabs>
          <w:tab w:val="left" w:pos="7560"/>
          <w:tab w:val="left" w:pos="7740"/>
          <w:tab w:val="left" w:pos="7920"/>
        </w:tabs>
        <w:kinsoku/>
        <w:wordWrap/>
        <w:overflowPunct/>
        <w:topLinePunct w:val="0"/>
        <w:autoSpaceDE/>
        <w:autoSpaceDN w:val="0"/>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39.3 成交供应商在收到采购代理机构的成交通知书后10日内，应按照</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的规定，向采购人提交履约担保。联合体成交的，履约担保由联合体各方或</w:t>
      </w:r>
      <w:r>
        <w:rPr>
          <w:rFonts w:hint="eastAsia" w:ascii="仿宋_GB2312" w:hAnsi="仿宋_GB2312" w:eastAsia="仿宋_GB2312" w:cs="仿宋_GB2312"/>
          <w:snapToGrid w:val="0"/>
          <w:color w:val="auto"/>
          <w:kern w:val="0"/>
          <w:szCs w:val="21"/>
          <w:highlight w:val="none"/>
          <w:lang w:eastAsia="zh-CN"/>
        </w:rPr>
        <w:t>联合体</w:t>
      </w:r>
      <w:r>
        <w:rPr>
          <w:rFonts w:hint="eastAsia" w:ascii="仿宋_GB2312" w:hAnsi="仿宋_GB2312" w:eastAsia="仿宋_GB2312" w:cs="仿宋_GB2312"/>
          <w:snapToGrid w:val="0"/>
          <w:color w:val="auto"/>
          <w:kern w:val="0"/>
          <w:szCs w:val="21"/>
          <w:highlight w:val="none"/>
        </w:rPr>
        <w:t>牵头人的名义提交。</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39.4 成交供应商没有按照本章第39.3</w:t>
      </w:r>
      <w:r>
        <w:rPr>
          <w:rFonts w:hint="eastAsia" w:ascii="仿宋_GB2312" w:hAnsi="仿宋_GB2312" w:eastAsia="仿宋_GB2312" w:cs="仿宋_GB2312"/>
          <w:snapToGrid w:val="0"/>
          <w:color w:val="auto"/>
          <w:kern w:val="0"/>
          <w:highlight w:val="none"/>
          <w:lang w:val="zh-CN"/>
        </w:rPr>
        <w:t>款</w:t>
      </w:r>
      <w:r>
        <w:rPr>
          <w:rFonts w:hint="eastAsia" w:ascii="仿宋_GB2312" w:hAnsi="仿宋_GB2312" w:eastAsia="仿宋_GB2312" w:cs="仿宋_GB2312"/>
          <w:snapToGrid w:val="0"/>
          <w:color w:val="auto"/>
          <w:kern w:val="0"/>
          <w:highlight w:val="none"/>
        </w:rPr>
        <w:t>规定提交履约担保的，视为放弃成交资格，其保证金不予退还。</w:t>
      </w:r>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40.签订合同</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40.1成交供应商应当在成交通知书发出之日起30日内与采购人签订政府采购合同。</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40.2磋商文件、成交供应商的响应文件等均为签订政府采购合同的依据。</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40.3 成交供应商应当按照合同约定履行义务。成交供应商不得向他人转让成交项目，也不得将成交项目分包后分别向他人转让。</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40.4 成交供应商有下列情形之一的，责令限期改正，情节严重的，列入不良行为记录名单，在1至3年内禁止参加政府采购活动，并予以通报：</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（一）成交后无正当理由不与采购人签订合同的；</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（二）未按照采购文件确定的事项签订政府采购合同，或者与采购人另行订立背离合同实质性内容的协议的；</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（三）拒绝履行合同义务的；</w:t>
      </w:r>
    </w:p>
    <w:p>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（四）违反法律、规章、规范性文件规定的。</w:t>
      </w:r>
    </w:p>
    <w:p>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14" w:name="_Toc1392"/>
      <w:r>
        <w:rPr>
          <w:rFonts w:hint="eastAsia" w:ascii="仿宋_GB2312" w:hAnsi="仿宋_GB2312" w:eastAsia="仿宋_GB2312" w:cs="仿宋_GB2312"/>
          <w:snapToGrid w:val="0"/>
          <w:color w:val="auto"/>
          <w:kern w:val="0"/>
          <w:sz w:val="24"/>
          <w:szCs w:val="24"/>
          <w:highlight w:val="none"/>
        </w:rPr>
        <w:t>七、其他规定</w:t>
      </w:r>
      <w:bookmarkEnd w:id="14"/>
    </w:p>
    <w:p>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41.1采购代理服务费</w:t>
      </w:r>
    </w:p>
    <w:p>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41.1采购代理机构应按</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规定收取采购代理服务费。</w:t>
      </w:r>
    </w:p>
    <w:p>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41.2集中采购机构不得收取采购代理服务费。</w:t>
      </w:r>
    </w:p>
    <w:p>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szCs w:val="21"/>
          <w:highlight w:val="none"/>
        </w:rPr>
        <w:t>42.</w:t>
      </w:r>
      <w:r>
        <w:rPr>
          <w:rFonts w:hint="eastAsia" w:ascii="仿宋_GB2312" w:hAnsi="仿宋_GB2312" w:eastAsia="仿宋_GB2312" w:cs="仿宋_GB2312"/>
          <w:b/>
          <w:snapToGrid w:val="0"/>
          <w:color w:val="auto"/>
          <w:kern w:val="0"/>
          <w:highlight w:val="none"/>
        </w:rPr>
        <w:t xml:space="preserve"> 其他规定</w:t>
      </w:r>
    </w:p>
    <w:p>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42.1</w:t>
      </w:r>
      <w:r>
        <w:rPr>
          <w:rFonts w:hint="eastAsia" w:ascii="仿宋_GB2312" w:hAnsi="仿宋_GB2312" w:eastAsia="仿宋_GB2312" w:cs="仿宋_GB2312"/>
          <w:snapToGrid w:val="0"/>
          <w:color w:val="auto"/>
          <w:kern w:val="0"/>
          <w:szCs w:val="21"/>
          <w:highlight w:val="none"/>
        </w:rPr>
        <w:t>磋商文件</w:t>
      </w:r>
      <w:r>
        <w:rPr>
          <w:rFonts w:hint="eastAsia" w:ascii="仿宋_GB2312" w:hAnsi="仿宋_GB2312" w:eastAsia="仿宋_GB2312" w:cs="仿宋_GB2312"/>
          <w:snapToGrid w:val="0"/>
          <w:color w:val="auto"/>
          <w:kern w:val="0"/>
          <w:highlight w:val="none"/>
        </w:rPr>
        <w:t>的其他规定</w:t>
      </w:r>
      <w:r>
        <w:rPr>
          <w:rFonts w:hint="eastAsia" w:ascii="仿宋_GB2312" w:hAnsi="仿宋_GB2312" w:eastAsia="仿宋_GB2312" w:cs="仿宋_GB2312"/>
          <w:snapToGrid w:val="0"/>
          <w:color w:val="auto"/>
          <w:kern w:val="0"/>
          <w:szCs w:val="21"/>
          <w:highlight w:val="none"/>
        </w:rPr>
        <w:t>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w:t>
      </w:r>
    </w:p>
    <w:p>
      <w:pPr>
        <w:ind w:firstLine="643" w:firstLineChars="200"/>
        <w:rPr>
          <w:rFonts w:hint="eastAsia" w:ascii="仿宋_GB2312" w:hAnsi="仿宋_GB2312" w:eastAsia="仿宋_GB2312" w:cs="仿宋_GB2312"/>
          <w:b/>
          <w:snapToGrid w:val="0"/>
          <w:color w:val="auto"/>
          <w:kern w:val="0"/>
          <w:sz w:val="32"/>
          <w:szCs w:val="32"/>
          <w:highlight w:val="none"/>
        </w:rPr>
      </w:pPr>
      <w:r>
        <w:rPr>
          <w:rFonts w:hint="eastAsia" w:ascii="仿宋_GB2312" w:hAnsi="仿宋_GB2312" w:eastAsia="仿宋_GB2312" w:cs="仿宋_GB2312"/>
          <w:b/>
          <w:snapToGrid w:val="0"/>
          <w:color w:val="auto"/>
          <w:kern w:val="0"/>
          <w:sz w:val="32"/>
          <w:szCs w:val="32"/>
          <w:highlight w:val="none"/>
        </w:rPr>
        <w:br w:type="page"/>
      </w:r>
    </w:p>
    <w:p>
      <w:pPr>
        <w:pStyle w:val="2"/>
        <w:keepNext/>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15" w:name="_Toc27177"/>
      <w:r>
        <w:rPr>
          <w:rFonts w:hint="eastAsia" w:ascii="仿宋_GB2312" w:hAnsi="仿宋_GB2312" w:eastAsia="仿宋_GB2312" w:cs="仿宋_GB2312"/>
          <w:snapToGrid w:val="0"/>
          <w:color w:val="auto"/>
          <w:kern w:val="0"/>
          <w:sz w:val="32"/>
          <w:szCs w:val="32"/>
          <w:highlight w:val="none"/>
        </w:rPr>
        <w:t>政府采购合同格式</w:t>
      </w:r>
      <w:bookmarkEnd w:id="15"/>
    </w:p>
    <w:p>
      <w:pPr>
        <w:widowControl w:val="0"/>
        <w:jc w:val="center"/>
        <w:rPr>
          <w:rFonts w:hint="default" w:ascii="宋体" w:hAnsi="宋体" w:eastAsia="宋体" w:cs="宋体"/>
          <w:b/>
          <w:color w:val="auto"/>
          <w:sz w:val="52"/>
          <w:szCs w:val="52"/>
          <w:highlight w:val="none"/>
          <w:lang w:val="en-US" w:eastAsia="zh-CN"/>
        </w:rPr>
      </w:pPr>
      <w:r>
        <w:rPr>
          <w:rFonts w:hint="eastAsia" w:ascii="宋体" w:hAnsi="宋体" w:cs="宋体"/>
          <w:b/>
          <w:color w:val="auto"/>
          <w:sz w:val="52"/>
          <w:szCs w:val="52"/>
          <w:highlight w:val="none"/>
          <w:lang w:val="en-US" w:eastAsia="zh-CN"/>
        </w:rPr>
        <w:t>吉首市第一中学场馆改造项目</w:t>
      </w:r>
      <w:r>
        <w:rPr>
          <w:rFonts w:hint="eastAsia" w:ascii="宋体" w:hAnsi="宋体" w:eastAsia="宋体" w:cs="宋体"/>
          <w:b/>
          <w:color w:val="auto"/>
          <w:sz w:val="52"/>
          <w:szCs w:val="52"/>
          <w:highlight w:val="none"/>
          <w:lang w:val="en-US" w:eastAsia="zh-CN"/>
        </w:rPr>
        <w:t>施工合同</w:t>
      </w:r>
    </w:p>
    <w:p>
      <w:pPr>
        <w:snapToGrid w:val="0"/>
        <w:spacing w:line="360" w:lineRule="auto"/>
        <w:rPr>
          <w:rFonts w:hint="eastAsia" w:ascii="宋体" w:hAnsi="宋体" w:eastAsia="宋体" w:cs="宋体"/>
          <w:color w:val="auto"/>
          <w:sz w:val="28"/>
          <w:szCs w:val="28"/>
          <w:highlight w:val="none"/>
        </w:rPr>
      </w:pPr>
    </w:p>
    <w:p>
      <w:pPr>
        <w:widowControl w:val="0"/>
        <w:spacing w:after="120"/>
        <w:jc w:val="both"/>
        <w:rPr>
          <w:rFonts w:hint="eastAsia" w:ascii="宋体" w:hAnsi="宋体" w:eastAsia="宋体" w:cs="宋体"/>
          <w:color w:val="auto"/>
          <w:kern w:val="0"/>
          <w:sz w:val="28"/>
          <w:szCs w:val="28"/>
          <w:highlight w:val="none"/>
          <w:lang w:val="en-US" w:eastAsia="zh-CN" w:bidi="ar-SA"/>
        </w:rPr>
      </w:pPr>
    </w:p>
    <w:p>
      <w:pPr>
        <w:widowControl w:val="0"/>
        <w:spacing w:after="120"/>
        <w:jc w:val="both"/>
        <w:rPr>
          <w:rFonts w:hint="eastAsia" w:ascii="宋体" w:hAnsi="宋体" w:eastAsia="宋体" w:cs="宋体"/>
          <w:color w:val="auto"/>
          <w:kern w:val="0"/>
          <w:sz w:val="28"/>
          <w:szCs w:val="28"/>
          <w:highlight w:val="none"/>
          <w:lang w:val="en-US" w:eastAsia="zh-CN" w:bidi="ar-SA"/>
        </w:rPr>
      </w:pPr>
    </w:p>
    <w:p>
      <w:pPr>
        <w:widowControl w:val="0"/>
        <w:spacing w:after="120"/>
        <w:jc w:val="both"/>
        <w:rPr>
          <w:rFonts w:hint="eastAsia" w:ascii="宋体" w:hAnsi="宋体" w:eastAsia="宋体" w:cs="宋体"/>
          <w:color w:val="auto"/>
          <w:kern w:val="0"/>
          <w:sz w:val="28"/>
          <w:szCs w:val="28"/>
          <w:highlight w:val="none"/>
          <w:lang w:val="en-US" w:eastAsia="zh-CN" w:bidi="ar-SA"/>
        </w:rPr>
      </w:pPr>
    </w:p>
    <w:p>
      <w:pPr>
        <w:widowControl w:val="0"/>
        <w:spacing w:after="120"/>
        <w:jc w:val="both"/>
        <w:rPr>
          <w:rFonts w:hint="eastAsia" w:ascii="宋体" w:hAnsi="宋体" w:eastAsia="宋体" w:cs="宋体"/>
          <w:color w:val="auto"/>
          <w:kern w:val="0"/>
          <w:sz w:val="28"/>
          <w:szCs w:val="28"/>
          <w:highlight w:val="none"/>
          <w:lang w:val="en-US" w:eastAsia="zh-CN" w:bidi="ar-SA"/>
        </w:rPr>
      </w:pPr>
    </w:p>
    <w:p>
      <w:pPr>
        <w:snapToGrid w:val="0"/>
        <w:spacing w:line="336" w:lineRule="auto"/>
        <w:rPr>
          <w:rFonts w:hint="eastAsia" w:ascii="宋体" w:hAnsi="宋体" w:eastAsia="宋体" w:cs="宋体"/>
          <w:color w:val="auto"/>
          <w:sz w:val="28"/>
          <w:szCs w:val="28"/>
          <w:highlight w:val="none"/>
        </w:rPr>
      </w:pPr>
    </w:p>
    <w:p>
      <w:pPr>
        <w:spacing w:line="360" w:lineRule="auto"/>
        <w:ind w:left="1679" w:leftChars="133" w:hanging="1400" w:hangingChars="500"/>
        <w:jc w:val="left"/>
        <w:rPr>
          <w:rFonts w:hint="default"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lang w:val="en-US" w:eastAsia="zh-CN"/>
        </w:rPr>
        <w:t>项目</w:t>
      </w:r>
      <w:r>
        <w:rPr>
          <w:rFonts w:hint="eastAsia" w:ascii="宋体" w:hAnsi="宋体" w:eastAsia="宋体" w:cs="宋体"/>
          <w:color w:val="auto"/>
          <w:sz w:val="28"/>
          <w:szCs w:val="28"/>
          <w:highlight w:val="none"/>
        </w:rPr>
        <w:t>名称:</w:t>
      </w:r>
      <w:r>
        <w:rPr>
          <w:rFonts w:hint="eastAsia" w:ascii="宋体" w:hAnsi="宋体" w:cs="宋体"/>
          <w:color w:val="auto"/>
          <w:sz w:val="28"/>
          <w:szCs w:val="28"/>
          <w:highlight w:val="none"/>
          <w:u w:val="single"/>
          <w:lang w:val="en-US" w:eastAsia="zh-CN"/>
        </w:rPr>
        <w:t xml:space="preserve">吉首市第一中学场馆改造项目        </w:t>
      </w:r>
    </w:p>
    <w:p>
      <w:pPr>
        <w:spacing w:line="360" w:lineRule="auto"/>
        <w:ind w:firstLine="280" w:firstLineChars="1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发 包 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lang w:val="en-US" w:eastAsia="zh-CN"/>
        </w:rPr>
        <w:t>吉首市第一中学</w:t>
      </w:r>
      <w:r>
        <w:rPr>
          <w:rFonts w:hint="eastAsia" w:ascii="宋体" w:hAnsi="宋体" w:eastAsia="宋体" w:cs="宋体"/>
          <w:color w:val="auto"/>
          <w:sz w:val="28"/>
          <w:szCs w:val="28"/>
          <w:highlight w:val="none"/>
          <w:u w:val="single"/>
          <w:lang w:val="en-US" w:eastAsia="zh-CN"/>
        </w:rPr>
        <w:t xml:space="preserve">          </w:t>
      </w:r>
    </w:p>
    <w:p>
      <w:pPr>
        <w:spacing w:line="360" w:lineRule="auto"/>
        <w:ind w:firstLine="280" w:firstLineChars="1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承 包 人:</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u w:val="single"/>
          <w:lang w:val="en-US" w:eastAsia="zh-CN"/>
        </w:rPr>
        <w:t xml:space="preserve">                                 </w:t>
      </w:r>
    </w:p>
    <w:p>
      <w:pPr>
        <w:spacing w:line="360" w:lineRule="auto"/>
        <w:ind w:firstLine="280" w:firstLineChars="1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签订日期: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2026年  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p>
    <w:p>
      <w:pPr>
        <w:spacing w:line="360" w:lineRule="auto"/>
        <w:ind w:firstLine="280" w:firstLineChars="100"/>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28"/>
          <w:szCs w:val="28"/>
          <w:highlight w:val="none"/>
        </w:rPr>
        <w:t>签订地点:</w:t>
      </w:r>
      <w:r>
        <w:rPr>
          <w:rFonts w:hint="eastAsia" w:ascii="宋体" w:hAnsi="宋体" w:eastAsia="宋体" w:cs="宋体"/>
          <w:color w:val="auto"/>
          <w:sz w:val="28"/>
          <w:szCs w:val="28"/>
          <w:highlight w:val="none"/>
          <w:u w:val="single"/>
          <w:lang w:val="en-US" w:eastAsia="zh-CN"/>
        </w:rPr>
        <w:t xml:space="preserve">     </w:t>
      </w:r>
      <w:r>
        <w:rPr>
          <w:rFonts w:hint="eastAsia" w:ascii="宋体" w:hAnsi="宋体" w:cs="宋体"/>
          <w:color w:val="auto"/>
          <w:kern w:val="0"/>
          <w:sz w:val="28"/>
          <w:szCs w:val="28"/>
          <w:highlight w:val="none"/>
          <w:u w:val="single"/>
          <w:lang w:eastAsia="zh-CN"/>
        </w:rPr>
        <w:t>湖南省吉首市双塘镇兴田村</w:t>
      </w:r>
      <w:r>
        <w:rPr>
          <w:rFonts w:hint="eastAsia" w:ascii="宋体" w:hAnsi="宋体" w:eastAsia="宋体" w:cs="宋体"/>
          <w:color w:val="auto"/>
          <w:kern w:val="0"/>
          <w:sz w:val="28"/>
          <w:szCs w:val="28"/>
          <w:highlight w:val="none"/>
          <w:u w:val="single"/>
          <w:lang w:val="en-US" w:eastAsia="zh-CN"/>
        </w:rPr>
        <w:t xml:space="preserve">     </w:t>
      </w:r>
    </w:p>
    <w:p>
      <w:pPr>
        <w:widowControl w:val="0"/>
        <w:jc w:val="center"/>
        <w:rPr>
          <w:rFonts w:hint="eastAsia" w:ascii="宋体" w:hAnsi="宋体" w:eastAsia="宋体" w:cs="宋体"/>
          <w:b/>
          <w:color w:val="auto"/>
          <w:kern w:val="0"/>
          <w:sz w:val="84"/>
          <w:szCs w:val="84"/>
          <w:highlight w:val="none"/>
          <w:lang w:val="en-US" w:eastAsia="zh-CN" w:bidi="ar-SA"/>
        </w:rPr>
      </w:pPr>
    </w:p>
    <w:p>
      <w:pPr>
        <w:spacing w:line="360" w:lineRule="exact"/>
        <w:jc w:val="both"/>
        <w:rPr>
          <w:rFonts w:hint="eastAsia" w:ascii="宋体" w:hAnsi="宋体" w:eastAsia="宋体" w:cs="宋体"/>
          <w:b/>
          <w:bCs/>
          <w:color w:val="auto"/>
          <w:sz w:val="32"/>
          <w:szCs w:val="32"/>
          <w:highlight w:val="none"/>
        </w:rPr>
      </w:pPr>
    </w:p>
    <w:p>
      <w:pPr>
        <w:spacing w:line="360" w:lineRule="exact"/>
        <w:jc w:val="both"/>
        <w:rPr>
          <w:rFonts w:hint="eastAsia" w:ascii="宋体" w:hAnsi="宋体" w:eastAsia="宋体" w:cs="宋体"/>
          <w:b/>
          <w:bCs/>
          <w:color w:val="auto"/>
          <w:sz w:val="32"/>
          <w:szCs w:val="32"/>
          <w:highlight w:val="none"/>
        </w:rPr>
      </w:pPr>
    </w:p>
    <w:p>
      <w:pP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p>
    <w:p>
      <w:pPr>
        <w:spacing w:line="360" w:lineRule="exact"/>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合同示范文本，具体以正式签订的施工合同为准</w:t>
      </w:r>
      <w:r>
        <w:rPr>
          <w:rFonts w:hint="eastAsia" w:ascii="宋体" w:hAnsi="宋体" w:eastAsia="宋体" w:cs="宋体"/>
          <w:b/>
          <w:bCs/>
          <w:color w:val="auto"/>
          <w:sz w:val="32"/>
          <w:szCs w:val="32"/>
          <w:highlight w:val="none"/>
          <w:lang w:eastAsia="zh-CN"/>
        </w:rPr>
        <w:t>）</w:t>
      </w:r>
    </w:p>
    <w:p>
      <w:pPr>
        <w:spacing w:line="360" w:lineRule="auto"/>
        <w:ind w:right="1123"/>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2"/>
          <w:szCs w:val="32"/>
          <w:highlight w:val="none"/>
        </w:rPr>
        <w:t>合同协议书</w:t>
      </w:r>
    </w:p>
    <w:p>
      <w:pPr>
        <w:widowControl/>
        <w:ind w:firstLine="420"/>
        <w:jc w:val="left"/>
        <w:outlineLvl w:val="9"/>
        <w:rPr>
          <w:rFonts w:hint="eastAsia" w:ascii="宋体" w:hAnsi="宋体" w:eastAsia="宋体" w:cs="宋体"/>
          <w:color w:val="auto"/>
          <w:kern w:val="0"/>
          <w:sz w:val="20"/>
          <w:szCs w:val="20"/>
          <w:highlight w:val="none"/>
        </w:rPr>
      </w:pPr>
    </w:p>
    <w:p>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w:t>
      </w:r>
      <w:r>
        <w:rPr>
          <w:rFonts w:hint="eastAsia" w:ascii="宋体" w:hAnsi="宋体" w:cs="宋体"/>
          <w:color w:val="auto"/>
          <w:szCs w:val="21"/>
          <w:highlight w:val="none"/>
          <w:u w:val="single"/>
          <w:lang w:eastAsia="zh-CN"/>
        </w:rPr>
        <w:t>吉首市第一中学</w:t>
      </w:r>
      <w:r>
        <w:rPr>
          <w:rFonts w:hint="eastAsia" w:ascii="宋体" w:hAnsi="宋体" w:eastAsia="宋体" w:cs="宋体"/>
          <w:color w:val="auto"/>
          <w:szCs w:val="21"/>
          <w:highlight w:val="none"/>
        </w:rPr>
        <w:t>（以下简称甲方）</w:t>
      </w:r>
    </w:p>
    <w:p>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（以下简称乙方）</w:t>
      </w:r>
    </w:p>
    <w:p>
      <w:pPr>
        <w:pageBreakBefore w:val="0"/>
        <w:widowControl w:val="0"/>
        <w:kinsoku/>
        <w:wordWrap/>
        <w:overflowPunct/>
        <w:topLinePunct w:val="0"/>
        <w:bidi w:val="0"/>
        <w:snapToGrid/>
        <w:spacing w:line="360" w:lineRule="auto"/>
        <w:ind w:firstLine="420" w:firstLineChars="200"/>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rPr>
        <w:t>根据《中华人民共和国</w:t>
      </w:r>
      <w:r>
        <w:rPr>
          <w:rFonts w:hint="eastAsia" w:ascii="宋体" w:hAnsi="宋体" w:eastAsia="宋体" w:cs="Times New Roman"/>
          <w:color w:val="auto"/>
          <w:szCs w:val="21"/>
          <w:highlight w:val="none"/>
        </w:rPr>
        <w:t>民法典</w:t>
      </w:r>
      <w:r>
        <w:rPr>
          <w:rFonts w:ascii="宋体" w:hAnsi="宋体" w:eastAsia="宋体" w:cs="Times New Roman"/>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eastAsia="zh-CN"/>
        </w:rPr>
        <w:t>吉首市第一中学场馆改造项目</w:t>
      </w:r>
      <w:r>
        <w:rPr>
          <w:rFonts w:ascii="宋体" w:hAnsi="宋体" w:eastAsia="宋体" w:cs="Times New Roman"/>
          <w:color w:val="auto"/>
          <w:szCs w:val="21"/>
          <w:highlight w:val="none"/>
        </w:rPr>
        <w:t>工程施工及有关事项协商一致</w:t>
      </w:r>
      <w:r>
        <w:rPr>
          <w:rFonts w:hint="eastAsia" w:ascii="宋体" w:hAnsi="宋体" w:eastAsia="宋体" w:cs="Times New Roman"/>
          <w:color w:val="auto"/>
          <w:szCs w:val="21"/>
          <w:highlight w:val="none"/>
        </w:rPr>
        <w:t>，</w:t>
      </w:r>
      <w:r>
        <w:rPr>
          <w:rFonts w:ascii="宋体" w:hAnsi="宋体" w:eastAsia="宋体" w:cs="Times New Roman"/>
          <w:color w:val="auto"/>
          <w:szCs w:val="21"/>
          <w:highlight w:val="none"/>
        </w:rPr>
        <w:t>共同达成如下协议：</w:t>
      </w:r>
    </w:p>
    <w:p>
      <w:pPr>
        <w:widowControl w:val="0"/>
        <w:numPr>
          <w:ilvl w:val="0"/>
          <w:numId w:val="0"/>
        </w:numPr>
        <w:spacing w:after="120"/>
        <w:ind w:firstLine="422" w:firstLineChars="20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一、依据文件</w:t>
      </w:r>
    </w:p>
    <w:p>
      <w:pPr>
        <w:adjustRightIn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1.1《中华人民共和国民法典》</w:t>
      </w:r>
    </w:p>
    <w:p>
      <w:pPr>
        <w:adjustRightIn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1.2《中华人民共和国建筑法》</w:t>
      </w:r>
    </w:p>
    <w:p>
      <w:pPr>
        <w:adjustRightIn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1.3国家及地方有关工程施工管理法规和规章；</w:t>
      </w:r>
    </w:p>
    <w:p>
      <w:pPr>
        <w:adjustRightInd w:val="0"/>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eastAsia="宋体" w:cs="宋体"/>
          <w:bCs/>
          <w:color w:val="auto"/>
          <w:szCs w:val="21"/>
          <w:highlight w:val="none"/>
          <w:lang w:val="en-US" w:eastAsia="zh-CN"/>
        </w:rPr>
        <w:t>1.4建设工程批准文件。</w:t>
      </w:r>
    </w:p>
    <w:p>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二</w:t>
      </w:r>
      <w:r>
        <w:rPr>
          <w:rFonts w:hint="eastAsia" w:ascii="宋体" w:hAnsi="宋体" w:eastAsia="宋体" w:cs="宋体"/>
          <w:b/>
          <w:color w:val="auto"/>
          <w:szCs w:val="21"/>
          <w:highlight w:val="none"/>
        </w:rPr>
        <w:t>、工程概况</w:t>
      </w:r>
    </w:p>
    <w:p>
      <w:pPr>
        <w:adjustRightInd w:val="0"/>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工程名称：</w:t>
      </w:r>
      <w:r>
        <w:rPr>
          <w:rFonts w:hint="eastAsia" w:ascii="宋体" w:hAnsi="宋体" w:cs="宋体"/>
          <w:color w:val="auto"/>
          <w:szCs w:val="21"/>
          <w:highlight w:val="none"/>
          <w:u w:val="single"/>
          <w:lang w:eastAsia="zh-CN"/>
        </w:rPr>
        <w:t>吉首市第一中学场馆改造项目</w:t>
      </w:r>
    </w:p>
    <w:p>
      <w:pPr>
        <w:adjustRightInd w:val="0"/>
        <w:spacing w:line="360" w:lineRule="auto"/>
        <w:ind w:firstLine="420" w:firstLineChars="200"/>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工程地点：</w:t>
      </w:r>
      <w:r>
        <w:rPr>
          <w:rFonts w:hint="eastAsia" w:ascii="宋体" w:hAnsi="宋体" w:cs="宋体"/>
          <w:color w:val="auto"/>
          <w:kern w:val="0"/>
          <w:szCs w:val="21"/>
          <w:highlight w:val="none"/>
          <w:u w:val="single"/>
          <w:lang w:eastAsia="zh-CN"/>
        </w:rPr>
        <w:t>湖南省吉首市双塘镇兴田村</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工程内容：</w:t>
      </w:r>
      <w:r>
        <w:rPr>
          <w:rFonts w:hint="eastAsia" w:ascii="宋体" w:hAnsi="宋体" w:cs="宋体"/>
          <w:color w:val="auto"/>
          <w:szCs w:val="21"/>
          <w:highlight w:val="none"/>
          <w:u w:val="single"/>
          <w:lang w:val="en-US" w:eastAsia="zh-CN"/>
        </w:rPr>
        <w:t xml:space="preserve">             </w:t>
      </w:r>
    </w:p>
    <w:p>
      <w:pPr>
        <w:adjustRightIn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工程承包范围：</w:t>
      </w:r>
      <w:r>
        <w:rPr>
          <w:rFonts w:hint="eastAsia" w:ascii="宋体" w:hAnsi="宋体" w:eastAsia="宋体" w:cs="宋体"/>
          <w:color w:val="auto"/>
          <w:szCs w:val="21"/>
          <w:highlight w:val="none"/>
          <w:u w:val="single"/>
        </w:rPr>
        <w:t>具体内容详见</w:t>
      </w:r>
      <w:r>
        <w:rPr>
          <w:rFonts w:hint="eastAsia" w:ascii="宋体" w:hAnsi="宋体" w:eastAsia="宋体" w:cs="宋体"/>
          <w:color w:val="auto"/>
          <w:szCs w:val="21"/>
          <w:highlight w:val="none"/>
          <w:u w:val="single"/>
          <w:lang w:eastAsia="zh-CN"/>
        </w:rPr>
        <w:t>工程量清单、</w:t>
      </w:r>
      <w:r>
        <w:rPr>
          <w:rFonts w:hint="eastAsia" w:ascii="宋体" w:hAnsi="宋体" w:eastAsia="宋体" w:cs="宋体"/>
          <w:color w:val="auto"/>
          <w:szCs w:val="21"/>
          <w:highlight w:val="none"/>
          <w:u w:val="single"/>
        </w:rPr>
        <w:t>设计图纸及具体要求。</w:t>
      </w:r>
    </w:p>
    <w:p>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、合同工期</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计划开工日期：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none"/>
          <w:lang w:eastAsia="zh-CN"/>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日（以开工令为准）。</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计划完工日期：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工期总日历天数：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日历天</w:t>
      </w:r>
      <w:r>
        <w:rPr>
          <w:rFonts w:hint="eastAsia" w:ascii="宋体" w:hAnsi="宋体" w:eastAsia="宋体" w:cs="宋体"/>
          <w:color w:val="auto"/>
          <w:szCs w:val="21"/>
          <w:highlight w:val="none"/>
        </w:rPr>
        <w:t>。</w:t>
      </w:r>
    </w:p>
    <w:p>
      <w:pPr>
        <w:tabs>
          <w:tab w:val="left" w:pos="557"/>
        </w:tabs>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四</w:t>
      </w:r>
      <w:r>
        <w:rPr>
          <w:rFonts w:hint="eastAsia" w:ascii="宋体" w:hAnsi="宋体" w:eastAsia="宋体" w:cs="宋体"/>
          <w:b/>
          <w:bCs/>
          <w:color w:val="auto"/>
          <w:szCs w:val="21"/>
          <w:highlight w:val="none"/>
        </w:rPr>
        <w:t>、质量标准及保修</w:t>
      </w:r>
    </w:p>
    <w:p>
      <w:pPr>
        <w:adjustRightInd w:val="0"/>
        <w:spacing w:line="360" w:lineRule="auto"/>
        <w:ind w:firstLine="420" w:firstLineChars="200"/>
        <w:outlineLvl w:val="9"/>
        <w:rPr>
          <w:rFonts w:hint="default" w:ascii="宋体" w:hAnsi="宋体" w:eastAsia="宋体" w:cs="宋体"/>
          <w:b/>
          <w:color w:val="auto"/>
          <w:szCs w:val="21"/>
          <w:highlight w:val="none"/>
          <w:lang w:val="en-US" w:eastAsia="zh-CN"/>
        </w:rPr>
      </w:pPr>
      <w:r>
        <w:rPr>
          <w:rFonts w:hint="eastAsia" w:ascii="宋体" w:hAnsi="宋体" w:eastAsia="宋体" w:cs="宋体"/>
          <w:bCs/>
          <w:color w:val="auto"/>
          <w:szCs w:val="21"/>
          <w:highlight w:val="none"/>
        </w:rPr>
        <w:t>工程质量符合</w:t>
      </w:r>
      <w:r>
        <w:rPr>
          <w:rFonts w:hint="eastAsia" w:ascii="宋体" w:hAnsi="宋体" w:eastAsia="宋体" w:cs="宋体"/>
          <w:bCs/>
          <w:color w:val="auto"/>
          <w:szCs w:val="21"/>
          <w:highlight w:val="none"/>
          <w:u w:val="single"/>
        </w:rPr>
        <w:t xml:space="preserve"> 合格 </w:t>
      </w:r>
      <w:r>
        <w:rPr>
          <w:rFonts w:hint="eastAsia" w:ascii="宋体" w:hAnsi="宋体" w:eastAsia="宋体" w:cs="宋体"/>
          <w:bCs/>
          <w:color w:val="auto"/>
          <w:szCs w:val="21"/>
          <w:highlight w:val="none"/>
        </w:rPr>
        <w:t>工程标准</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按《房屋建筑工程质量保修办法》（建设部令第80号）</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本项目除有防水要求的屋顶、地面，内墙等</w:t>
      </w:r>
      <w:r>
        <w:rPr>
          <w:rFonts w:hint="eastAsia" w:ascii="宋体" w:hAnsi="宋体" w:eastAsia="宋体" w:cs="宋体"/>
          <w:bCs/>
          <w:color w:val="auto"/>
          <w:szCs w:val="21"/>
          <w:highlight w:val="none"/>
          <w:lang w:val="zh-CN" w:eastAsia="zh-CN"/>
        </w:rPr>
        <w:t>工程</w:t>
      </w:r>
      <w:r>
        <w:rPr>
          <w:rFonts w:hint="eastAsia" w:ascii="宋体" w:hAnsi="宋体" w:eastAsia="宋体" w:cs="宋体"/>
          <w:bCs/>
          <w:color w:val="auto"/>
          <w:szCs w:val="21"/>
          <w:highlight w:val="none"/>
          <w:lang w:val="en-US" w:eastAsia="zh-CN"/>
        </w:rPr>
        <w:t>质量保修期为5年外，其余工程质量保修期均为2年。</w:t>
      </w:r>
      <w:r>
        <w:rPr>
          <w:rFonts w:hint="eastAsia" w:ascii="宋体" w:hAnsi="宋体" w:cs="宋体"/>
          <w:bCs/>
          <w:color w:val="auto"/>
          <w:szCs w:val="21"/>
          <w:highlight w:val="none"/>
          <w:lang w:val="en-US" w:eastAsia="zh-CN"/>
        </w:rPr>
        <w:t>(响应文件有延长的按响应文件为准)</w:t>
      </w:r>
    </w:p>
    <w:p>
      <w:pPr>
        <w:numPr>
          <w:ilvl w:val="0"/>
          <w:numId w:val="0"/>
        </w:numPr>
        <w:adjustRightInd w:val="0"/>
        <w:spacing w:line="360" w:lineRule="auto"/>
        <w:ind w:left="420" w:leftChars="200" w:firstLine="0" w:firstLineChars="0"/>
        <w:outlineLvl w:val="9"/>
        <w:rPr>
          <w:rFonts w:hint="eastAsia" w:ascii="宋体" w:hAnsi="宋体" w:eastAsia="宋体" w:cs="宋体"/>
          <w:bCs/>
          <w:color w:val="auto"/>
          <w:szCs w:val="21"/>
          <w:highlight w:val="none"/>
        </w:rPr>
      </w:pPr>
      <w:r>
        <w:rPr>
          <w:rFonts w:hint="eastAsia" w:ascii="宋体" w:hAnsi="宋体" w:eastAsia="宋体" w:cs="宋体"/>
          <w:b/>
          <w:bCs w:val="0"/>
          <w:color w:val="auto"/>
          <w:kern w:val="2"/>
          <w:sz w:val="21"/>
          <w:szCs w:val="21"/>
          <w:highlight w:val="none"/>
          <w:lang w:val="en-US" w:eastAsia="zh-CN" w:bidi="ar-SA"/>
        </w:rPr>
        <w:t>五、</w:t>
      </w:r>
      <w:r>
        <w:rPr>
          <w:rFonts w:hint="eastAsia" w:ascii="宋体" w:hAnsi="宋体" w:eastAsia="宋体" w:cs="宋体"/>
          <w:b/>
          <w:bCs w:val="0"/>
          <w:color w:val="auto"/>
          <w:szCs w:val="21"/>
          <w:highlight w:val="none"/>
        </w:rPr>
        <w:t>签约合同价及合同价格形式</w:t>
      </w:r>
    </w:p>
    <w:p>
      <w:pPr>
        <w:numPr>
          <w:ilvl w:val="0"/>
          <w:numId w:val="0"/>
        </w:numPr>
        <w:adjustRightInd w:val="0"/>
        <w:spacing w:line="360" w:lineRule="auto"/>
        <w:ind w:left="420" w:leftChars="200" w:firstLine="422" w:firstLineChars="200"/>
        <w:outlineLvl w:val="9"/>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签约合同价（含税价）小写：¥：</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rPr>
        <w:t>元，大写：</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rPr>
        <w:t>。</w:t>
      </w:r>
    </w:p>
    <w:p>
      <w:pPr>
        <w:numPr>
          <w:ilvl w:val="0"/>
          <w:numId w:val="0"/>
        </w:numPr>
        <w:adjustRightInd w:val="0"/>
        <w:spacing w:line="360" w:lineRule="auto"/>
        <w:ind w:left="420" w:leftChars="200"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合同价格形式：</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w:t>
      </w:r>
    </w:p>
    <w:p>
      <w:pPr>
        <w:numPr>
          <w:ilvl w:val="0"/>
          <w:numId w:val="0"/>
        </w:numPr>
        <w:adjustRightInd w:val="0"/>
        <w:spacing w:line="360" w:lineRule="auto"/>
        <w:ind w:left="420" w:leftChars="200" w:firstLine="0" w:firstLineChars="0"/>
        <w:outlineLvl w:val="9"/>
        <w:rPr>
          <w:rFonts w:hint="eastAsia" w:ascii="宋体" w:hAnsi="宋体" w:eastAsia="宋体" w:cs="宋体"/>
          <w:bCs/>
          <w:color w:val="auto"/>
          <w:szCs w:val="21"/>
          <w:highlight w:val="none"/>
        </w:rPr>
      </w:pPr>
      <w:r>
        <w:rPr>
          <w:rFonts w:hint="eastAsia" w:ascii="宋体" w:hAnsi="宋体" w:eastAsia="宋体" w:cs="宋体"/>
          <w:b/>
          <w:bCs w:val="0"/>
          <w:color w:val="auto"/>
          <w:kern w:val="2"/>
          <w:sz w:val="21"/>
          <w:szCs w:val="21"/>
          <w:highlight w:val="none"/>
          <w:lang w:val="en-US" w:eastAsia="zh-CN" w:bidi="ar-SA"/>
        </w:rPr>
        <w:t>六、</w:t>
      </w:r>
      <w:r>
        <w:rPr>
          <w:rFonts w:hint="eastAsia" w:ascii="宋体" w:hAnsi="宋体" w:eastAsia="宋体" w:cs="宋体"/>
          <w:bCs/>
          <w:color w:val="auto"/>
          <w:szCs w:val="21"/>
          <w:highlight w:val="none"/>
        </w:rPr>
        <w:t>结算与付款方式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支付方式：</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color w:val="auto"/>
          <w:szCs w:val="21"/>
          <w:highlight w:val="none"/>
          <w:u w:val="single"/>
          <w:lang w:val="en-US" w:eastAsia="zh-CN"/>
        </w:rPr>
      </w:pPr>
      <w:r>
        <w:rPr>
          <w:rFonts w:hint="eastAsia" w:ascii="宋体" w:hAnsi="宋体" w:eastAsia="宋体" w:cs="宋体"/>
          <w:b/>
          <w:bCs/>
          <w:color w:val="auto"/>
          <w:szCs w:val="21"/>
          <w:highlight w:val="none"/>
        </w:rPr>
        <w:t>付款条件：</w:t>
      </w:r>
      <w:r>
        <w:rPr>
          <w:rFonts w:hint="eastAsia" w:ascii="宋体" w:hAnsi="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w:t>
      </w:r>
    </w:p>
    <w:p>
      <w:pPr>
        <w:adjustRightInd w:val="0"/>
        <w:spacing w:line="360" w:lineRule="auto"/>
        <w:ind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w:t>
      </w:r>
      <w:r>
        <w:rPr>
          <w:rFonts w:hint="eastAsia" w:ascii="宋体" w:hAnsi="宋体" w:eastAsia="宋体" w:cs="宋体"/>
          <w:color w:val="auto"/>
          <w:szCs w:val="21"/>
          <w:highlight w:val="none"/>
          <w:u w:val="single"/>
          <w:lang w:val="en-US" w:eastAsia="zh-CN"/>
        </w:rPr>
        <w:t>乙方应在本合同签订前向采购人缴纳履约保证金，履约保证金为本合同总金额的</w:t>
      </w:r>
      <w:r>
        <w:rPr>
          <w:rFonts w:hint="eastAsia" w:ascii="宋体" w:hAnsi="宋体" w:cs="宋体"/>
          <w:color w:val="auto"/>
          <w:szCs w:val="21"/>
          <w:highlight w:val="none"/>
          <w:u w:val="single"/>
          <w:lang w:val="en-US" w:eastAsia="zh-CN"/>
        </w:rPr>
        <w:t>10</w:t>
      </w:r>
      <w:r>
        <w:rPr>
          <w:rFonts w:hint="eastAsia" w:ascii="宋体" w:hAnsi="宋体" w:eastAsia="宋体" w:cs="宋体"/>
          <w:color w:val="auto"/>
          <w:szCs w:val="21"/>
          <w:highlight w:val="none"/>
          <w:u w:val="single"/>
          <w:lang w:val="en-US" w:eastAsia="zh-CN"/>
        </w:rPr>
        <w:t>%。</w:t>
      </w:r>
    </w:p>
    <w:p>
      <w:pPr>
        <w:adjustRightInd w:val="0"/>
        <w:spacing w:line="360" w:lineRule="auto"/>
        <w:ind w:firstLine="420" w:firstLineChars="200"/>
        <w:outlineLvl w:val="9"/>
        <w:rPr>
          <w:rFonts w:hint="eastAsia" w:ascii="宋体" w:hAnsi="宋体" w:eastAsia="宋体" w:cs="宋体"/>
          <w:strike w:val="0"/>
          <w:color w:val="auto"/>
          <w:szCs w:val="21"/>
          <w:highlight w:val="none"/>
          <w:lang w:val="en-US" w:eastAsia="zh-CN"/>
        </w:rPr>
      </w:pPr>
      <w:r>
        <w:rPr>
          <w:rFonts w:hint="eastAsia" w:ascii="宋体" w:hAnsi="宋体" w:eastAsia="宋体" w:cs="宋体"/>
          <w:color w:val="auto"/>
          <w:szCs w:val="21"/>
          <w:highlight w:val="none"/>
          <w:lang w:val="en-US" w:eastAsia="zh-CN"/>
        </w:rPr>
        <w:t>履约保证金的提交形式包括：</w:t>
      </w:r>
      <w:r>
        <w:rPr>
          <w:rFonts w:hint="eastAsia" w:ascii="宋体" w:hAnsi="宋体" w:eastAsia="宋体" w:cs="宋体"/>
          <w:color w:val="auto"/>
          <w:szCs w:val="21"/>
          <w:highlight w:val="none"/>
          <w:u w:val="single"/>
          <w:lang w:val="en-US" w:eastAsia="zh-CN"/>
        </w:rPr>
        <w:t>银行转账、</w:t>
      </w:r>
      <w:r>
        <w:rPr>
          <w:rFonts w:hint="eastAsia" w:ascii="宋体" w:hAnsi="宋体" w:eastAsia="宋体" w:cs="宋体"/>
          <w:strike w:val="0"/>
          <w:dstrike w:val="0"/>
          <w:color w:val="auto"/>
          <w:szCs w:val="21"/>
          <w:highlight w:val="none"/>
          <w:u w:val="single"/>
          <w:lang w:val="en-US" w:eastAsia="zh-CN"/>
        </w:rPr>
        <w:t>银行保函、保证保险</w:t>
      </w:r>
      <w:r>
        <w:rPr>
          <w:rFonts w:hint="eastAsia" w:ascii="宋体" w:hAnsi="宋体" w:eastAsia="宋体" w:cs="宋体"/>
          <w:strike w:val="0"/>
          <w:dstrike w:val="0"/>
          <w:color w:val="auto"/>
          <w:szCs w:val="21"/>
          <w:highlight w:val="none"/>
          <w:lang w:val="en-US" w:eastAsia="zh-CN"/>
        </w:rPr>
        <w:t>。</w:t>
      </w:r>
    </w:p>
    <w:p>
      <w:pPr>
        <w:adjustRightInd w:val="0"/>
        <w:spacing w:line="360" w:lineRule="auto"/>
        <w:ind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履约保证金的退还形式：</w:t>
      </w:r>
      <w:r>
        <w:rPr>
          <w:rFonts w:hint="eastAsia" w:ascii="宋体" w:hAnsi="宋体" w:eastAsia="宋体" w:cs="宋体"/>
          <w:color w:val="auto"/>
          <w:szCs w:val="21"/>
          <w:highlight w:val="none"/>
          <w:u w:val="single"/>
          <w:lang w:val="en-US" w:eastAsia="zh-CN"/>
        </w:rPr>
        <w:t>原方式退回</w:t>
      </w:r>
      <w:r>
        <w:rPr>
          <w:rFonts w:hint="eastAsia" w:ascii="宋体" w:hAnsi="宋体" w:eastAsia="宋体" w:cs="宋体"/>
          <w:color w:val="auto"/>
          <w:szCs w:val="21"/>
          <w:highlight w:val="none"/>
          <w:lang w:val="en-US" w:eastAsia="zh-CN"/>
        </w:rPr>
        <w:t>。</w:t>
      </w:r>
    </w:p>
    <w:p>
      <w:pPr>
        <w:adjustRightInd w:val="0"/>
        <w:spacing w:line="360" w:lineRule="auto"/>
        <w:ind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履约保证金退还时间：</w:t>
      </w:r>
      <w:r>
        <w:rPr>
          <w:rFonts w:hint="eastAsia" w:ascii="宋体" w:hAnsi="宋体" w:eastAsia="宋体" w:cs="宋体"/>
          <w:color w:val="auto"/>
          <w:szCs w:val="21"/>
          <w:highlight w:val="none"/>
          <w:u w:val="single"/>
          <w:lang w:val="en-US" w:eastAsia="zh-CN"/>
        </w:rPr>
        <w:t>工程竣工验收合格、竣工结算经相关部门审核定稿后，无质量问题及违约纠纷，乙方采用银行转账方式提交履约担保的</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lang w:val="en-US" w:eastAsia="zh-CN"/>
        </w:rPr>
        <w:t>采购人在15个工作日内无息全额退还履约保证金。采用银行保函、履约保证保险提交履约担保的，担保有效期自开立起至工程竣工验收合格、竣工结算审核定稿，无质量问题及违约纠纷后60日止；项目延期的，乙方须提前30日完成续保。结算办结无纠纷后，乙方自行办理保函注销、保险退保；履约期内乙方违约的，采购人可直接向担保方申请赔付抵扣损失。如乙方违反合同及其附件约定的任何义务，采购人有权在履约保证金中直接扣除乙方应向采购人支付的违约金或损失赔偿金。如有不足的，由乙方另行承担责任</w:t>
      </w:r>
      <w:r>
        <w:rPr>
          <w:rFonts w:hint="eastAsia" w:ascii="宋体" w:hAnsi="宋体" w:eastAsia="宋体" w:cs="宋体"/>
          <w:color w:val="auto"/>
          <w:szCs w:val="21"/>
          <w:highlight w:val="none"/>
          <w:lang w:val="en-US" w:eastAsia="zh-CN"/>
        </w:rPr>
        <w:t>。</w:t>
      </w:r>
    </w:p>
    <w:p>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七</w:t>
      </w:r>
      <w:r>
        <w:rPr>
          <w:rFonts w:hint="eastAsia" w:ascii="宋体" w:hAnsi="宋体" w:eastAsia="宋体" w:cs="宋体"/>
          <w:b/>
          <w:color w:val="auto"/>
          <w:szCs w:val="21"/>
          <w:highlight w:val="none"/>
        </w:rPr>
        <w:t>、合同文件构成</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（1）合同履行过程中乙方作出的承诺以及双方协商达成的变更或补充协议；</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（2）中标通知书；</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（4）专用合同条款；</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（5）通用合同条款；</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（6）标准、规范及有关技术文件，图纸，预算书；</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（7）其他合同文件。</w:t>
      </w:r>
    </w:p>
    <w:p>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八</w:t>
      </w:r>
      <w:r>
        <w:rPr>
          <w:rFonts w:hint="eastAsia" w:ascii="宋体" w:hAnsi="宋体" w:eastAsia="宋体" w:cs="宋体"/>
          <w:b/>
          <w:color w:val="auto"/>
          <w:szCs w:val="21"/>
          <w:highlight w:val="none"/>
        </w:rPr>
        <w:t>、合同纠纷解决方式</w:t>
      </w:r>
    </w:p>
    <w:p>
      <w:pPr>
        <w:spacing w:line="360" w:lineRule="auto"/>
        <w:ind w:firstLine="630" w:firstLineChars="3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首先通过双方协商解决，协商解决不成，则通过以下途径之一解决纠纷：</w:t>
      </w:r>
    </w:p>
    <w:p>
      <w:pPr>
        <w:spacing w:line="360" w:lineRule="auto"/>
        <w:ind w:firstLine="630" w:firstLineChars="300"/>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 提请仲裁       ☑ 向工程所在地人民法院提起诉讼</w:t>
      </w:r>
    </w:p>
    <w:p>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九</w:t>
      </w:r>
      <w:r>
        <w:rPr>
          <w:rFonts w:hint="eastAsia" w:ascii="宋体" w:hAnsi="宋体" w:eastAsia="宋体" w:cs="宋体"/>
          <w:b/>
          <w:color w:val="auto"/>
          <w:szCs w:val="21"/>
          <w:highlight w:val="none"/>
        </w:rPr>
        <w:t>、合同生效</w:t>
      </w:r>
    </w:p>
    <w:p>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签订之日起</w:t>
      </w:r>
      <w:r>
        <w:rPr>
          <w:rFonts w:hint="eastAsia" w:ascii="宋体" w:hAnsi="宋体" w:eastAsia="宋体" w:cs="宋体"/>
          <w:color w:val="auto"/>
          <w:szCs w:val="21"/>
          <w:highlight w:val="none"/>
        </w:rPr>
        <w:t>生效。</w:t>
      </w:r>
    </w:p>
    <w:p>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十</w:t>
      </w:r>
      <w:r>
        <w:rPr>
          <w:rFonts w:hint="eastAsia" w:ascii="宋体" w:hAnsi="宋体" w:eastAsia="宋体" w:cs="宋体"/>
          <w:b/>
          <w:color w:val="auto"/>
          <w:szCs w:val="21"/>
          <w:highlight w:val="none"/>
        </w:rPr>
        <w:t>、合同份数</w:t>
      </w:r>
    </w:p>
    <w:p>
      <w:pPr>
        <w:adjustRightInd w:val="0"/>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份，甲方执</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份，乙方执</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甲方：（公章）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乙方：（公章）</w:t>
      </w:r>
    </w:p>
    <w:p>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法定代表人： </w:t>
      </w:r>
    </w:p>
    <w:p>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委托代理人： </w:t>
      </w:r>
    </w:p>
    <w:p>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联系人：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联系人： </w:t>
      </w:r>
    </w:p>
    <w:p>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电话：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电话： </w:t>
      </w:r>
    </w:p>
    <w:p>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开户银行： </w:t>
      </w:r>
    </w:p>
    <w:p>
      <w:pPr>
        <w:snapToGrid w:val="0"/>
        <w:spacing w:line="360" w:lineRule="auto"/>
        <w:jc w:val="center"/>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帐号：</w:t>
      </w:r>
    </w:p>
    <w:p>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pPr>
        <w:tabs>
          <w:tab w:val="left" w:pos="8820"/>
          <w:tab w:val="left" w:pos="9345"/>
          <w:tab w:val="left" w:pos="9765"/>
        </w:tabs>
        <w:adjustRightInd w:val="0"/>
        <w:snapToGrid w:val="0"/>
        <w:spacing w:before="156" w:beforeLines="50" w:line="360" w:lineRule="auto"/>
        <w:ind w:right="384" w:rightChars="183"/>
        <w:jc w:val="center"/>
        <w:outlineLvl w:val="9"/>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通用条款</w:t>
      </w:r>
    </w:p>
    <w:p>
      <w:pPr>
        <w:spacing w:line="360" w:lineRule="auto"/>
        <w:jc w:val="both"/>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xml:space="preserve">  </w:t>
      </w:r>
    </w:p>
    <w:p>
      <w:pPr>
        <w:spacing w:line="360" w:lineRule="auto"/>
        <w:ind w:firstLine="420"/>
        <w:jc w:val="both"/>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按《关于印发建设工程施工合同（示范文本）（HNJS-2014）的通知》(湘建价〔2014〕114号)《建设工程施工合同》第二部分执行。详见湖南住房和建设网(www：hunanjs.gov.cn)。</w:t>
      </w:r>
    </w:p>
    <w:p>
      <w:pPr>
        <w:adjustRightInd w:val="0"/>
        <w:snapToGrid w:val="0"/>
        <w:spacing w:line="360" w:lineRule="auto"/>
        <w:ind w:firstLine="602" w:firstLineChars="200"/>
        <w:outlineLvl w:val="9"/>
        <w:rPr>
          <w:rFonts w:hint="eastAsia" w:ascii="宋体" w:hAnsi="宋体" w:eastAsia="宋体" w:cs="宋体"/>
          <w:b/>
          <w:color w:val="auto"/>
          <w:sz w:val="30"/>
          <w:szCs w:val="30"/>
          <w:highlight w:val="none"/>
        </w:rPr>
      </w:pPr>
    </w:p>
    <w:p>
      <w:pPr>
        <w:adjustRightInd w:val="0"/>
        <w:snapToGrid w:val="0"/>
        <w:spacing w:line="360" w:lineRule="exact"/>
        <w:outlineLvl w:val="9"/>
        <w:rPr>
          <w:rFonts w:hint="eastAsia" w:ascii="宋体" w:hAnsi="宋体" w:eastAsia="宋体" w:cs="宋体"/>
          <w:color w:val="auto"/>
          <w:szCs w:val="21"/>
          <w:highlight w:val="none"/>
        </w:rPr>
      </w:pPr>
    </w:p>
    <w:p>
      <w:pPr>
        <w:outlineLvl w:val="9"/>
        <w:rPr>
          <w:rFonts w:hint="eastAsia" w:ascii="宋体" w:hAnsi="宋体" w:eastAsia="宋体" w:cs="宋体"/>
          <w:color w:val="auto"/>
          <w:szCs w:val="21"/>
          <w:highlight w:val="none"/>
        </w:rPr>
      </w:pPr>
    </w:p>
    <w:p>
      <w:pPr>
        <w:adjustRightInd w:val="0"/>
        <w:snapToGrid w:val="0"/>
        <w:spacing w:line="360" w:lineRule="exact"/>
        <w:jc w:val="center"/>
        <w:outlineLvl w:val="9"/>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专用条款</w:t>
      </w:r>
    </w:p>
    <w:p>
      <w:pPr>
        <w:widowControl w:val="0"/>
        <w:snapToGrid w:val="0"/>
        <w:spacing w:after="120"/>
        <w:ind w:left="105" w:leftChars="50"/>
        <w:jc w:val="center"/>
        <w:outlineLvl w:val="9"/>
        <w:rPr>
          <w:rFonts w:hint="eastAsia" w:ascii="宋体" w:hAnsi="宋体" w:eastAsia="宋体" w:cs="宋体"/>
          <w:b/>
          <w:bCs/>
          <w:color w:val="auto"/>
          <w:kern w:val="0"/>
          <w:sz w:val="28"/>
          <w:szCs w:val="28"/>
          <w:highlight w:val="none"/>
          <w:lang w:val="en-US" w:eastAsia="zh-CN" w:bidi="ar-SA"/>
        </w:rPr>
      </w:pP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一、合同文件及适用</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1.合同组织部分</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（2）在合同履行过程中乙方作出的承诺以及双方协商达成的变更或补充协议；</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（3）中标通知书；</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（4）投标文件；</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（5）合同专用条款；</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（6）合同通用条款；</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（7）技术标准和要求；</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（8）图纸；</w:t>
      </w:r>
    </w:p>
    <w:p>
      <w:pPr>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（9）其他合同文件：安全协议。</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合同履行中，发包人承包人有关工程的洽商、变更等书面协议或文件视为本合同的组成部分。</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2.适用法律、标准及规范</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2.1适用法律法规。中华人民共和国的现行法律、法规。</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2.2适用标准、规范。现行的国家行业施工验收技术规范、验收质量检验评定标准和设计图纸、施工设计说明书、设计变更等技术文件为质量评定标准。</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3.图纸</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承包人进场后发包人提供图纸</w:t>
      </w:r>
      <w:r>
        <w:rPr>
          <w:rFonts w:hint="eastAsia" w:ascii="宋体" w:hAnsi="宋体" w:eastAsia="宋体" w:cs="宋体"/>
          <w:color w:val="auto"/>
          <w:szCs w:val="21"/>
          <w:highlight w:val="none"/>
          <w:u w:val="single"/>
        </w:rPr>
        <w:t>壹</w:t>
      </w:r>
      <w:r>
        <w:rPr>
          <w:rFonts w:hint="eastAsia" w:ascii="宋体" w:hAnsi="宋体" w:eastAsia="宋体" w:cs="宋体"/>
          <w:color w:val="auto"/>
          <w:szCs w:val="21"/>
          <w:highlight w:val="none"/>
        </w:rPr>
        <w:t>套。承包人不得将发包人的图纸提供给第三方，并承担保密责任。</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二、双方一般权利和义务</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1.发包人代表及派驻现场负责</w:t>
      </w:r>
    </w:p>
    <w:p>
      <w:pPr>
        <w:snapToGrid w:val="0"/>
        <w:spacing w:line="360" w:lineRule="auto"/>
        <w:ind w:firstLine="420" w:firstLineChars="200"/>
        <w:jc w:val="left"/>
        <w:outlineLvl w:val="9"/>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lang w:val="en-US" w:eastAsia="zh-CN"/>
        </w:rPr>
        <w:t xml:space="preserve">           </w:t>
      </w:r>
    </w:p>
    <w:p>
      <w:pPr>
        <w:snapToGrid w:val="0"/>
        <w:spacing w:line="360" w:lineRule="auto"/>
        <w:ind w:firstLine="420" w:firstLineChars="200"/>
        <w:jc w:val="left"/>
        <w:outlineLvl w:val="9"/>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lang w:val="en-US" w:eastAsia="zh-CN"/>
        </w:rPr>
        <w:t xml:space="preserve">           </w:t>
      </w:r>
    </w:p>
    <w:p>
      <w:pPr>
        <w:keepNext w:val="0"/>
        <w:keepLines w:val="0"/>
        <w:pageBreakBefore w:val="0"/>
        <w:widowControl w:val="0"/>
        <w:kinsoku/>
        <w:wordWrap/>
        <w:overflowPunct/>
        <w:topLinePunct w:val="0"/>
        <w:bidi w:val="0"/>
        <w:snapToGrid w:val="0"/>
        <w:spacing w:line="360" w:lineRule="auto"/>
        <w:ind w:firstLine="422" w:firstLineChars="200"/>
        <w:jc w:val="left"/>
        <w:textAlignment w:val="auto"/>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2.承包人项目经理及技术负责人</w:t>
      </w:r>
    </w:p>
    <w:p>
      <w:pPr>
        <w:keepNext w:val="0"/>
        <w:keepLines w:val="0"/>
        <w:pageBreakBefore w:val="0"/>
        <w:widowControl w:val="0"/>
        <w:kinsoku/>
        <w:wordWrap/>
        <w:overflowPunct/>
        <w:topLinePunct w:val="0"/>
        <w:bidi w:val="0"/>
        <w:snapToGrid w:val="0"/>
        <w:spacing w:line="360" w:lineRule="auto"/>
        <w:ind w:firstLine="420" w:firstLineChars="200"/>
        <w:jc w:val="left"/>
        <w:textAlignment w:val="auto"/>
        <w:outlineLvl w:val="9"/>
        <w:rPr>
          <w:rFonts w:hint="default" w:ascii="宋体" w:hAnsi="宋体" w:eastAsia="宋体" w:cs="宋体"/>
          <w:color w:val="auto"/>
          <w:szCs w:val="21"/>
          <w:highlight w:val="none"/>
          <w:u w:val="single"/>
          <w:lang w:val="en-US"/>
        </w:rPr>
      </w:pPr>
      <w:r>
        <w:rPr>
          <w:rFonts w:hint="eastAsia" w:ascii="宋体" w:hAnsi="宋体" w:eastAsia="宋体" w:cs="宋体"/>
          <w:color w:val="auto"/>
          <w:szCs w:val="21"/>
          <w:highlight w:val="none"/>
        </w:rPr>
        <w:t>项目经理姓名：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w:t>
      </w:r>
      <w:r>
        <w:rPr>
          <w:rFonts w:hint="eastAsia" w:ascii="宋体" w:hAnsi="宋体" w:eastAsia="宋体" w:cs="宋体"/>
          <w:color w:val="auto"/>
          <w:szCs w:val="21"/>
          <w:highlight w:val="none"/>
        </w:rPr>
        <w:t>建造师证书注册编号：</w:t>
      </w:r>
      <w:r>
        <w:rPr>
          <w:rFonts w:hint="eastAsia" w:ascii="宋体" w:hAnsi="宋体" w:eastAsia="宋体" w:cs="宋体"/>
          <w:color w:val="auto"/>
          <w:szCs w:val="21"/>
          <w:highlight w:val="none"/>
          <w:u w:val="single"/>
          <w:lang w:val="en-US" w:eastAsia="zh-CN"/>
        </w:rPr>
        <w:t xml:space="preserve">           </w:t>
      </w:r>
    </w:p>
    <w:p>
      <w:pPr>
        <w:keepNext w:val="0"/>
        <w:keepLines w:val="0"/>
        <w:pageBreakBefore w:val="0"/>
        <w:widowControl w:val="0"/>
        <w:kinsoku/>
        <w:wordWrap/>
        <w:overflowPunct/>
        <w:topLinePunct w:val="0"/>
        <w:bidi w:val="0"/>
        <w:snapToGrid w:val="0"/>
        <w:spacing w:line="360" w:lineRule="auto"/>
        <w:ind w:firstLine="420" w:firstLineChars="200"/>
        <w:jc w:val="left"/>
        <w:textAlignment w:val="auto"/>
        <w:outlineLvl w:val="9"/>
        <w:rPr>
          <w:rFonts w:hint="default" w:ascii="宋体" w:hAnsi="宋体" w:eastAsia="宋体" w:cs="宋体"/>
          <w:color w:val="auto"/>
          <w:szCs w:val="21"/>
          <w:highlight w:val="none"/>
          <w:u w:val="single"/>
          <w:lang w:val="en-US"/>
        </w:rPr>
      </w:pPr>
      <w:r>
        <w:rPr>
          <w:rFonts w:hint="eastAsia" w:ascii="宋体" w:hAnsi="宋体" w:eastAsia="宋体" w:cs="宋体"/>
          <w:color w:val="auto"/>
          <w:szCs w:val="21"/>
          <w:highlight w:val="none"/>
        </w:rPr>
        <w:t>技术负责人姓名：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w:t>
      </w:r>
      <w:r>
        <w:rPr>
          <w:rFonts w:hint="eastAsia" w:ascii="宋体" w:hAnsi="宋体" w:eastAsia="宋体" w:cs="宋体"/>
          <w:color w:val="auto"/>
          <w:szCs w:val="21"/>
          <w:highlight w:val="none"/>
        </w:rPr>
        <w:t>工程师证书编号：</w:t>
      </w:r>
      <w:r>
        <w:rPr>
          <w:rFonts w:hint="eastAsia" w:ascii="宋体" w:hAnsi="宋体" w:eastAsia="宋体" w:cs="宋体"/>
          <w:color w:val="auto"/>
          <w:szCs w:val="21"/>
          <w:highlight w:val="none"/>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firstLine="420" w:firstLineChars="200"/>
        <w:jc w:val="left"/>
        <w:textAlignment w:val="auto"/>
        <w:outlineLvl w:val="9"/>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kern w:val="0"/>
          <w:szCs w:val="21"/>
          <w:highlight w:val="none"/>
        </w:rPr>
        <w:t>，电话：</w:t>
      </w:r>
      <w:r>
        <w:rPr>
          <w:rFonts w:hint="eastAsia" w:ascii="宋体" w:hAnsi="宋体" w:eastAsia="宋体" w:cs="宋体"/>
          <w:color w:val="auto"/>
          <w:szCs w:val="21"/>
          <w:highlight w:val="none"/>
          <w:u w:val="single"/>
          <w:lang w:val="en-US" w:eastAsia="zh-CN"/>
        </w:rPr>
        <w:t xml:space="preserve">           </w:t>
      </w:r>
    </w:p>
    <w:p>
      <w:pPr>
        <w:keepNext w:val="0"/>
        <w:keepLines w:val="0"/>
        <w:pageBreakBefore w:val="0"/>
        <w:widowControl w:val="0"/>
        <w:kinsoku/>
        <w:wordWrap/>
        <w:overflowPunct/>
        <w:topLinePunct w:val="0"/>
        <w:bidi w:val="0"/>
        <w:snapToGrid w:val="0"/>
        <w:spacing w:line="360"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承包人项目经理及技术负责人必须与竞标文件中提供的一致，承包人不得更换项目经理或技术负责人，否则，视为根本违约，发包人有权单方面解除合同。</w:t>
      </w:r>
    </w:p>
    <w:p>
      <w:pPr>
        <w:snapToGrid w:val="0"/>
        <w:spacing w:line="360" w:lineRule="auto"/>
        <w:ind w:firstLine="422" w:firstLineChars="200"/>
        <w:jc w:val="left"/>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3.发包人工作</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3.1将施工所需的水、电线路接至施工场地的时间、地点和供应要求：</w:t>
      </w:r>
      <w:r>
        <w:rPr>
          <w:rFonts w:hint="eastAsia" w:ascii="宋体" w:hAnsi="宋体" w:eastAsia="宋体" w:cs="宋体"/>
          <w:color w:val="auto"/>
          <w:szCs w:val="21"/>
          <w:highlight w:val="none"/>
          <w:u w:val="single"/>
        </w:rPr>
        <w:t xml:space="preserve">根据现场实际要求提供，施工中使用水电所产生的费用由乙方承担 </w:t>
      </w:r>
      <w:r>
        <w:rPr>
          <w:rFonts w:hint="eastAsia" w:ascii="宋体" w:hAnsi="宋体" w:eastAsia="宋体" w:cs="宋体"/>
          <w:color w:val="auto"/>
          <w:szCs w:val="21"/>
          <w:highlight w:val="none"/>
        </w:rPr>
        <w:t>。</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3.2施工场地与公共道路的通道开通时间和要求：</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rPr>
        <w:t>。</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3.3水准点与坐标控制点交验要求：</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rPr>
        <w:t>。</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3.4双方约定发包人应做的其他工作：</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rPr>
        <w:t>。</w:t>
      </w:r>
    </w:p>
    <w:p>
      <w:pPr>
        <w:snapToGrid w:val="0"/>
        <w:spacing w:line="360" w:lineRule="auto"/>
        <w:ind w:firstLine="422" w:firstLineChars="200"/>
        <w:jc w:val="left"/>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4.承包人工作</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4.1应提供计划、报表的名称及完成时间：</w:t>
      </w:r>
      <w:r>
        <w:rPr>
          <w:rFonts w:hint="eastAsia" w:ascii="宋体" w:hAnsi="宋体" w:eastAsia="宋体" w:cs="宋体"/>
          <w:color w:val="auto"/>
          <w:szCs w:val="21"/>
          <w:highlight w:val="none"/>
          <w:u w:val="single"/>
        </w:rPr>
        <w:t>按照发包方现场代表的要求。</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4.2承担施工安全保卫工作及施工照明的责任和要求：</w:t>
      </w:r>
      <w:r>
        <w:rPr>
          <w:rFonts w:hint="eastAsia" w:ascii="宋体" w:hAnsi="宋体" w:eastAsia="宋体" w:cs="宋体"/>
          <w:color w:val="auto"/>
          <w:szCs w:val="21"/>
          <w:highlight w:val="none"/>
          <w:u w:val="single"/>
        </w:rPr>
        <w:t xml:space="preserve"> 施工全过程及其费用均由承包人承担。</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4.3需承包人办理的有关施工场地交通、环卫和施工噪音管理等手续：承包人应按照有关规定办理好施工场地交通、环卫和施工噪音管理等手续，各项费用均由承包人承担。承包人应保证发包人免于受到或承担应由承包人负责的前述事项所引起的或与之有关的索赔、诉讼、损害赔偿及其他开支。 </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4.4已完工程成品保护的特殊要求及费用承担：承包人负责对已完工程成品进行保护，并承担一切费用。</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4.5施工场地清洁卫生的要求：按照文明施工的要求保持施工场地清洁卫生，费用均由承包人承担。</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4.6</w:t>
      </w:r>
      <w:r>
        <w:rPr>
          <w:rFonts w:hint="eastAsia" w:ascii="宋体" w:hAnsi="宋体" w:eastAsia="宋体" w:cs="宋体"/>
          <w:bCs/>
          <w:color w:val="auto"/>
          <w:szCs w:val="21"/>
          <w:highlight w:val="none"/>
        </w:rPr>
        <w:t>承包人负责协调与周边关系的处理，承担因施工过程中</w:t>
      </w:r>
      <w:r>
        <w:rPr>
          <w:rFonts w:hint="eastAsia" w:ascii="宋体" w:hAnsi="宋体" w:eastAsia="宋体" w:cs="宋体"/>
          <w:color w:val="auto"/>
          <w:szCs w:val="21"/>
          <w:highlight w:val="none"/>
        </w:rPr>
        <w:t>所引起的一切现场矛盾、周边矛盾，协调处理各种关系，费用由承包人承担。</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4.7</w:t>
      </w:r>
      <w:r>
        <w:rPr>
          <w:rFonts w:hint="eastAsia" w:ascii="宋体" w:hAnsi="宋体" w:eastAsia="宋体" w:cs="宋体"/>
          <w:bCs/>
          <w:color w:val="auto"/>
          <w:szCs w:val="21"/>
          <w:highlight w:val="none"/>
        </w:rPr>
        <w:t>承包人</w:t>
      </w:r>
      <w:r>
        <w:rPr>
          <w:rFonts w:hint="eastAsia" w:ascii="宋体" w:hAnsi="宋体" w:eastAsia="宋体" w:cs="宋体"/>
          <w:color w:val="auto"/>
          <w:szCs w:val="21"/>
          <w:highlight w:val="none"/>
        </w:rPr>
        <w:t>自行处理</w:t>
      </w:r>
      <w:r>
        <w:rPr>
          <w:rFonts w:hint="eastAsia" w:ascii="宋体" w:hAnsi="宋体" w:eastAsia="宋体" w:cs="宋体"/>
          <w:bCs/>
          <w:color w:val="auto"/>
          <w:szCs w:val="21"/>
          <w:highlight w:val="none"/>
        </w:rPr>
        <w:t>与其他各施工单位之间的矛盾</w:t>
      </w:r>
      <w:r>
        <w:rPr>
          <w:rFonts w:hint="eastAsia" w:ascii="宋体" w:hAnsi="宋体" w:eastAsia="宋体" w:cs="宋体"/>
          <w:color w:val="auto"/>
          <w:szCs w:val="21"/>
          <w:highlight w:val="none"/>
        </w:rPr>
        <w:t>，并承担所发生的一切费用。</w:t>
      </w:r>
      <w:r>
        <w:rPr>
          <w:rFonts w:hint="eastAsia" w:ascii="宋体" w:hAnsi="宋体" w:eastAsia="宋体" w:cs="宋体"/>
          <w:bCs/>
          <w:color w:val="auto"/>
          <w:szCs w:val="21"/>
          <w:highlight w:val="none"/>
        </w:rPr>
        <w:t>必要时由发包人组织承包人与其他各施工单位协商处理，如双方协商不成，则承包人必须无条件接受发包人的协调意见。</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4.8除合同另有规定外，发包人无论何时均不对承包人的设备、临时设施和材料的损失承担任何责任。</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4.9承包人应维护和爱护施工现场周围环境，包括现场周围现有的设施、花草等均不得损害，否则其一切费用由承包人承担。</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4.10负责处理因承包人自身原因引起的工农矛盾，发生的费用由承包人负责。</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4.11承包人应按时付足民工工资，不得拖欠，否则，由此发生的一切后果均由承包人承担和处理，并承担相应的法律责任。</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4.12必须履行投标文件和其它承诺的内容。</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4.13承包人应文明施工、安全施工，同时须采取有效的安全防范措施，杜绝安全事故的发生。在施工期间发生的一切安全事故由承包人承担。</w:t>
      </w:r>
    </w:p>
    <w:p>
      <w:pPr>
        <w:snapToGrid w:val="0"/>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5.监理人工作</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本项目监理单位由发包人确定的监理单位对项目进行监理。监理人应当根据发包人授权及国家相关法律规定，代表发包人对工程施工相关事项进行检查、查验、审核、验收，并签发相关指示。     </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三、施工组织设计和工期</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1.进度计划</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承包人提供施工组织设计(施工方案)和工程进度计划的时间：</w:t>
      </w:r>
      <w:r>
        <w:rPr>
          <w:rFonts w:hint="eastAsia" w:ascii="宋体" w:hAnsi="宋体" w:eastAsia="宋体" w:cs="宋体"/>
          <w:color w:val="auto"/>
          <w:szCs w:val="21"/>
          <w:highlight w:val="none"/>
          <w:u w:val="single"/>
        </w:rPr>
        <w:t>以双方约定的时间和要求为准。</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2.工期延误</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2.1双方约定工期顺延的其他情况：</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一周内非承包人原因停水、停电、造成停工累计超过24小时；</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2.2工期提前</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发包人鼓励承包人比合同约定的工期提前竣工，每提前一天奖励：</w:t>
      </w:r>
      <w:r>
        <w:rPr>
          <w:rFonts w:hint="eastAsia" w:ascii="宋体" w:hAnsi="宋体" w:eastAsia="宋体" w:cs="宋体"/>
          <w:color w:val="auto"/>
          <w:szCs w:val="21"/>
          <w:highlight w:val="none"/>
          <w:u w:val="single"/>
        </w:rPr>
        <w:t xml:space="preserve">无 </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2.3工期延误</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发包人将分阶段考核承包人的进度，非发包人的原因引起的工期延误，承包人应向发包人支付违约金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200</w:t>
      </w:r>
      <w:r>
        <w:rPr>
          <w:rFonts w:hint="eastAsia" w:ascii="宋体" w:hAnsi="宋体" w:eastAsia="宋体" w:cs="宋体"/>
          <w:color w:val="auto"/>
          <w:szCs w:val="21"/>
          <w:highlight w:val="none"/>
          <w:u w:val="single"/>
        </w:rPr>
        <w:t xml:space="preserve">0 </w:t>
      </w:r>
      <w:r>
        <w:rPr>
          <w:rFonts w:hint="eastAsia" w:ascii="宋体" w:hAnsi="宋体" w:eastAsia="宋体" w:cs="宋体"/>
          <w:color w:val="auto"/>
          <w:szCs w:val="21"/>
          <w:highlight w:val="none"/>
        </w:rPr>
        <w:t>元/天；累计不超过合同总价的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2.4本合同规定的竣工日期是指本合同约定工程承包内容全部完工,并通过发包人组织的竣工验收之日，承包内容中任何一项分部分项工程未完工或经发包人组织的验收评定为不合格，均视为工期延误。工期延误时，合同中各工期阶段工期延误违约金扣款由发包人决定是否归还，且每延期1天，承包人支付</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5000</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元/天的违约金(此款在工程竣工结算时扣除)。</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四、质量与验收</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1.工程质量</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工程发包人全权对质量实行控制管理，行使质量否决权，并以现行的国家施工验收技术规范、建筑安装工程质量检验评定标准和设计图纸、施工设计说明书、设计变更等技术文件作为质量检查和评定依据，施工质量达不到规范和设计要求时，承包人必须返工，并承担由此发生的费用。工程完工经发包人对本合同项目工程质量验收进行监督，工程验收必须合格</w:t>
      </w:r>
      <w:r>
        <w:rPr>
          <w:rFonts w:hint="eastAsia" w:ascii="宋体" w:hAnsi="宋体" w:eastAsia="宋体" w:cs="宋体"/>
          <w:b/>
          <w:color w:val="auto"/>
          <w:szCs w:val="21"/>
          <w:highlight w:val="none"/>
        </w:rPr>
        <w:t>。</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1.2双方对工程质量有争议时，以发包人提出的意见为准。</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1.3分部分项工程质量必须一次验收合格。如发生重复验收的情况，所产生的费用由承包人承担。</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1.4上道工序未经验收合格，承包人擅自进入下道工序施工，则向发包人支付罚金每次</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2000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元，并承担一切责任。</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1.5材料、构配件等必须满足招标文件要求，未经检验合格擅自用于工程，承包人向发包人支付罚金</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2000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元/次，并承担一切责任。</w:t>
      </w:r>
    </w:p>
    <w:p>
      <w:pPr>
        <w:snapToGrid w:val="0"/>
        <w:spacing w:line="360" w:lineRule="auto"/>
        <w:ind w:firstLine="420" w:firstLineChars="200"/>
        <w:outlineLvl w:val="9"/>
        <w:rPr>
          <w:rFonts w:hint="eastAsia" w:ascii="宋体" w:hAnsi="宋体" w:eastAsia="宋体" w:cs="宋体"/>
          <w:b/>
          <w:bCs/>
          <w:color w:val="auto"/>
          <w:kern w:val="44"/>
          <w:szCs w:val="21"/>
          <w:highlight w:val="none"/>
        </w:rPr>
      </w:pPr>
      <w:r>
        <w:rPr>
          <w:rFonts w:hint="eastAsia" w:ascii="宋体" w:hAnsi="宋体" w:eastAsia="宋体" w:cs="宋体"/>
          <w:color w:val="auto"/>
          <w:szCs w:val="21"/>
          <w:highlight w:val="none"/>
        </w:rPr>
        <w:t>1.6有防水要求的部位严禁出现渗漏，如有出现，将每处罚款</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2000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元并负责返工或维修。</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2.隐蔽工程和中间验收</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2.1隐蔽工程覆盖前的检查</w:t>
      </w:r>
    </w:p>
    <w:p>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经监理人批准，工程的任何部分都不能覆盖。当任何部位的隐蔽工程或达到中间验收部位已经具备的条件时，承包人应在隐蔽工程或中间验收前24小时以内以书面形式通知监理人。监理人应参加对这部分工程的检查和验收，并且不得无故拖延，验收合格后，进行下一道工序。</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bookmarkStart w:id="16" w:name="_Toc187575285"/>
      <w:bookmarkStart w:id="17" w:name="_Toc2002792"/>
      <w:bookmarkStart w:id="18" w:name="_Toc107741688"/>
      <w:bookmarkStart w:id="19" w:name="_Toc23323229"/>
      <w:bookmarkStart w:id="20" w:name="_Toc64192148"/>
      <w:bookmarkStart w:id="21" w:name="_Toc2002629"/>
      <w:bookmarkStart w:id="22" w:name="_Toc52366884"/>
      <w:r>
        <w:rPr>
          <w:rFonts w:hint="eastAsia" w:ascii="宋体" w:hAnsi="宋体" w:eastAsia="宋体" w:cs="宋体"/>
          <w:b/>
          <w:color w:val="auto"/>
          <w:kern w:val="44"/>
          <w:szCs w:val="21"/>
          <w:highlight w:val="none"/>
        </w:rPr>
        <w:t>五、安全施工</w:t>
      </w:r>
      <w:bookmarkEnd w:id="16"/>
      <w:bookmarkEnd w:id="17"/>
      <w:bookmarkEnd w:id="18"/>
      <w:bookmarkEnd w:id="19"/>
      <w:bookmarkEnd w:id="20"/>
      <w:bookmarkEnd w:id="21"/>
      <w:bookmarkEnd w:id="22"/>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1.安全施工与检查</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承包人应保证现场安全,在工程施工、竣工及保修过程中，承包人应当：全面负责所有留在现场的人员的安全，保持其管辖范围内的现场和尚未完工的和发包人尚未占用的工程处于安全可靠的状态，以免发生人身事故。</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1.2承包人的安全责任</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承包人应当为承包人派驻本项目的所有人员购买工伤保险，施工中若由承包人原因造成工伤事故，一切费用由承包人承担，发包人将暂停付款直至承包人整改完毕。</w:t>
      </w:r>
    </w:p>
    <w:p>
      <w:pPr>
        <w:snapToGrid w:val="0"/>
        <w:spacing w:line="360" w:lineRule="auto"/>
        <w:ind w:firstLine="420" w:firstLineChars="200"/>
        <w:outlineLvl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施工过程中，因承包方安全措施不到位，发生任何人身及财产损害等安全事故的，由承包人承担全部责任，因此给发包人造成损失的，承包人应予全额赔偿。</w:t>
      </w:r>
    </w:p>
    <w:p>
      <w:pPr>
        <w:snapToGrid w:val="0"/>
        <w:spacing w:line="360" w:lineRule="auto"/>
        <w:ind w:firstLine="420" w:firstLineChars="200"/>
        <w:outlineLvl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1.3文明施工管理办法</w:t>
      </w:r>
    </w:p>
    <w:p>
      <w:pPr>
        <w:snapToGrid w:val="0"/>
        <w:spacing w:line="360" w:lineRule="auto"/>
        <w:ind w:firstLine="420" w:firstLineChars="200"/>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1.3.1进场全体职工必须遵章守纪，无违章指挥、违章作业行为。</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1.3.2施工期间，承包人应</w:t>
      </w:r>
      <w:r>
        <w:rPr>
          <w:rFonts w:hint="eastAsia" w:ascii="宋体" w:hAnsi="宋体" w:eastAsia="宋体" w:cs="宋体"/>
          <w:color w:val="auto"/>
          <w:szCs w:val="21"/>
          <w:highlight w:val="none"/>
        </w:rPr>
        <w:t>及时整理和安排所有机械、工具、材料、建筑垃圾等，工程建设中多余材料、建筑垃圾必须通过井架或垃圾槽运输到地面，严禁从高空直接向下抛物，否则，承包人每次向发包人支付罚金</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元；以上物品在不需用时应按发包人要求清理出工地。</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1.3.3施工现场各类垃圾应当天清理，否则由发包人指派人员清理，清理费用按实际发生额的1.5倍从工程款中扣除。</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1.3.4严禁在绿地上堆物及行走或严禁污染绿地，一旦发现，即扣除罚金</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元/次，而无须任何确认手续即可生效。</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2.安全防护</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2.1承包人应采取合理措施在合同实施中保护现场附近的环境，以避免因其施工引起的污染、噪声和其他因素对公众或公众财产等造成伤害或妨碍。</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2.2非承包人责任产生的不可避免的污染，噪声需要处理时，承包人提出方案，发包人协助处理，根据产生的原因，找出承担发生的费用责任人。</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六、工程设计变更</w:t>
      </w:r>
    </w:p>
    <w:p>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1.所有设计变更均应由发包人提出，经设计方同意，监理审核后由发包人发至承包人方可实施。</w:t>
      </w:r>
    </w:p>
    <w:p>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2.现场签证，应在实施前由承包人提出施工方案并连同预算一并报监理人核实认可，发包人审批同意后，方可实施。</w:t>
      </w:r>
    </w:p>
    <w:p>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由发包人确认的设计变更和现场签证(含工程量和价格的增减)必须按规定的程序要求办理设计变更和现场签证。</w:t>
      </w:r>
    </w:p>
    <w:p>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4.凡没有按规定程序进行的设计变更和现场签证和所有后补的签证，均为无效，不能作为结算的依据。</w:t>
      </w:r>
    </w:p>
    <w:p>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r>
        <w:rPr>
          <w:rFonts w:hint="eastAsia" w:ascii="宋体" w:hAnsi="宋体" w:eastAsia="宋体" w:cs="宋体"/>
          <w:color w:val="auto"/>
          <w:szCs w:val="21"/>
          <w:highlight w:val="none"/>
        </w:rPr>
        <w:t>设计变更或签证总金额不得超过合同金额10％，结算工程总造价不得超过工程预算。</w:t>
      </w:r>
    </w:p>
    <w:p>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6.所有变更签证最终费用需以审计部门最终审定的金额为准。</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七、竣工验收与结算</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1.竣工验收</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承包人提供竣工图的时间及份数：</w:t>
      </w:r>
      <w:r>
        <w:rPr>
          <w:rFonts w:hint="eastAsia" w:ascii="宋体" w:hAnsi="宋体" w:eastAsia="宋体" w:cs="宋体"/>
          <w:bCs/>
          <w:color w:val="auto"/>
          <w:szCs w:val="21"/>
          <w:highlight w:val="none"/>
          <w:u w:val="single"/>
        </w:rPr>
        <w:t>工程竣工验收前</w:t>
      </w:r>
      <w:r>
        <w:rPr>
          <w:rFonts w:hint="eastAsia" w:ascii="宋体" w:hAnsi="宋体" w:eastAsia="宋体" w:cs="宋体"/>
          <w:b/>
          <w:color w:val="auto"/>
          <w:szCs w:val="21"/>
          <w:highlight w:val="none"/>
          <w:u w:val="single"/>
        </w:rPr>
        <w:t>5</w:t>
      </w:r>
      <w:r>
        <w:rPr>
          <w:rFonts w:hint="eastAsia" w:ascii="宋体" w:hAnsi="宋体" w:eastAsia="宋体" w:cs="宋体"/>
          <w:b/>
          <w:bCs/>
          <w:color w:val="auto"/>
          <w:szCs w:val="21"/>
          <w:highlight w:val="none"/>
          <w:u w:val="single"/>
        </w:rPr>
        <w:t>日</w:t>
      </w:r>
      <w:r>
        <w:rPr>
          <w:rFonts w:hint="eastAsia" w:ascii="宋体" w:hAnsi="宋体" w:eastAsia="宋体" w:cs="宋体"/>
          <w:bCs/>
          <w:color w:val="auto"/>
          <w:szCs w:val="21"/>
          <w:highlight w:val="none"/>
          <w:u w:val="single"/>
        </w:rPr>
        <w:t>内，移交</w:t>
      </w:r>
      <w:r>
        <w:rPr>
          <w:rFonts w:hint="eastAsia" w:ascii="宋体" w:hAnsi="宋体" w:eastAsia="宋体" w:cs="宋体"/>
          <w:b/>
          <w:bCs/>
          <w:color w:val="auto"/>
          <w:szCs w:val="21"/>
          <w:highlight w:val="none"/>
          <w:u w:val="single"/>
        </w:rPr>
        <w:t>肆套</w:t>
      </w:r>
      <w:r>
        <w:rPr>
          <w:rFonts w:hint="eastAsia" w:ascii="宋体" w:hAnsi="宋体" w:eastAsia="宋体" w:cs="宋体"/>
          <w:bCs/>
          <w:color w:val="auto"/>
          <w:szCs w:val="21"/>
          <w:highlight w:val="none"/>
          <w:u w:val="single"/>
        </w:rPr>
        <w:t>完整合格的竣工资料(含竣工图)及其相关资料整套电子文档给发包人。</w:t>
      </w:r>
    </w:p>
    <w:p>
      <w:pPr>
        <w:snapToGri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2.竣工结算</w:t>
      </w:r>
    </w:p>
    <w:p>
      <w:pPr>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见合同相关条款</w:t>
      </w:r>
      <w:r>
        <w:rPr>
          <w:rFonts w:hint="eastAsia" w:ascii="宋体" w:hAnsi="宋体" w:eastAsia="宋体" w:cs="宋体"/>
          <w:color w:val="auto"/>
          <w:szCs w:val="21"/>
          <w:highlight w:val="none"/>
        </w:rPr>
        <w:t>。</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八、违约和争议</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1.违约</w:t>
      </w:r>
    </w:p>
    <w:p>
      <w:pPr>
        <w:snapToGrid w:val="0"/>
        <w:spacing w:line="360" w:lineRule="auto"/>
        <w:ind w:firstLine="422" w:firstLineChars="200"/>
        <w:jc w:val="left"/>
        <w:outlineLvl w:val="9"/>
        <w:rPr>
          <w:rFonts w:hint="eastAsia" w:ascii="宋体" w:hAnsi="宋体" w:eastAsia="宋体" w:cs="宋体"/>
          <w:b/>
          <w:color w:val="auto"/>
          <w:szCs w:val="21"/>
          <w:highlight w:val="none"/>
        </w:rPr>
      </w:pPr>
      <w:r>
        <w:rPr>
          <w:rFonts w:hint="eastAsia" w:ascii="宋体" w:hAnsi="宋体" w:eastAsia="宋体" w:cs="宋体"/>
          <w:b/>
          <w:bCs/>
          <w:color w:val="auto"/>
          <w:kern w:val="44"/>
          <w:szCs w:val="21"/>
          <w:highlight w:val="none"/>
        </w:rPr>
        <w:t>1.1本合同关于发包人违约的具体责任：</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1.1.1如果合同因发包人违约而终止，则发包人应以本合同约定的价格标准向承包人支付合同终止之日前所完成的全部合格工程的费用，发包人一旦支付了承包人该合格工程费用，该工程费用所包括的材料、工程设备或货物即成为发包人的财产。</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1.1.2本款规定的任何应付金额，应由发包人和承包人协商后确定。</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1.1.3在合同履行中，由于不可抗力（不可抗力指战争、严重火灾、洪水、台风、地震等或其他双方认定的不可抗力事件）造成了双方都无法控制的意外情况，双方应通过友好协商尽快解决本合同的执行问题。</w:t>
      </w:r>
    </w:p>
    <w:p>
      <w:pPr>
        <w:snapToGrid w:val="0"/>
        <w:spacing w:line="360" w:lineRule="auto"/>
        <w:ind w:firstLine="422" w:firstLineChars="200"/>
        <w:outlineLvl w:val="9"/>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1.2双方约定的发包人其他违约责任：</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由于国家法律、法规和市级以上的重大政策调整等特殊原因，致使本合同不能按原定条款履行时，发包人应及时向承包人通报不能履行或者需要延期履行、部分履行的理由，在取得有关证明后，允许延期履行、部分履行或者不履行，并可根据情况，因此产生的费用，双方另行协商处理。</w:t>
      </w:r>
    </w:p>
    <w:p>
      <w:pPr>
        <w:snapToGrid w:val="0"/>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1.3双方约定的承包人其他违约责任：</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1.3.1承包人不得擅自变更工程的设计，如因擅自变更而影响成本增加，造成损失由承包人承担，出现质量问题由承包人负责。</w:t>
      </w:r>
    </w:p>
    <w:p>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1.3.2由于承包人原因致使工程开工或竣工日期、中途停建或缓建时间超过规定时间达一周的，发包人有权解除或终止合同，并实行先清退后结清算的原则，同时由承包人承担相应的违约及赔偿责任。</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2.争议</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双方约定，在履行合同过程中产生争议时，向</w:t>
      </w:r>
      <w:r>
        <w:rPr>
          <w:rFonts w:hint="eastAsia" w:ascii="宋体" w:hAnsi="宋体" w:eastAsia="宋体" w:cs="宋体"/>
          <w:color w:val="auto"/>
          <w:szCs w:val="21"/>
          <w:highlight w:val="none"/>
          <w:u w:val="single"/>
        </w:rPr>
        <w:t xml:space="preserve">工程所在地有管辖权的人民法院 </w:t>
      </w:r>
      <w:r>
        <w:rPr>
          <w:rFonts w:hint="eastAsia" w:ascii="宋体" w:hAnsi="宋体" w:eastAsia="宋体" w:cs="宋体"/>
          <w:color w:val="auto"/>
          <w:szCs w:val="21"/>
          <w:highlight w:val="none"/>
        </w:rPr>
        <w:t>提请诉讼解决。</w:t>
      </w:r>
    </w:p>
    <w:p>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九、其他</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1.工程分包</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本合同工程任何项目均不允许承包人转包和擅自分包。 </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2.保险</w:t>
      </w:r>
    </w:p>
    <w:p>
      <w:pPr>
        <w:snapToGrid w:val="0"/>
        <w:spacing w:line="360" w:lineRule="auto"/>
        <w:ind w:firstLine="420" w:firstLineChars="200"/>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承包人应按建设行业主管部门有关规定为从事危险作业的职工办理意外伤害保险，为施工场地内承包人的所有人员生命及施工机械设备等财产办理保险并自行支付保险费用。</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3.合同生效</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合同双方签章</w:t>
      </w:r>
      <w:r>
        <w:rPr>
          <w:rFonts w:hint="eastAsia" w:ascii="宋体" w:hAnsi="宋体" w:eastAsia="宋体" w:cs="宋体"/>
          <w:color w:val="auto"/>
          <w:szCs w:val="21"/>
          <w:highlight w:val="none"/>
        </w:rPr>
        <w:t>之日起生效。</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4.合同份数</w:t>
      </w:r>
    </w:p>
    <w:p>
      <w:pPr>
        <w:snapToGrid w:val="0"/>
        <w:spacing w:line="360" w:lineRule="auto"/>
        <w:ind w:firstLine="420" w:firstLineChars="200"/>
        <w:outlineLvl w:val="9"/>
        <w:rPr>
          <w:rFonts w:hint="eastAsia" w:ascii="宋体" w:hAnsi="宋体" w:eastAsia="宋体" w:cs="宋体"/>
          <w:color w:val="auto"/>
          <w:szCs w:val="21"/>
          <w:highlight w:val="none"/>
        </w:rPr>
      </w:pPr>
      <w:bookmarkStart w:id="23" w:name="_Hlt2157877"/>
      <w:bookmarkEnd w:id="23"/>
      <w:r>
        <w:rPr>
          <w:rFonts w:hint="eastAsia" w:ascii="宋体" w:hAnsi="宋体" w:eastAsia="宋体" w:cs="宋体"/>
          <w:color w:val="auto"/>
          <w:szCs w:val="21"/>
          <w:highlight w:val="none"/>
        </w:rPr>
        <w:t>本合同</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bCs/>
          <w:color w:val="auto"/>
          <w:szCs w:val="21"/>
          <w:highlight w:val="none"/>
        </w:rPr>
        <w:t>发包人</w:t>
      </w:r>
      <w:r>
        <w:rPr>
          <w:rFonts w:hint="eastAsia" w:ascii="宋体" w:hAnsi="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份、承包人</w:t>
      </w:r>
      <w:r>
        <w:rPr>
          <w:rFonts w:hint="eastAsia" w:ascii="宋体" w:hAnsi="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份</w:t>
      </w:r>
      <w:r>
        <w:rPr>
          <w:rFonts w:hint="eastAsia" w:ascii="宋体" w:hAnsi="宋体" w:eastAsia="宋体" w:cs="宋体"/>
          <w:color w:val="auto"/>
          <w:szCs w:val="21"/>
          <w:highlight w:val="none"/>
        </w:rPr>
        <w:t>。</w:t>
      </w:r>
    </w:p>
    <w:p>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5.补充条款</w:t>
      </w:r>
    </w:p>
    <w:p>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承包人向发包人承诺本项目专款专用，按期支付农民工工资和材料供应商货款。</w:t>
      </w:r>
    </w:p>
    <w:p>
      <w:pPr>
        <w:rPr>
          <w:rFonts w:hint="eastAsia" w:ascii="宋体" w:hAnsi="宋体" w:eastAsia="宋体" w:cs="宋体"/>
          <w:b/>
          <w:color w:val="auto"/>
          <w:sz w:val="28"/>
          <w:szCs w:val="28"/>
          <w:highlight w:val="none"/>
        </w:rPr>
      </w:pPr>
      <w:bookmarkStart w:id="24" w:name="_Hlk528072166"/>
      <w:r>
        <w:rPr>
          <w:rFonts w:hint="eastAsia" w:ascii="宋体" w:hAnsi="宋体" w:eastAsia="宋体" w:cs="宋体"/>
          <w:b/>
          <w:color w:val="auto"/>
          <w:sz w:val="28"/>
          <w:szCs w:val="28"/>
          <w:highlight w:val="none"/>
        </w:rPr>
        <w:br w:type="page"/>
      </w:r>
    </w:p>
    <w:p>
      <w:pPr>
        <w:adjustRightInd w:val="0"/>
        <w:snapToGrid w:val="0"/>
        <w:spacing w:before="158" w:beforeLines="50" w:line="360" w:lineRule="auto"/>
        <w:ind w:right="420"/>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工程质量保修书</w:t>
      </w:r>
    </w:p>
    <w:p>
      <w:pPr>
        <w:adjustRightInd w:val="0"/>
        <w:snapToGrid w:val="0"/>
        <w:spacing w:line="360" w:lineRule="auto"/>
        <w:ind w:right="23" w:rightChars="11"/>
        <w:outlineLvl w:val="9"/>
        <w:rPr>
          <w:rFonts w:hint="eastAsia" w:ascii="宋体" w:hAnsi="宋体" w:eastAsia="宋体" w:cs="宋体"/>
          <w:color w:val="auto"/>
          <w:sz w:val="24"/>
          <w:szCs w:val="18"/>
          <w:highlight w:val="none"/>
        </w:rPr>
      </w:pPr>
    </w:p>
    <w:p>
      <w:pPr>
        <w:adjustRightInd w:val="0"/>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采购人（发包人）：</w:t>
      </w:r>
      <w:r>
        <w:rPr>
          <w:rFonts w:hint="eastAsia" w:ascii="宋体" w:hAnsi="宋体" w:cs="宋体"/>
          <w:color w:val="auto"/>
          <w:szCs w:val="21"/>
          <w:highlight w:val="none"/>
          <w:u w:val="single"/>
          <w:lang w:val="en-US" w:eastAsia="zh-CN"/>
        </w:rPr>
        <w:t>吉首市第一中学</w:t>
      </w:r>
      <w:r>
        <w:rPr>
          <w:rFonts w:hint="eastAsia" w:ascii="宋体" w:hAnsi="宋体" w:eastAsia="宋体" w:cs="宋体"/>
          <w:color w:val="auto"/>
          <w:szCs w:val="21"/>
          <w:highlight w:val="none"/>
        </w:rPr>
        <w:t>（甲方）</w:t>
      </w:r>
    </w:p>
    <w:p>
      <w:pPr>
        <w:adjustRightInd w:val="0"/>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供应商（承包人）：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（乙方）</w:t>
      </w:r>
    </w:p>
    <w:p>
      <w:pPr>
        <w:adjustRightInd w:val="0"/>
        <w:snapToGrid w:val="0"/>
        <w:spacing w:line="360" w:lineRule="auto"/>
        <w:ind w:right="23" w:rightChars="11" w:firstLine="480"/>
        <w:outlineLvl w:val="9"/>
        <w:rPr>
          <w:rFonts w:hint="eastAsia" w:ascii="宋体" w:hAnsi="宋体" w:eastAsia="宋体" w:cs="宋体"/>
          <w:color w:val="auto"/>
          <w:szCs w:val="21"/>
          <w:highlight w:val="none"/>
          <w:u w:val="single"/>
        </w:rPr>
      </w:pP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为保证</w:t>
      </w:r>
      <w:r>
        <w:rPr>
          <w:rFonts w:hint="eastAsia" w:ascii="宋体" w:hAnsi="宋体" w:cs="宋体"/>
          <w:color w:val="auto"/>
          <w:szCs w:val="21"/>
          <w:highlight w:val="none"/>
          <w:u w:val="single"/>
          <w:lang w:eastAsia="zh-CN"/>
        </w:rPr>
        <w:t>吉首市第一中学场馆改造项目</w:t>
      </w:r>
      <w:r>
        <w:rPr>
          <w:rFonts w:hint="eastAsia" w:ascii="宋体" w:hAnsi="宋体" w:eastAsia="宋体" w:cs="宋体"/>
          <w:color w:val="auto"/>
          <w:szCs w:val="21"/>
          <w:highlight w:val="none"/>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质量保修范围</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质量保修范围包括地基基础工程、主体结构工程、屋面防水工程、有防水要求的卫生间、房间、外墙面的防渗漏工程、电气管线工程、给排水管道工程、设备安装工程、供热、供冷系统工程</w:t>
      </w:r>
      <w:r>
        <w:rPr>
          <w:rFonts w:hint="eastAsia" w:ascii="宋体" w:hAnsi="宋体" w:eastAsia="宋体" w:cs="宋体"/>
          <w:color w:val="auto"/>
          <w:szCs w:val="21"/>
          <w:highlight w:val="none"/>
          <w:lang w:val="en-US" w:eastAsia="zh-CN"/>
        </w:rPr>
        <w:t>以及</w:t>
      </w:r>
      <w:r>
        <w:rPr>
          <w:rFonts w:hint="eastAsia" w:ascii="宋体" w:hAnsi="宋体" w:eastAsia="宋体" w:cs="宋体"/>
          <w:color w:val="auto"/>
          <w:szCs w:val="21"/>
          <w:highlight w:val="none"/>
        </w:rPr>
        <w:t>装饰装修工程。具体质量保修范围，双方约定如下：</w:t>
      </w:r>
    </w:p>
    <w:p>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质量保修期</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质量保修期从工程实际竣工验收合格之日起计算。单项竣工验收的工程，按单项工程分别计算质量保修期。</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双方根据《建设工程质量管理条例》及有关规定，约定本工程质量保修期如下：</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（1）地基基础工程、主体结构工程为设计文件规定的合理使用年限；</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（2）屋面防水工程、有防水要求的卫生间、房间和外墙面的防渗漏工程为：</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rPr>
        <w:t>年；</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（3）电气管线工程、给排水管道、设备安装工程为：</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年；</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（4）供热、供冷系统工程为：</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rPr>
        <w:t>个采暖期、供冷期；</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（5）装饰装修工程为</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eastAsia="zh-CN"/>
        </w:rPr>
        <w:t>。</w:t>
      </w:r>
    </w:p>
    <w:p>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 质量保修责任</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属于保修范围的项目，承包人应在接到通知后的7天内派人保修，承包人不在约定期限内派人保修，发包人可自行或指派第三方保修。</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 发生紧急抢修事故的，承包人在接到通知后，应立即到达事故现场抢修。</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3.4 质量保修完成后，由发包人组织验收。</w:t>
      </w:r>
    </w:p>
    <w:p>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 质量保修费用</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质量保修费用及相关的损害赔偿费，由造成质量缺陷的责任方承担。</w:t>
      </w:r>
    </w:p>
    <w:p>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 质量保证金</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质量保证金的使用、约定、支付、返还与本合同的质量保证金赋予的约定一致。</w:t>
      </w:r>
    </w:p>
    <w:p>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 其他</w:t>
      </w:r>
    </w:p>
    <w:p>
      <w:pPr>
        <w:adjustRightInd w:val="0"/>
        <w:snapToGrid w:val="0"/>
        <w:spacing w:line="360" w:lineRule="auto"/>
        <w:ind w:right="23" w:rightChars="11"/>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6.1 双方约定的其它工程质量保修事项：</w:t>
      </w:r>
      <w:r>
        <w:rPr>
          <w:rFonts w:hint="eastAsia" w:ascii="宋体" w:hAnsi="宋体" w:eastAsia="宋体" w:cs="宋体"/>
          <w:color w:val="auto"/>
          <w:szCs w:val="21"/>
          <w:highlight w:val="none"/>
          <w:u w:val="single"/>
          <w:lang w:val="en-US" w:eastAsia="zh-CN"/>
        </w:rPr>
        <w:t>按合同约定</w:t>
      </w:r>
    </w:p>
    <w:p>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本工程质量保修书，由发包人承包人在工程竣工验收前签署，作为合同附件，其有效期限至保修期满。</w:t>
      </w:r>
    </w:p>
    <w:p>
      <w:pPr>
        <w:adjustRightInd w:val="0"/>
        <w:snapToGrid w:val="0"/>
        <w:spacing w:line="360" w:lineRule="auto"/>
        <w:ind w:right="23" w:rightChars="11" w:firstLine="480"/>
        <w:outlineLvl w:val="9"/>
        <w:rPr>
          <w:rFonts w:hint="eastAsia" w:ascii="宋体" w:hAnsi="宋体" w:eastAsia="宋体" w:cs="宋体"/>
          <w:color w:val="auto"/>
          <w:szCs w:val="21"/>
          <w:highlight w:val="none"/>
        </w:rPr>
      </w:pPr>
    </w:p>
    <w:bookmarkEnd w:id="24"/>
    <w:tbl>
      <w:tblPr>
        <w:tblStyle w:val="44"/>
        <w:tblpPr w:leftFromText="180" w:rightFromText="180" w:vertAnchor="text" w:horzAnchor="page" w:tblpXSpec="center" w:tblpY="617"/>
        <w:tblOverlap w:val="never"/>
        <w:tblW w:w="9160" w:type="dxa"/>
        <w:jc w:val="center"/>
        <w:tblInd w:w="0" w:type="dxa"/>
        <w:tblLayout w:type="fixed"/>
        <w:tblCellMar>
          <w:top w:w="0" w:type="dxa"/>
          <w:left w:w="105" w:type="dxa"/>
          <w:bottom w:w="0" w:type="dxa"/>
          <w:right w:w="105" w:type="dxa"/>
        </w:tblCellMar>
      </w:tblPr>
      <w:tblGrid>
        <w:gridCol w:w="4632"/>
        <w:gridCol w:w="4528"/>
      </w:tblGrid>
      <w:tr>
        <w:tblPrEx>
          <w:tblLayout w:type="fixed"/>
          <w:tblCellMar>
            <w:top w:w="0" w:type="dxa"/>
            <w:left w:w="105" w:type="dxa"/>
            <w:bottom w:w="0" w:type="dxa"/>
            <w:right w:w="105" w:type="dxa"/>
          </w:tblCellMar>
        </w:tblPrEx>
        <w:trPr>
          <w:jc w:val="center"/>
        </w:trPr>
        <w:tc>
          <w:tcPr>
            <w:tcW w:w="4632" w:type="dxa"/>
            <w:noWrap w:val="0"/>
            <w:vAlign w:val="center"/>
          </w:tcPr>
          <w:p>
            <w:pPr>
              <w:widowControl/>
              <w:spacing w:line="360"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发包方：</w:t>
            </w:r>
            <w:r>
              <w:rPr>
                <w:rFonts w:hint="eastAsia" w:ascii="宋体" w:hAnsi="宋体" w:cs="宋体"/>
                <w:color w:val="auto"/>
                <w:kern w:val="0"/>
                <w:szCs w:val="21"/>
                <w:highlight w:val="none"/>
                <w:lang w:val="en-US" w:eastAsia="zh-CN"/>
              </w:rPr>
              <w:t>吉首市第一中学</w:t>
            </w:r>
          </w:p>
        </w:tc>
        <w:tc>
          <w:tcPr>
            <w:tcW w:w="4528" w:type="dxa"/>
            <w:noWrap w:val="0"/>
            <w:vAlign w:val="center"/>
          </w:tcPr>
          <w:p>
            <w:pPr>
              <w:widowControl/>
              <w:spacing w:line="360"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承包方：</w:t>
            </w:r>
          </w:p>
        </w:tc>
      </w:tr>
      <w:tr>
        <w:tblPrEx>
          <w:tblLayout w:type="fixed"/>
          <w:tblCellMar>
            <w:top w:w="0" w:type="dxa"/>
            <w:left w:w="105" w:type="dxa"/>
            <w:bottom w:w="0" w:type="dxa"/>
            <w:right w:w="105" w:type="dxa"/>
          </w:tblCellMar>
        </w:tblPrEx>
        <w:trPr>
          <w:trHeight w:val="693" w:hRule="atLeast"/>
          <w:jc w:val="center"/>
        </w:trPr>
        <w:tc>
          <w:tcPr>
            <w:tcW w:w="4632" w:type="dxa"/>
            <w:noWrap w:val="0"/>
            <w:vAlign w:val="center"/>
          </w:tcPr>
          <w:p>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（盖章）</w:t>
            </w:r>
          </w:p>
        </w:tc>
        <w:tc>
          <w:tcPr>
            <w:tcW w:w="4528" w:type="dxa"/>
            <w:noWrap w:val="0"/>
            <w:vAlign w:val="center"/>
          </w:tcPr>
          <w:p>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（盖章）</w:t>
            </w:r>
          </w:p>
        </w:tc>
      </w:tr>
      <w:tr>
        <w:tblPrEx>
          <w:tblLayout w:type="fixed"/>
          <w:tblCellMar>
            <w:top w:w="0" w:type="dxa"/>
            <w:left w:w="105" w:type="dxa"/>
            <w:bottom w:w="0" w:type="dxa"/>
            <w:right w:w="105" w:type="dxa"/>
          </w:tblCellMar>
        </w:tblPrEx>
        <w:trPr>
          <w:trHeight w:val="629" w:hRule="atLeast"/>
          <w:jc w:val="center"/>
        </w:trPr>
        <w:tc>
          <w:tcPr>
            <w:tcW w:w="4632" w:type="dxa"/>
            <w:noWrap w:val="0"/>
            <w:vAlign w:val="center"/>
          </w:tcPr>
          <w:p>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法定代表人（签字）：</w:t>
            </w:r>
          </w:p>
        </w:tc>
        <w:tc>
          <w:tcPr>
            <w:tcW w:w="4528" w:type="dxa"/>
            <w:noWrap w:val="0"/>
            <w:vAlign w:val="center"/>
          </w:tcPr>
          <w:p>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法定代表人（签字）：</w:t>
            </w:r>
          </w:p>
        </w:tc>
      </w:tr>
      <w:tr>
        <w:tblPrEx>
          <w:tblLayout w:type="fixed"/>
          <w:tblCellMar>
            <w:top w:w="0" w:type="dxa"/>
            <w:left w:w="105" w:type="dxa"/>
            <w:bottom w:w="0" w:type="dxa"/>
            <w:right w:w="105" w:type="dxa"/>
          </w:tblCellMar>
        </w:tblPrEx>
        <w:trPr>
          <w:trHeight w:val="513" w:hRule="atLeast"/>
          <w:jc w:val="center"/>
        </w:trPr>
        <w:tc>
          <w:tcPr>
            <w:tcW w:w="4632" w:type="dxa"/>
            <w:noWrap w:val="0"/>
            <w:vAlign w:val="top"/>
          </w:tcPr>
          <w:p>
            <w:pPr>
              <w:widowControl/>
              <w:spacing w:line="360" w:lineRule="auto"/>
              <w:ind w:firstLine="420" w:firstLineChars="200"/>
              <w:jc w:val="both"/>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委托代理人（签字）：</w:t>
            </w:r>
          </w:p>
        </w:tc>
        <w:tc>
          <w:tcPr>
            <w:tcW w:w="4528" w:type="dxa"/>
            <w:noWrap w:val="0"/>
            <w:vAlign w:val="center"/>
          </w:tcPr>
          <w:p>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委托代理人（签字）：</w:t>
            </w:r>
          </w:p>
          <w:p>
            <w:pPr>
              <w:widowControl/>
              <w:spacing w:line="360" w:lineRule="auto"/>
              <w:ind w:firstLine="420" w:firstLineChars="200"/>
              <w:jc w:val="left"/>
              <w:rPr>
                <w:rFonts w:hint="eastAsia" w:ascii="宋体" w:hAnsi="宋体" w:eastAsia="宋体" w:cs="宋体"/>
                <w:color w:val="auto"/>
                <w:kern w:val="0"/>
                <w:szCs w:val="21"/>
                <w:highlight w:val="none"/>
              </w:rPr>
            </w:pPr>
          </w:p>
        </w:tc>
      </w:tr>
    </w:tbl>
    <w:p>
      <w:pPr>
        <w:widowControl/>
        <w:spacing w:line="360" w:lineRule="auto"/>
        <w:jc w:val="left"/>
        <w:rPr>
          <w:rFonts w:hint="eastAsia" w:ascii="宋体" w:hAnsi="宋体" w:eastAsia="宋体" w:cs="宋体"/>
          <w:color w:val="auto"/>
          <w:kern w:val="0"/>
          <w:szCs w:val="21"/>
          <w:highlight w:val="none"/>
        </w:rPr>
      </w:pPr>
    </w:p>
    <w:p>
      <w:pPr>
        <w:widowControl/>
        <w:spacing w:line="360" w:lineRule="auto"/>
        <w:jc w:val="left"/>
        <w:rPr>
          <w:rFonts w:hint="eastAsia" w:ascii="宋体" w:hAnsi="宋体" w:eastAsia="宋体" w:cs="宋体"/>
          <w:color w:val="auto"/>
          <w:kern w:val="0"/>
          <w:szCs w:val="21"/>
          <w:highlight w:val="none"/>
        </w:rPr>
      </w:pPr>
    </w:p>
    <w:p>
      <w:pPr>
        <w:tabs>
          <w:tab w:val="left" w:pos="2466"/>
          <w:tab w:val="left" w:pos="5464"/>
        </w:tabs>
        <w:adjustRightInd w:val="0"/>
        <w:snapToGrid w:val="0"/>
        <w:spacing w:line="360" w:lineRule="auto"/>
        <w:ind w:left="108"/>
        <w:jc w:val="left"/>
        <w:rPr>
          <w:rFonts w:ascii="宋体" w:hAnsi="宋体" w:eastAsia="宋体" w:cs="Times New Roman"/>
          <w:b/>
          <w:color w:val="auto"/>
          <w:szCs w:val="21"/>
          <w:highlight w:val="none"/>
        </w:rPr>
      </w:pPr>
    </w:p>
    <w:p>
      <w:pPr>
        <w:tabs>
          <w:tab w:val="left" w:pos="2466"/>
          <w:tab w:val="left" w:pos="5464"/>
        </w:tabs>
        <w:adjustRightInd w:val="0"/>
        <w:snapToGrid w:val="0"/>
        <w:spacing w:line="360" w:lineRule="auto"/>
        <w:ind w:left="108"/>
        <w:jc w:val="left"/>
        <w:rPr>
          <w:rFonts w:ascii="宋体" w:hAnsi="宋体" w:eastAsia="宋体" w:cs="Times New Roman"/>
          <w:b/>
          <w:color w:val="auto"/>
          <w:szCs w:val="21"/>
          <w:highlight w:val="none"/>
        </w:rPr>
      </w:pPr>
    </w:p>
    <w:p>
      <w:pPr>
        <w:adjustRightInd w:val="0"/>
        <w:snapToGrid w:val="0"/>
        <w:spacing w:line="360" w:lineRule="auto"/>
        <w:ind w:right="23" w:rightChars="11" w:firstLine="48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年     月     日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年     月    日</w:t>
      </w:r>
    </w:p>
    <w:p>
      <w:pPr>
        <w:rPr>
          <w:rFonts w:hint="eastAsia"/>
          <w:color w:val="auto"/>
          <w:highlight w:val="none"/>
        </w:rPr>
      </w:pPr>
    </w:p>
    <w:p>
      <w:pPr>
        <w:spacing w:line="360" w:lineRule="auto"/>
        <w:jc w:val="left"/>
        <w:rPr>
          <w:rFonts w:hint="eastAsia" w:ascii="仿宋_GB2312" w:hAnsi="仿宋_GB2312" w:eastAsia="仿宋_GB2312" w:cs="仿宋_GB2312"/>
          <w:snapToGrid w:val="0"/>
          <w:color w:val="auto"/>
          <w:kern w:val="0"/>
          <w:sz w:val="30"/>
          <w:szCs w:val="30"/>
          <w:highlight w:val="none"/>
        </w:rPr>
      </w:pPr>
    </w:p>
    <w:p>
      <w:pPr>
        <w:pStyle w:val="2"/>
        <w:keepNext/>
        <w:keepLines w:val="0"/>
        <w:pageBreakBefore w:val="0"/>
        <w:widowControl w:val="0"/>
        <w:numPr>
          <w:ilvl w:val="0"/>
          <w:numId w:val="1"/>
        </w:numPr>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napToGrid w:val="0"/>
          <w:color w:val="auto"/>
          <w:kern w:val="0"/>
          <w:sz w:val="32"/>
          <w:szCs w:val="32"/>
          <w:highlight w:val="none"/>
        </w:rPr>
        <w:sectPr>
          <w:headerReference r:id="rId12" w:type="first"/>
          <w:footerReference r:id="rId14" w:type="first"/>
          <w:headerReference r:id="rId11" w:type="default"/>
          <w:footerReference r:id="rId13" w:type="default"/>
          <w:pgSz w:w="11906" w:h="16838"/>
          <w:pgMar w:top="1417" w:right="1417" w:bottom="1417" w:left="1417" w:header="851" w:footer="850" w:gutter="0"/>
          <w:pgNumType w:fmt="decimal"/>
          <w:cols w:space="0" w:num="1"/>
          <w:titlePg/>
          <w:rtlGutter w:val="0"/>
          <w:docGrid w:type="lines" w:linePitch="312" w:charSpace="0"/>
        </w:sectPr>
      </w:pPr>
    </w:p>
    <w:p>
      <w:pPr>
        <w:pStyle w:val="2"/>
        <w:keepNext/>
        <w:keepLines w:val="0"/>
        <w:pageBreakBefore w:val="0"/>
        <w:widowControl w:val="0"/>
        <w:numPr>
          <w:ilvl w:val="0"/>
          <w:numId w:val="1"/>
        </w:numPr>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25" w:name="_Toc7985"/>
      <w:r>
        <w:rPr>
          <w:rFonts w:hint="eastAsia" w:ascii="仿宋_GB2312" w:hAnsi="仿宋_GB2312" w:eastAsia="仿宋_GB2312" w:cs="仿宋_GB2312"/>
          <w:snapToGrid w:val="0"/>
          <w:color w:val="auto"/>
          <w:kern w:val="0"/>
          <w:sz w:val="32"/>
          <w:szCs w:val="32"/>
          <w:highlight w:val="none"/>
        </w:rPr>
        <w:t>采购需求</w:t>
      </w:r>
      <w:bookmarkEnd w:id="25"/>
      <w:r>
        <w:rPr>
          <w:rFonts w:hint="eastAsia" w:ascii="宋体" w:hAnsi="宋体" w:eastAsia="宋体" w:cs="Times New Roman"/>
          <w:b/>
          <w:color w:val="auto"/>
          <w:kern w:val="0"/>
          <w:sz w:val="20"/>
          <w:highlight w:val="none"/>
          <w:lang w:val="en-US" w:eastAsia="zh-CN"/>
        </w:rPr>
        <w:t xml:space="preserve"> </w:t>
      </w:r>
    </w:p>
    <w:p>
      <w:pPr>
        <w:keepNext/>
        <w:keepLines/>
        <w:widowControl w:val="0"/>
        <w:spacing w:line="360" w:lineRule="auto"/>
        <w:jc w:val="left"/>
        <w:outlineLvl w:val="1"/>
        <w:rPr>
          <w:rFonts w:hint="eastAsia" w:ascii="宋体" w:hAnsi="宋体" w:eastAsia="宋体" w:cs="宋体"/>
          <w:b/>
          <w:color w:val="auto"/>
          <w:sz w:val="24"/>
          <w:szCs w:val="32"/>
          <w:highlight w:val="none"/>
          <w:lang w:val="en-US" w:eastAsia="zh-CN" w:bidi="ar-SA"/>
        </w:rPr>
      </w:pPr>
      <w:bookmarkStart w:id="26" w:name="_Toc27477"/>
      <w:bookmarkStart w:id="27" w:name="_Toc31992"/>
      <w:bookmarkStart w:id="28" w:name="_Toc901"/>
      <w:bookmarkStart w:id="29" w:name="_Toc11190"/>
      <w:bookmarkStart w:id="30" w:name="_Toc32404"/>
      <w:bookmarkStart w:id="31" w:name="_Toc8840"/>
      <w:bookmarkStart w:id="32" w:name="_Toc7003"/>
      <w:bookmarkStart w:id="33" w:name="_Toc7327"/>
      <w:bookmarkStart w:id="34" w:name="_Toc26455"/>
      <w:bookmarkStart w:id="35" w:name="_Toc20809"/>
      <w:bookmarkStart w:id="36" w:name="_Toc27483"/>
      <w:r>
        <w:rPr>
          <w:rFonts w:hint="eastAsia" w:ascii="宋体" w:hAnsi="宋体" w:eastAsia="宋体" w:cs="宋体"/>
          <w:b/>
          <w:color w:val="auto"/>
          <w:sz w:val="24"/>
          <w:szCs w:val="32"/>
          <w:highlight w:val="none"/>
          <w:lang w:val="en-US" w:eastAsia="zh-CN" w:bidi="ar-SA"/>
        </w:rPr>
        <w:t>一、</w:t>
      </w:r>
      <w:r>
        <w:rPr>
          <w:rFonts w:hint="eastAsia" w:ascii="宋体" w:hAnsi="宋体" w:cs="宋体"/>
          <w:b/>
          <w:color w:val="auto"/>
          <w:sz w:val="24"/>
          <w:szCs w:val="32"/>
          <w:highlight w:val="none"/>
          <w:lang w:val="en-US" w:eastAsia="zh-CN" w:bidi="ar-SA"/>
        </w:rPr>
        <w:t>项目概况</w:t>
      </w:r>
      <w:r>
        <w:rPr>
          <w:rFonts w:hint="eastAsia" w:ascii="宋体" w:hAnsi="宋体" w:eastAsia="宋体" w:cs="宋体"/>
          <w:b/>
          <w:color w:val="auto"/>
          <w:sz w:val="24"/>
          <w:szCs w:val="32"/>
          <w:highlight w:val="none"/>
          <w:lang w:val="en-US" w:eastAsia="zh-CN" w:bidi="ar-SA"/>
        </w:rPr>
        <w:t>；</w:t>
      </w:r>
      <w:bookmarkEnd w:id="26"/>
      <w:bookmarkEnd w:id="27"/>
      <w:bookmarkEnd w:id="28"/>
      <w:bookmarkEnd w:id="29"/>
      <w:bookmarkEnd w:id="30"/>
      <w:bookmarkEnd w:id="31"/>
      <w:bookmarkEnd w:id="32"/>
      <w:bookmarkEnd w:id="33"/>
      <w:bookmarkEnd w:id="34"/>
    </w:p>
    <w:p>
      <w:pPr>
        <w:bidi w:val="0"/>
        <w:spacing w:line="360" w:lineRule="auto"/>
        <w:ind w:left="0" w:leftChars="0" w:firstLine="359" w:firstLineChars="171"/>
        <w:rPr>
          <w:rFonts w:hint="eastAsia" w:ascii="宋体" w:hAnsi="宋体"/>
          <w:color w:val="auto"/>
          <w:szCs w:val="21"/>
          <w:highlight w:val="none"/>
          <w:lang w:eastAsia="zh-CN"/>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采购项目名称：</w:t>
      </w:r>
      <w:r>
        <w:rPr>
          <w:rFonts w:hint="eastAsia" w:ascii="宋体" w:hAnsi="宋体"/>
          <w:color w:val="auto"/>
          <w:szCs w:val="21"/>
          <w:highlight w:val="none"/>
          <w:lang w:eastAsia="zh-CN"/>
        </w:rPr>
        <w:t>吉首市第一中学场馆改造项目</w:t>
      </w:r>
    </w:p>
    <w:p>
      <w:pPr>
        <w:bidi w:val="0"/>
        <w:spacing w:line="360" w:lineRule="auto"/>
        <w:ind w:left="0" w:leftChars="0" w:firstLine="359" w:firstLineChars="171"/>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2、采购预算：3523791.81元</w:t>
      </w:r>
    </w:p>
    <w:p>
      <w:pPr>
        <w:bidi w:val="0"/>
        <w:spacing w:line="360" w:lineRule="auto"/>
        <w:ind w:left="0" w:leftChars="0" w:firstLine="359" w:firstLineChars="171"/>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3、建设地点：吉首市第一中学校内</w:t>
      </w:r>
    </w:p>
    <w:p>
      <w:pPr>
        <w:bidi w:val="0"/>
        <w:spacing w:line="360" w:lineRule="auto"/>
        <w:ind w:left="0" w:leftChars="0" w:firstLine="359" w:firstLineChars="171"/>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工程概况：（一）室外路基土方开挖、比赛场地面刷漆、新增比赛场地面、新增排水沟及盖板、更换沟盖板、1.2m高轻钢龙骨赛事布隔栏、1.8m高轻钢龙骨赛事布隔栏；（二）场馆室内墙面涂料层拆除、天棚涂料层拆除、无机涂料墙面、无机涂料天棚、20mm厚康贝特板隔断、百叶窗帘；（三）安装工程配管PC20、配管JDG20、空调插座、3P空调安装等</w:t>
      </w:r>
      <w:r>
        <w:rPr>
          <w:rFonts w:hint="eastAsia" w:ascii="宋体" w:hAnsi="宋体" w:cs="宋体"/>
          <w:color w:val="auto"/>
          <w:kern w:val="0"/>
          <w:sz w:val="21"/>
          <w:szCs w:val="21"/>
          <w:highlight w:val="none"/>
          <w:lang w:val="en-US" w:eastAsia="zh-CN"/>
        </w:rPr>
        <w:t>。</w:t>
      </w:r>
    </w:p>
    <w:p>
      <w:pPr>
        <w:bidi w:val="0"/>
        <w:spacing w:line="360" w:lineRule="auto"/>
        <w:ind w:left="0" w:leftChars="0" w:firstLine="359" w:firstLineChars="171"/>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5、工程范围：本项目所有工程，具体以采购人提供的工程量清单约定为准。</w:t>
      </w:r>
    </w:p>
    <w:p>
      <w:pPr>
        <w:keepNext/>
        <w:keepLines/>
        <w:widowControl w:val="0"/>
        <w:spacing w:line="360" w:lineRule="auto"/>
        <w:jc w:val="left"/>
        <w:outlineLvl w:val="1"/>
        <w:rPr>
          <w:rFonts w:hint="eastAsia" w:ascii="宋体" w:hAnsi="宋体" w:eastAsia="宋体" w:cs="宋体"/>
          <w:b/>
          <w:bCs/>
          <w:color w:val="auto"/>
          <w:sz w:val="24"/>
          <w:szCs w:val="24"/>
          <w:highlight w:val="none"/>
          <w:lang w:val="en-US" w:eastAsia="zh-CN" w:bidi="ar-SA"/>
        </w:rPr>
      </w:pPr>
      <w:bookmarkStart w:id="37" w:name="_Toc15749"/>
      <w:bookmarkStart w:id="38" w:name="_Toc2267"/>
      <w:bookmarkStart w:id="39" w:name="_Toc20708"/>
      <w:bookmarkStart w:id="40" w:name="_Toc5171"/>
      <w:bookmarkStart w:id="41" w:name="_Toc27877"/>
      <w:bookmarkStart w:id="42" w:name="_Toc1432"/>
      <w:bookmarkStart w:id="43" w:name="_Toc19778"/>
      <w:bookmarkStart w:id="44" w:name="_Toc24701"/>
      <w:bookmarkStart w:id="45" w:name="_Toc8319"/>
      <w:r>
        <w:rPr>
          <w:rFonts w:hint="eastAsia" w:ascii="宋体" w:hAnsi="宋体" w:eastAsia="宋体" w:cs="宋体"/>
          <w:b/>
          <w:bCs/>
          <w:color w:val="auto"/>
          <w:sz w:val="24"/>
          <w:szCs w:val="24"/>
          <w:highlight w:val="none"/>
          <w:lang w:val="en-US" w:eastAsia="zh-CN" w:bidi="ar-SA"/>
        </w:rPr>
        <w:t>二、需执行的相关标准；</w:t>
      </w:r>
      <w:bookmarkEnd w:id="37"/>
      <w:bookmarkEnd w:id="38"/>
      <w:bookmarkEnd w:id="39"/>
      <w:bookmarkEnd w:id="40"/>
      <w:bookmarkEnd w:id="41"/>
      <w:bookmarkEnd w:id="42"/>
      <w:bookmarkEnd w:id="43"/>
      <w:bookmarkEnd w:id="44"/>
      <w:bookmarkEnd w:id="45"/>
    </w:p>
    <w:p>
      <w:pPr>
        <w:widowControl w:val="0"/>
        <w:spacing w:after="120"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Cs w:val="21"/>
          <w:highlight w:val="none"/>
        </w:rPr>
        <w:t>国家相关标准、行业标准、地方标准或者其他标准、规范</w:t>
      </w:r>
      <w:r>
        <w:rPr>
          <w:rFonts w:hint="eastAsia" w:ascii="宋体" w:hAnsi="宋体" w:eastAsia="宋体" w:cs="宋体"/>
          <w:color w:val="auto"/>
          <w:kern w:val="2"/>
          <w:sz w:val="21"/>
          <w:szCs w:val="21"/>
          <w:highlight w:val="none"/>
          <w:lang w:val="en-US" w:eastAsia="zh-CN" w:bidi="ar-SA"/>
        </w:rPr>
        <w:t>。</w:t>
      </w:r>
    </w:p>
    <w:p>
      <w:pPr>
        <w:keepNext/>
        <w:keepLines/>
        <w:widowControl w:val="0"/>
        <w:spacing w:line="360" w:lineRule="auto"/>
        <w:jc w:val="left"/>
        <w:outlineLvl w:val="1"/>
        <w:rPr>
          <w:rFonts w:hint="eastAsia" w:ascii="宋体" w:hAnsi="宋体" w:eastAsia="宋体" w:cs="宋体"/>
          <w:b/>
          <w:bCs/>
          <w:color w:val="auto"/>
          <w:sz w:val="24"/>
          <w:szCs w:val="24"/>
          <w:highlight w:val="none"/>
          <w:lang w:val="en-US" w:eastAsia="zh-CN" w:bidi="ar-SA"/>
        </w:rPr>
      </w:pPr>
      <w:bookmarkStart w:id="46" w:name="_Toc22977"/>
      <w:bookmarkStart w:id="47" w:name="_Toc3604"/>
      <w:bookmarkStart w:id="48" w:name="_Toc824"/>
      <w:bookmarkStart w:id="49" w:name="_Toc3576"/>
      <w:bookmarkStart w:id="50" w:name="_Toc7686"/>
      <w:bookmarkStart w:id="51" w:name="_Toc7494"/>
      <w:bookmarkStart w:id="52" w:name="_Toc21216"/>
      <w:bookmarkStart w:id="53" w:name="_Toc208"/>
      <w:bookmarkStart w:id="54" w:name="_Toc16349"/>
      <w:r>
        <w:rPr>
          <w:rFonts w:hint="eastAsia" w:ascii="宋体" w:hAnsi="宋体" w:eastAsia="宋体" w:cs="宋体"/>
          <w:b/>
          <w:bCs/>
          <w:color w:val="auto"/>
          <w:sz w:val="24"/>
          <w:szCs w:val="24"/>
          <w:highlight w:val="none"/>
          <w:lang w:val="en-US" w:eastAsia="zh-CN" w:bidi="ar-SA"/>
        </w:rPr>
        <w:t>三、需满足的质量、安全、技术规格、物理特性等要求；</w:t>
      </w:r>
      <w:bookmarkEnd w:id="46"/>
      <w:bookmarkEnd w:id="47"/>
      <w:bookmarkEnd w:id="48"/>
      <w:bookmarkEnd w:id="49"/>
      <w:bookmarkEnd w:id="50"/>
      <w:bookmarkEnd w:id="51"/>
      <w:bookmarkEnd w:id="52"/>
      <w:bookmarkEnd w:id="53"/>
      <w:bookmarkEnd w:id="54"/>
    </w:p>
    <w:p>
      <w:pPr>
        <w:widowControl w:val="0"/>
        <w:spacing w:after="0" w:afterLines="0" w:line="360" w:lineRule="auto"/>
        <w:ind w:left="0" w:leftChars="0" w:firstLine="359" w:firstLineChars="171"/>
        <w:jc w:val="both"/>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2"/>
          <w:szCs w:val="21"/>
          <w:highlight w:val="none"/>
        </w:rPr>
        <w:t>具体详见工程量清单和设计图纸</w:t>
      </w:r>
      <w:r>
        <w:rPr>
          <w:rFonts w:hint="eastAsia" w:ascii="宋体" w:hAnsi="宋体" w:eastAsia="宋体" w:cs="宋体"/>
          <w:color w:val="auto"/>
          <w:kern w:val="1"/>
          <w:sz w:val="21"/>
          <w:szCs w:val="21"/>
          <w:highlight w:val="none"/>
          <w:lang w:val="en-US" w:eastAsia="zh-CN" w:bidi="ar-SA"/>
        </w:rPr>
        <w:t>。</w:t>
      </w:r>
    </w:p>
    <w:p>
      <w:pPr>
        <w:widowControl w:val="0"/>
        <w:numPr>
          <w:ilvl w:val="0"/>
          <w:numId w:val="6"/>
        </w:numPr>
        <w:spacing w:after="0" w:afterLines="0" w:line="360" w:lineRule="auto"/>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编制依据</w:t>
      </w:r>
    </w:p>
    <w:p>
      <w:pPr>
        <w:adjustRightInd w:val="0"/>
        <w:snapToGrid w:val="0"/>
        <w:spacing w:line="324" w:lineRule="auto"/>
        <w:ind w:firstLine="420"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1</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湖南省新希望城市建筑设计有限公司出具的《</w:t>
      </w:r>
      <w:r>
        <w:rPr>
          <w:rFonts w:hint="eastAsia" w:ascii="宋体" w:hAnsi="宋体" w:eastAsia="宋体" w:cs="宋体"/>
          <w:color w:val="auto"/>
          <w:kern w:val="2"/>
          <w:szCs w:val="21"/>
          <w:highlight w:val="none"/>
          <w:lang w:eastAsia="zh-CN"/>
        </w:rPr>
        <w:t>吉首市第一中学场馆改造项目</w:t>
      </w:r>
      <w:r>
        <w:rPr>
          <w:rFonts w:hint="eastAsia" w:ascii="宋体" w:hAnsi="宋体" w:eastAsia="宋体" w:cs="宋体"/>
          <w:color w:val="auto"/>
          <w:kern w:val="2"/>
          <w:szCs w:val="21"/>
          <w:highlight w:val="none"/>
          <w:lang w:val="en-US" w:eastAsia="zh-CN"/>
        </w:rPr>
        <w:t>》设计图</w:t>
      </w:r>
      <w:r>
        <w:rPr>
          <w:rFonts w:hint="eastAsia" w:ascii="宋体" w:hAnsi="宋体" w:eastAsia="宋体" w:cs="宋体"/>
          <w:color w:val="auto"/>
          <w:kern w:val="2"/>
          <w:szCs w:val="21"/>
          <w:highlight w:val="none"/>
        </w:rPr>
        <w:t>。</w:t>
      </w:r>
    </w:p>
    <w:p>
      <w:pPr>
        <w:adjustRightInd w:val="0"/>
        <w:snapToGrid w:val="0"/>
        <w:spacing w:line="324" w:lineRule="auto"/>
        <w:ind w:firstLine="420" w:firstLineChars="200"/>
        <w:jc w:val="left"/>
        <w:rPr>
          <w:rFonts w:hint="default"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2、《建设工程造价咨询规范》GB/T51095-2015；</w:t>
      </w:r>
    </w:p>
    <w:p>
      <w:pPr>
        <w:adjustRightInd w:val="0"/>
        <w:snapToGrid w:val="0"/>
        <w:spacing w:line="324" w:lineRule="auto"/>
        <w:ind w:firstLine="420"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3</w:t>
      </w:r>
      <w:r>
        <w:rPr>
          <w:rFonts w:hint="eastAsia" w:ascii="宋体" w:hAnsi="宋体" w:eastAsia="宋体" w:cs="宋体"/>
          <w:color w:val="auto"/>
          <w:kern w:val="2"/>
          <w:szCs w:val="21"/>
          <w:highlight w:val="none"/>
        </w:rPr>
        <w:t>、行业规范及标准：</w:t>
      </w:r>
    </w:p>
    <w:p>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（1）《建设工程工程量清单计价标准》(GB/T50500-2024)及《房屋建筑与装饰工程工程量清单计算标准》(GB/T50854-2024)等配套工程量计算标准。</w:t>
      </w:r>
    </w:p>
    <w:p>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（2）《关于执行(建设工程工程量清单计价标准&gt;及配套工程量计算标准的通知》(湘建科函(2025)150号)。</w:t>
      </w:r>
    </w:p>
    <w:p>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（3）2025《湖南省建设工程消耗量标准》(湘建科函(2025)151号)。</w:t>
      </w:r>
    </w:p>
    <w:p>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（4）湘建价建[2026]20号文关于湖南省建设工程造价管理总站关于发布2026年湖南省建设工程人工费指数的通知。</w:t>
      </w:r>
    </w:p>
    <w:p>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（5）湘建价(2019)47号文关于湖南省住房和城乡建设厅关于调整建设工程销项税额税率和材料价格综合税率计费标准的通知。</w:t>
      </w:r>
    </w:p>
    <w:p>
      <w:pPr>
        <w:widowControl w:val="0"/>
        <w:numPr>
          <w:ilvl w:val="0"/>
          <w:numId w:val="0"/>
        </w:numPr>
        <w:spacing w:after="0" w:afterLines="0" w:line="360" w:lineRule="auto"/>
        <w:ind w:firstLine="420" w:firstLineChars="200"/>
        <w:jc w:val="both"/>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（6）材料单价按2026吉首市第三期6月份信息价，无信息价的参照周边县、市信息价及市场询价执行。</w:t>
      </w:r>
    </w:p>
    <w:p>
      <w:pPr>
        <w:widowControl w:val="0"/>
        <w:numPr>
          <w:ilvl w:val="0"/>
          <w:numId w:val="0"/>
        </w:numPr>
        <w:spacing w:after="0" w:afterLines="0" w:line="360" w:lineRule="auto"/>
        <w:ind w:firstLine="420" w:firstLineChars="200"/>
        <w:jc w:val="both"/>
        <w:rPr>
          <w:rFonts w:hint="default"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（7）其他与本项目有关的相关资料</w:t>
      </w:r>
    </w:p>
    <w:p>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55" w:name="_Toc30320"/>
      <w:bookmarkStart w:id="56" w:name="_Toc22987"/>
      <w:bookmarkStart w:id="57" w:name="_Toc16522"/>
      <w:bookmarkStart w:id="58" w:name="_Toc7458"/>
      <w:bookmarkStart w:id="59" w:name="_Toc18979"/>
      <w:bookmarkStart w:id="60" w:name="_Toc18034"/>
      <w:bookmarkStart w:id="61" w:name="_Toc18053"/>
      <w:bookmarkStart w:id="62" w:name="_Toc23396"/>
      <w:bookmarkStart w:id="63" w:name="_Toc366"/>
      <w:r>
        <w:rPr>
          <w:rFonts w:hint="eastAsia" w:ascii="宋体" w:hAnsi="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bCs/>
          <w:color w:val="auto"/>
          <w:kern w:val="0"/>
          <w:sz w:val="24"/>
          <w:szCs w:val="24"/>
          <w:highlight w:val="none"/>
        </w:rPr>
        <w:t>项目交付或者实施的时间和地点</w:t>
      </w:r>
      <w:r>
        <w:rPr>
          <w:rFonts w:hint="eastAsia" w:ascii="宋体" w:hAnsi="宋体" w:eastAsia="宋体" w:cs="宋体"/>
          <w:b/>
          <w:bCs/>
          <w:color w:val="auto"/>
          <w:kern w:val="2"/>
          <w:sz w:val="28"/>
          <w:szCs w:val="32"/>
          <w:highlight w:val="none"/>
          <w:lang w:val="en-US" w:eastAsia="zh-CN" w:bidi="ar-SA"/>
        </w:rPr>
        <w:t>；</w:t>
      </w:r>
      <w:bookmarkEnd w:id="55"/>
      <w:bookmarkEnd w:id="56"/>
      <w:bookmarkEnd w:id="57"/>
      <w:bookmarkEnd w:id="58"/>
      <w:bookmarkEnd w:id="59"/>
      <w:bookmarkEnd w:id="60"/>
      <w:bookmarkEnd w:id="61"/>
      <w:bookmarkEnd w:id="62"/>
      <w:bookmarkEnd w:id="63"/>
    </w:p>
    <w:p>
      <w:pPr>
        <w:widowControl/>
        <w:numPr>
          <w:ilvl w:val="0"/>
          <w:numId w:val="0"/>
        </w:numPr>
        <w:adjustRightInd w:val="0"/>
        <w:snapToGrid w:val="0"/>
        <w:spacing w:line="360" w:lineRule="auto"/>
        <w:ind w:left="0" w:leftChars="0" w:firstLine="359" w:firstLineChars="171"/>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（一）项目工</w:t>
      </w:r>
      <w:r>
        <w:rPr>
          <w:rFonts w:hint="eastAsia" w:ascii="宋体" w:hAnsi="宋体" w:eastAsia="宋体" w:cs="宋体"/>
          <w:color w:val="auto"/>
          <w:kern w:val="2"/>
          <w:sz w:val="21"/>
          <w:szCs w:val="21"/>
          <w:highlight w:val="none"/>
          <w:u w:val="none"/>
          <w:lang w:val="en-US" w:eastAsia="zh-CN" w:bidi="ar-SA"/>
        </w:rPr>
        <w:t>期：</w:t>
      </w:r>
      <w:r>
        <w:rPr>
          <w:rFonts w:hint="eastAsia" w:ascii="宋体" w:hAnsi="宋体" w:cs="宋体"/>
          <w:color w:val="auto"/>
          <w:kern w:val="2"/>
          <w:sz w:val="21"/>
          <w:szCs w:val="21"/>
          <w:highlight w:val="none"/>
          <w:u w:val="none"/>
          <w:lang w:val="en-US" w:eastAsia="zh-CN" w:bidi="ar-SA"/>
        </w:rPr>
        <w:t>45天（自开工之日起）</w:t>
      </w:r>
      <w:r>
        <w:rPr>
          <w:rFonts w:hint="eastAsia" w:ascii="宋体" w:hAnsi="宋体" w:eastAsia="宋体" w:cs="宋体"/>
          <w:color w:val="auto"/>
          <w:kern w:val="2"/>
          <w:sz w:val="21"/>
          <w:szCs w:val="21"/>
          <w:highlight w:val="none"/>
          <w:u w:val="none"/>
          <w:lang w:val="en-US" w:eastAsia="zh-CN" w:bidi="ar-SA"/>
        </w:rPr>
        <w:t>。</w:t>
      </w:r>
    </w:p>
    <w:p>
      <w:pPr>
        <w:widowControl/>
        <w:numPr>
          <w:ilvl w:val="0"/>
          <w:numId w:val="0"/>
        </w:numPr>
        <w:adjustRightInd w:val="0"/>
        <w:snapToGrid w:val="0"/>
        <w:spacing w:line="360" w:lineRule="auto"/>
        <w:ind w:left="0" w:leftChars="0" w:firstLine="359" w:firstLineChars="171"/>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（二）实施地点：</w:t>
      </w:r>
      <w:r>
        <w:rPr>
          <w:rFonts w:hint="eastAsia" w:ascii="宋体" w:hAnsi="宋体" w:cs="宋体"/>
          <w:color w:val="auto"/>
          <w:kern w:val="2"/>
          <w:sz w:val="21"/>
          <w:szCs w:val="21"/>
          <w:highlight w:val="none"/>
          <w:lang w:val="en-US" w:eastAsia="zh-CN" w:bidi="ar-SA"/>
        </w:rPr>
        <w:t>吉首市第一中学</w:t>
      </w:r>
      <w:r>
        <w:rPr>
          <w:rFonts w:hint="eastAsia" w:ascii="宋体" w:hAnsi="宋体" w:eastAsia="宋体" w:cs="宋体"/>
          <w:color w:val="auto"/>
          <w:kern w:val="2"/>
          <w:sz w:val="21"/>
          <w:szCs w:val="21"/>
          <w:highlight w:val="none"/>
          <w:lang w:val="en-US" w:eastAsia="zh-CN" w:bidi="ar-SA"/>
        </w:rPr>
        <w:t>。</w:t>
      </w:r>
    </w:p>
    <w:p>
      <w:pPr>
        <w:keepNext/>
        <w:keepLines/>
        <w:widowControl w:val="0"/>
        <w:spacing w:line="360" w:lineRule="auto"/>
        <w:jc w:val="left"/>
        <w:outlineLvl w:val="1"/>
        <w:rPr>
          <w:rFonts w:hint="eastAsia" w:ascii="宋体" w:hAnsi="宋体" w:eastAsia="宋体" w:cs="宋体"/>
          <w:b/>
          <w:bCs/>
          <w:color w:val="auto"/>
          <w:sz w:val="24"/>
          <w:szCs w:val="24"/>
          <w:highlight w:val="none"/>
          <w:lang w:val="en-US" w:eastAsia="zh-CN" w:bidi="ar-SA"/>
        </w:rPr>
      </w:pPr>
      <w:bookmarkStart w:id="64" w:name="_Toc6422"/>
      <w:bookmarkStart w:id="65" w:name="_Toc7492"/>
      <w:bookmarkStart w:id="66" w:name="_Toc5580"/>
      <w:bookmarkStart w:id="67" w:name="_Toc1793"/>
      <w:bookmarkStart w:id="68" w:name="_Toc21141"/>
      <w:bookmarkStart w:id="69" w:name="_Toc19833"/>
      <w:bookmarkStart w:id="70" w:name="_Toc4385"/>
      <w:bookmarkStart w:id="71" w:name="_Toc14962"/>
      <w:bookmarkStart w:id="72" w:name="_Toc11189"/>
      <w:r>
        <w:rPr>
          <w:rFonts w:hint="eastAsia" w:ascii="宋体" w:hAnsi="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eastAsia="zh-CN" w:bidi="ar-SA"/>
        </w:rPr>
        <w:t>、需满足的服务标准、期限、效率等要求；</w:t>
      </w:r>
      <w:bookmarkEnd w:id="64"/>
      <w:bookmarkEnd w:id="65"/>
      <w:bookmarkEnd w:id="66"/>
      <w:bookmarkEnd w:id="67"/>
      <w:bookmarkEnd w:id="68"/>
      <w:bookmarkEnd w:id="69"/>
      <w:bookmarkEnd w:id="70"/>
      <w:bookmarkEnd w:id="71"/>
      <w:bookmarkEnd w:id="72"/>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1、建筑材料运输、保管及保险，以及材料的使用要求</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（1）供应商负责建筑材料到施工地点的全部运输，包括装卸及现场二次搬运等。</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（2）供应商负责建筑材料在施工地点的保管，直至项目验收合格。</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（3）供应商负责派出施工人员的人身意外保险或工伤保险。</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（4）供应商选购的材料符合国家、行业合格标准及合同要求。</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5）工程质量及工程验收标准，按建设部现行的有关施工规范和工程质量检验评定标准执行，务必达到合格工程标准。成交供应商如有违反操作规程及粗制滥造现象，采购人有权加以制止，直至下令停止施工，其经济损失全部由承包人负责，工期不得顺延。</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（6）当现场情况与设计不相符时，须先报告采购方，再由采购方和设计方根据现场进行调整。</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2、施工要求</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（1）供应商须加强施工的组织管理，所有施工人员须遵守文明安全施工的有关规章制度，持证上岗。施工期间做好围挡，控制好扬尘与噪声，合理安排施工时间，处理好与相邻单位的关系。</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（2）中标人施工现场的关键岗位人员须与投标的关键岗位人员保持一致，否则采购人有权取消中标资格。</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（3）中标人在施工过程中不得破坏建筑物结构，设备设施等，如有损坏照原样恢复，拒绝恢复，采购人有权请其他单位施工。产生的费用从工程款中扣除。</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施工项目部关键岗位其他人员实行承诺制，提交响应文件时不要求提供具体人员信息，其中标后按照国家和省有关法律法规、规范标准和湖南省建筑工程施工监理关键岗位人员管理办法（湘建建〔2020〕208号文）规定配备施工项目部关键岗位其他人员；项目部关键岗位人员必须是本企业在职人员。安全员须具有有效的综合类专职安全生产管理人员（C证）证书，证书上的单位名称必须与供应商名称一致（中标后提供）。（提供承诺函，格式自拟）</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3.保修期及保修要求</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按照建设部〔2000〕年第80号令、《建设工程质量管理条例》规定保修期间进场维修，保证无偿修理完好，否则，由采购人安排维修，维修费在保修预留金中双倍扣除。</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4.在施工过程中的一切安全与运输事项由供应商自行负责，采购人不承担任何责任。供应商在施工过程中损坏了周边房屋、设施设备甚至人员生命安全的，由供应商负责赔偿。</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bidi="ar-SA"/>
        </w:rPr>
        <w:t>5.作业注意安全不扰民，注意环保，应洒水降尘。供应商应保证项目施工现场安全，对项目建设范围进行停水、断电、设置施工现场警示牌、警戒线、围挡等防护措施。如白天施工作业未完成，供应商晚上应在施工现场设置警示灯，并指派专人看守。如施工期间因未做好</w:t>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"http://wenda.so.com/q/1378645045066323?src=140&amp;q=%E5%AE%89%E5%85%A8%E6%96%BD%E5%B7%A5%E6%A0%87%E8%AF%86" \t "https://www.so.com/_blank"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安全文明施工标识牌</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t>的提示引起安全问题，由供应商自行负责，采购人不承担任何责任。</w:t>
      </w:r>
    </w:p>
    <w:p>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73" w:name="_Toc13269"/>
      <w:bookmarkStart w:id="74" w:name="_Toc16685"/>
      <w:bookmarkStart w:id="75" w:name="_Toc8969"/>
      <w:bookmarkStart w:id="76" w:name="_Toc8593"/>
      <w:bookmarkStart w:id="77" w:name="_Toc3149"/>
      <w:bookmarkStart w:id="78" w:name="_Toc3009"/>
      <w:bookmarkStart w:id="79" w:name="_Toc8278"/>
      <w:bookmarkStart w:id="80" w:name="_Toc22502"/>
      <w:bookmarkStart w:id="81" w:name="_Toc26870"/>
      <w:r>
        <w:rPr>
          <w:rFonts w:hint="eastAsia" w:ascii="宋体" w:hAnsi="宋体" w:eastAsia="宋体" w:cs="宋体"/>
          <w:b/>
          <w:bCs/>
          <w:color w:val="auto"/>
          <w:sz w:val="24"/>
          <w:szCs w:val="24"/>
          <w:highlight w:val="none"/>
          <w:lang w:val="en-US" w:eastAsia="zh-CN" w:bidi="ar-SA"/>
        </w:rPr>
        <w:t>七、</w:t>
      </w:r>
      <w:bookmarkEnd w:id="73"/>
      <w:bookmarkEnd w:id="74"/>
      <w:bookmarkEnd w:id="75"/>
      <w:bookmarkEnd w:id="76"/>
      <w:bookmarkEnd w:id="77"/>
      <w:bookmarkEnd w:id="78"/>
      <w:bookmarkEnd w:id="79"/>
      <w:bookmarkEnd w:id="80"/>
      <w:bookmarkEnd w:id="81"/>
      <w:r>
        <w:rPr>
          <w:rFonts w:hint="eastAsia" w:ascii="宋体" w:hAnsi="宋体" w:eastAsia="宋体" w:cs="宋体"/>
          <w:b/>
          <w:bCs/>
          <w:color w:val="auto"/>
          <w:kern w:val="0"/>
          <w:sz w:val="24"/>
          <w:szCs w:val="24"/>
          <w:highlight w:val="none"/>
        </w:rPr>
        <w:t>验收标准</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1.验收时，供应商应清理施工现场的临时设施、施工垃圾并承担由此产生的费用，清理及卫生满足要求后方可验收。</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2.由采购人组织验收活动，中标人负责在当地建设行政主管部门办理工程竣工验收备案（如需）。</w:t>
      </w:r>
    </w:p>
    <w:p>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3.验收过程中产生纠纷的，由质量技术监督部门认定的检测机构检测，如为中标人原因造成的，由中标人承担检测费用；否则，由采购人承担。</w:t>
      </w:r>
    </w:p>
    <w:p>
      <w:pPr>
        <w:widowControl/>
        <w:numPr>
          <w:ilvl w:val="0"/>
          <w:numId w:val="0"/>
        </w:numPr>
        <w:adjustRightInd w:val="0"/>
        <w:snapToGrid w:val="0"/>
        <w:spacing w:line="360" w:lineRule="auto"/>
        <w:ind w:firstLine="420" w:firstLineChars="200"/>
        <w:jc w:val="left"/>
        <w:rPr>
          <w:rFonts w:hint="default" w:ascii="Times New Roman" w:hAnsi="Times New Roman" w:eastAsia="宋体" w:cs="Times New Roman"/>
          <w:b/>
          <w:bCs/>
          <w:color w:val="auto"/>
          <w:sz w:val="24"/>
          <w:szCs w:val="24"/>
          <w:highlight w:val="none"/>
          <w:lang w:val="en-US" w:eastAsia="zh-CN"/>
        </w:rPr>
      </w:pPr>
      <w:r>
        <w:rPr>
          <w:rFonts w:hint="eastAsia" w:ascii="宋体" w:hAnsi="宋体" w:eastAsia="宋体" w:cs="宋体"/>
          <w:color w:val="auto"/>
          <w:sz w:val="21"/>
          <w:szCs w:val="21"/>
          <w:highlight w:val="none"/>
          <w:lang w:val="en-US" w:eastAsia="zh-CN" w:bidi="ar-SA"/>
        </w:rPr>
        <w:t>4.项目验收不合格，由中标人返工直至合格，有关返工、再行验收，以及给采购人造成的损失等费用由中标人承担。连续两次项目验收不合格的，采购人可终止合同，由此带来的一切损失由中标人承担。</w:t>
      </w:r>
    </w:p>
    <w:p>
      <w:pPr>
        <w:widowControl/>
        <w:spacing w:line="324" w:lineRule="auto"/>
        <w:ind w:firstLine="422" w:firstLineChars="200"/>
        <w:jc w:val="left"/>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八</w:t>
      </w:r>
      <w:r>
        <w:rPr>
          <w:rFonts w:hint="eastAsia" w:ascii="宋体" w:hAnsi="宋体" w:eastAsia="宋体" w:cs="宋体"/>
          <w:b/>
          <w:bCs/>
          <w:color w:val="auto"/>
          <w:kern w:val="0"/>
          <w:szCs w:val="21"/>
          <w:highlight w:val="none"/>
        </w:rPr>
        <w:t>、采购标的的其他技术、服务等要求</w:t>
      </w:r>
    </w:p>
    <w:p>
      <w:pPr>
        <w:adjustRightInd w:val="0"/>
        <w:snapToGrid w:val="0"/>
        <w:spacing w:line="324" w:lineRule="auto"/>
        <w:ind w:firstLine="422" w:firstLineChars="200"/>
        <w:jc w:val="left"/>
        <w:rPr>
          <w:rFonts w:hint="eastAsia" w:ascii="宋体" w:hAnsi="宋体" w:eastAsia="宋体" w:cs="宋体"/>
          <w:b/>
          <w:bCs/>
          <w:color w:val="auto"/>
          <w:kern w:val="2"/>
          <w:szCs w:val="21"/>
          <w:highlight w:val="none"/>
        </w:rPr>
      </w:pPr>
      <w:r>
        <w:rPr>
          <w:rFonts w:hint="eastAsia" w:ascii="宋体" w:hAnsi="宋体" w:cs="宋体"/>
          <w:b/>
          <w:bCs/>
          <w:color w:val="auto"/>
          <w:kern w:val="2"/>
          <w:szCs w:val="21"/>
          <w:highlight w:val="none"/>
          <w:lang w:eastAsia="zh-CN"/>
        </w:rPr>
        <w:t>1.</w:t>
      </w:r>
      <w:r>
        <w:rPr>
          <w:rFonts w:hint="eastAsia" w:ascii="宋体" w:hAnsi="宋体" w:eastAsia="宋体" w:cs="宋体"/>
          <w:b/>
          <w:bCs/>
          <w:color w:val="auto"/>
          <w:kern w:val="2"/>
          <w:szCs w:val="21"/>
          <w:highlight w:val="none"/>
        </w:rPr>
        <w:t>质量要求</w:t>
      </w:r>
    </w:p>
    <w:p>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质量要求：符合现行国家有关建筑工程施工质量验收规范和标准要求。</w:t>
      </w:r>
    </w:p>
    <w:p>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保修要求：按建设部2000年80号令规定保修。</w:t>
      </w:r>
    </w:p>
    <w:p>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施工期间，应接受采购人的监督管理，遵守有关规定。</w:t>
      </w:r>
    </w:p>
    <w:p>
      <w:pPr>
        <w:adjustRightInd w:val="0"/>
        <w:snapToGrid w:val="0"/>
        <w:spacing w:line="324" w:lineRule="auto"/>
        <w:ind w:firstLine="422" w:firstLineChars="200"/>
        <w:jc w:val="left"/>
        <w:rPr>
          <w:rFonts w:hint="eastAsia" w:ascii="宋体" w:hAnsi="宋体" w:eastAsia="宋体" w:cs="宋体"/>
          <w:b/>
          <w:bCs/>
          <w:color w:val="auto"/>
          <w:kern w:val="2"/>
          <w:szCs w:val="21"/>
          <w:highlight w:val="none"/>
        </w:rPr>
      </w:pPr>
      <w:r>
        <w:rPr>
          <w:rFonts w:hint="eastAsia" w:ascii="宋体" w:hAnsi="宋体" w:cs="宋体"/>
          <w:b/>
          <w:bCs/>
          <w:color w:val="auto"/>
          <w:kern w:val="2"/>
          <w:szCs w:val="21"/>
          <w:highlight w:val="none"/>
          <w:lang w:val="en-US" w:eastAsia="zh-CN"/>
        </w:rPr>
        <w:t>2.</w:t>
      </w:r>
      <w:r>
        <w:rPr>
          <w:rFonts w:hint="eastAsia" w:ascii="宋体" w:hAnsi="宋体" w:eastAsia="宋体" w:cs="宋体"/>
          <w:b/>
          <w:bCs/>
          <w:color w:val="auto"/>
          <w:kern w:val="2"/>
          <w:szCs w:val="21"/>
          <w:highlight w:val="none"/>
        </w:rPr>
        <w:t>履约保证金</w:t>
      </w:r>
    </w:p>
    <w:p>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2.1成交人应在本合同签订前向采购人缴纳履约保证金，履约保证金为本合同总金额的</w:t>
      </w:r>
      <w:r>
        <w:rPr>
          <w:rFonts w:hint="eastAsia" w:ascii="宋体" w:hAnsi="宋体" w:cs="宋体"/>
          <w:color w:val="auto"/>
          <w:kern w:val="0"/>
          <w:szCs w:val="21"/>
          <w:highlight w:val="none"/>
          <w:lang w:val="en-US" w:eastAsia="zh-CN"/>
        </w:rPr>
        <w:t>10</w:t>
      </w:r>
      <w:r>
        <w:rPr>
          <w:rFonts w:hint="eastAsia" w:ascii="宋体" w:hAnsi="宋体" w:eastAsia="宋体" w:cs="宋体"/>
          <w:color w:val="auto"/>
          <w:kern w:val="0"/>
          <w:szCs w:val="21"/>
          <w:highlight w:val="none"/>
          <w:lang w:val="en-US" w:eastAsia="zh-CN"/>
        </w:rPr>
        <w:t>%。履约保证金采用银行对公转账、银行保函、保证保险等形式。</w:t>
      </w:r>
    </w:p>
    <w:p>
      <w:pPr>
        <w:spacing w:line="360" w:lineRule="auto"/>
        <w:ind w:firstLine="480"/>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lang w:val="en-US" w:eastAsia="zh-CN"/>
        </w:rPr>
        <w:t>2.2履约保证金退还时间：本项目全部内容完成、工程竣工验收合格、竣工结算经相关部门审核定稿后，无质量问题及违约纠纷</w:t>
      </w:r>
      <w:r>
        <w:rPr>
          <w:rFonts w:hint="eastAsia" w:ascii="宋体" w:hAnsi="宋体" w:cs="宋体"/>
          <w:color w:val="auto"/>
          <w:kern w:val="0"/>
          <w:szCs w:val="21"/>
          <w:highlight w:val="none"/>
          <w:u w:val="none"/>
          <w:lang w:val="en-US" w:eastAsia="zh-CN"/>
        </w:rPr>
        <w:t>的</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采用银行转账方式提交履约担保的</w:t>
      </w:r>
      <w:r>
        <w:rPr>
          <w:rFonts w:hint="eastAsia" w:ascii="宋体" w:hAnsi="宋体" w:cs="宋体"/>
          <w:color w:val="auto"/>
          <w:szCs w:val="21"/>
          <w:highlight w:val="none"/>
          <w:u w:val="none"/>
          <w:lang w:val="en-US" w:eastAsia="zh-CN"/>
        </w:rPr>
        <w:t>，</w:t>
      </w:r>
      <w:r>
        <w:rPr>
          <w:rFonts w:hint="eastAsia" w:ascii="宋体" w:hAnsi="宋体" w:eastAsia="宋体" w:cs="宋体"/>
          <w:color w:val="auto"/>
          <w:kern w:val="0"/>
          <w:szCs w:val="21"/>
          <w:highlight w:val="none"/>
          <w:u w:val="none"/>
          <w:lang w:val="en-US" w:eastAsia="zh-CN"/>
        </w:rPr>
        <w:t>采购人在15个工作日内无息全额退还履约保证金。</w:t>
      </w:r>
      <w:r>
        <w:rPr>
          <w:rFonts w:hint="eastAsia" w:ascii="宋体" w:hAnsi="宋体" w:eastAsia="宋体" w:cs="宋体"/>
          <w:color w:val="auto"/>
          <w:szCs w:val="21"/>
          <w:highlight w:val="none"/>
          <w:u w:val="none"/>
          <w:lang w:val="en-US" w:eastAsia="zh-CN"/>
        </w:rPr>
        <w:t>采用银行保函、履约保证保险提交履约担保的，担保有效期自开立起至工程竣工验收合格、竣工结算审核定稿，无质量问题及违约纠纷后60日止；项目延期的，</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须提前30日完成续保。结算办结无纠纷后，</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自行办理保函注销、保险退保；履约期内</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违约的，采购人可直接向担保方申请赔付抵扣损失。</w:t>
      </w:r>
      <w:r>
        <w:rPr>
          <w:rFonts w:hint="eastAsia" w:ascii="宋体" w:hAnsi="宋体" w:eastAsia="宋体" w:cs="宋体"/>
          <w:color w:val="auto"/>
          <w:kern w:val="0"/>
          <w:szCs w:val="21"/>
          <w:highlight w:val="none"/>
          <w:u w:val="none"/>
          <w:lang w:val="en-US" w:eastAsia="zh-CN"/>
        </w:rPr>
        <w:t>如成交供应商违反合同及其附件约定的任何义务，采购人有权在履约保证金中直接扣除乙方应向采购人支付的违约金或损失赔偿金。如有不足的，由成交供应商另行承担责任。</w:t>
      </w:r>
    </w:p>
    <w:p>
      <w:pPr>
        <w:adjustRightInd w:val="0"/>
        <w:snapToGrid w:val="0"/>
        <w:spacing w:line="324" w:lineRule="auto"/>
        <w:ind w:firstLine="422" w:firstLineChars="200"/>
        <w:jc w:val="left"/>
        <w:rPr>
          <w:rFonts w:hint="eastAsia" w:ascii="宋体" w:hAnsi="宋体" w:eastAsia="宋体" w:cs="宋体"/>
          <w:b/>
          <w:bCs/>
          <w:color w:val="auto"/>
          <w:kern w:val="2"/>
          <w:szCs w:val="21"/>
          <w:highlight w:val="none"/>
          <w:lang w:val="en-US" w:eastAsia="zh-CN"/>
        </w:rPr>
      </w:pPr>
      <w:r>
        <w:rPr>
          <w:rFonts w:hint="eastAsia" w:ascii="宋体" w:hAnsi="宋体" w:cs="宋体"/>
          <w:b/>
          <w:bCs/>
          <w:color w:val="auto"/>
          <w:kern w:val="2"/>
          <w:szCs w:val="21"/>
          <w:highlight w:val="none"/>
          <w:lang w:val="en-US" w:eastAsia="zh-CN"/>
        </w:rPr>
        <w:t>3.</w:t>
      </w:r>
      <w:r>
        <w:rPr>
          <w:rFonts w:hint="eastAsia" w:ascii="宋体" w:hAnsi="宋体" w:eastAsia="宋体" w:cs="宋体"/>
          <w:b/>
          <w:bCs/>
          <w:color w:val="auto"/>
          <w:kern w:val="2"/>
          <w:szCs w:val="21"/>
          <w:highlight w:val="none"/>
          <w:lang w:val="en-US" w:eastAsia="zh-CN"/>
        </w:rPr>
        <w:t>付款方式</w:t>
      </w:r>
    </w:p>
    <w:p>
      <w:pPr>
        <w:numPr>
          <w:ilvl w:val="0"/>
          <w:numId w:val="0"/>
        </w:numPr>
        <w:spacing w:line="360" w:lineRule="auto"/>
        <w:ind w:leftChars="2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3.1</w:t>
      </w:r>
      <w:r>
        <w:rPr>
          <w:rFonts w:hint="default" w:ascii="宋体" w:hAnsi="宋体" w:cs="宋体"/>
          <w:color w:val="auto"/>
          <w:kern w:val="0"/>
          <w:szCs w:val="21"/>
          <w:highlight w:val="none"/>
          <w:lang w:val="en-US" w:eastAsia="zh-CN"/>
        </w:rPr>
        <w:t>付款人：</w:t>
      </w:r>
      <w:r>
        <w:rPr>
          <w:rFonts w:hint="eastAsia" w:ascii="宋体" w:hAnsi="宋体" w:cs="宋体"/>
          <w:color w:val="auto"/>
          <w:kern w:val="0"/>
          <w:szCs w:val="21"/>
          <w:highlight w:val="none"/>
          <w:lang w:val="en-US" w:eastAsia="zh-CN"/>
        </w:rPr>
        <w:t>吉首市第一中学</w:t>
      </w:r>
    </w:p>
    <w:p>
      <w:pPr>
        <w:spacing w:line="360" w:lineRule="auto"/>
        <w:ind w:firstLine="48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3.2</w:t>
      </w:r>
      <w:r>
        <w:rPr>
          <w:rFonts w:hint="default" w:ascii="宋体" w:hAnsi="宋体" w:eastAsia="宋体" w:cs="宋体"/>
          <w:color w:val="auto"/>
          <w:kern w:val="0"/>
          <w:szCs w:val="21"/>
          <w:highlight w:val="none"/>
          <w:lang w:val="en-US" w:eastAsia="zh-CN"/>
        </w:rPr>
        <w:t xml:space="preserve">付款方式：工程竣工验收合格后付至合同总价款 </w:t>
      </w:r>
      <w:r>
        <w:rPr>
          <w:rFonts w:hint="eastAsia" w:ascii="宋体" w:hAnsi="宋体" w:cs="宋体"/>
          <w:color w:val="auto"/>
          <w:kern w:val="0"/>
          <w:szCs w:val="21"/>
          <w:highlight w:val="none"/>
          <w:lang w:val="en-US" w:eastAsia="zh-CN"/>
        </w:rPr>
        <w:t>8</w:t>
      </w:r>
      <w:r>
        <w:rPr>
          <w:rFonts w:hint="default" w:ascii="宋体" w:hAnsi="宋体" w:eastAsia="宋体" w:cs="宋体"/>
          <w:color w:val="auto"/>
          <w:kern w:val="0"/>
          <w:szCs w:val="21"/>
          <w:highlight w:val="none"/>
          <w:lang w:val="en-US" w:eastAsia="zh-CN"/>
        </w:rPr>
        <w:t xml:space="preserve">0％，结算审计完成后付至结算审核价的 97％，剩余 3％作为工程质量保证金，缺陷责任期为 </w:t>
      </w:r>
      <w:r>
        <w:rPr>
          <w:rFonts w:hint="eastAsia" w:ascii="宋体" w:hAnsi="宋体" w:cs="宋体"/>
          <w:color w:val="auto"/>
          <w:kern w:val="0"/>
          <w:szCs w:val="21"/>
          <w:highlight w:val="none"/>
          <w:lang w:val="en-US" w:eastAsia="zh-CN"/>
        </w:rPr>
        <w:t>1</w:t>
      </w:r>
      <w:r>
        <w:rPr>
          <w:rFonts w:hint="default" w:ascii="宋体" w:hAnsi="宋体" w:eastAsia="宋体" w:cs="宋体"/>
          <w:color w:val="auto"/>
          <w:kern w:val="0"/>
          <w:szCs w:val="21"/>
          <w:highlight w:val="none"/>
          <w:lang w:val="en-US" w:eastAsia="zh-CN"/>
        </w:rPr>
        <w:t xml:space="preserve"> 年，缺陷责任期满后无质量问题，无息退还质保金。所有款项支付前，成交供应商须开具符合学校财务要求的正规发票，资料不全、发票不合规的，相关责任由成交供应商承担。</w:t>
      </w:r>
    </w:p>
    <w:p>
      <w:pPr>
        <w:spacing w:line="360" w:lineRule="auto"/>
        <w:ind w:firstLine="48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3.3 本工程采用固定单价合同，最终结算价以审计部门审定的审计结论为准。供应商应根据项目要求和现场情况，详细列明项目所需的设备、材料以及所有人工、管理、财务等所有费用，如供应商遗漏磋商文件中所列工程量清单内容，均由供应商自负，付款人不再支付任何费用。</w:t>
      </w:r>
    </w:p>
    <w:p>
      <w:pPr>
        <w:autoSpaceDE w:val="0"/>
        <w:autoSpaceDN w:val="0"/>
        <w:adjustRightInd w:val="0"/>
        <w:spacing w:line="324" w:lineRule="auto"/>
        <w:ind w:firstLine="422" w:firstLineChars="200"/>
        <w:jc w:val="left"/>
        <w:rPr>
          <w:rFonts w:hint="eastAsia" w:ascii="宋体" w:hAnsi="宋体" w:eastAsia="宋体" w:cs="宋体"/>
          <w:b/>
          <w:color w:val="auto"/>
          <w:kern w:val="0"/>
          <w:szCs w:val="21"/>
          <w:highlight w:val="none"/>
        </w:rPr>
      </w:pPr>
      <w:r>
        <w:rPr>
          <w:rFonts w:hint="eastAsia" w:ascii="宋体" w:hAnsi="宋体" w:cs="宋体"/>
          <w:b/>
          <w:color w:val="auto"/>
          <w:kern w:val="0"/>
          <w:szCs w:val="21"/>
          <w:highlight w:val="none"/>
          <w:lang w:val="en-US" w:eastAsia="zh-CN"/>
        </w:rPr>
        <w:t>4</w:t>
      </w:r>
      <w:r>
        <w:rPr>
          <w:rFonts w:hint="eastAsia" w:ascii="宋体" w:hAnsi="宋体" w:cs="宋体"/>
          <w:b/>
          <w:color w:val="auto"/>
          <w:kern w:val="0"/>
          <w:szCs w:val="21"/>
          <w:highlight w:val="none"/>
          <w:lang w:eastAsia="zh-CN"/>
        </w:rPr>
        <w:t>.</w:t>
      </w:r>
      <w:r>
        <w:rPr>
          <w:rFonts w:hint="eastAsia" w:ascii="宋体" w:hAnsi="宋体" w:eastAsia="宋体" w:cs="宋体"/>
          <w:b/>
          <w:color w:val="auto"/>
          <w:kern w:val="0"/>
          <w:szCs w:val="21"/>
          <w:highlight w:val="none"/>
        </w:rPr>
        <w:t>其他</w:t>
      </w:r>
    </w:p>
    <w:p>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4.1</w:t>
      </w:r>
      <w:r>
        <w:rPr>
          <w:rFonts w:hint="eastAsia" w:ascii="宋体" w:hAnsi="宋体" w:eastAsia="宋体" w:cs="宋体"/>
          <w:color w:val="auto"/>
          <w:kern w:val="0"/>
          <w:szCs w:val="21"/>
          <w:highlight w:val="none"/>
          <w:lang w:val="en-US" w:eastAsia="zh-CN"/>
        </w:rPr>
        <w:t>本项目签订据实结算合同，(报价需包含项目施工、材料、质量、工期、检测、保修、行政审批等)。</w:t>
      </w:r>
    </w:p>
    <w:p>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4.2</w:t>
      </w:r>
      <w:r>
        <w:rPr>
          <w:rFonts w:hint="eastAsia" w:ascii="宋体" w:hAnsi="宋体" w:eastAsia="宋体" w:cs="宋体"/>
          <w:color w:val="auto"/>
          <w:kern w:val="0"/>
          <w:szCs w:val="21"/>
          <w:highlight w:val="none"/>
          <w:lang w:val="en-US" w:eastAsia="zh-CN"/>
        </w:rPr>
        <w:t>供应商提供的投标报价工程量清单必须完全响应采购人公布的工程量清单，不得缺漏项，否则视为不合格供应商。供应商分项价格表按工程量清单内容制作。投标报价中的施工安全防护措施项目费、安全责任险、环境保护税须按照省住房城乡建设主管部门的规定计算，增值税按照政府有关主管部门的规定计算费用，</w:t>
      </w:r>
      <w:r>
        <w:rPr>
          <w:rFonts w:hint="eastAsia" w:ascii="宋体" w:hAnsi="宋体" w:eastAsia="宋体" w:cs="宋体"/>
          <w:b/>
          <w:bCs/>
          <w:color w:val="auto"/>
          <w:kern w:val="0"/>
          <w:szCs w:val="21"/>
          <w:highlight w:val="none"/>
          <w:lang w:val="en-US" w:eastAsia="zh-CN"/>
        </w:rPr>
        <w:t>投标报价中的暂估价或暂列金额须与招标人公布的暂估价（如有）或暂列金额（如有）保持一致</w:t>
      </w:r>
      <w:r>
        <w:rPr>
          <w:rFonts w:hint="eastAsia" w:ascii="宋体" w:hAnsi="宋体" w:cs="宋体"/>
          <w:b/>
          <w:bCs/>
          <w:color w:val="auto"/>
          <w:kern w:val="0"/>
          <w:szCs w:val="21"/>
          <w:highlight w:val="none"/>
          <w:lang w:val="en-US" w:eastAsia="zh-CN"/>
        </w:rPr>
        <w:t>，供应商报价时不得优惠或调整，否则按无效响应处理</w:t>
      </w:r>
      <w:r>
        <w:rPr>
          <w:rFonts w:hint="eastAsia" w:ascii="宋体" w:hAnsi="宋体" w:eastAsia="宋体" w:cs="宋体"/>
          <w:b/>
          <w:bCs/>
          <w:color w:val="auto"/>
          <w:kern w:val="0"/>
          <w:szCs w:val="21"/>
          <w:highlight w:val="none"/>
          <w:lang w:val="en-US" w:eastAsia="zh-CN"/>
        </w:rPr>
        <w:t>。</w:t>
      </w:r>
    </w:p>
    <w:p>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cs="宋体"/>
          <w:color w:val="auto"/>
          <w:kern w:val="0"/>
          <w:szCs w:val="21"/>
          <w:highlight w:val="none"/>
          <w:lang w:val="en-US" w:eastAsia="zh-CN"/>
        </w:rPr>
        <w:t>4.3</w:t>
      </w:r>
      <w:r>
        <w:rPr>
          <w:rFonts w:hint="eastAsia" w:ascii="宋体" w:hAnsi="宋体" w:eastAsia="宋体" w:cs="宋体"/>
          <w:color w:val="auto"/>
          <w:kern w:val="0"/>
          <w:szCs w:val="21"/>
          <w:highlight w:val="none"/>
          <w:lang w:val="en-US" w:eastAsia="zh-CN"/>
        </w:rPr>
        <w:t>施工单位做好施工区域内的保护工作，若有损坏应及时予以无偿修复。</w:t>
      </w:r>
    </w:p>
    <w:bookmarkEnd w:id="35"/>
    <w:p>
      <w:pPr>
        <w:adjustRightInd w:val="0"/>
        <w:snapToGrid w:val="0"/>
        <w:spacing w:line="360" w:lineRule="auto"/>
        <w:rPr>
          <w:rFonts w:hint="eastAsia" w:ascii="宋体" w:hAnsi="宋体" w:eastAsia="宋体" w:cs="Times New Roman"/>
          <w:b/>
          <w:color w:val="auto"/>
          <w:sz w:val="24"/>
          <w:highlight w:val="none"/>
          <w:lang w:val="en-US" w:eastAsia="zh-CN"/>
        </w:rPr>
      </w:pPr>
      <w:r>
        <w:rPr>
          <w:rFonts w:hint="eastAsia" w:ascii="宋体" w:hAnsi="宋体" w:eastAsia="宋体" w:cs="Times New Roman"/>
          <w:b/>
          <w:color w:val="auto"/>
          <w:sz w:val="24"/>
          <w:highlight w:val="none"/>
          <w:lang w:val="en-US" w:eastAsia="zh-CN"/>
        </w:rPr>
        <w:t>九、其它需要说明的事项</w:t>
      </w:r>
    </w:p>
    <w:p>
      <w:pPr>
        <w:spacing w:line="360" w:lineRule="auto"/>
        <w:ind w:firstLine="420" w:firstLineChars="200"/>
        <w:rPr>
          <w:rFonts w:ascii="宋体" w:hAnsi="宋体" w:eastAsia="宋体" w:cs="宋体"/>
          <w:b/>
          <w:color w:val="auto"/>
          <w:szCs w:val="21"/>
          <w:highlight w:val="none"/>
        </w:rPr>
      </w:pPr>
      <w:r>
        <w:rPr>
          <w:rFonts w:hint="eastAsia" w:ascii="宋体" w:hAnsi="宋体" w:eastAsia="宋体" w:cs="Times New Roman"/>
          <w:bCs/>
          <w:color w:val="auto"/>
          <w:szCs w:val="21"/>
          <w:highlight w:val="none"/>
        </w:rPr>
        <w:t>投标人</w:t>
      </w:r>
      <w:r>
        <w:rPr>
          <w:rFonts w:hint="eastAsia" w:ascii="宋体" w:hAnsi="宋体" w:eastAsia="宋体" w:cs="Times New Roman"/>
          <w:bCs/>
          <w:color w:val="auto"/>
          <w:szCs w:val="21"/>
          <w:highlight w:val="none"/>
          <w:lang w:val="en-US" w:eastAsia="zh-CN"/>
        </w:rPr>
        <w:t>可自行</w:t>
      </w:r>
      <w:r>
        <w:rPr>
          <w:rFonts w:hint="eastAsia" w:ascii="宋体" w:hAnsi="宋体" w:eastAsia="宋体" w:cs="Times New Roman"/>
          <w:bCs/>
          <w:color w:val="auto"/>
          <w:szCs w:val="21"/>
          <w:highlight w:val="none"/>
        </w:rPr>
        <w:t>踏勘现场，有关费用自理，踏勘期间发生的意外自负。</w:t>
      </w:r>
    </w:p>
    <w:p>
      <w:pPr>
        <w:pStyle w:val="293"/>
        <w:ind w:left="0" w:firstLine="422"/>
        <w:rPr>
          <w:rFonts w:hint="eastAsia" w:ascii="宋体" w:hAnsi="宋体" w:eastAsia="宋体" w:cs="宋体"/>
          <w:b/>
          <w:bCs w:val="0"/>
          <w:color w:val="auto"/>
          <w:sz w:val="21"/>
          <w:szCs w:val="21"/>
          <w:highlight w:val="none"/>
          <w:lang w:eastAsia="zh-CN"/>
        </w:rPr>
      </w:pPr>
      <w:r>
        <w:rPr>
          <w:rFonts w:hint="eastAsia" w:ascii="宋体" w:hAnsi="宋体" w:eastAsia="宋体" w:cs="宋体"/>
          <w:b/>
          <w:color w:val="auto"/>
          <w:highlight w:val="none"/>
          <w:lang w:val="en-US" w:eastAsia="zh-CN"/>
        </w:rPr>
        <w:t>备注</w:t>
      </w:r>
      <w:r>
        <w:rPr>
          <w:rFonts w:hint="eastAsia" w:ascii="宋体" w:hAnsi="宋体" w:eastAsia="宋体" w:cs="宋体"/>
          <w:b/>
          <w:color w:val="auto"/>
          <w:highlight w:val="none"/>
        </w:rPr>
        <w:t>：附件</w:t>
      </w:r>
      <w:r>
        <w:rPr>
          <w:rFonts w:hint="eastAsia" w:ascii="宋体" w:hAnsi="宋体" w:eastAsia="宋体" w:cs="宋体"/>
          <w:b/>
          <w:snapToGrid w:val="0"/>
          <w:color w:val="auto"/>
          <w:highlight w:val="none"/>
        </w:rPr>
        <w:t>《工程量清单》</w:t>
      </w:r>
      <w:r>
        <w:rPr>
          <w:rFonts w:hint="eastAsia" w:ascii="宋体" w:hAnsi="宋体" w:eastAsia="宋体" w:cs="宋体"/>
          <w:b/>
          <w:snapToGrid w:val="0"/>
          <w:color w:val="auto"/>
          <w:highlight w:val="none"/>
          <w:lang w:val="en-US" w:eastAsia="zh-CN"/>
        </w:rPr>
        <w:t>及《图纸》</w:t>
      </w:r>
      <w:r>
        <w:rPr>
          <w:rFonts w:hint="eastAsia" w:ascii="宋体" w:hAnsi="宋体" w:cs="宋体"/>
          <w:b/>
          <w:snapToGrid w:val="0"/>
          <w:color w:val="auto"/>
          <w:highlight w:val="none"/>
          <w:lang w:val="en-US" w:eastAsia="zh-CN"/>
        </w:rPr>
        <w:t>请在湘西公共资源交易网或湘西州公共资源交易服务平台下载</w:t>
      </w:r>
      <w:r>
        <w:rPr>
          <w:rFonts w:hint="eastAsia" w:ascii="宋体" w:hAnsi="宋体" w:eastAsia="宋体" w:cs="宋体"/>
          <w:b/>
          <w:snapToGrid w:val="0"/>
          <w:color w:val="auto"/>
          <w:highlight w:val="none"/>
          <w:lang w:eastAsia="zh-CN"/>
        </w:rPr>
        <w:t>。</w:t>
      </w:r>
    </w:p>
    <w:p>
      <w:pPr>
        <w:pStyle w:val="2"/>
        <w:keepNext/>
        <w:keepLines w:val="0"/>
        <w:pageBreakBefore w:val="0"/>
        <w:widowControl w:val="0"/>
        <w:kinsoku/>
        <w:wordWrap/>
        <w:overflowPunct/>
        <w:topLinePunct w:val="0"/>
        <w:autoSpaceDE/>
        <w:autoSpaceDN/>
        <w:bidi w:val="0"/>
        <w:adjustRightInd/>
        <w:snapToGrid/>
        <w:ind w:firstLine="422" w:firstLineChars="200"/>
        <w:jc w:val="both"/>
        <w:textAlignment w:val="auto"/>
        <w:rPr>
          <w:rFonts w:hint="eastAsia" w:ascii="宋体" w:hAnsi="宋体" w:eastAsia="宋体" w:cs="宋体"/>
          <w:b/>
          <w:bCs/>
          <w:color w:val="auto"/>
          <w:kern w:val="2"/>
          <w:szCs w:val="21"/>
          <w:highlight w:val="none"/>
        </w:rPr>
        <w:sectPr>
          <w:pgSz w:w="11906" w:h="16838"/>
          <w:pgMar w:top="1417" w:right="1417" w:bottom="1417" w:left="1417" w:header="851" w:footer="850" w:gutter="0"/>
          <w:pgNumType w:fmt="decimal"/>
          <w:cols w:space="0" w:num="1"/>
          <w:titlePg/>
          <w:rtlGutter w:val="0"/>
          <w:docGrid w:type="lines" w:linePitch="312" w:charSpace="0"/>
        </w:sectPr>
      </w:pPr>
      <w:r>
        <w:rPr>
          <w:rFonts w:hint="eastAsia" w:ascii="宋体" w:hAnsi="宋体" w:eastAsia="宋体" w:cs="宋体"/>
          <w:b/>
          <w:bCs w:val="0"/>
          <w:color w:val="auto"/>
          <w:sz w:val="21"/>
          <w:szCs w:val="21"/>
          <w:highlight w:val="none"/>
        </w:rPr>
        <w:t>本章内容全部属于实质性响应条款，对于上述项目要求，</w:t>
      </w:r>
      <w:r>
        <w:rPr>
          <w:rFonts w:hint="eastAsia" w:ascii="宋体" w:hAnsi="宋体" w:cs="宋体"/>
          <w:b/>
          <w:bCs w:val="0"/>
          <w:color w:val="auto"/>
          <w:sz w:val="21"/>
          <w:szCs w:val="21"/>
          <w:highlight w:val="none"/>
          <w:lang w:eastAsia="zh-CN"/>
        </w:rPr>
        <w:t>供应商</w:t>
      </w:r>
      <w:r>
        <w:rPr>
          <w:rFonts w:hint="eastAsia" w:ascii="宋体" w:hAnsi="宋体" w:eastAsia="宋体" w:cs="宋体"/>
          <w:b/>
          <w:bCs w:val="0"/>
          <w:color w:val="auto"/>
          <w:sz w:val="21"/>
          <w:szCs w:val="21"/>
          <w:highlight w:val="none"/>
        </w:rPr>
        <w:t>应在投标文件中进行回应，作出承诺及说明</w:t>
      </w:r>
      <w:r>
        <w:rPr>
          <w:rFonts w:hint="default" w:ascii="Calibri" w:hAnsi="Calibri" w:eastAsia="宋体" w:cs="宋体"/>
          <w:b/>
          <w:bCs w:val="0"/>
          <w:color w:val="auto"/>
          <w:sz w:val="21"/>
          <w:szCs w:val="21"/>
          <w:highlight w:val="none"/>
        </w:rPr>
        <w:t>，要求提供证明材料的，需提供证明材料</w:t>
      </w:r>
      <w:r>
        <w:rPr>
          <w:rFonts w:hint="eastAsia" w:ascii="宋体" w:hAnsi="宋体" w:eastAsia="宋体" w:cs="宋体"/>
          <w:b/>
          <w:bCs/>
          <w:color w:val="auto"/>
          <w:kern w:val="2"/>
          <w:szCs w:val="21"/>
          <w:highlight w:val="none"/>
        </w:rPr>
        <w:t>。</w:t>
      </w:r>
    </w:p>
    <w:bookmarkEnd w:id="36"/>
    <w:p>
      <w:pPr>
        <w:adjustRightInd w:val="0"/>
        <w:snapToGrid w:val="0"/>
        <w:spacing w:line="440" w:lineRule="exact"/>
        <w:jc w:val="center"/>
        <w:outlineLvl w:val="0"/>
        <w:rPr>
          <w:rFonts w:hint="eastAsia" w:ascii="宋体" w:hAnsi="宋体" w:cs="宋体"/>
          <w:b/>
          <w:color w:val="auto"/>
          <w:sz w:val="32"/>
          <w:szCs w:val="32"/>
          <w:highlight w:val="none"/>
        </w:rPr>
      </w:pPr>
      <w:r>
        <w:rPr>
          <w:rFonts w:hint="eastAsia" w:ascii="宋体" w:hAnsi="宋体" w:cs="宋体"/>
          <w:b/>
          <w:color w:val="auto"/>
          <w:sz w:val="32"/>
          <w:szCs w:val="32"/>
          <w:highlight w:val="none"/>
        </w:rPr>
        <w:t>第五章 响应文件组成</w:t>
      </w:r>
    </w:p>
    <w:p>
      <w:pPr>
        <w:spacing w:line="360" w:lineRule="exact"/>
        <w:ind w:right="23" w:rightChars="11"/>
        <w:rPr>
          <w:rFonts w:hint="eastAsia" w:ascii="宋体" w:hAnsi="宋体" w:cs="宋体"/>
          <w:color w:val="auto"/>
          <w:highlight w:val="none"/>
        </w:rPr>
      </w:pPr>
    </w:p>
    <w:p>
      <w:pPr>
        <w:spacing w:line="360" w:lineRule="exact"/>
        <w:ind w:right="23" w:rightChars="11"/>
        <w:rPr>
          <w:rFonts w:hint="eastAsia" w:ascii="宋体" w:hAnsi="宋体" w:cs="宋体"/>
          <w:color w:val="auto"/>
          <w:highlight w:val="none"/>
        </w:rPr>
      </w:pPr>
      <w:r>
        <w:rPr>
          <w:rFonts w:hint="eastAsia" w:ascii="宋体" w:hAnsi="宋体" w:cs="宋体"/>
          <w:color w:val="auto"/>
          <w:highlight w:val="none"/>
        </w:rPr>
        <w:t>供应商的响应文件应包含以下九个部分：</w:t>
      </w:r>
    </w:p>
    <w:p>
      <w:pPr>
        <w:spacing w:line="360" w:lineRule="exact"/>
        <w:ind w:right="23" w:rightChars="11"/>
        <w:rPr>
          <w:rFonts w:hint="eastAsia" w:ascii="宋体" w:hAnsi="宋体" w:cs="宋体"/>
          <w:color w:val="auto"/>
          <w:highlight w:val="none"/>
        </w:rPr>
      </w:pPr>
    </w:p>
    <w:p>
      <w:pPr>
        <w:adjustRightInd w:val="0"/>
        <w:snapToGrid w:val="0"/>
        <w:spacing w:line="360" w:lineRule="auto"/>
        <w:ind w:right="21" w:rightChars="10"/>
        <w:jc w:val="left"/>
        <w:rPr>
          <w:rFonts w:hint="eastAsia" w:ascii="宋体" w:hAnsi="宋体" w:cs="宋体"/>
          <w:b/>
          <w:color w:val="auto"/>
          <w:szCs w:val="21"/>
          <w:highlight w:val="none"/>
        </w:rPr>
      </w:pPr>
      <w:r>
        <w:rPr>
          <w:rFonts w:hint="eastAsia" w:ascii="宋体" w:hAnsi="宋体" w:cs="宋体"/>
          <w:b/>
          <w:color w:val="auto"/>
          <w:szCs w:val="21"/>
          <w:highlight w:val="none"/>
        </w:rPr>
        <w:t>一、磋商响应声明</w:t>
      </w:r>
    </w:p>
    <w:p>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附件1：法定代表人身份证明</w:t>
      </w:r>
    </w:p>
    <w:p>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附件2：法定代表人授权书</w:t>
      </w:r>
    </w:p>
    <w:p>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附件3：工程质量保修书</w:t>
      </w:r>
    </w:p>
    <w:p>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附件4：不拖欠民工工资承诺书</w:t>
      </w:r>
    </w:p>
    <w:p>
      <w:pPr>
        <w:adjustRightInd w:val="0"/>
        <w:snapToGrid w:val="0"/>
        <w:spacing w:line="360" w:lineRule="auto"/>
        <w:ind w:right="21" w:rightChars="10"/>
        <w:jc w:val="left"/>
        <w:rPr>
          <w:rFonts w:hint="eastAsia" w:ascii="宋体" w:hAnsi="宋体" w:cs="宋体"/>
          <w:b/>
          <w:color w:val="auto"/>
          <w:szCs w:val="21"/>
          <w:highlight w:val="none"/>
        </w:rPr>
      </w:pPr>
      <w:r>
        <w:rPr>
          <w:rFonts w:hint="eastAsia" w:ascii="宋体" w:hAnsi="宋体" w:cs="宋体"/>
          <w:b/>
          <w:color w:val="auto"/>
          <w:szCs w:val="21"/>
          <w:highlight w:val="none"/>
        </w:rPr>
        <w:t>二、保证金</w:t>
      </w:r>
    </w:p>
    <w:p>
      <w:pPr>
        <w:adjustRightInd w:val="0"/>
        <w:snapToGrid w:val="0"/>
        <w:spacing w:line="360" w:lineRule="auto"/>
        <w:ind w:right="21" w:rightChars="10"/>
        <w:jc w:val="left"/>
        <w:rPr>
          <w:rFonts w:hint="eastAsia" w:ascii="宋体" w:hAnsi="宋体" w:cs="宋体"/>
          <w:b/>
          <w:color w:val="auto"/>
          <w:szCs w:val="21"/>
          <w:highlight w:val="none"/>
        </w:rPr>
      </w:pPr>
      <w:r>
        <w:rPr>
          <w:rFonts w:hint="eastAsia" w:ascii="宋体" w:hAnsi="宋体" w:cs="宋体"/>
          <w:b/>
          <w:color w:val="auto"/>
          <w:szCs w:val="21"/>
          <w:highlight w:val="none"/>
        </w:rPr>
        <w:t>三、供应商的资格证明材料</w:t>
      </w:r>
    </w:p>
    <w:p>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附件5：供应商基本情况表</w:t>
      </w:r>
    </w:p>
    <w:p>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四、施工组织设计</w:t>
      </w:r>
    </w:p>
    <w:p>
      <w:pPr>
        <w:adjustRightInd w:val="0"/>
        <w:snapToGrid w:val="0"/>
        <w:spacing w:line="360" w:lineRule="auto"/>
        <w:ind w:left="-88" w:leftChars="-42" w:right="21" w:rightChars="10"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附件6：施工组织设计</w:t>
      </w:r>
    </w:p>
    <w:p>
      <w:pPr>
        <w:adjustRightInd w:val="0"/>
        <w:snapToGrid w:val="0"/>
        <w:spacing w:line="360" w:lineRule="auto"/>
        <w:ind w:left="-88" w:leftChars="-42" w:right="21" w:rightChars="10" w:firstLine="525" w:firstLineChars="250"/>
        <w:rPr>
          <w:rFonts w:hint="eastAsia" w:ascii="宋体" w:hAnsi="宋体" w:cs="宋体"/>
          <w:bCs/>
          <w:color w:val="auto"/>
          <w:szCs w:val="21"/>
          <w:highlight w:val="none"/>
        </w:rPr>
      </w:pPr>
      <w:r>
        <w:rPr>
          <w:rFonts w:hint="eastAsia" w:ascii="宋体" w:hAnsi="宋体" w:cs="宋体"/>
          <w:color w:val="auto"/>
          <w:szCs w:val="21"/>
          <w:highlight w:val="none"/>
        </w:rPr>
        <w:t>附件7：主要人员简历表</w:t>
      </w:r>
    </w:p>
    <w:p>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五、技术/商务响应与偏离表</w:t>
      </w:r>
    </w:p>
    <w:p>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六、提供政府采购政策产品等证明材料</w:t>
      </w:r>
    </w:p>
    <w:p>
      <w:pPr>
        <w:pStyle w:val="23"/>
        <w:adjustRightInd w:val="0"/>
        <w:snapToGrid w:val="0"/>
        <w:spacing w:line="360" w:lineRule="auto"/>
        <w:ind w:right="21" w:rightChars="10" w:firstLine="420" w:firstLineChars="200"/>
        <w:rPr>
          <w:rFonts w:hint="eastAsia" w:hAnsi="宋体" w:cs="宋体"/>
          <w:color w:val="auto"/>
          <w:sz w:val="21"/>
          <w:highlight w:val="none"/>
        </w:rPr>
      </w:pPr>
      <w:r>
        <w:rPr>
          <w:rFonts w:hint="eastAsia" w:hAnsi="宋体" w:cs="宋体"/>
          <w:color w:val="auto"/>
          <w:sz w:val="21"/>
          <w:highlight w:val="none"/>
        </w:rPr>
        <w:t>附件8：中小企业声明函</w:t>
      </w:r>
    </w:p>
    <w:p>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七、报价一览表及报价文件</w:t>
      </w:r>
    </w:p>
    <w:p>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附件9-1：报价一览表</w:t>
      </w:r>
    </w:p>
    <w:p>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八、供应商认为需要提供的其它资料</w:t>
      </w:r>
    </w:p>
    <w:p>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九、最后报价</w:t>
      </w:r>
    </w:p>
    <w:p>
      <w:pPr>
        <w:spacing w:line="360" w:lineRule="exact"/>
        <w:ind w:right="23" w:rightChars="11"/>
        <w:rPr>
          <w:rFonts w:hint="eastAsia" w:ascii="宋体" w:hAnsi="宋体" w:cs="宋体"/>
          <w:b/>
          <w:color w:val="auto"/>
          <w:highlight w:val="none"/>
        </w:rPr>
        <w:sectPr>
          <w:pgSz w:w="11906" w:h="16838"/>
          <w:pgMar w:top="1361" w:right="1361" w:bottom="1361" w:left="1361" w:header="851" w:footer="992" w:gutter="0"/>
          <w:pgNumType w:fmt="decimal"/>
          <w:cols w:space="720" w:num="1"/>
          <w:docGrid w:type="lines" w:linePitch="316" w:charSpace="0"/>
        </w:sectPr>
      </w:pPr>
    </w:p>
    <w:p>
      <w:pPr>
        <w:pStyle w:val="43"/>
        <w:ind w:left="0" w:leftChars="0" w:firstLine="0" w:firstLineChars="0"/>
        <w:rPr>
          <w:rFonts w:hint="eastAsia"/>
          <w:color w:val="auto"/>
          <w:sz w:val="32"/>
          <w:szCs w:val="32"/>
          <w:highlight w:val="none"/>
        </w:rPr>
      </w:pPr>
      <w:r>
        <w:rPr>
          <w:rFonts w:hint="eastAsia"/>
          <w:color w:val="auto"/>
          <w:sz w:val="32"/>
          <w:szCs w:val="32"/>
          <w:highlight w:val="none"/>
        </w:rPr>
        <w:t>封面</w:t>
      </w:r>
    </w:p>
    <w:p>
      <w:pPr>
        <w:rPr>
          <w:rFonts w:hint="eastAsia"/>
          <w:color w:val="auto"/>
          <w:sz w:val="32"/>
          <w:szCs w:val="32"/>
          <w:highlight w:val="none"/>
        </w:rPr>
      </w:pPr>
    </w:p>
    <w:p>
      <w:pPr>
        <w:pStyle w:val="43"/>
        <w:ind w:firstLine="400"/>
        <w:rPr>
          <w:rFonts w:hint="eastAsia"/>
          <w:color w:val="auto"/>
          <w:highlight w:val="none"/>
        </w:rPr>
      </w:pPr>
    </w:p>
    <w:p>
      <w:pPr>
        <w:pStyle w:val="43"/>
        <w:ind w:firstLine="640"/>
        <w:jc w:val="right"/>
        <w:rPr>
          <w:rFonts w:hint="eastAsia"/>
          <w:color w:val="auto"/>
          <w:sz w:val="32"/>
          <w:szCs w:val="32"/>
          <w:highlight w:val="none"/>
        </w:rPr>
      </w:pPr>
      <w:r>
        <w:rPr>
          <w:rFonts w:hint="eastAsia"/>
          <w:color w:val="auto"/>
          <w:sz w:val="32"/>
          <w:szCs w:val="32"/>
          <w:highlight w:val="none"/>
        </w:rPr>
        <w:t>正本/副本</w:t>
      </w:r>
    </w:p>
    <w:p>
      <w:pPr>
        <w:rPr>
          <w:rFonts w:hint="eastAsia"/>
          <w:color w:val="auto"/>
          <w:highlight w:val="none"/>
        </w:rPr>
      </w:pPr>
      <w:r>
        <w:rPr>
          <w:rFonts w:hint="eastAsia"/>
          <w:color w:val="auto"/>
          <w:highlight w:val="none"/>
        </w:rPr>
        <w:t xml:space="preserve"> </w:t>
      </w:r>
    </w:p>
    <w:p>
      <w:pPr>
        <w:pStyle w:val="43"/>
        <w:ind w:firstLine="400"/>
        <w:rPr>
          <w:color w:val="auto"/>
          <w:highlight w:val="none"/>
        </w:rPr>
      </w:pPr>
    </w:p>
    <w:p>
      <w:pPr>
        <w:spacing w:line="360" w:lineRule="exact"/>
        <w:ind w:right="23" w:rightChars="11"/>
        <w:rPr>
          <w:rFonts w:hint="eastAsia" w:ascii="宋体" w:hAnsi="宋体" w:cs="宋体"/>
          <w:b/>
          <w:color w:val="auto"/>
          <w:highlight w:val="none"/>
        </w:rPr>
      </w:pPr>
    </w:p>
    <w:p>
      <w:pPr>
        <w:spacing w:line="360" w:lineRule="exact"/>
        <w:ind w:right="23" w:rightChars="11"/>
        <w:rPr>
          <w:rFonts w:hint="eastAsia" w:ascii="宋体" w:hAnsi="宋体" w:cs="宋体"/>
          <w:b/>
          <w:color w:val="auto"/>
          <w:highlight w:val="none"/>
        </w:rPr>
      </w:pPr>
    </w:p>
    <w:p>
      <w:pPr>
        <w:spacing w:line="360" w:lineRule="exact"/>
        <w:ind w:right="23" w:rightChars="11"/>
        <w:rPr>
          <w:rFonts w:hint="eastAsia" w:ascii="宋体" w:hAnsi="宋体" w:cs="宋体"/>
          <w:b/>
          <w:color w:val="auto"/>
          <w:highlight w:val="none"/>
        </w:rPr>
      </w:pPr>
    </w:p>
    <w:p>
      <w:pPr>
        <w:spacing w:line="480" w:lineRule="auto"/>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u w:val="single"/>
        </w:rPr>
        <w:t>（项目名称）</w:t>
      </w:r>
      <w:r>
        <w:rPr>
          <w:rFonts w:hint="eastAsia" w:ascii="宋体" w:hAnsi="宋体" w:cs="宋体"/>
          <w:b/>
          <w:color w:val="auto"/>
          <w:sz w:val="72"/>
          <w:szCs w:val="72"/>
          <w:highlight w:val="none"/>
        </w:rPr>
        <w:t>响应文件</w:t>
      </w:r>
    </w:p>
    <w:p>
      <w:pPr>
        <w:spacing w:line="480" w:lineRule="auto"/>
        <w:jc w:val="center"/>
        <w:rPr>
          <w:rFonts w:hint="eastAsia" w:ascii="宋体" w:hAnsi="宋体" w:cs="宋体"/>
          <w:b/>
          <w:color w:val="auto"/>
          <w:sz w:val="72"/>
          <w:szCs w:val="72"/>
          <w:highlight w:val="none"/>
        </w:rPr>
      </w:pPr>
    </w:p>
    <w:p>
      <w:pPr>
        <w:spacing w:line="480" w:lineRule="auto"/>
        <w:jc w:val="center"/>
        <w:rPr>
          <w:rFonts w:hint="eastAsia" w:ascii="宋体" w:hAnsi="宋体" w:cs="宋体"/>
          <w:b/>
          <w:color w:val="auto"/>
          <w:sz w:val="72"/>
          <w:szCs w:val="72"/>
          <w:highlight w:val="none"/>
        </w:rPr>
      </w:pPr>
    </w:p>
    <w:p>
      <w:pPr>
        <w:pStyle w:val="43"/>
        <w:ind w:firstLine="1446"/>
        <w:rPr>
          <w:rFonts w:hint="eastAsia" w:ascii="宋体" w:hAnsi="宋体" w:cs="宋体"/>
          <w:b/>
          <w:color w:val="auto"/>
          <w:sz w:val="72"/>
          <w:szCs w:val="72"/>
          <w:highlight w:val="none"/>
        </w:rPr>
      </w:pPr>
    </w:p>
    <w:p>
      <w:pPr>
        <w:rPr>
          <w:rFonts w:hint="eastAsia" w:ascii="宋体" w:hAnsi="宋体" w:cs="宋体"/>
          <w:b/>
          <w:color w:val="auto"/>
          <w:sz w:val="72"/>
          <w:szCs w:val="72"/>
          <w:highlight w:val="none"/>
        </w:rPr>
      </w:pPr>
    </w:p>
    <w:p>
      <w:pPr>
        <w:pStyle w:val="43"/>
        <w:ind w:firstLine="400"/>
        <w:rPr>
          <w:rFonts w:hint="eastAsia"/>
          <w:color w:val="auto"/>
          <w:highlight w:val="none"/>
        </w:rPr>
      </w:pPr>
    </w:p>
    <w:p>
      <w:pPr>
        <w:spacing w:line="480" w:lineRule="auto"/>
        <w:ind w:firstLine="1405" w:firstLineChars="500"/>
        <w:rPr>
          <w:rFonts w:hint="eastAsia" w:ascii="宋体" w:hAnsi="宋体" w:cs="宋体"/>
          <w:b/>
          <w:color w:val="auto"/>
          <w:sz w:val="28"/>
          <w:szCs w:val="28"/>
          <w:highlight w:val="none"/>
        </w:rPr>
      </w:pPr>
    </w:p>
    <w:p>
      <w:pPr>
        <w:spacing w:line="480" w:lineRule="auto"/>
        <w:ind w:firstLine="1405" w:firstLineChars="500"/>
        <w:rPr>
          <w:rFonts w:hint="eastAsia" w:ascii="宋体" w:hAnsi="宋体" w:cs="宋体"/>
          <w:b/>
          <w:color w:val="auto"/>
          <w:sz w:val="28"/>
          <w:szCs w:val="28"/>
          <w:highlight w:val="none"/>
        </w:rPr>
      </w:pPr>
      <w:r>
        <w:rPr>
          <w:rFonts w:hint="eastAsia" w:ascii="宋体" w:hAnsi="宋体" w:cs="宋体"/>
          <w:b/>
          <w:color w:val="auto"/>
          <w:sz w:val="28"/>
          <w:szCs w:val="28"/>
          <w:highlight w:val="none"/>
          <w:lang w:val="en-US" w:eastAsia="zh-CN"/>
        </w:rPr>
        <w:t>供应商</w:t>
      </w:r>
      <w:r>
        <w:rPr>
          <w:rFonts w:hint="eastAsia" w:ascii="宋体" w:hAnsi="宋体" w:cs="宋体"/>
          <w:b/>
          <w:color w:val="auto"/>
          <w:sz w:val="28"/>
          <w:szCs w:val="28"/>
          <w:highlight w:val="none"/>
        </w:rPr>
        <w:t>：</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（盖单位章）</w:t>
      </w:r>
    </w:p>
    <w:p>
      <w:pPr>
        <w:spacing w:line="480" w:lineRule="auto"/>
        <w:ind w:firstLine="1405" w:firstLineChars="500"/>
        <w:rPr>
          <w:rFonts w:hint="eastAsia" w:ascii="宋体" w:hAnsi="宋体" w:cs="宋体"/>
          <w:b/>
          <w:color w:val="auto"/>
          <w:sz w:val="28"/>
          <w:szCs w:val="28"/>
          <w:highlight w:val="none"/>
        </w:rPr>
        <w:sectPr>
          <w:pgSz w:w="11906" w:h="16838"/>
          <w:pgMar w:top="1361" w:right="1361" w:bottom="1361" w:left="1361" w:header="851" w:footer="992" w:gutter="0"/>
          <w:pgNumType w:fmt="decimal"/>
          <w:cols w:space="720" w:num="1"/>
          <w:docGrid w:type="lines" w:linePitch="316" w:charSpace="0"/>
        </w:sectPr>
      </w:pPr>
      <w:r>
        <w:rPr>
          <w:rFonts w:hint="eastAsia" w:ascii="宋体" w:hAnsi="宋体" w:cs="宋体"/>
          <w:b/>
          <w:color w:val="auto"/>
          <w:sz w:val="28"/>
          <w:szCs w:val="28"/>
          <w:highlight w:val="none"/>
        </w:rPr>
        <w:t>时 间：</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年</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月</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日</w:t>
      </w:r>
    </w:p>
    <w:p>
      <w:pPr>
        <w:spacing w:line="480" w:lineRule="auto"/>
        <w:jc w:val="center"/>
        <w:rPr>
          <w:rFonts w:hint="eastAsia" w:ascii="宋体" w:hAnsi="宋体" w:cs="宋体"/>
          <w:color w:val="auto"/>
          <w:sz w:val="24"/>
          <w:highlight w:val="none"/>
        </w:rPr>
      </w:pPr>
      <w:r>
        <w:rPr>
          <w:rFonts w:hint="eastAsia" w:ascii="宋体" w:hAnsi="宋体" w:cs="宋体"/>
          <w:b/>
          <w:color w:val="auto"/>
          <w:sz w:val="32"/>
          <w:szCs w:val="32"/>
          <w:highlight w:val="none"/>
        </w:rPr>
        <w:t>一、磋商响应声明</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(采购人或采购代理机构)：</w:t>
      </w:r>
    </w:p>
    <w:p>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我方已仔细研究了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项目名称)的竞争性磋商文件（</w:t>
      </w:r>
      <w:r>
        <w:rPr>
          <w:rFonts w:hint="eastAsia" w:ascii="宋体" w:hAnsi="宋体" w:cs="宋体"/>
          <w:color w:val="auto"/>
          <w:szCs w:val="21"/>
          <w:highlight w:val="none"/>
          <w:lang w:eastAsia="zh-CN"/>
        </w:rPr>
        <w:t>政府采购</w:t>
      </w:r>
      <w:r>
        <w:rPr>
          <w:rFonts w:hint="eastAsia" w:ascii="宋体" w:hAnsi="宋体" w:cs="宋体"/>
          <w:color w:val="auto"/>
          <w:szCs w:val="21"/>
          <w:highlight w:val="none"/>
        </w:rPr>
        <w:t>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）的全部内容，知悉参加竞争性磋商的风险，我方承诺接受磋商文件的全部条款且无任何异议。</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一、我方同意在磋商文件中规定的提交首次响应文件截止时间起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90</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日内(响应文件有效期)遵守本响应文件中的承诺且在此期限期满之前均具有法律约束力。</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二、我方提交响应文件正本一份和副本一式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份，并保证响应文件提供的数据和资料全部内容真实、合法、准确和完整，我们对此负责，并愿承担由此引起的法律责任。</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三、我方愿意向贵方提供任何与本项采购有关的数据、情况和技术资料。若贵方需要，我方愿意提供我方作出的一切承诺的证明资料。</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四、我方愿意按磋商文件规定和磋商小组要求重新提交响应文件和最后报价。</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五、我方承诺遵守《中华人民共和国政府采购法》的有关规定，保证在获得成交资格后，按照磋商文件确定的事项签订政府采购合同，履行双方所签订的合同，并承担合同规定的责任和义务。</w:t>
      </w:r>
    </w:p>
    <w:p>
      <w:pPr>
        <w:adjustRightInd w:val="0"/>
        <w:snapToGrid w:val="0"/>
        <w:spacing w:line="360" w:lineRule="auto"/>
        <w:ind w:firstLine="420" w:firstLineChars="200"/>
        <w:rPr>
          <w:rFonts w:hint="eastAsia"/>
          <w:color w:val="auto"/>
          <w:highlight w:val="none"/>
        </w:rPr>
      </w:pPr>
      <w:r>
        <w:rPr>
          <w:rFonts w:hint="eastAsia" w:ascii="宋体" w:hAnsi="宋体" w:cs="宋体"/>
          <w:color w:val="auto"/>
          <w:kern w:val="0"/>
          <w:szCs w:val="21"/>
          <w:highlight w:val="none"/>
        </w:rPr>
        <w:t xml:space="preserve">六、我方在此声明： </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（一）我方与采购人或采购代理机构不存在隶属关系或者其他利害关系。</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（二）我方与参加本项目的其他供应商不存在直接控股、管理关系，或者与其他供应商法定代表人（或者负责人）为同一人。</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（三）我方未为本项目</w:t>
      </w:r>
      <w:r>
        <w:rPr>
          <w:rFonts w:hint="eastAsia" w:ascii="宋体" w:hAnsi="宋体"/>
          <w:color w:val="auto"/>
          <w:szCs w:val="21"/>
          <w:highlight w:val="none"/>
        </w:rPr>
        <w:t>提供整体设计、规范编制或者项目管理、监理、检测等服务</w:t>
      </w:r>
      <w:r>
        <w:rPr>
          <w:rFonts w:hint="eastAsia" w:ascii="宋体" w:hAnsi="宋体" w:cs="宋体"/>
          <w:color w:val="auto"/>
          <w:kern w:val="0"/>
          <w:szCs w:val="21"/>
          <w:highlight w:val="none"/>
        </w:rPr>
        <w:t>。</w:t>
      </w:r>
    </w:p>
    <w:p>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（四）</w:t>
      </w:r>
      <w:r>
        <w:rPr>
          <w:rFonts w:hint="eastAsia" w:ascii="宋体" w:hAnsi="宋体" w:cs="宋体"/>
          <w:color w:val="auto"/>
          <w:szCs w:val="21"/>
          <w:highlight w:val="none"/>
        </w:rPr>
        <w:t>参加本采购项目前 3 年内在经营活动中没有重大违法记录（重大违法记录是指供应商因违法经营受到刑事处罚或责令停产停业、吊销许可证或者执照、较大数额等行政处罚）。</w:t>
      </w:r>
    </w:p>
    <w:p>
      <w:pPr>
        <w:widowControl/>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我单位对上述声明的真实性负责。如有虚假，将依法承担相应责任。</w:t>
      </w:r>
    </w:p>
    <w:p>
      <w:pPr>
        <w:pStyle w:val="23"/>
        <w:adjustRightInd w:val="0"/>
        <w:snapToGrid w:val="0"/>
        <w:spacing w:line="360" w:lineRule="exact"/>
        <w:ind w:firstLine="420" w:firstLineChars="200"/>
        <w:rPr>
          <w:rFonts w:hint="eastAsia" w:hAnsi="宋体" w:cs="宋体"/>
          <w:color w:val="auto"/>
          <w:highlight w:val="none"/>
        </w:rPr>
      </w:pPr>
    </w:p>
    <w:p>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bCs/>
          <w:color w:val="auto"/>
          <w:szCs w:val="21"/>
          <w:highlight w:val="none"/>
        </w:rPr>
        <w:t>附件1：</w:t>
      </w:r>
      <w:r>
        <w:rPr>
          <w:rFonts w:hint="eastAsia" w:ascii="宋体" w:hAnsi="宋体" w:cs="宋体"/>
          <w:color w:val="auto"/>
          <w:szCs w:val="21"/>
          <w:highlight w:val="none"/>
        </w:rPr>
        <w:t>法定代表人身份证明</w:t>
      </w:r>
    </w:p>
    <w:p>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bCs/>
          <w:color w:val="auto"/>
          <w:szCs w:val="21"/>
          <w:highlight w:val="none"/>
        </w:rPr>
        <w:t>附件2</w:t>
      </w:r>
      <w:r>
        <w:rPr>
          <w:rFonts w:hint="eastAsia" w:ascii="宋体" w:hAnsi="宋体" w:cs="宋体"/>
          <w:color w:val="auto"/>
          <w:szCs w:val="21"/>
          <w:highlight w:val="none"/>
        </w:rPr>
        <w:t>：法定代表人授权书</w:t>
      </w:r>
    </w:p>
    <w:p>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bCs/>
          <w:color w:val="auto"/>
          <w:szCs w:val="21"/>
          <w:highlight w:val="none"/>
        </w:rPr>
        <w:t>附件3</w:t>
      </w:r>
      <w:r>
        <w:rPr>
          <w:rFonts w:hint="eastAsia" w:ascii="宋体" w:hAnsi="宋体" w:cs="宋体"/>
          <w:color w:val="auto"/>
          <w:szCs w:val="21"/>
          <w:highlight w:val="none"/>
        </w:rPr>
        <w:t>：工程质量保修书</w:t>
      </w:r>
    </w:p>
    <w:p>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附件4：不拖欠民工工资承诺书</w:t>
      </w:r>
    </w:p>
    <w:p>
      <w:pPr>
        <w:pStyle w:val="23"/>
        <w:adjustRightInd w:val="0"/>
        <w:snapToGrid w:val="0"/>
        <w:spacing w:line="360" w:lineRule="exact"/>
        <w:ind w:right="23" w:rightChars="11"/>
        <w:rPr>
          <w:rFonts w:hint="eastAsia" w:hAnsi="宋体" w:cs="宋体"/>
          <w:color w:val="auto"/>
          <w:sz w:val="21"/>
          <w:highlight w:val="none"/>
        </w:rPr>
      </w:pPr>
    </w:p>
    <w:p>
      <w:pPr>
        <w:pStyle w:val="23"/>
        <w:adjustRightInd w:val="0"/>
        <w:snapToGrid w:val="0"/>
        <w:spacing w:line="360" w:lineRule="exact"/>
        <w:ind w:right="23" w:rightChars="11"/>
        <w:rPr>
          <w:rFonts w:hint="eastAsia" w:hAnsi="宋体" w:cs="宋体"/>
          <w:color w:val="auto"/>
          <w:sz w:val="21"/>
          <w:highlight w:val="none"/>
        </w:rPr>
      </w:pPr>
      <w:r>
        <w:rPr>
          <w:rFonts w:hint="eastAsia" w:hAnsi="宋体" w:cs="宋体"/>
          <w:color w:val="auto"/>
          <w:sz w:val="21"/>
          <w:highlight w:val="none"/>
        </w:rPr>
        <w:t>供应商名称(盖单位章)：</w:t>
      </w:r>
    </w:p>
    <w:p>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adjustRightInd w:val="0"/>
        <w:snapToGrid w:val="0"/>
        <w:spacing w:line="360" w:lineRule="auto"/>
        <w:ind w:right="23" w:rightChars="11"/>
        <w:rPr>
          <w:rFonts w:hint="eastAsia" w:ascii="宋体" w:hAnsi="宋体" w:cs="宋体"/>
          <w:bCs/>
          <w:color w:val="auto"/>
          <w:sz w:val="24"/>
          <w:highlight w:val="none"/>
        </w:rPr>
      </w:pPr>
      <w:r>
        <w:rPr>
          <w:rFonts w:hint="eastAsia" w:ascii="宋体" w:hAnsi="宋体" w:cs="宋体"/>
          <w:bCs/>
          <w:color w:val="auto"/>
          <w:sz w:val="24"/>
          <w:highlight w:val="none"/>
        </w:rPr>
        <w:br w:type="page"/>
      </w:r>
      <w:r>
        <w:rPr>
          <w:rFonts w:hint="eastAsia" w:ascii="宋体" w:hAnsi="宋体" w:cs="宋体"/>
          <w:bCs/>
          <w:color w:val="auto"/>
          <w:sz w:val="24"/>
          <w:highlight w:val="none"/>
        </w:rPr>
        <w:t>附件1：</w:t>
      </w:r>
    </w:p>
    <w:p>
      <w:pPr>
        <w:adjustRightInd w:val="0"/>
        <w:snapToGrid w:val="0"/>
        <w:spacing w:line="360" w:lineRule="auto"/>
        <w:ind w:right="23" w:rightChars="11"/>
        <w:jc w:val="center"/>
        <w:rPr>
          <w:rFonts w:hint="eastAsia" w:ascii="宋体" w:hAnsi="宋体" w:cs="宋体"/>
          <w:color w:val="auto"/>
          <w:szCs w:val="21"/>
          <w:highlight w:val="none"/>
        </w:rPr>
      </w:pPr>
      <w:r>
        <w:rPr>
          <w:rFonts w:hint="eastAsia" w:ascii="宋体" w:hAnsi="宋体" w:cs="宋体"/>
          <w:b/>
          <w:color w:val="auto"/>
          <w:sz w:val="28"/>
          <w:szCs w:val="28"/>
          <w:highlight w:val="none"/>
        </w:rPr>
        <w:t>法定代表人身份证明</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szCs w:val="21"/>
          <w:highlight w:val="none"/>
        </w:rPr>
        <w:t>供应商</w:t>
      </w:r>
      <w:r>
        <w:rPr>
          <w:rFonts w:hint="eastAsia" w:ascii="宋体" w:hAnsi="宋体" w:cs="宋体"/>
          <w:color w:val="auto"/>
          <w:kern w:val="0"/>
          <w:szCs w:val="21"/>
          <w:highlight w:val="none"/>
        </w:rPr>
        <w:t>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特此证明。</w:t>
      </w:r>
    </w:p>
    <w:p>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szCs w:val="21"/>
          <w:highlight w:val="none"/>
        </w:rPr>
        <w:t>附：法定代表人身份证复印件</w:t>
      </w:r>
    </w:p>
    <w:tbl>
      <w:tblPr>
        <w:tblStyle w:val="44"/>
        <w:tblW w:w="10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9" w:hRule="atLeast"/>
        </w:trPr>
        <w:tc>
          <w:tcPr>
            <w:tcW w:w="10120" w:type="dxa"/>
            <w:noWrap w:val="0"/>
            <w:vAlign w:val="top"/>
          </w:tcPr>
          <w:p>
            <w:pPr>
              <w:snapToGrid w:val="0"/>
              <w:spacing w:line="480" w:lineRule="auto"/>
              <w:ind w:right="23" w:rightChars="11"/>
              <w:rPr>
                <w:rFonts w:hint="eastAsia" w:ascii="宋体" w:hAnsi="宋体" w:cs="宋体"/>
                <w:color w:val="auto"/>
                <w:szCs w:val="21"/>
                <w:highlight w:val="none"/>
              </w:rPr>
            </w:pPr>
          </w:p>
        </w:tc>
      </w:tr>
    </w:tbl>
    <w:p>
      <w:pPr>
        <w:snapToGrid w:val="0"/>
        <w:spacing w:line="480" w:lineRule="auto"/>
        <w:ind w:right="23" w:rightChars="11"/>
        <w:rPr>
          <w:rFonts w:hint="eastAsia" w:ascii="宋体" w:hAnsi="宋体" w:cs="宋体"/>
          <w:color w:val="auto"/>
          <w:szCs w:val="21"/>
          <w:highlight w:val="none"/>
        </w:rPr>
      </w:pPr>
    </w:p>
    <w:p>
      <w:pPr>
        <w:snapToGrid w:val="0"/>
        <w:ind w:right="23" w:rightChars="11"/>
        <w:rPr>
          <w:rFonts w:hint="eastAsia" w:ascii="宋体" w:hAnsi="宋体" w:cs="宋体"/>
          <w:color w:val="auto"/>
          <w:szCs w:val="21"/>
          <w:highlight w:val="none"/>
        </w:rPr>
      </w:pPr>
    </w:p>
    <w:p>
      <w:pPr>
        <w:snapToGrid w:val="0"/>
        <w:ind w:right="23" w:rightChars="11"/>
        <w:rPr>
          <w:rFonts w:hint="eastAsia" w:ascii="宋体" w:hAnsi="宋体" w:cs="宋体"/>
          <w:color w:val="auto"/>
          <w:szCs w:val="21"/>
          <w:highlight w:val="none"/>
        </w:rPr>
      </w:pPr>
    </w:p>
    <w:p>
      <w:pPr>
        <w:adjustRightInd w:val="0"/>
        <w:snapToGrid w:val="0"/>
        <w:spacing w:line="360" w:lineRule="auto"/>
        <w:ind w:right="23" w:rightChars="11"/>
        <w:rPr>
          <w:rFonts w:hint="eastAsia" w:ascii="宋体" w:hAnsi="宋体" w:cs="宋体"/>
          <w:color w:val="auto"/>
          <w:szCs w:val="21"/>
          <w:highlight w:val="none"/>
        </w:rPr>
      </w:pPr>
    </w:p>
    <w:p>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供应商名称（盖单位章）：</w:t>
      </w:r>
    </w:p>
    <w:p>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pPr>
        <w:adjustRightInd w:val="0"/>
        <w:snapToGrid w:val="0"/>
        <w:spacing w:line="360" w:lineRule="auto"/>
        <w:ind w:right="23" w:rightChars="11"/>
        <w:rPr>
          <w:rFonts w:hint="eastAsia" w:ascii="宋体" w:hAnsi="宋体" w:cs="宋体"/>
          <w:color w:val="auto"/>
          <w:sz w:val="24"/>
          <w:highlight w:val="none"/>
        </w:rPr>
      </w:pPr>
      <w:r>
        <w:rPr>
          <w:rFonts w:hint="eastAsia" w:ascii="宋体" w:hAnsi="宋体" w:cs="宋体"/>
          <w:bCs/>
          <w:color w:val="auto"/>
          <w:sz w:val="24"/>
          <w:highlight w:val="none"/>
        </w:rPr>
        <w:br w:type="page"/>
      </w:r>
      <w:r>
        <w:rPr>
          <w:rFonts w:hint="eastAsia" w:ascii="宋体" w:hAnsi="宋体" w:cs="宋体"/>
          <w:bCs/>
          <w:color w:val="auto"/>
          <w:sz w:val="24"/>
          <w:highlight w:val="none"/>
        </w:rPr>
        <w:t>附件2</w:t>
      </w:r>
      <w:r>
        <w:rPr>
          <w:rFonts w:hint="eastAsia" w:ascii="宋体" w:hAnsi="宋体" w:cs="宋体"/>
          <w:color w:val="auto"/>
          <w:sz w:val="24"/>
          <w:highlight w:val="none"/>
        </w:rPr>
        <w:t>：</w:t>
      </w:r>
    </w:p>
    <w:p>
      <w:pPr>
        <w:adjustRightInd w:val="0"/>
        <w:snapToGrid w:val="0"/>
        <w:spacing w:line="360" w:lineRule="auto"/>
        <w:ind w:right="23" w:rightChars="11"/>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法定代表人授权书</w:t>
      </w:r>
    </w:p>
    <w:p>
      <w:pPr>
        <w:adjustRightInd w:val="0"/>
        <w:snapToGrid w:val="0"/>
        <w:spacing w:line="360" w:lineRule="auto"/>
        <w:ind w:right="23" w:rightChars="11"/>
        <w:rPr>
          <w:rFonts w:hint="eastAsia" w:ascii="宋体" w:hAnsi="宋体" w:cs="宋体"/>
          <w:b/>
          <w:color w:val="auto"/>
          <w:sz w:val="28"/>
          <w:szCs w:val="28"/>
          <w:highlight w:val="none"/>
        </w:rPr>
      </w:pPr>
    </w:p>
    <w:p>
      <w:pPr>
        <w:autoSpaceDE w:val="0"/>
        <w:autoSpaceDN w:val="0"/>
        <w:adjustRightInd w:val="0"/>
        <w:snapToGrid w:val="0"/>
        <w:spacing w:before="158"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政府采购</w:t>
      </w:r>
      <w:r>
        <w:rPr>
          <w:rFonts w:hint="eastAsia" w:ascii="宋体" w:hAnsi="宋体" w:cs="宋体"/>
          <w:color w:val="auto"/>
          <w:szCs w:val="21"/>
          <w:highlight w:val="none"/>
        </w:rPr>
        <w:t>编号</w:t>
      </w:r>
      <w:r>
        <w:rPr>
          <w:rFonts w:hint="eastAsia" w:ascii="宋体" w:hAnsi="宋体" w:cs="宋体"/>
          <w:color w:val="auto"/>
          <w:kern w:val="0"/>
          <w:szCs w:val="21"/>
          <w:highlight w:val="none"/>
        </w:rPr>
        <w:t>）响应文件；(2)签署并重新提交响应文件及最后报价；(3)签订合同和处理有关事宜，其法律后果由我方承担；（4）询问、质疑、投诉等相关事项，其法律后果由我方承担。</w:t>
      </w:r>
    </w:p>
    <w:p>
      <w:pPr>
        <w:autoSpaceDE w:val="0"/>
        <w:autoSpaceDN w:val="0"/>
        <w:adjustRightInd w:val="0"/>
        <w:snapToGrid w:val="0"/>
        <w:spacing w:before="158" w:beforeLines="50" w:line="360" w:lineRule="auto"/>
        <w:ind w:firstLine="420" w:firstLineChars="200"/>
        <w:jc w:val="left"/>
        <w:rPr>
          <w:rFonts w:hint="eastAsia" w:ascii="宋体" w:hAnsi="宋体" w:cs="宋体"/>
          <w:color w:val="auto"/>
          <w:kern w:val="0"/>
          <w:szCs w:val="21"/>
          <w:highlight w:val="none"/>
        </w:rPr>
      </w:pPr>
    </w:p>
    <w:p>
      <w:pPr>
        <w:autoSpaceDE w:val="0"/>
        <w:autoSpaceDN w:val="0"/>
        <w:adjustRightInd w:val="0"/>
        <w:snapToGrid w:val="0"/>
        <w:spacing w:before="158"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spacing w:line="360" w:lineRule="auto"/>
        <w:ind w:firstLine="435"/>
        <w:rPr>
          <w:rFonts w:hint="eastAsia" w:ascii="宋体" w:hAnsi="宋体" w:cs="宋体"/>
          <w:color w:val="auto"/>
          <w:kern w:val="0"/>
          <w:szCs w:val="21"/>
          <w:highlight w:val="none"/>
        </w:rPr>
      </w:pPr>
      <w:r>
        <w:rPr>
          <w:rFonts w:hint="eastAsia" w:ascii="宋体" w:hAnsi="宋体" w:cs="宋体"/>
          <w:color w:val="auto"/>
          <w:kern w:val="0"/>
          <w:szCs w:val="21"/>
          <w:highlight w:val="none"/>
        </w:rPr>
        <w:t>代理人无转委托权。</w:t>
      </w:r>
    </w:p>
    <w:p>
      <w:pPr>
        <w:spacing w:line="360" w:lineRule="auto"/>
        <w:ind w:firstLine="435"/>
        <w:rPr>
          <w:rFonts w:hint="eastAsia" w:ascii="宋体" w:hAnsi="宋体" w:cs="宋体"/>
          <w:color w:val="auto"/>
          <w:szCs w:val="21"/>
          <w:highlight w:val="none"/>
        </w:rPr>
      </w:pPr>
      <w:r>
        <w:rPr>
          <w:rFonts w:hint="eastAsia" w:ascii="宋体" w:hAnsi="宋体" w:cs="宋体"/>
          <w:color w:val="auto"/>
          <w:szCs w:val="21"/>
          <w:highlight w:val="none"/>
        </w:rPr>
        <w:t>本授权书于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日签字生效，特此声明。</w:t>
      </w:r>
    </w:p>
    <w:p>
      <w:pPr>
        <w:adjustRightInd w:val="0"/>
        <w:snapToGrid w:val="0"/>
        <w:spacing w:before="158"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附：委托代理人身份证复印件及法定代表人身份证明(附件1，原件)</w:t>
      </w:r>
    </w:p>
    <w:tbl>
      <w:tblPr>
        <w:tblStyle w:val="44"/>
        <w:tblW w:w="10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9" w:hRule="atLeast"/>
        </w:trPr>
        <w:tc>
          <w:tcPr>
            <w:tcW w:w="10120" w:type="dxa"/>
            <w:noWrap w:val="0"/>
            <w:vAlign w:val="top"/>
          </w:tcPr>
          <w:p>
            <w:pPr>
              <w:snapToGrid w:val="0"/>
              <w:spacing w:line="480" w:lineRule="auto"/>
              <w:ind w:right="23" w:rightChars="11"/>
              <w:rPr>
                <w:rFonts w:hint="eastAsia" w:ascii="宋体" w:hAnsi="宋体" w:cs="宋体"/>
                <w:color w:val="auto"/>
                <w:szCs w:val="21"/>
                <w:highlight w:val="none"/>
              </w:rPr>
            </w:pPr>
          </w:p>
        </w:tc>
      </w:tr>
    </w:tbl>
    <w:p>
      <w:pPr>
        <w:adjustRightInd w:val="0"/>
        <w:snapToGrid w:val="0"/>
        <w:spacing w:line="360" w:lineRule="auto"/>
        <w:ind w:right="23" w:rightChars="11"/>
        <w:rPr>
          <w:rFonts w:hint="eastAsia" w:ascii="宋体" w:hAnsi="宋体" w:cs="宋体"/>
          <w:color w:val="auto"/>
          <w:szCs w:val="21"/>
          <w:highlight w:val="none"/>
        </w:rPr>
      </w:pPr>
    </w:p>
    <w:p>
      <w:pPr>
        <w:adjustRightInd w:val="0"/>
        <w:snapToGrid w:val="0"/>
        <w:spacing w:line="48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pPr>
        <w:adjustRightInd w:val="0"/>
        <w:snapToGrid w:val="0"/>
        <w:spacing w:line="48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pPr>
        <w:adjustRightInd w:val="0"/>
        <w:snapToGrid w:val="0"/>
        <w:spacing w:line="48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adjustRightInd w:val="0"/>
        <w:snapToGrid w:val="0"/>
        <w:spacing w:before="158" w:beforeLines="50" w:line="360" w:lineRule="auto"/>
        <w:ind w:right="420"/>
        <w:rPr>
          <w:rFonts w:hint="eastAsia" w:ascii="宋体" w:hAnsi="宋体" w:cs="宋体"/>
          <w:color w:val="auto"/>
          <w:sz w:val="24"/>
          <w:highlight w:val="none"/>
        </w:rPr>
      </w:pPr>
      <w:r>
        <w:rPr>
          <w:rFonts w:hint="eastAsia" w:ascii="宋体" w:hAnsi="宋体" w:cs="宋体"/>
          <w:bCs/>
          <w:color w:val="auto"/>
          <w:szCs w:val="21"/>
          <w:highlight w:val="none"/>
        </w:rPr>
        <w:br w:type="page"/>
      </w:r>
      <w:r>
        <w:rPr>
          <w:rFonts w:hint="eastAsia" w:ascii="宋体" w:hAnsi="宋体" w:cs="宋体"/>
          <w:bCs/>
          <w:color w:val="auto"/>
          <w:sz w:val="24"/>
          <w:highlight w:val="none"/>
        </w:rPr>
        <w:t>附件3</w:t>
      </w:r>
      <w:r>
        <w:rPr>
          <w:rFonts w:hint="eastAsia" w:ascii="宋体" w:hAnsi="宋体" w:cs="宋体"/>
          <w:color w:val="auto"/>
          <w:sz w:val="24"/>
          <w:highlight w:val="none"/>
        </w:rPr>
        <w:t>：</w:t>
      </w:r>
    </w:p>
    <w:p>
      <w:pPr>
        <w:adjustRightInd w:val="0"/>
        <w:snapToGrid w:val="0"/>
        <w:spacing w:line="480" w:lineRule="exact"/>
        <w:ind w:right="23" w:rightChars="11"/>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工程质量保修书</w:t>
      </w:r>
    </w:p>
    <w:p>
      <w:pPr>
        <w:adjustRightInd w:val="0"/>
        <w:snapToGrid w:val="0"/>
        <w:spacing w:line="360" w:lineRule="auto"/>
        <w:ind w:right="23" w:rightChars="11"/>
        <w:rPr>
          <w:rFonts w:hint="eastAsia" w:ascii="宋体" w:hAnsi="宋体" w:cs="宋体"/>
          <w:color w:val="auto"/>
          <w:sz w:val="24"/>
          <w:szCs w:val="18"/>
          <w:highlight w:val="none"/>
        </w:rPr>
      </w:pPr>
    </w:p>
    <w:p>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采购人（发包人）：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（甲方）</w:t>
      </w:r>
    </w:p>
    <w:p>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（乙方）</w:t>
      </w:r>
    </w:p>
    <w:p>
      <w:pPr>
        <w:adjustRightInd w:val="0"/>
        <w:snapToGrid w:val="0"/>
        <w:spacing w:line="360" w:lineRule="auto"/>
        <w:ind w:right="23" w:rightChars="11" w:firstLine="480"/>
        <w:rPr>
          <w:rFonts w:hint="eastAsia" w:ascii="宋体" w:hAnsi="宋体" w:cs="宋体"/>
          <w:color w:val="auto"/>
          <w:szCs w:val="21"/>
          <w:highlight w:val="none"/>
          <w:u w:val="single"/>
        </w:rPr>
      </w:pP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 质量保修范围</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w:t>
      </w:r>
      <w:r>
        <w:rPr>
          <w:rFonts w:hint="eastAsia" w:ascii="宋体" w:hAnsi="宋体" w:cs="宋体"/>
          <w:color w:val="auto"/>
          <w:szCs w:val="21"/>
          <w:highlight w:val="none"/>
          <w:u w:val="single"/>
        </w:rPr>
        <w:t xml:space="preserve">                                                                            </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rPr>
        <w:t xml:space="preserve">                                                                            </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u w:val="single"/>
        </w:rPr>
        <w:t xml:space="preserve">                                                                            </w:t>
      </w:r>
    </w:p>
    <w:p>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 质量保修期</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 质量保修期从工程实际竣工验收合格之日起计算。单项竣工验收的工程，按单项工程分别计算质量保修期。</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 双方根据《建设工程质量管理条例》及有关规定，约定本工程质量保修期如下：</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（1）地基基础工程、主体结构工程为设计文件规定的合理使用年限；</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（2）屋面防水工程、有防水要求的卫生间、房间和外墙面的防渗漏工程为：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（3）电气管线工程、给排水管道、设备安装工程为：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（4）供热、供冷系统工程为：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个采暖期、供冷期；</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（5）装饰装修工程为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（6）其他项目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 质量保修责任</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属于保修范围的项目，承包人应在接到通知后的7天内派人保修，承包人不在约定期限内派人保修，发包人可自行或指派第三方保修。</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 发生紧急抢修事故的，承包人在接到通知后，应立即到达事故现场抢修。</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 质量保修完成后，由发包人组织验收。</w:t>
      </w:r>
    </w:p>
    <w:p>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 质量保修费用</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质量保修费用及相关的损害赔偿费，由造成质量缺陷的责任方承担。</w:t>
      </w:r>
    </w:p>
    <w:p>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 质量保证金</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质量保证金的使用、约定、支付、返还与本合同的质量保证金赋予的约定一致。</w:t>
      </w:r>
    </w:p>
    <w:p>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 其他</w:t>
      </w:r>
    </w:p>
    <w:p>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6.1 双方约定的其它工程质量保修事项：</w:t>
      </w:r>
      <w:r>
        <w:rPr>
          <w:rFonts w:hint="eastAsia" w:ascii="宋体" w:hAnsi="宋体" w:cs="宋体"/>
          <w:color w:val="auto"/>
          <w:szCs w:val="21"/>
          <w:highlight w:val="none"/>
          <w:u w:val="single"/>
        </w:rPr>
        <w:t xml:space="preserve">                                             </w:t>
      </w:r>
    </w:p>
    <w:p>
      <w:pPr>
        <w:adjustRightInd w:val="0"/>
        <w:snapToGrid w:val="0"/>
        <w:spacing w:line="360" w:lineRule="auto"/>
        <w:ind w:right="23" w:rightChars="11"/>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 本工程质量保修书，由发包人承包人在工程竣工验收前签署，作为合同附件，其有效期限至保修期满。</w:t>
      </w:r>
    </w:p>
    <w:p>
      <w:pPr>
        <w:adjustRightInd w:val="0"/>
        <w:snapToGrid w:val="0"/>
        <w:spacing w:line="360" w:lineRule="auto"/>
        <w:ind w:right="23" w:rightChars="11" w:firstLine="480"/>
        <w:rPr>
          <w:rFonts w:hint="eastAsia" w:ascii="宋体" w:hAnsi="宋体" w:cs="宋体"/>
          <w:color w:val="auto"/>
          <w:szCs w:val="21"/>
          <w:highlight w:val="none"/>
        </w:rPr>
      </w:pPr>
    </w:p>
    <w:p>
      <w:pPr>
        <w:adjustRightInd w:val="0"/>
        <w:snapToGrid w:val="0"/>
        <w:spacing w:line="360" w:lineRule="auto"/>
        <w:ind w:right="23" w:rightChars="11" w:firstLine="480"/>
        <w:rPr>
          <w:rFonts w:hint="eastAsia" w:ascii="宋体" w:hAnsi="宋体" w:cs="宋体"/>
          <w:color w:val="auto"/>
          <w:szCs w:val="21"/>
          <w:highlight w:val="none"/>
        </w:rPr>
      </w:pPr>
    </w:p>
    <w:p>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w:t>
      </w:r>
    </w:p>
    <w:p>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adjustRightInd w:val="0"/>
        <w:snapToGrid w:val="0"/>
        <w:spacing w:line="360" w:lineRule="auto"/>
        <w:ind w:right="23" w:rightChars="11" w:firstLine="420" w:firstLineChars="200"/>
        <w:rPr>
          <w:rFonts w:hint="eastAsia" w:ascii="宋体" w:hAnsi="宋体" w:cs="宋体"/>
          <w:color w:val="auto"/>
          <w:szCs w:val="21"/>
          <w:highlight w:val="none"/>
        </w:rPr>
      </w:pPr>
    </w:p>
    <w:p>
      <w:pPr>
        <w:adjustRightInd w:val="0"/>
        <w:snapToGrid w:val="0"/>
        <w:spacing w:line="360" w:lineRule="auto"/>
        <w:ind w:right="23" w:rightChars="11" w:firstLine="422" w:firstLineChars="200"/>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备注：响应文件中此表填写完整，供应商在承包人处须加盖公章。</w:t>
      </w:r>
    </w:p>
    <w:p>
      <w:pPr>
        <w:adjustRightInd w:val="0"/>
        <w:snapToGrid w:val="0"/>
        <w:spacing w:line="360" w:lineRule="auto"/>
        <w:ind w:right="23" w:rightChars="11" w:firstLine="420" w:firstLineChars="200"/>
        <w:rPr>
          <w:rFonts w:hint="eastAsia" w:ascii="宋体" w:hAnsi="宋体" w:cs="宋体"/>
          <w:color w:val="auto"/>
          <w:szCs w:val="21"/>
          <w:highlight w:val="none"/>
        </w:rPr>
      </w:pPr>
    </w:p>
    <w:p>
      <w:pPr>
        <w:adjustRightInd w:val="0"/>
        <w:snapToGrid w:val="0"/>
        <w:spacing w:line="360" w:lineRule="auto"/>
        <w:ind w:right="23" w:rightChars="11" w:firstLine="420" w:firstLineChars="200"/>
        <w:rPr>
          <w:rFonts w:hint="eastAsia" w:ascii="宋体" w:hAnsi="宋体" w:cs="宋体"/>
          <w:color w:val="auto"/>
          <w:szCs w:val="21"/>
          <w:highlight w:val="none"/>
        </w:rPr>
      </w:pPr>
    </w:p>
    <w:p>
      <w:pPr>
        <w:adjustRightInd w:val="0"/>
        <w:snapToGrid w:val="0"/>
        <w:spacing w:line="360" w:lineRule="auto"/>
        <w:ind w:right="23" w:rightChars="11" w:firstLine="420" w:firstLineChars="200"/>
        <w:rPr>
          <w:rFonts w:hint="eastAsia" w:ascii="宋体" w:hAnsi="宋体" w:cs="宋体"/>
          <w:color w:val="auto"/>
          <w:szCs w:val="21"/>
          <w:highlight w:val="none"/>
        </w:rPr>
      </w:pPr>
    </w:p>
    <w:p>
      <w:pPr>
        <w:adjustRightInd w:val="0"/>
        <w:snapToGrid w:val="0"/>
        <w:spacing w:line="480" w:lineRule="exact"/>
        <w:ind w:right="23" w:rightChars="11"/>
        <w:rPr>
          <w:rFonts w:hint="eastAsia" w:ascii="宋体" w:hAnsi="宋体" w:cs="宋体"/>
          <w:bCs/>
          <w:color w:val="auto"/>
          <w:sz w:val="24"/>
          <w:highlight w:val="none"/>
        </w:rPr>
      </w:pPr>
      <w:r>
        <w:rPr>
          <w:rFonts w:hint="eastAsia" w:ascii="宋体" w:hAnsi="宋体" w:cs="宋体"/>
          <w:bCs/>
          <w:color w:val="auto"/>
          <w:sz w:val="24"/>
          <w:highlight w:val="none"/>
        </w:rPr>
        <w:br w:type="page"/>
      </w:r>
      <w:r>
        <w:rPr>
          <w:rFonts w:hint="eastAsia" w:ascii="宋体" w:hAnsi="宋体" w:cs="宋体"/>
          <w:bCs/>
          <w:color w:val="auto"/>
          <w:sz w:val="24"/>
          <w:highlight w:val="none"/>
        </w:rPr>
        <w:t xml:space="preserve">附件4：            </w:t>
      </w:r>
    </w:p>
    <w:p>
      <w:pPr>
        <w:adjustRightInd w:val="0"/>
        <w:snapToGrid w:val="0"/>
        <w:spacing w:line="480" w:lineRule="exact"/>
        <w:ind w:right="23" w:rightChars="11"/>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不拖欠</w:t>
      </w:r>
      <w:r>
        <w:rPr>
          <w:rFonts w:hint="eastAsia" w:ascii="宋体" w:hAnsi="宋体" w:cs="宋体"/>
          <w:b/>
          <w:color w:val="auto"/>
          <w:sz w:val="28"/>
          <w:szCs w:val="28"/>
          <w:highlight w:val="none"/>
          <w:lang w:val="en-US" w:eastAsia="zh-CN"/>
        </w:rPr>
        <w:t>农</w:t>
      </w:r>
      <w:r>
        <w:rPr>
          <w:rFonts w:hint="eastAsia" w:ascii="宋体" w:hAnsi="宋体" w:cs="宋体"/>
          <w:b/>
          <w:color w:val="auto"/>
          <w:sz w:val="28"/>
          <w:szCs w:val="28"/>
          <w:highlight w:val="none"/>
        </w:rPr>
        <w:t>民工工资承诺书</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格式自拟</w:t>
      </w:r>
      <w:r>
        <w:rPr>
          <w:rFonts w:hint="eastAsia" w:ascii="宋体" w:hAnsi="宋体" w:cs="宋体"/>
          <w:b/>
          <w:color w:val="auto"/>
          <w:sz w:val="28"/>
          <w:szCs w:val="28"/>
          <w:highlight w:val="none"/>
          <w:lang w:eastAsia="zh-CN"/>
        </w:rPr>
        <w:t>）</w:t>
      </w:r>
    </w:p>
    <w:p>
      <w:pPr>
        <w:adjustRightInd w:val="0"/>
        <w:snapToGrid w:val="0"/>
        <w:spacing w:line="480" w:lineRule="exact"/>
        <w:ind w:right="23" w:rightChars="11"/>
        <w:rPr>
          <w:rFonts w:hint="eastAsia" w:ascii="宋体" w:hAnsi="宋体" w:cs="宋体"/>
          <w:b/>
          <w:color w:val="auto"/>
          <w:sz w:val="28"/>
          <w:szCs w:val="28"/>
          <w:highlight w:val="none"/>
        </w:rPr>
      </w:pPr>
    </w:p>
    <w:p>
      <w:pPr>
        <w:adjustRightInd w:val="0"/>
        <w:snapToGrid w:val="0"/>
        <w:spacing w:line="480" w:lineRule="exact"/>
        <w:ind w:right="23" w:rightChars="11"/>
        <w:rPr>
          <w:rFonts w:hint="eastAsia" w:ascii="宋体" w:hAnsi="宋体" w:eastAsia="宋体" w:cs="宋体"/>
          <w:b/>
          <w:color w:val="auto"/>
          <w:sz w:val="28"/>
          <w:szCs w:val="28"/>
          <w:highlight w:val="none"/>
          <w:lang w:val="en-US" w:eastAsia="zh-CN"/>
        </w:rPr>
      </w:pPr>
    </w:p>
    <w:p>
      <w:pPr>
        <w:adjustRightInd w:val="0"/>
        <w:snapToGrid w:val="0"/>
        <w:spacing w:line="480" w:lineRule="exact"/>
        <w:ind w:right="23" w:rightChars="11"/>
        <w:rPr>
          <w:rFonts w:hint="eastAsia" w:ascii="宋体" w:hAnsi="宋体" w:cs="宋体"/>
          <w:color w:val="auto"/>
          <w:szCs w:val="21"/>
          <w:highlight w:val="none"/>
        </w:rPr>
      </w:pPr>
    </w:p>
    <w:p>
      <w:pPr>
        <w:adjustRightInd w:val="0"/>
        <w:snapToGrid w:val="0"/>
        <w:spacing w:line="480" w:lineRule="exact"/>
        <w:ind w:right="23" w:rightChars="11"/>
        <w:rPr>
          <w:rFonts w:hint="eastAsia" w:ascii="宋体" w:hAnsi="宋体" w:cs="宋体"/>
          <w:color w:val="auto"/>
          <w:szCs w:val="21"/>
          <w:highlight w:val="none"/>
        </w:rPr>
      </w:pPr>
    </w:p>
    <w:p>
      <w:pPr>
        <w:adjustRightInd w:val="0"/>
        <w:snapToGrid w:val="0"/>
        <w:spacing w:line="480" w:lineRule="exact"/>
        <w:ind w:right="23" w:rightChars="11"/>
        <w:rPr>
          <w:rFonts w:hint="eastAsia" w:ascii="宋体" w:hAnsi="宋体" w:cs="宋体"/>
          <w:color w:val="auto"/>
          <w:szCs w:val="21"/>
          <w:highlight w:val="none"/>
        </w:rPr>
      </w:pPr>
    </w:p>
    <w:p>
      <w:pPr>
        <w:adjustRightInd w:val="0"/>
        <w:snapToGrid w:val="0"/>
        <w:spacing w:line="480" w:lineRule="exact"/>
        <w:ind w:right="23" w:rightChars="11"/>
        <w:rPr>
          <w:rFonts w:hint="eastAsia" w:ascii="宋体" w:hAnsi="宋体" w:cs="宋体"/>
          <w:color w:val="auto"/>
          <w:szCs w:val="21"/>
          <w:highlight w:val="none"/>
        </w:rPr>
      </w:pPr>
    </w:p>
    <w:p>
      <w:pPr>
        <w:adjustRightInd w:val="0"/>
        <w:snapToGrid w:val="0"/>
        <w:spacing w:line="48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供应商名称（盖章）：</w:t>
      </w:r>
    </w:p>
    <w:p>
      <w:pPr>
        <w:adjustRightInd w:val="0"/>
        <w:snapToGrid w:val="0"/>
        <w:spacing w:line="48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p>
    <w:p>
      <w:pPr>
        <w:adjustRightInd w:val="0"/>
        <w:snapToGrid w:val="0"/>
        <w:spacing w:line="360" w:lineRule="auto"/>
        <w:ind w:right="23" w:rightChars="11"/>
        <w:rPr>
          <w:rFonts w:hint="eastAsia" w:ascii="宋体" w:hAnsi="宋体" w:cs="宋体"/>
          <w:color w:val="auto"/>
          <w:szCs w:val="21"/>
          <w:highlight w:val="none"/>
        </w:rPr>
      </w:pPr>
    </w:p>
    <w:p>
      <w:pPr>
        <w:adjustRightInd w:val="0"/>
        <w:snapToGrid w:val="0"/>
        <w:spacing w:line="360" w:lineRule="auto"/>
        <w:ind w:right="23" w:rightChars="11"/>
        <w:rPr>
          <w:rFonts w:hint="eastAsia" w:ascii="宋体" w:hAnsi="宋体" w:cs="宋体"/>
          <w:b/>
          <w:color w:val="auto"/>
          <w:sz w:val="32"/>
          <w:szCs w:val="32"/>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p>
    <w:p>
      <w:pPr>
        <w:pStyle w:val="23"/>
        <w:adjustRightInd w:val="0"/>
        <w:snapToGrid w:val="0"/>
        <w:spacing w:line="360" w:lineRule="auto"/>
        <w:ind w:right="23" w:rightChars="11"/>
        <w:jc w:val="center"/>
        <w:rPr>
          <w:rFonts w:hint="eastAsia" w:hAnsi="宋体" w:cs="宋体"/>
          <w:b/>
          <w:color w:val="auto"/>
          <w:sz w:val="32"/>
          <w:szCs w:val="32"/>
          <w:highlight w:val="none"/>
        </w:rPr>
      </w:pPr>
      <w:r>
        <w:rPr>
          <w:rFonts w:hint="eastAsia" w:hAnsi="宋体" w:cs="宋体"/>
          <w:b/>
          <w:color w:val="auto"/>
          <w:sz w:val="32"/>
          <w:szCs w:val="32"/>
          <w:highlight w:val="none"/>
        </w:rPr>
        <w:t>二、保证金缴纳证明材料（本项目不适用）</w:t>
      </w:r>
    </w:p>
    <w:p>
      <w:pPr>
        <w:pStyle w:val="23"/>
        <w:adjustRightInd w:val="0"/>
        <w:snapToGrid w:val="0"/>
        <w:spacing w:before="158" w:beforeLines="50" w:line="360" w:lineRule="auto"/>
        <w:ind w:right="23" w:rightChars="11"/>
        <w:rPr>
          <w:rFonts w:hint="eastAsia" w:hAnsi="宋体" w:cs="宋体"/>
          <w:color w:val="auto"/>
          <w:highlight w:val="none"/>
        </w:rPr>
      </w:pPr>
    </w:p>
    <w:p>
      <w:pPr>
        <w:adjustRightInd w:val="0"/>
        <w:snapToGrid w:val="0"/>
        <w:spacing w:line="360" w:lineRule="auto"/>
        <w:ind w:right="23" w:rightChars="11"/>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三、供应商</w:t>
      </w:r>
      <w:r>
        <w:rPr>
          <w:rFonts w:hint="eastAsia" w:ascii="宋体" w:hAnsi="宋体" w:cs="宋体"/>
          <w:b/>
          <w:bCs/>
          <w:color w:val="auto"/>
          <w:sz w:val="32"/>
          <w:szCs w:val="32"/>
          <w:highlight w:val="none"/>
        </w:rPr>
        <w:t>的资格证明材料</w:t>
      </w:r>
    </w:p>
    <w:p>
      <w:pPr>
        <w:adjustRightInd w:val="0"/>
        <w:snapToGrid w:val="0"/>
        <w:spacing w:line="360" w:lineRule="auto"/>
        <w:ind w:right="23" w:rightChars="11"/>
        <w:rPr>
          <w:rFonts w:hint="eastAsia" w:ascii="宋体" w:hAnsi="宋体" w:cs="宋体"/>
          <w:b/>
          <w:color w:val="auto"/>
          <w:sz w:val="28"/>
          <w:szCs w:val="28"/>
          <w:highlight w:val="none"/>
        </w:rPr>
      </w:pPr>
      <w:r>
        <w:rPr>
          <w:rFonts w:hint="eastAsia" w:ascii="宋体" w:hAnsi="宋体" w:cs="宋体"/>
          <w:color w:val="auto"/>
          <w:sz w:val="24"/>
          <w:highlight w:val="none"/>
        </w:rPr>
        <w:t xml:space="preserve">附件5：                    </w:t>
      </w:r>
      <w:r>
        <w:rPr>
          <w:rFonts w:hint="eastAsia" w:ascii="宋体" w:hAnsi="宋体" w:cs="宋体"/>
          <w:b/>
          <w:color w:val="auto"/>
          <w:sz w:val="28"/>
          <w:szCs w:val="28"/>
          <w:highlight w:val="none"/>
        </w:rPr>
        <w:t>供应商基本情况表</w:t>
      </w:r>
    </w:p>
    <w:p>
      <w:pPr>
        <w:adjustRightInd w:val="0"/>
        <w:snapToGrid w:val="0"/>
        <w:spacing w:line="360" w:lineRule="auto"/>
        <w:ind w:right="23" w:rightChars="11"/>
        <w:rPr>
          <w:rFonts w:hint="eastAsia" w:ascii="宋体" w:hAnsi="宋体" w:cs="宋体"/>
          <w:b/>
          <w:color w:val="auto"/>
          <w:sz w:val="28"/>
          <w:szCs w:val="28"/>
          <w:highlight w:val="none"/>
        </w:rPr>
      </w:pPr>
    </w:p>
    <w:p>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供应商单位盖章</w:t>
      </w:r>
    </w:p>
    <w:tbl>
      <w:tblPr>
        <w:tblStyle w:val="44"/>
        <w:tblW w:w="9904"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49"/>
        <w:gridCol w:w="562"/>
        <w:gridCol w:w="378"/>
        <w:gridCol w:w="1192"/>
        <w:gridCol w:w="892"/>
        <w:gridCol w:w="610"/>
        <w:gridCol w:w="312"/>
        <w:gridCol w:w="1129"/>
        <w:gridCol w:w="1385"/>
        <w:gridCol w:w="269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689" w:type="dxa"/>
            <w:gridSpan w:val="3"/>
            <w:tcBorders>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4135" w:type="dxa"/>
            <w:gridSpan w:val="5"/>
            <w:tcBorders>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385" w:type="dxa"/>
            <w:tcBorders>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2695" w:type="dxa"/>
            <w:tcBorders>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11" w:hRule="atLeast"/>
        </w:trPr>
        <w:tc>
          <w:tcPr>
            <w:tcW w:w="1689" w:type="dxa"/>
            <w:gridSpan w:val="3"/>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组织机构代码</w:t>
            </w:r>
          </w:p>
        </w:tc>
        <w:tc>
          <w:tcPr>
            <w:tcW w:w="4135"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385"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695" w:type="dxa"/>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4135"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385"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2695" w:type="dxa"/>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上年营业收入</w:t>
            </w:r>
          </w:p>
        </w:tc>
        <w:tc>
          <w:tcPr>
            <w:tcW w:w="4135"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385"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c>
          <w:tcPr>
            <w:tcW w:w="2695" w:type="dxa"/>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49" w:type="dxa"/>
            <w:vMerge w:val="restart"/>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营业执照</w:t>
            </w: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注册号码</w:t>
            </w:r>
          </w:p>
        </w:tc>
        <w:tc>
          <w:tcPr>
            <w:tcW w:w="1502"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441"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4080" w:type="dxa"/>
            <w:gridSpan w:val="2"/>
            <w:tcBorders>
              <w:top w:val="single" w:color="auto" w:sz="6" w:space="0"/>
              <w:left w:val="single" w:color="auto" w:sz="6" w:space="0"/>
              <w:bottom w:val="single" w:color="auto" w:sz="6" w:space="0"/>
            </w:tcBorders>
            <w:noWrap w:val="0"/>
            <w:vAlign w:val="center"/>
          </w:tcPr>
          <w:p>
            <w:pPr>
              <w:topLinePunct/>
              <w:spacing w:line="440" w:lineRule="exact"/>
              <w:ind w:right="23" w:rightChars="11" w:firstLine="105" w:firstLineChars="50"/>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发证机关</w:t>
            </w:r>
          </w:p>
        </w:tc>
        <w:tc>
          <w:tcPr>
            <w:tcW w:w="1502"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441"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发证日期</w:t>
            </w:r>
          </w:p>
        </w:tc>
        <w:tc>
          <w:tcPr>
            <w:tcW w:w="4080" w:type="dxa"/>
            <w:gridSpan w:val="2"/>
            <w:tcBorders>
              <w:top w:val="single" w:color="auto" w:sz="6" w:space="0"/>
              <w:left w:val="single" w:color="auto" w:sz="6" w:space="0"/>
              <w:bottom w:val="single" w:color="auto" w:sz="6" w:space="0"/>
            </w:tcBorders>
            <w:noWrap w:val="0"/>
            <w:vAlign w:val="center"/>
          </w:tcPr>
          <w:p>
            <w:pPr>
              <w:topLinePunct/>
              <w:spacing w:line="440" w:lineRule="exact"/>
              <w:ind w:right="23" w:rightChars="11" w:firstLine="105" w:firstLineChars="50"/>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营业范围（主营）</w:t>
            </w:r>
          </w:p>
        </w:tc>
        <w:tc>
          <w:tcPr>
            <w:tcW w:w="7023" w:type="dxa"/>
            <w:gridSpan w:val="6"/>
            <w:tcBorders>
              <w:top w:val="single" w:color="auto" w:sz="6" w:space="0"/>
              <w:left w:val="single" w:color="auto" w:sz="6" w:space="0"/>
              <w:bottom w:val="single" w:color="auto" w:sz="6" w:space="0"/>
            </w:tcBorders>
            <w:noWrap w:val="0"/>
            <w:vAlign w:val="center"/>
          </w:tcPr>
          <w:p>
            <w:pPr>
              <w:topLinePunct/>
              <w:spacing w:line="440" w:lineRule="exact"/>
              <w:ind w:right="23" w:rightChars="11" w:firstLine="105" w:firstLineChars="50"/>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营业范围（兼营）</w:t>
            </w:r>
          </w:p>
        </w:tc>
        <w:tc>
          <w:tcPr>
            <w:tcW w:w="7023" w:type="dxa"/>
            <w:gridSpan w:val="6"/>
            <w:tcBorders>
              <w:top w:val="single" w:color="auto" w:sz="6" w:space="0"/>
              <w:left w:val="single" w:color="auto" w:sz="6" w:space="0"/>
              <w:bottom w:val="single" w:color="auto" w:sz="6" w:space="0"/>
            </w:tcBorders>
            <w:noWrap w:val="0"/>
            <w:vAlign w:val="center"/>
          </w:tcPr>
          <w:p>
            <w:pPr>
              <w:topLinePunct/>
              <w:spacing w:line="440" w:lineRule="exact"/>
              <w:ind w:right="23" w:rightChars="11" w:firstLine="105" w:firstLineChars="50"/>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基本账户开户行及帐号</w:t>
            </w:r>
          </w:p>
        </w:tc>
        <w:tc>
          <w:tcPr>
            <w:tcW w:w="7023" w:type="dxa"/>
            <w:gridSpan w:val="6"/>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税务发证机关</w:t>
            </w:r>
          </w:p>
        </w:tc>
        <w:tc>
          <w:tcPr>
            <w:tcW w:w="7023" w:type="dxa"/>
            <w:gridSpan w:val="6"/>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04" w:hRule="atLeast"/>
        </w:trPr>
        <w:tc>
          <w:tcPr>
            <w:tcW w:w="3773" w:type="dxa"/>
            <w:gridSpan w:val="5"/>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资质名称</w:t>
            </w: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等级</w:t>
            </w:r>
          </w:p>
        </w:tc>
        <w:tc>
          <w:tcPr>
            <w:tcW w:w="11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发证机关</w:t>
            </w:r>
          </w:p>
        </w:tc>
        <w:tc>
          <w:tcPr>
            <w:tcW w:w="4080" w:type="dxa"/>
            <w:gridSpan w:val="2"/>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有效期</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777" w:hRule="atLeast"/>
        </w:trPr>
        <w:tc>
          <w:tcPr>
            <w:tcW w:w="1311" w:type="dxa"/>
            <w:gridSpan w:val="2"/>
            <w:tcBorders>
              <w:top w:val="single" w:color="auto" w:sz="6" w:space="0"/>
              <w:right w:val="single" w:color="auto" w:sz="6" w:space="0"/>
            </w:tcBorders>
            <w:noWrap w:val="0"/>
            <w:vAlign w:val="center"/>
          </w:tcPr>
          <w:p>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8593" w:type="dxa"/>
            <w:gridSpan w:val="8"/>
            <w:tcBorders>
              <w:top w:val="single" w:color="auto" w:sz="6" w:space="0"/>
              <w:left w:val="single" w:color="auto" w:sz="6" w:space="0"/>
            </w:tcBorders>
            <w:noWrap w:val="0"/>
            <w:vAlign w:val="center"/>
          </w:tcPr>
          <w:p>
            <w:pPr>
              <w:topLinePunct/>
              <w:spacing w:line="44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提供营业执照</w:t>
            </w:r>
            <w:r>
              <w:rPr>
                <w:rFonts w:hint="eastAsia" w:ascii="宋体" w:hAnsi="宋体" w:cs="宋体"/>
                <w:color w:val="auto"/>
                <w:highlight w:val="none"/>
              </w:rPr>
              <w:t>和</w:t>
            </w:r>
            <w:r>
              <w:rPr>
                <w:rFonts w:hint="eastAsia" w:ascii="宋体" w:hAnsi="宋体" w:cs="宋体"/>
                <w:color w:val="auto"/>
                <w:szCs w:val="21"/>
                <w:highlight w:val="none"/>
              </w:rPr>
              <w:t>组织机构代码证(副本复印件)</w:t>
            </w:r>
            <w:r>
              <w:rPr>
                <w:rFonts w:hint="eastAsia" w:ascii="宋体" w:hAnsi="宋体" w:cs="宋体"/>
                <w:color w:val="auto"/>
                <w:highlight w:val="none"/>
              </w:rPr>
              <w:t>，其他资料按第二章第42.1款或第四章要求提供。</w:t>
            </w:r>
          </w:p>
        </w:tc>
      </w:tr>
    </w:tbl>
    <w:p>
      <w:pPr>
        <w:adjustRightInd w:val="0"/>
        <w:snapToGrid w:val="0"/>
        <w:spacing w:line="360" w:lineRule="auto"/>
        <w:ind w:right="23" w:rightChars="11"/>
        <w:jc w:val="center"/>
        <w:rPr>
          <w:rFonts w:hint="eastAsia" w:ascii="宋体" w:hAnsi="宋体" w:cs="宋体"/>
          <w:color w:val="auto"/>
          <w:sz w:val="24"/>
          <w:highlight w:val="none"/>
        </w:rPr>
      </w:pPr>
    </w:p>
    <w:p>
      <w:pPr>
        <w:spacing w:line="480" w:lineRule="exact"/>
        <w:ind w:right="23" w:rightChars="11"/>
        <w:jc w:val="center"/>
        <w:rPr>
          <w:rFonts w:hint="eastAsia" w:ascii="宋体" w:hAnsi="宋体" w:cs="宋体"/>
          <w:color w:val="auto"/>
          <w:sz w:val="24"/>
          <w:highlight w:val="none"/>
        </w:rPr>
      </w:pPr>
      <w:r>
        <w:rPr>
          <w:rFonts w:hint="eastAsia" w:ascii="宋体" w:hAnsi="宋体" w:cs="宋体"/>
          <w:b/>
          <w:color w:val="auto"/>
          <w:sz w:val="28"/>
          <w:szCs w:val="28"/>
          <w:highlight w:val="none"/>
        </w:rPr>
        <w:t>磋商文件规定的基本资格条件证明资料</w:t>
      </w:r>
    </w:p>
    <w:p>
      <w:pPr>
        <w:spacing w:line="480" w:lineRule="exact"/>
        <w:ind w:right="23" w:rightChars="11"/>
        <w:rPr>
          <w:rFonts w:hint="eastAsia" w:ascii="宋体" w:hAnsi="宋体" w:cs="宋体"/>
          <w:color w:val="auto"/>
          <w:sz w:val="24"/>
          <w:highlight w:val="none"/>
        </w:rPr>
      </w:pPr>
    </w:p>
    <w:p>
      <w:pPr>
        <w:tabs>
          <w:tab w:val="left" w:pos="4725"/>
        </w:tabs>
        <w:adjustRightInd w:val="0"/>
        <w:snapToGrid w:val="0"/>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eastAsia="zh-CN"/>
        </w:rPr>
        <w:t>1.</w:t>
      </w:r>
      <w:r>
        <w:rPr>
          <w:rFonts w:hint="eastAsia" w:ascii="宋体" w:hAnsi="宋体" w:cs="宋体"/>
          <w:bCs/>
          <w:color w:val="auto"/>
          <w:szCs w:val="21"/>
          <w:highlight w:val="none"/>
        </w:rPr>
        <w:t>供应商应提供下列声明和证明材料</w:t>
      </w:r>
    </w:p>
    <w:p>
      <w:pPr>
        <w:tabs>
          <w:tab w:val="left" w:pos="4725"/>
        </w:tabs>
        <w:adjustRightInd w:val="0"/>
        <w:snapToGrid w:val="0"/>
        <w:spacing w:line="480" w:lineRule="auto"/>
        <w:ind w:firstLine="735" w:firstLineChars="350"/>
        <w:rPr>
          <w:rFonts w:hint="eastAsia" w:ascii="宋体" w:hAnsi="宋体" w:cs="宋体"/>
          <w:color w:val="auto"/>
          <w:szCs w:val="21"/>
          <w:highlight w:val="none"/>
        </w:rPr>
      </w:pPr>
      <w:r>
        <w:rPr>
          <w:rFonts w:hint="eastAsia" w:ascii="宋体" w:hAnsi="宋体" w:cs="宋体"/>
          <w:color w:val="auto"/>
          <w:szCs w:val="21"/>
          <w:highlight w:val="none"/>
        </w:rPr>
        <w:t>附5-1：《湖南省政府采购供应商资格承诺函》（见响应文件格式）。</w:t>
      </w:r>
    </w:p>
    <w:p>
      <w:pPr>
        <w:tabs>
          <w:tab w:val="left" w:pos="4725"/>
        </w:tabs>
        <w:adjustRightInd w:val="0"/>
        <w:snapToGrid w:val="0"/>
        <w:spacing w:line="480" w:lineRule="auto"/>
        <w:ind w:firstLine="735" w:firstLineChars="350"/>
        <w:rPr>
          <w:color w:val="auto"/>
          <w:highlight w:val="none"/>
        </w:rPr>
      </w:pPr>
      <w:r>
        <w:rPr>
          <w:rFonts w:hint="eastAsia" w:ascii="宋体" w:hAnsi="宋体" w:cs="宋体"/>
          <w:color w:val="auto"/>
          <w:szCs w:val="21"/>
          <w:highlight w:val="none"/>
        </w:rPr>
        <w:t>附5-2：法人、或者其他组织的营业执照等主体资格证明文件，自然人的身份证明</w:t>
      </w:r>
    </w:p>
    <w:p>
      <w:pPr>
        <w:tabs>
          <w:tab w:val="left" w:pos="4725"/>
        </w:tabs>
        <w:adjustRightInd w:val="0"/>
        <w:snapToGrid w:val="0"/>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供应商以联合体形式响应的，除应提交联合协议书外，协议中的各方均应提交上款资格证明材料。</w:t>
      </w:r>
    </w:p>
    <w:p>
      <w:pPr>
        <w:tabs>
          <w:tab w:val="left" w:pos="4725"/>
        </w:tabs>
        <w:adjustRightInd w:val="0"/>
        <w:snapToGrid w:val="0"/>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上述声明与证明资料应按其要求加盖供应商单位章，由法定代表人或其授权的代理人签字；声明应当按响应文件提供的格式除可填报信息外不加任何内容修改地提供，证明资料的复印件应加盖供应商单位章，否则，响应无效。</w:t>
      </w:r>
    </w:p>
    <w:p>
      <w:pPr>
        <w:tabs>
          <w:tab w:val="left" w:pos="4725"/>
        </w:tabs>
        <w:adjustRightInd w:val="0"/>
        <w:snapToGrid w:val="0"/>
        <w:spacing w:line="48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eastAsia="zh-CN"/>
        </w:rPr>
        <w:t>4.</w:t>
      </w:r>
      <w:r>
        <w:rPr>
          <w:rFonts w:hint="eastAsia" w:ascii="宋体" w:hAnsi="宋体" w:cs="宋体"/>
          <w:color w:val="auto"/>
          <w:szCs w:val="21"/>
          <w:highlight w:val="none"/>
          <w:lang w:val="zh-CN"/>
        </w:rPr>
        <w:t>供应商如出现并购重组和吸收合并的，其成立时间可溯源至原单位的注册时间起算；如出现新设合并的，成立时间可溯源至参与合并的单位中成立时间较短的单位的注册时间。出现更名的请出示注册所在地的职能部门证明。供应商如正处于换证、年检阶段，提供相关证明。</w:t>
      </w: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adjustRightInd w:val="0"/>
        <w:snapToGrid w:val="0"/>
        <w:spacing w:line="360" w:lineRule="auto"/>
        <w:ind w:right="23" w:rightChars="11"/>
        <w:rPr>
          <w:rFonts w:hint="eastAsia" w:ascii="宋体" w:hAnsi="宋体" w:cs="宋体"/>
          <w:color w:val="auto"/>
          <w:kern w:val="0"/>
          <w:szCs w:val="21"/>
          <w:highlight w:val="none"/>
        </w:rPr>
      </w:pPr>
    </w:p>
    <w:p>
      <w:pPr>
        <w:pStyle w:val="38"/>
        <w:spacing w:before="158" w:beforeLines="50" w:beforeAutospacing="0" w:after="158" w:afterLines="50" w:afterAutospacing="0" w:line="300" w:lineRule="auto"/>
        <w:rPr>
          <w:rFonts w:hint="eastAsia"/>
          <w:b/>
          <w:color w:val="auto"/>
          <w:kern w:val="2"/>
          <w:sz w:val="28"/>
          <w:szCs w:val="28"/>
          <w:highlight w:val="none"/>
        </w:rPr>
      </w:pPr>
      <w:r>
        <w:rPr>
          <w:rFonts w:hint="eastAsia"/>
          <w:color w:val="auto"/>
          <w:highlight w:val="none"/>
        </w:rPr>
        <w:br w:type="page"/>
      </w:r>
      <w:r>
        <w:rPr>
          <w:rFonts w:hint="eastAsia"/>
          <w:color w:val="auto"/>
          <w:kern w:val="2"/>
          <w:sz w:val="21"/>
          <w:szCs w:val="21"/>
          <w:highlight w:val="none"/>
        </w:rPr>
        <w:t>附5-1 湖南省政府采购供应商资格承诺函</w:t>
      </w:r>
    </w:p>
    <w:p>
      <w:pPr>
        <w:widowControl/>
        <w:spacing w:line="336" w:lineRule="auto"/>
        <w:rPr>
          <w:rFonts w:hint="eastAsia" w:eastAsia="黑体"/>
          <w:color w:val="auto"/>
          <w:highlight w:val="none"/>
        </w:rPr>
      </w:pPr>
    </w:p>
    <w:p>
      <w:pPr>
        <w:pStyle w:val="38"/>
        <w:spacing w:before="158" w:beforeLines="50" w:beforeAutospacing="0" w:after="158" w:afterLines="50" w:afterAutospacing="0" w:line="300" w:lineRule="auto"/>
        <w:jc w:val="center"/>
        <w:rPr>
          <w:rFonts w:hint="eastAsia"/>
          <w:b/>
          <w:color w:val="auto"/>
          <w:kern w:val="2"/>
          <w:sz w:val="28"/>
          <w:szCs w:val="28"/>
          <w:highlight w:val="none"/>
        </w:rPr>
      </w:pPr>
      <w:r>
        <w:rPr>
          <w:rFonts w:hint="eastAsia"/>
          <w:b/>
          <w:color w:val="auto"/>
          <w:kern w:val="2"/>
          <w:sz w:val="28"/>
          <w:szCs w:val="28"/>
          <w:highlight w:val="none"/>
        </w:rPr>
        <w:t>湖南省政府采购供应商资格承诺函</w:t>
      </w:r>
    </w:p>
    <w:p>
      <w:pPr>
        <w:pStyle w:val="38"/>
        <w:spacing w:before="158" w:beforeLines="50" w:beforeAutospacing="0" w:after="158" w:afterLines="50" w:afterAutospacing="0" w:line="300" w:lineRule="auto"/>
        <w:ind w:firstLine="640"/>
        <w:jc w:val="both"/>
        <w:rPr>
          <w:rFonts w:hint="eastAsia"/>
          <w:color w:val="auto"/>
          <w:kern w:val="2"/>
          <w:sz w:val="21"/>
          <w:szCs w:val="21"/>
          <w:highlight w:val="none"/>
        </w:rPr>
      </w:pPr>
      <w:r>
        <w:rPr>
          <w:rFonts w:hint="eastAsia"/>
          <w:color w:val="auto"/>
          <w:kern w:val="2"/>
          <w:sz w:val="21"/>
          <w:szCs w:val="21"/>
          <w:highlight w:val="none"/>
        </w:rPr>
        <w:t xml:space="preserve">本公司（本单位）独立承担民事责任、具有良好的商业信誉和健全的财务会计制度、依法缴纳税收和社会保障资金,在前三年的经营活动中无重大违法记录,未列入严重失信行为名单,符合政府采购供应商的基本资格要求。 </w:t>
      </w:r>
    </w:p>
    <w:p>
      <w:pPr>
        <w:pStyle w:val="38"/>
        <w:spacing w:before="158" w:beforeLines="50" w:beforeAutospacing="0" w:after="158" w:afterLines="50" w:afterAutospacing="0" w:line="300" w:lineRule="auto"/>
        <w:ind w:firstLine="640"/>
        <w:jc w:val="both"/>
        <w:rPr>
          <w:rFonts w:hint="eastAsia"/>
          <w:color w:val="auto"/>
          <w:kern w:val="2"/>
          <w:sz w:val="21"/>
          <w:szCs w:val="21"/>
          <w:highlight w:val="none"/>
        </w:rPr>
      </w:pPr>
      <w:r>
        <w:rPr>
          <w:rFonts w:hint="eastAsia"/>
          <w:color w:val="auto"/>
          <w:kern w:val="2"/>
          <w:sz w:val="21"/>
          <w:szCs w:val="21"/>
          <w:highlight w:val="none"/>
        </w:rPr>
        <w:t>按照《政府采购促进中小企业发展管理办法》（财库〔2020〕46号），本公司企业规模为：</w:t>
      </w:r>
      <w:r>
        <w:rPr>
          <w:rFonts w:hint="eastAsia"/>
          <w:b/>
          <w:bCs/>
          <w:color w:val="auto"/>
          <w:kern w:val="2"/>
          <w:sz w:val="21"/>
          <w:szCs w:val="21"/>
          <w:highlight w:val="none"/>
        </w:rPr>
        <w:t>大型□ 中型□ 小型□ 微型□</w:t>
      </w:r>
      <w:r>
        <w:rPr>
          <w:rFonts w:hint="eastAsia"/>
          <w:color w:val="auto"/>
          <w:kern w:val="2"/>
          <w:sz w:val="21"/>
          <w:szCs w:val="21"/>
          <w:highlight w:val="none"/>
        </w:rPr>
        <w:t>（非公司性质单位无需勾选）。</w:t>
      </w:r>
    </w:p>
    <w:p>
      <w:pPr>
        <w:pStyle w:val="38"/>
        <w:spacing w:before="158" w:beforeLines="50" w:beforeAutospacing="0" w:after="158" w:afterLines="50" w:afterAutospacing="0" w:line="300" w:lineRule="auto"/>
        <w:ind w:firstLine="5940" w:firstLineChars="2829"/>
        <w:jc w:val="both"/>
        <w:rPr>
          <w:rFonts w:hint="eastAsia"/>
          <w:color w:val="auto"/>
          <w:kern w:val="2"/>
          <w:sz w:val="21"/>
          <w:szCs w:val="21"/>
          <w:highlight w:val="none"/>
        </w:rPr>
      </w:pPr>
      <w:r>
        <w:rPr>
          <w:rFonts w:hint="eastAsia"/>
          <w:color w:val="auto"/>
          <w:kern w:val="2"/>
          <w:sz w:val="21"/>
          <w:szCs w:val="21"/>
          <w:highlight w:val="none"/>
        </w:rPr>
        <w:t>公司（单位）名称（盖章） </w:t>
      </w:r>
    </w:p>
    <w:p>
      <w:pPr>
        <w:pStyle w:val="38"/>
        <w:spacing w:before="158" w:beforeLines="50" w:beforeAutospacing="0" w:after="158" w:afterLines="50" w:afterAutospacing="0" w:line="300" w:lineRule="auto"/>
        <w:ind w:firstLine="4800"/>
        <w:jc w:val="right"/>
        <w:rPr>
          <w:rFonts w:hint="eastAsia"/>
          <w:color w:val="auto"/>
          <w:sz w:val="21"/>
          <w:szCs w:val="21"/>
          <w:highlight w:val="none"/>
        </w:rPr>
      </w:pPr>
      <w:r>
        <w:rPr>
          <w:rFonts w:hint="eastAsia"/>
          <w:color w:val="auto"/>
          <w:kern w:val="2"/>
          <w:sz w:val="21"/>
          <w:szCs w:val="21"/>
          <w:highlight w:val="none"/>
        </w:rPr>
        <w:t>      年   月   日 </w:t>
      </w:r>
      <w:r>
        <w:rPr>
          <w:rFonts w:hint="eastAsia"/>
          <w:color w:val="auto"/>
          <w:sz w:val="21"/>
          <w:szCs w:val="21"/>
          <w:highlight w:val="none"/>
        </w:rPr>
        <w:t>                </w:t>
      </w:r>
    </w:p>
    <w:p>
      <w:pPr>
        <w:pStyle w:val="38"/>
        <w:spacing w:before="158" w:beforeLines="50" w:beforeAutospacing="0" w:after="158" w:afterLines="50" w:afterAutospacing="0" w:line="300" w:lineRule="auto"/>
        <w:jc w:val="both"/>
        <w:rPr>
          <w:rFonts w:hint="eastAsia"/>
          <w:color w:val="auto"/>
          <w:sz w:val="21"/>
          <w:szCs w:val="21"/>
          <w:highlight w:val="none"/>
        </w:rPr>
      </w:pPr>
    </w:p>
    <w:p>
      <w:pPr>
        <w:pStyle w:val="38"/>
        <w:spacing w:before="158" w:beforeLines="50" w:beforeAutospacing="0" w:after="158" w:afterLines="50" w:afterAutospacing="0" w:line="300" w:lineRule="auto"/>
        <w:jc w:val="both"/>
        <w:rPr>
          <w:rFonts w:hint="eastAsia"/>
          <w:color w:val="auto"/>
          <w:sz w:val="21"/>
          <w:szCs w:val="21"/>
          <w:highlight w:val="none"/>
        </w:rPr>
      </w:pPr>
    </w:p>
    <w:p>
      <w:pPr>
        <w:pStyle w:val="38"/>
        <w:spacing w:before="158" w:beforeLines="50" w:beforeAutospacing="0" w:after="158" w:afterLines="50" w:afterAutospacing="0" w:line="300" w:lineRule="auto"/>
        <w:jc w:val="both"/>
        <w:rPr>
          <w:rFonts w:hint="eastAsia"/>
          <w:color w:val="auto"/>
          <w:sz w:val="21"/>
          <w:szCs w:val="21"/>
          <w:highlight w:val="none"/>
        </w:rPr>
      </w:pPr>
    </w:p>
    <w:p>
      <w:pPr>
        <w:spacing w:line="360" w:lineRule="auto"/>
        <w:rPr>
          <w:rFonts w:ascii="宋体" w:hAnsi="宋体" w:cs="宋体"/>
          <w:color w:val="auto"/>
          <w:szCs w:val="21"/>
          <w:highlight w:val="none"/>
        </w:rPr>
      </w:pPr>
      <w:r>
        <w:rPr>
          <w:rFonts w:hint="eastAsia" w:ascii="宋体" w:hAnsi="宋体" w:cs="宋体"/>
          <w:color w:val="auto"/>
          <w:spacing w:val="6"/>
          <w:kern w:val="0"/>
          <w:sz w:val="24"/>
          <w:highlight w:val="none"/>
        </w:rPr>
        <w:t>附5-2 法人、或者其他组织的营业执照等主体资格证明文件，自然人的身份证明</w:t>
      </w:r>
    </w:p>
    <w:p>
      <w:pPr>
        <w:widowControl/>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注：按磋商文件要求提供。</w:t>
      </w:r>
    </w:p>
    <w:p>
      <w:pPr>
        <w:adjustRightInd w:val="0"/>
        <w:snapToGrid w:val="0"/>
        <w:spacing w:line="360" w:lineRule="auto"/>
        <w:ind w:right="23" w:rightChars="11"/>
        <w:rPr>
          <w:rFonts w:ascii="宋体" w:hAnsi="宋体"/>
          <w:color w:val="auto"/>
          <w:szCs w:val="21"/>
          <w:highlight w:val="none"/>
        </w:rPr>
      </w:pPr>
    </w:p>
    <w:p>
      <w:pPr>
        <w:spacing w:line="480" w:lineRule="exact"/>
        <w:ind w:right="23" w:rightChars="11"/>
        <w:jc w:val="center"/>
        <w:rPr>
          <w:rFonts w:hint="eastAsia" w:ascii="黑体" w:eastAsia="黑体"/>
          <w:b/>
          <w:color w:val="auto"/>
          <w:sz w:val="28"/>
          <w:szCs w:val="28"/>
          <w:highlight w:val="none"/>
        </w:rPr>
        <w:sectPr>
          <w:pgSz w:w="11906" w:h="16838"/>
          <w:pgMar w:top="1361" w:right="1361" w:bottom="1361" w:left="1361" w:header="851" w:footer="992" w:gutter="0"/>
          <w:pgNumType w:fmt="decimal"/>
          <w:cols w:space="720" w:num="1"/>
          <w:docGrid w:type="lines" w:linePitch="316" w:charSpace="0"/>
        </w:sectPr>
      </w:pPr>
    </w:p>
    <w:p>
      <w:pPr>
        <w:pStyle w:val="43"/>
        <w:ind w:firstLine="400"/>
        <w:rPr>
          <w:rFonts w:hint="eastAsia"/>
          <w:color w:val="auto"/>
          <w:highlight w:val="none"/>
        </w:rPr>
      </w:pPr>
    </w:p>
    <w:p>
      <w:pPr>
        <w:spacing w:line="480" w:lineRule="exact"/>
        <w:ind w:right="23" w:rightChars="11"/>
        <w:jc w:val="center"/>
        <w:rPr>
          <w:rFonts w:ascii="黑体" w:eastAsia="黑体"/>
          <w:color w:val="auto"/>
          <w:sz w:val="24"/>
          <w:highlight w:val="none"/>
        </w:rPr>
      </w:pPr>
      <w:r>
        <w:rPr>
          <w:rFonts w:hint="eastAsia" w:ascii="黑体" w:eastAsia="黑体"/>
          <w:b/>
          <w:color w:val="auto"/>
          <w:sz w:val="28"/>
          <w:szCs w:val="28"/>
          <w:highlight w:val="none"/>
        </w:rPr>
        <w:t>磋商文件规定的特定资格条件证明资料</w:t>
      </w:r>
    </w:p>
    <w:p>
      <w:pPr>
        <w:spacing w:line="480" w:lineRule="exact"/>
        <w:ind w:right="23" w:rightChars="11"/>
        <w:rPr>
          <w:rFonts w:hint="eastAsia" w:ascii="黑体" w:eastAsia="黑体"/>
          <w:color w:val="auto"/>
          <w:sz w:val="24"/>
          <w:highlight w:val="none"/>
        </w:rPr>
        <w:sectPr>
          <w:pgSz w:w="11906" w:h="16838"/>
          <w:pgMar w:top="1361" w:right="1361" w:bottom="1361" w:left="1361" w:header="851" w:footer="992" w:gutter="0"/>
          <w:pgNumType w:fmt="decimal"/>
          <w:cols w:space="720" w:num="1"/>
          <w:docGrid w:type="lines" w:linePitch="316" w:charSpace="0"/>
        </w:sectPr>
      </w:pPr>
      <w:r>
        <w:rPr>
          <w:rFonts w:hint="eastAsia" w:ascii="黑体" w:eastAsia="黑体"/>
          <w:color w:val="auto"/>
          <w:sz w:val="24"/>
          <w:highlight w:val="none"/>
        </w:rPr>
        <w:t>注：提供《第二章磋商须知》第二章第3.1款供应商资格条件规定的特定资格条件证明材料</w:t>
      </w:r>
    </w:p>
    <w:p>
      <w:pPr>
        <w:adjustRightInd w:val="0"/>
        <w:snapToGrid w:val="0"/>
        <w:spacing w:line="360" w:lineRule="auto"/>
        <w:ind w:right="23" w:rightChars="11"/>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四、施工组织设计</w:t>
      </w:r>
    </w:p>
    <w:p>
      <w:pPr>
        <w:adjustRightInd w:val="0"/>
        <w:snapToGrid w:val="0"/>
        <w:ind w:left="-88" w:leftChars="-42" w:right="23" w:rightChars="11" w:firstLine="210" w:firstLineChars="100"/>
        <w:rPr>
          <w:rFonts w:hint="eastAsia" w:ascii="宋体" w:hAnsi="宋体" w:cs="宋体"/>
          <w:bCs/>
          <w:color w:val="auto"/>
          <w:szCs w:val="21"/>
          <w:highlight w:val="none"/>
        </w:rPr>
      </w:pPr>
    </w:p>
    <w:p>
      <w:pPr>
        <w:adjustRightInd w:val="0"/>
        <w:snapToGrid w:val="0"/>
        <w:ind w:left="-88" w:leftChars="-42" w:right="23" w:rightChars="11" w:firstLine="240" w:firstLineChars="100"/>
        <w:rPr>
          <w:rFonts w:hint="eastAsia" w:ascii="宋体" w:hAnsi="宋体" w:cs="宋体"/>
          <w:b/>
          <w:bCs/>
          <w:color w:val="auto"/>
          <w:sz w:val="24"/>
          <w:highlight w:val="none"/>
        </w:rPr>
      </w:pPr>
      <w:r>
        <w:rPr>
          <w:rFonts w:hint="eastAsia" w:ascii="宋体" w:hAnsi="宋体" w:cs="宋体"/>
          <w:color w:val="auto"/>
          <w:sz w:val="24"/>
          <w:highlight w:val="none"/>
        </w:rPr>
        <w:t xml:space="preserve">附件6：  </w:t>
      </w:r>
      <w:r>
        <w:rPr>
          <w:rFonts w:hint="eastAsia" w:ascii="宋体" w:hAnsi="宋体" w:cs="宋体"/>
          <w:b/>
          <w:bCs/>
          <w:color w:val="auto"/>
          <w:sz w:val="24"/>
          <w:highlight w:val="none"/>
        </w:rPr>
        <w:t xml:space="preserve">  </w:t>
      </w:r>
    </w:p>
    <w:p>
      <w:pPr>
        <w:adjustRightInd w:val="0"/>
        <w:snapToGrid w:val="0"/>
        <w:ind w:left="-88" w:leftChars="-42" w:right="23" w:rightChars="11" w:firstLine="3297" w:firstLineChars="1374"/>
        <w:rPr>
          <w:rFonts w:hint="eastAsia" w:ascii="宋体" w:hAnsi="宋体" w:cs="宋体"/>
          <w:b/>
          <w:bCs/>
          <w:color w:val="auto"/>
          <w:sz w:val="24"/>
          <w:highlight w:val="none"/>
        </w:rPr>
      </w:pPr>
      <w:r>
        <w:rPr>
          <w:rFonts w:hint="eastAsia" w:ascii="宋体" w:hAnsi="宋体" w:cs="宋体"/>
          <w:b/>
          <w:bCs/>
          <w:color w:val="auto"/>
          <w:sz w:val="24"/>
          <w:highlight w:val="none"/>
        </w:rPr>
        <w:t xml:space="preserve">      </w:t>
      </w:r>
      <w:r>
        <w:rPr>
          <w:rFonts w:hint="eastAsia" w:ascii="宋体" w:hAnsi="宋体" w:cs="宋体"/>
          <w:color w:val="auto"/>
          <w:sz w:val="28"/>
          <w:szCs w:val="28"/>
          <w:highlight w:val="none"/>
        </w:rPr>
        <w:t>施工组织设计</w:t>
      </w:r>
    </w:p>
    <w:p>
      <w:pPr>
        <w:spacing w:line="360" w:lineRule="atLeast"/>
        <w:ind w:right="23" w:rightChars="11"/>
        <w:rPr>
          <w:rFonts w:hint="eastAsia" w:ascii="宋体" w:hAnsi="宋体" w:cs="宋体"/>
          <w:color w:val="auto"/>
          <w:sz w:val="28"/>
          <w:szCs w:val="28"/>
          <w:highlight w:val="none"/>
        </w:rPr>
      </w:pPr>
    </w:p>
    <w:p>
      <w:pPr>
        <w:pStyle w:val="17"/>
        <w:spacing w:after="0" w:line="400" w:lineRule="exact"/>
        <w:ind w:right="23" w:rightChars="11"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递交完整的施工组织时间，说明各分部分项工程的施工方法和布置，提交包括临时设施和施工道路的施工总布置图及其它的图表、文字说明书等资料，《施工组织设计》技术文件应包括的内容（不仅限于以下内容、可自行增加）：</w:t>
      </w:r>
    </w:p>
    <w:p>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一、施工方案与技术措施</w:t>
      </w:r>
    </w:p>
    <w:p>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二、工程进度计划与保证措施</w:t>
      </w:r>
    </w:p>
    <w:p>
      <w:pPr>
        <w:tabs>
          <w:tab w:val="left" w:pos="2985"/>
        </w:tabs>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三、质量管理体系与措施</w:t>
      </w:r>
      <w:r>
        <w:rPr>
          <w:rFonts w:hint="eastAsia" w:ascii="宋体" w:hAnsi="宋体" w:cs="宋体"/>
          <w:color w:val="auto"/>
          <w:szCs w:val="21"/>
          <w:highlight w:val="none"/>
        </w:rPr>
        <w:tab/>
      </w:r>
    </w:p>
    <w:p>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四、安全管理体系与措施</w:t>
      </w:r>
    </w:p>
    <w:p>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五、文明施工现场措施</w:t>
      </w: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pStyle w:val="43"/>
        <w:ind w:left="421" w:firstLine="401"/>
        <w:rPr>
          <w:rFonts w:hint="eastAsia"/>
          <w:color w:val="auto"/>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Cs w:val="21"/>
          <w:highlight w:val="none"/>
        </w:rPr>
      </w:pPr>
    </w:p>
    <w:p>
      <w:pPr>
        <w:adjustRightInd w:val="0"/>
        <w:snapToGrid w:val="0"/>
        <w:ind w:right="23" w:rightChars="11"/>
        <w:rPr>
          <w:rFonts w:hint="eastAsia" w:ascii="宋体" w:hAnsi="宋体" w:cs="宋体"/>
          <w:color w:val="auto"/>
          <w:sz w:val="24"/>
          <w:highlight w:val="none"/>
        </w:rPr>
      </w:pPr>
    </w:p>
    <w:p>
      <w:pPr>
        <w:adjustRightInd w:val="0"/>
        <w:snapToGrid w:val="0"/>
        <w:ind w:right="23" w:rightChars="11"/>
        <w:rPr>
          <w:rFonts w:hint="eastAsia" w:ascii="宋体" w:hAnsi="宋体" w:cs="宋体"/>
          <w:color w:val="auto"/>
          <w:sz w:val="24"/>
          <w:highlight w:val="none"/>
        </w:rPr>
      </w:pPr>
    </w:p>
    <w:p>
      <w:pPr>
        <w:adjustRightInd w:val="0"/>
        <w:snapToGrid w:val="0"/>
        <w:ind w:right="23" w:rightChars="11"/>
        <w:rPr>
          <w:rFonts w:hint="eastAsia" w:ascii="宋体" w:hAnsi="宋体" w:cs="宋体"/>
          <w:color w:val="auto"/>
          <w:sz w:val="24"/>
          <w:highlight w:val="none"/>
        </w:rPr>
      </w:pPr>
    </w:p>
    <w:p>
      <w:pPr>
        <w:adjustRightInd w:val="0"/>
        <w:snapToGrid w:val="0"/>
        <w:ind w:right="23" w:rightChars="11"/>
        <w:rPr>
          <w:rFonts w:hint="eastAsia" w:ascii="宋体" w:hAnsi="宋体" w:cs="宋体"/>
          <w:color w:val="auto"/>
          <w:szCs w:val="21"/>
          <w:highlight w:val="none"/>
        </w:rPr>
      </w:pPr>
      <w:r>
        <w:rPr>
          <w:rFonts w:hint="eastAsia" w:ascii="宋体" w:hAnsi="宋体" w:cs="宋体"/>
          <w:color w:val="auto"/>
          <w:sz w:val="24"/>
          <w:highlight w:val="none"/>
        </w:rPr>
        <w:t>附件7：</w:t>
      </w:r>
    </w:p>
    <w:p>
      <w:pPr>
        <w:spacing w:line="360" w:lineRule="atLeast"/>
        <w:ind w:right="23" w:rightChars="11"/>
        <w:jc w:val="center"/>
        <w:rPr>
          <w:rFonts w:hint="eastAsia" w:ascii="宋体" w:hAnsi="宋体" w:cs="宋体"/>
          <w:color w:val="auto"/>
          <w:sz w:val="28"/>
          <w:szCs w:val="28"/>
          <w:highlight w:val="none"/>
        </w:rPr>
      </w:pPr>
      <w:r>
        <w:rPr>
          <w:rFonts w:hint="eastAsia" w:ascii="宋体" w:hAnsi="宋体" w:cs="宋体"/>
          <w:b/>
          <w:color w:val="auto"/>
          <w:sz w:val="28"/>
          <w:szCs w:val="28"/>
          <w:highlight w:val="none"/>
        </w:rPr>
        <w:t>主要人员简历表</w:t>
      </w:r>
    </w:p>
    <w:tbl>
      <w:tblPr>
        <w:tblStyle w:val="44"/>
        <w:tblW w:w="98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12"/>
        <w:gridCol w:w="330"/>
        <w:gridCol w:w="3330"/>
        <w:gridCol w:w="216"/>
        <w:gridCol w:w="1633"/>
        <w:gridCol w:w="131"/>
        <w:gridCol w:w="24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93" w:hRule="exact"/>
        </w:trPr>
        <w:tc>
          <w:tcPr>
            <w:tcW w:w="2142" w:type="dxa"/>
            <w:gridSpan w:val="2"/>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姓   名</w:t>
            </w:r>
          </w:p>
        </w:tc>
        <w:tc>
          <w:tcPr>
            <w:tcW w:w="3330" w:type="dxa"/>
            <w:noWrap w:val="0"/>
            <w:vAlign w:val="center"/>
          </w:tcPr>
          <w:p>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性  别</w:t>
            </w:r>
          </w:p>
        </w:tc>
        <w:tc>
          <w:tcPr>
            <w:tcW w:w="2428" w:type="dxa"/>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15" w:hRule="exact"/>
        </w:trPr>
        <w:tc>
          <w:tcPr>
            <w:tcW w:w="2142" w:type="dxa"/>
            <w:gridSpan w:val="2"/>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职   务</w:t>
            </w:r>
          </w:p>
        </w:tc>
        <w:tc>
          <w:tcPr>
            <w:tcW w:w="3330" w:type="dxa"/>
            <w:noWrap w:val="0"/>
            <w:vAlign w:val="center"/>
          </w:tcPr>
          <w:p>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职  称</w:t>
            </w:r>
          </w:p>
        </w:tc>
        <w:tc>
          <w:tcPr>
            <w:tcW w:w="2428" w:type="dxa"/>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3" w:hRule="exact"/>
        </w:trPr>
        <w:tc>
          <w:tcPr>
            <w:tcW w:w="2142" w:type="dxa"/>
            <w:gridSpan w:val="2"/>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毕业学校、专业</w:t>
            </w:r>
          </w:p>
        </w:tc>
        <w:tc>
          <w:tcPr>
            <w:tcW w:w="7738" w:type="dxa"/>
            <w:gridSpan w:val="5"/>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73" w:hRule="exact"/>
        </w:trPr>
        <w:tc>
          <w:tcPr>
            <w:tcW w:w="2142" w:type="dxa"/>
            <w:gridSpan w:val="2"/>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身份证号</w:t>
            </w:r>
          </w:p>
        </w:tc>
        <w:tc>
          <w:tcPr>
            <w:tcW w:w="3330" w:type="dxa"/>
            <w:noWrap w:val="0"/>
            <w:vAlign w:val="center"/>
          </w:tcPr>
          <w:p>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拟在本合同任职</w:t>
            </w:r>
          </w:p>
        </w:tc>
        <w:tc>
          <w:tcPr>
            <w:tcW w:w="2428" w:type="dxa"/>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73" w:hRule="exact"/>
        </w:trPr>
        <w:tc>
          <w:tcPr>
            <w:tcW w:w="2142" w:type="dxa"/>
            <w:gridSpan w:val="2"/>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执业资格证</w:t>
            </w:r>
          </w:p>
        </w:tc>
        <w:tc>
          <w:tcPr>
            <w:tcW w:w="3330" w:type="dxa"/>
            <w:noWrap w:val="0"/>
            <w:vAlign w:val="center"/>
          </w:tcPr>
          <w:p>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执业资格证书号</w:t>
            </w:r>
          </w:p>
        </w:tc>
        <w:tc>
          <w:tcPr>
            <w:tcW w:w="2428" w:type="dxa"/>
            <w:noWrap w:val="0"/>
            <w:vAlign w:val="center"/>
          </w:tcPr>
          <w:p>
            <w:pP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1" w:hRule="exact"/>
        </w:trPr>
        <w:tc>
          <w:tcPr>
            <w:tcW w:w="9880" w:type="dxa"/>
            <w:gridSpan w:val="7"/>
            <w:noWrap w:val="0"/>
            <w:vAlign w:val="center"/>
          </w:tcPr>
          <w:p>
            <w:pPr>
              <w:spacing w:line="360" w:lineRule="atLeast"/>
              <w:ind w:right="23" w:rightChars="11"/>
              <w:rPr>
                <w:rFonts w:hint="eastAsia" w:ascii="宋体" w:hAnsi="宋体" w:cs="宋体"/>
                <w:color w:val="auto"/>
                <w:highlight w:val="none"/>
              </w:rPr>
            </w:pPr>
            <w:r>
              <w:rPr>
                <w:rFonts w:hint="eastAsia" w:ascii="宋体" w:hAnsi="宋体" w:cs="宋体"/>
                <w:color w:val="auto"/>
                <w:highlight w:val="none"/>
              </w:rPr>
              <w:t>近三年承担项目情况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时间</w:t>
            </w: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类似项目名称</w:t>
            </w:r>
          </w:p>
        </w:tc>
        <w:tc>
          <w:tcPr>
            <w:tcW w:w="1633" w:type="dxa"/>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担任职务</w:t>
            </w: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项目单位名称及电话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1" w:hRule="exact"/>
        </w:trPr>
        <w:tc>
          <w:tcPr>
            <w:tcW w:w="1812" w:type="dxa"/>
            <w:noWrap w:val="0"/>
            <w:vAlign w:val="center"/>
          </w:tcPr>
          <w:p>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pPr>
              <w:spacing w:line="360" w:lineRule="atLeast"/>
              <w:ind w:right="23" w:rightChars="11"/>
              <w:jc w:val="center"/>
              <w:rPr>
                <w:rFonts w:hint="eastAsia" w:ascii="宋体" w:hAnsi="宋体" w:cs="宋体"/>
                <w:color w:val="auto"/>
                <w:highlight w:val="none"/>
              </w:rPr>
            </w:pPr>
          </w:p>
        </w:tc>
        <w:tc>
          <w:tcPr>
            <w:tcW w:w="1633" w:type="dxa"/>
            <w:noWrap w:val="0"/>
            <w:vAlign w:val="center"/>
          </w:tcPr>
          <w:p>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pPr>
              <w:spacing w:line="360" w:lineRule="atLeast"/>
              <w:ind w:right="23" w:rightChars="11"/>
              <w:jc w:val="center"/>
              <w:rPr>
                <w:rFonts w:hint="eastAsia" w:ascii="宋体" w:hAnsi="宋体" w:cs="宋体"/>
                <w:color w:val="auto"/>
                <w:highlight w:val="none"/>
              </w:rPr>
            </w:pPr>
          </w:p>
        </w:tc>
      </w:tr>
    </w:tbl>
    <w:p>
      <w:pPr>
        <w:spacing w:line="360" w:lineRule="atLeast"/>
        <w:ind w:right="23" w:rightChars="11"/>
        <w:rPr>
          <w:rFonts w:hint="eastAsia" w:ascii="宋体" w:hAnsi="宋体" w:cs="宋体"/>
          <w:color w:val="auto"/>
          <w:highlight w:val="none"/>
        </w:rPr>
      </w:pPr>
      <w:r>
        <w:rPr>
          <w:rFonts w:hint="eastAsia" w:ascii="宋体" w:hAnsi="宋体" w:cs="宋体"/>
          <w:color w:val="auto"/>
          <w:szCs w:val="21"/>
          <w:highlight w:val="none"/>
        </w:rPr>
        <w:t>说明</w:t>
      </w:r>
      <w:r>
        <w:rPr>
          <w:rFonts w:hint="eastAsia" w:ascii="宋体" w:hAnsi="宋体" w:cs="宋体"/>
          <w:color w:val="auto"/>
          <w:highlight w:val="none"/>
        </w:rPr>
        <w:t>：</w:t>
      </w:r>
      <w:r>
        <w:rPr>
          <w:rFonts w:hint="eastAsia" w:ascii="宋体" w:hAnsi="宋体" w:cs="宋体"/>
          <w:color w:val="auto"/>
          <w:szCs w:val="21"/>
          <w:highlight w:val="none"/>
        </w:rPr>
        <w:t>主要人员证书、</w:t>
      </w:r>
      <w:r>
        <w:rPr>
          <w:rFonts w:hint="eastAsia" w:ascii="宋体" w:hAnsi="宋体" w:cs="宋体"/>
          <w:color w:val="auto"/>
          <w:highlight w:val="none"/>
        </w:rPr>
        <w:t>类似项目证明资料等按磋商文件要求提供。</w:t>
      </w:r>
    </w:p>
    <w:p>
      <w:pPr>
        <w:adjustRightInd w:val="0"/>
        <w:snapToGrid w:val="0"/>
        <w:spacing w:line="360" w:lineRule="auto"/>
        <w:ind w:right="23" w:rightChars="11"/>
        <w:rPr>
          <w:rFonts w:hint="eastAsia" w:ascii="宋体" w:hAnsi="宋体" w:cs="宋体"/>
          <w:color w:val="auto"/>
          <w:szCs w:val="21"/>
          <w:highlight w:val="none"/>
        </w:rPr>
      </w:pPr>
    </w:p>
    <w:p>
      <w:pPr>
        <w:ind w:right="23" w:rightChars="11"/>
        <w:rPr>
          <w:rFonts w:hint="eastAsia" w:ascii="宋体" w:hAnsi="宋体" w:cs="宋体"/>
          <w:color w:val="auto"/>
          <w:szCs w:val="21"/>
          <w:highlight w:val="none"/>
        </w:rPr>
      </w:pPr>
    </w:p>
    <w:p>
      <w:pPr>
        <w:pStyle w:val="25"/>
        <w:adjustRightInd w:val="0"/>
        <w:snapToGrid w:val="0"/>
        <w:spacing w:line="360" w:lineRule="auto"/>
        <w:ind w:right="23" w:rightChars="11"/>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_</w:t>
      </w:r>
    </w:p>
    <w:p>
      <w:pPr>
        <w:spacing w:line="360" w:lineRule="exact"/>
        <w:ind w:right="23" w:rightChars="11"/>
        <w:rPr>
          <w:rFonts w:hint="eastAsia" w:ascii="宋体" w:hAnsi="宋体" w:cs="宋体"/>
          <w:color w:val="auto"/>
          <w:highlight w:val="none"/>
        </w:rPr>
      </w:pPr>
      <w:r>
        <w:rPr>
          <w:rFonts w:hint="eastAsia" w:ascii="宋体" w:hAnsi="宋体" w:cs="宋体"/>
          <w:color w:val="auto"/>
          <w:szCs w:val="21"/>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pPr>
        <w:adjustRightInd w:val="0"/>
        <w:snapToGrid w:val="0"/>
        <w:ind w:right="23" w:rightChars="11"/>
        <w:rPr>
          <w:rFonts w:hint="eastAsia" w:ascii="宋体" w:hAnsi="宋体" w:cs="宋体"/>
          <w:color w:val="auto"/>
          <w:sz w:val="24"/>
          <w:highlight w:val="none"/>
        </w:rPr>
      </w:pPr>
    </w:p>
    <w:p>
      <w:pPr>
        <w:adjustRightInd w:val="0"/>
        <w:snapToGrid w:val="0"/>
        <w:spacing w:line="360" w:lineRule="auto"/>
        <w:ind w:right="23" w:rightChars="11"/>
        <w:jc w:val="center"/>
        <w:rPr>
          <w:rFonts w:hint="eastAsia" w:ascii="宋体" w:hAnsi="宋体" w:cs="宋体"/>
          <w:b/>
          <w:color w:val="auto"/>
          <w:sz w:val="32"/>
          <w:szCs w:val="32"/>
          <w:highlight w:val="none"/>
        </w:rPr>
        <w:sectPr>
          <w:headerReference r:id="rId15" w:type="default"/>
          <w:pgSz w:w="11906" w:h="16838"/>
          <w:pgMar w:top="1440" w:right="1080" w:bottom="1440" w:left="1080" w:header="851" w:footer="992" w:gutter="0"/>
          <w:pgNumType w:fmt="decimal"/>
          <w:cols w:space="720" w:num="1"/>
          <w:docGrid w:type="linesAndChars" w:linePitch="315" w:charSpace="121"/>
        </w:sectPr>
      </w:pPr>
    </w:p>
    <w:p>
      <w:pPr>
        <w:adjustRightInd w:val="0"/>
        <w:snapToGrid w:val="0"/>
        <w:spacing w:line="360" w:lineRule="auto"/>
        <w:ind w:right="23" w:rightChars="11"/>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五、技术/商务响应与偏离表</w:t>
      </w:r>
    </w:p>
    <w:p>
      <w:pPr>
        <w:adjustRightInd w:val="0"/>
        <w:snapToGrid w:val="0"/>
        <w:ind w:left="-88" w:leftChars="-42" w:right="23" w:rightChars="11" w:firstLine="315" w:firstLineChars="150"/>
        <w:rPr>
          <w:rFonts w:hint="eastAsia" w:ascii="宋体" w:hAnsi="宋体" w:cs="宋体"/>
          <w:color w:val="auto"/>
          <w:szCs w:val="21"/>
          <w:highlight w:val="none"/>
          <w:u w:val="single"/>
        </w:rPr>
      </w:pPr>
    </w:p>
    <w:tbl>
      <w:tblPr>
        <w:tblStyle w:val="44"/>
        <w:tblW w:w="1018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1805"/>
        <w:gridCol w:w="2087"/>
        <w:gridCol w:w="2785"/>
        <w:gridCol w:w="1625"/>
        <w:gridCol w:w="11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27" w:hRule="atLeast"/>
          <w:jc w:val="center"/>
        </w:trPr>
        <w:tc>
          <w:tcPr>
            <w:tcW w:w="679" w:type="dxa"/>
            <w:noWrap w:val="0"/>
            <w:vAlign w:val="center"/>
          </w:tcPr>
          <w:p>
            <w:pPr>
              <w:adjustRightInd w:val="0"/>
              <w:snapToGrid w:val="0"/>
              <w:ind w:left="-88" w:leftChars="-42" w:right="23" w:rightChars="11"/>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80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磋商文件条目号</w:t>
            </w:r>
          </w:p>
        </w:tc>
        <w:tc>
          <w:tcPr>
            <w:tcW w:w="2087"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采购规格/商务条款</w:t>
            </w:r>
          </w:p>
        </w:tc>
        <w:tc>
          <w:tcPr>
            <w:tcW w:w="278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响应文件的规格/商务条款</w:t>
            </w:r>
          </w:p>
        </w:tc>
        <w:tc>
          <w:tcPr>
            <w:tcW w:w="162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响应与偏离</w:t>
            </w:r>
          </w:p>
        </w:tc>
        <w:tc>
          <w:tcPr>
            <w:tcW w:w="1199"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13" w:hRule="atLeast"/>
          <w:jc w:val="center"/>
        </w:trPr>
        <w:tc>
          <w:tcPr>
            <w:tcW w:w="679" w:type="dxa"/>
            <w:noWrap w:val="0"/>
            <w:vAlign w:val="top"/>
          </w:tcPr>
          <w:p>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13" w:hRule="atLeast"/>
          <w:jc w:val="center"/>
        </w:trPr>
        <w:tc>
          <w:tcPr>
            <w:tcW w:w="679" w:type="dxa"/>
            <w:noWrap w:val="0"/>
            <w:vAlign w:val="top"/>
          </w:tcPr>
          <w:p>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13" w:hRule="atLeast"/>
          <w:jc w:val="center"/>
        </w:trPr>
        <w:tc>
          <w:tcPr>
            <w:tcW w:w="679" w:type="dxa"/>
            <w:noWrap w:val="0"/>
            <w:vAlign w:val="top"/>
          </w:tcPr>
          <w:p>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13" w:hRule="atLeast"/>
          <w:jc w:val="center"/>
        </w:trPr>
        <w:tc>
          <w:tcPr>
            <w:tcW w:w="679" w:type="dxa"/>
            <w:noWrap w:val="0"/>
            <w:vAlign w:val="top"/>
          </w:tcPr>
          <w:p>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43" w:hRule="atLeast"/>
          <w:jc w:val="center"/>
        </w:trPr>
        <w:tc>
          <w:tcPr>
            <w:tcW w:w="679" w:type="dxa"/>
            <w:noWrap w:val="0"/>
            <w:vAlign w:val="top"/>
          </w:tcPr>
          <w:p>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pPr>
              <w:adjustRightInd w:val="0"/>
              <w:snapToGrid w:val="0"/>
              <w:ind w:left="-88" w:leftChars="-42" w:right="23" w:rightChars="11"/>
              <w:jc w:val="center"/>
              <w:rPr>
                <w:rFonts w:hint="eastAsia" w:ascii="宋体" w:hAnsi="宋体" w:cs="宋体"/>
                <w:color w:val="auto"/>
                <w:szCs w:val="21"/>
                <w:highlight w:val="none"/>
              </w:rPr>
            </w:pPr>
          </w:p>
        </w:tc>
      </w:tr>
    </w:tbl>
    <w:p>
      <w:pPr>
        <w:adjustRightInd w:val="0"/>
        <w:snapToGrid w:val="0"/>
        <w:spacing w:line="360" w:lineRule="auto"/>
        <w:ind w:left="-88" w:leftChars="-42" w:right="23" w:rightChars="11"/>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pPr>
        <w:pStyle w:val="25"/>
        <w:adjustRightInd w:val="0"/>
        <w:snapToGrid w:val="0"/>
        <w:spacing w:line="360" w:lineRule="auto"/>
        <w:ind w:right="23" w:rightChars="11"/>
        <w:rPr>
          <w:rFonts w:hint="eastAsia" w:ascii="宋体" w:hAnsi="宋体" w:cs="宋体"/>
          <w:color w:val="auto"/>
          <w:sz w:val="21"/>
          <w:szCs w:val="21"/>
          <w:highlight w:val="none"/>
        </w:rPr>
      </w:pPr>
    </w:p>
    <w:p>
      <w:pPr>
        <w:pStyle w:val="25"/>
        <w:adjustRightInd w:val="0"/>
        <w:snapToGrid w:val="0"/>
        <w:spacing w:line="360" w:lineRule="auto"/>
        <w:ind w:right="23" w:rightChars="11"/>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lang w:eastAsia="zh-CN"/>
        </w:rPr>
        <w:t>（</w:t>
      </w:r>
      <w:r>
        <w:rPr>
          <w:rFonts w:hint="eastAsia" w:ascii="宋体" w:hAnsi="宋体" w:cs="宋体"/>
          <w:color w:val="auto"/>
          <w:szCs w:val="21"/>
          <w:highlight w:val="none"/>
        </w:rPr>
        <w:t>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pPr>
        <w:adjustRightInd w:val="0"/>
        <w:snapToGrid w:val="0"/>
        <w:spacing w:line="360" w:lineRule="auto"/>
        <w:ind w:right="23" w:rightChars="11"/>
        <w:rPr>
          <w:rFonts w:hint="eastAsia" w:ascii="宋体" w:hAnsi="宋体" w:cs="宋体"/>
          <w:color w:val="auto"/>
          <w:szCs w:val="21"/>
          <w:highlight w:val="none"/>
        </w:rPr>
      </w:pPr>
    </w:p>
    <w:p>
      <w:pPr>
        <w:tabs>
          <w:tab w:val="left" w:pos="3600"/>
        </w:tabs>
        <w:adjustRightInd w:val="0"/>
        <w:snapToGrid w:val="0"/>
        <w:ind w:right="23" w:rightChars="11"/>
        <w:jc w:val="center"/>
        <w:rPr>
          <w:rFonts w:hint="eastAsia" w:ascii="宋体" w:hAnsi="宋体" w:cs="宋体"/>
          <w:color w:val="auto"/>
          <w:highlight w:val="none"/>
        </w:rPr>
      </w:pPr>
    </w:p>
    <w:p>
      <w:pPr>
        <w:tabs>
          <w:tab w:val="left" w:pos="3600"/>
        </w:tabs>
        <w:adjustRightInd w:val="0"/>
        <w:snapToGrid w:val="0"/>
        <w:ind w:right="23" w:rightChars="11"/>
        <w:jc w:val="center"/>
        <w:rPr>
          <w:rFonts w:hint="eastAsia" w:ascii="宋体" w:hAnsi="宋体" w:cs="宋体"/>
          <w:color w:val="auto"/>
          <w:highlight w:val="none"/>
        </w:rPr>
      </w:pPr>
    </w:p>
    <w:p>
      <w:pPr>
        <w:tabs>
          <w:tab w:val="left" w:pos="3600"/>
        </w:tabs>
        <w:adjustRightInd w:val="0"/>
        <w:snapToGrid w:val="0"/>
        <w:ind w:right="23" w:rightChars="11"/>
        <w:jc w:val="center"/>
        <w:rPr>
          <w:rFonts w:hint="eastAsia" w:ascii="宋体" w:hAnsi="宋体" w:cs="宋体"/>
          <w:b/>
          <w:color w:val="auto"/>
          <w:sz w:val="32"/>
          <w:szCs w:val="32"/>
          <w:highlight w:val="none"/>
        </w:rPr>
      </w:pPr>
    </w:p>
    <w:p>
      <w:pPr>
        <w:tabs>
          <w:tab w:val="left" w:pos="3600"/>
        </w:tabs>
        <w:adjustRightInd w:val="0"/>
        <w:snapToGrid w:val="0"/>
        <w:ind w:right="23" w:rightChars="11"/>
        <w:jc w:val="center"/>
        <w:rPr>
          <w:rFonts w:hint="eastAsia" w:ascii="宋体" w:hAnsi="宋体" w:cs="宋体"/>
          <w:b/>
          <w:color w:val="auto"/>
          <w:sz w:val="32"/>
          <w:szCs w:val="32"/>
          <w:highlight w:val="none"/>
        </w:rPr>
      </w:pPr>
    </w:p>
    <w:p>
      <w:pPr>
        <w:tabs>
          <w:tab w:val="left" w:pos="3600"/>
        </w:tabs>
        <w:adjustRightInd w:val="0"/>
        <w:snapToGrid w:val="0"/>
        <w:ind w:right="23" w:rightChars="11"/>
        <w:jc w:val="center"/>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rPr>
          <w:rFonts w:hint="eastAsia" w:ascii="宋体" w:hAnsi="宋体" w:cs="宋体"/>
          <w:b/>
          <w:color w:val="auto"/>
          <w:sz w:val="32"/>
          <w:szCs w:val="32"/>
          <w:highlight w:val="none"/>
        </w:rPr>
      </w:pPr>
    </w:p>
    <w:p>
      <w:pPr>
        <w:tabs>
          <w:tab w:val="left" w:pos="3600"/>
        </w:tabs>
        <w:adjustRightInd w:val="0"/>
        <w:snapToGrid w:val="0"/>
        <w:ind w:right="23" w:rightChars="11"/>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六、提供政府采购政策产品等证明材料</w:t>
      </w:r>
    </w:p>
    <w:p>
      <w:pPr>
        <w:tabs>
          <w:tab w:val="left" w:pos="3600"/>
        </w:tabs>
        <w:adjustRightInd w:val="0"/>
        <w:snapToGrid w:val="0"/>
        <w:ind w:right="23" w:rightChars="11"/>
        <w:rPr>
          <w:rFonts w:hint="eastAsia" w:ascii="宋体" w:hAnsi="宋体" w:cs="宋体"/>
          <w:b/>
          <w:color w:val="auto"/>
          <w:sz w:val="32"/>
          <w:szCs w:val="32"/>
          <w:highlight w:val="none"/>
        </w:rPr>
      </w:pPr>
    </w:p>
    <w:p>
      <w:pPr>
        <w:adjustRightInd w:val="0"/>
        <w:snapToGrid w:val="0"/>
        <w:ind w:right="23" w:rightChars="11"/>
        <w:rPr>
          <w:rFonts w:hint="eastAsia" w:ascii="宋体" w:hAnsi="宋体" w:cs="宋体"/>
          <w:color w:val="auto"/>
          <w:sz w:val="24"/>
          <w:highlight w:val="none"/>
        </w:rPr>
      </w:pPr>
      <w:r>
        <w:rPr>
          <w:rFonts w:hint="eastAsia" w:ascii="宋体" w:hAnsi="宋体" w:cs="宋体"/>
          <w:color w:val="auto"/>
          <w:sz w:val="24"/>
          <w:highlight w:val="none"/>
        </w:rPr>
        <w:t>附件8-1：</w:t>
      </w:r>
    </w:p>
    <w:p>
      <w:pPr>
        <w:tabs>
          <w:tab w:val="left" w:pos="3600"/>
        </w:tabs>
        <w:adjustRightInd w:val="0"/>
        <w:snapToGrid w:val="0"/>
        <w:spacing w:line="360" w:lineRule="auto"/>
        <w:ind w:firstLine="904" w:firstLineChars="200"/>
        <w:jc w:val="center"/>
        <w:rPr>
          <w:rFonts w:ascii="宋体" w:hAnsi="宋体" w:cs="宋体"/>
          <w:b/>
          <w:color w:val="auto"/>
          <w:kern w:val="0"/>
          <w:sz w:val="28"/>
          <w:szCs w:val="28"/>
          <w:highlight w:val="none"/>
        </w:rPr>
      </w:pPr>
      <w:r>
        <w:rPr>
          <w:rFonts w:hint="eastAsia" w:ascii="黑体" w:hAnsi="华文中宋" w:eastAsia="黑体" w:cs="宋体"/>
          <w:bCs/>
          <w:color w:val="auto"/>
          <w:spacing w:val="6"/>
          <w:kern w:val="0"/>
          <w:sz w:val="44"/>
          <w:szCs w:val="44"/>
          <w:highlight w:val="none"/>
        </w:rPr>
        <w:t xml:space="preserve"> </w:t>
      </w:r>
      <w:r>
        <w:rPr>
          <w:rFonts w:hint="eastAsia" w:ascii="宋体" w:hAnsi="宋体" w:cs="宋体"/>
          <w:b/>
          <w:bCs/>
          <w:color w:val="auto"/>
          <w:spacing w:val="6"/>
          <w:kern w:val="0"/>
          <w:sz w:val="28"/>
          <w:szCs w:val="28"/>
          <w:highlight w:val="none"/>
        </w:rPr>
        <w:t>中小企业声明函</w:t>
      </w:r>
      <w:r>
        <w:rPr>
          <w:rFonts w:ascii="宋体" w:hAnsi="宋体" w:cs="宋体"/>
          <w:b/>
          <w:bCs/>
          <w:color w:val="auto"/>
          <w:sz w:val="24"/>
          <w:highlight w:val="none"/>
        </w:rPr>
        <w:t>（</w:t>
      </w:r>
      <w:r>
        <w:rPr>
          <w:rFonts w:hint="eastAsia" w:ascii="宋体" w:hAnsi="宋体" w:cs="宋体"/>
          <w:b/>
          <w:bCs/>
          <w:color w:val="auto"/>
          <w:sz w:val="24"/>
          <w:highlight w:val="none"/>
        </w:rPr>
        <w:t>工程</w:t>
      </w:r>
      <w:r>
        <w:rPr>
          <w:rFonts w:ascii="宋体" w:hAnsi="宋体" w:cs="宋体"/>
          <w:b/>
          <w:bCs/>
          <w:color w:val="auto"/>
          <w:sz w:val="24"/>
          <w:highlight w:val="none"/>
        </w:rPr>
        <w:t>）</w:t>
      </w:r>
    </w:p>
    <w:p>
      <w:pPr>
        <w:adjustRightInd w:val="0"/>
        <w:snapToGrid w:val="0"/>
        <w:spacing w:line="48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 本公司郑重声明，根据《政府采购促进中小企业发展管理办法》（财库﹝2020﹞46号）的规定，本公司参加</w:t>
      </w:r>
      <w:r>
        <w:rPr>
          <w:rFonts w:ascii="宋体" w:hAnsi="宋体" w:cs="宋体"/>
          <w:color w:val="auto"/>
          <w:sz w:val="24"/>
          <w:highlight w:val="none"/>
          <w:u w:val="single"/>
        </w:rPr>
        <w:t>（单位名称）</w:t>
      </w:r>
      <w:r>
        <w:rPr>
          <w:rFonts w:ascii="宋体" w:hAnsi="宋体" w:cs="宋体"/>
          <w:color w:val="auto"/>
          <w:sz w:val="24"/>
          <w:highlight w:val="none"/>
        </w:rPr>
        <w:t>的</w:t>
      </w:r>
      <w:r>
        <w:rPr>
          <w:rFonts w:ascii="宋体" w:hAnsi="宋体" w:cs="宋体"/>
          <w:color w:val="auto"/>
          <w:sz w:val="24"/>
          <w:highlight w:val="none"/>
          <w:u w:val="single"/>
        </w:rPr>
        <w:t>（项目名称）</w:t>
      </w:r>
      <w:r>
        <w:rPr>
          <w:rFonts w:ascii="宋体" w:hAnsi="宋体" w:cs="宋体"/>
          <w:color w:val="auto"/>
          <w:sz w:val="24"/>
          <w:highlight w:val="none"/>
        </w:rPr>
        <w:t>采购活动，服务全部由符合政策要求的中小企业承接。相关企业的具体情况如下：</w:t>
      </w:r>
    </w:p>
    <w:p>
      <w:pPr>
        <w:adjustRightInd w:val="0"/>
        <w:snapToGrid w:val="0"/>
        <w:spacing w:line="48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u w:val="single"/>
        </w:rPr>
        <w:t xml:space="preserve">（标的名称） </w:t>
      </w:r>
      <w:r>
        <w:rPr>
          <w:rFonts w:ascii="宋体" w:hAnsi="宋体" w:cs="宋体"/>
          <w:color w:val="auto"/>
          <w:sz w:val="24"/>
          <w:highlight w:val="none"/>
        </w:rPr>
        <w:t>，属于</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建筑业</w:t>
      </w:r>
      <w:r>
        <w:rPr>
          <w:rFonts w:ascii="宋体" w:hAnsi="宋体" w:cs="宋体"/>
          <w:color w:val="auto"/>
          <w:sz w:val="24"/>
          <w:highlight w:val="none"/>
        </w:rPr>
        <w:t>；承接企业为</w:t>
      </w:r>
      <w:r>
        <w:rPr>
          <w:rFonts w:ascii="宋体" w:hAnsi="宋体" w:cs="宋体"/>
          <w:color w:val="auto"/>
          <w:sz w:val="24"/>
          <w:highlight w:val="none"/>
          <w:u w:val="single"/>
        </w:rPr>
        <w:t>（企业名称）</w:t>
      </w:r>
      <w:r>
        <w:rPr>
          <w:rFonts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ascii="宋体" w:hAnsi="宋体" w:cs="宋体"/>
          <w:color w:val="auto"/>
          <w:sz w:val="24"/>
          <w:highlight w:val="none"/>
        </w:rPr>
        <w:t>万元 ，属于</w:t>
      </w:r>
      <w:r>
        <w:rPr>
          <w:rFonts w:ascii="宋体" w:hAnsi="宋体" w:cs="宋体"/>
          <w:color w:val="auto"/>
          <w:sz w:val="24"/>
          <w:highlight w:val="none"/>
          <w:u w:val="single"/>
        </w:rPr>
        <w:t>（中型企业、 小型企业、微型企业）</w:t>
      </w:r>
      <w:r>
        <w:rPr>
          <w:rFonts w:ascii="宋体" w:hAnsi="宋体" w:cs="宋体"/>
          <w:color w:val="auto"/>
          <w:sz w:val="24"/>
          <w:highlight w:val="none"/>
        </w:rPr>
        <w:t>；</w:t>
      </w:r>
    </w:p>
    <w:p>
      <w:pPr>
        <w:adjustRightInd w:val="0"/>
        <w:snapToGrid w:val="0"/>
        <w:spacing w:line="48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 …… </w:t>
      </w:r>
    </w:p>
    <w:p>
      <w:pPr>
        <w:adjustRightInd w:val="0"/>
        <w:snapToGrid w:val="0"/>
        <w:spacing w:line="48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以上企业，不属于大企业的分支机构，不存在控股股东为大企业的情形，也不存在与大企业的负责人为同一人的情形。本企业对上述声明内容的真实性负责。如有虚假，将依法承担相应责任。 </w:t>
      </w:r>
    </w:p>
    <w:p>
      <w:pPr>
        <w:spacing w:line="440" w:lineRule="exact"/>
        <w:ind w:firstLine="420" w:firstLineChars="200"/>
        <w:rPr>
          <w:rFonts w:ascii="宋体" w:hAnsi="宋体" w:cs="宋体"/>
          <w:color w:val="auto"/>
          <w:szCs w:val="21"/>
          <w:highlight w:val="none"/>
        </w:rPr>
      </w:pPr>
    </w:p>
    <w:p>
      <w:pPr>
        <w:spacing w:line="440" w:lineRule="exact"/>
        <w:ind w:right="960" w:firstLine="5040" w:firstLineChars="2400"/>
        <w:rPr>
          <w:rFonts w:ascii="宋体" w:hAnsi="宋体" w:cs="宋体"/>
          <w:color w:val="auto"/>
          <w:szCs w:val="21"/>
          <w:highlight w:val="none"/>
        </w:rPr>
      </w:pPr>
      <w:r>
        <w:rPr>
          <w:rFonts w:hint="eastAsia" w:ascii="宋体" w:hAnsi="宋体" w:cs="宋体"/>
          <w:color w:val="auto"/>
          <w:szCs w:val="21"/>
          <w:highlight w:val="none"/>
        </w:rPr>
        <w:t>企业名称</w:t>
      </w:r>
      <w:r>
        <w:rPr>
          <w:rFonts w:hint="eastAsia" w:ascii="宋体" w:hAnsi="宋体"/>
          <w:color w:val="auto"/>
          <w:szCs w:val="21"/>
          <w:highlight w:val="none"/>
        </w:rPr>
        <w:t>（盖单位章）</w:t>
      </w:r>
      <w:r>
        <w:rPr>
          <w:rFonts w:hint="eastAsia" w:ascii="宋体" w:hAnsi="宋体" w:cs="宋体"/>
          <w:color w:val="auto"/>
          <w:szCs w:val="21"/>
          <w:highlight w:val="none"/>
        </w:rPr>
        <w:t>:</w:t>
      </w:r>
    </w:p>
    <w:p>
      <w:pPr>
        <w:spacing w:line="440" w:lineRule="exact"/>
        <w:ind w:right="960" w:firstLine="420" w:firstLineChars="200"/>
        <w:jc w:val="center"/>
        <w:rPr>
          <w:rFonts w:ascii="宋体" w:hAnsi="宋体" w:cs="宋体"/>
          <w:color w:val="auto"/>
          <w:sz w:val="24"/>
          <w:highlight w:val="none"/>
        </w:rPr>
      </w:pPr>
      <w:r>
        <w:rPr>
          <w:rFonts w:hint="eastAsia" w:ascii="宋体" w:hAnsi="宋体" w:cs="宋体"/>
          <w:color w:val="auto"/>
          <w:szCs w:val="21"/>
          <w:highlight w:val="none"/>
        </w:rPr>
        <w:t xml:space="preserve">              日期:</w:t>
      </w:r>
    </w:p>
    <w:p>
      <w:pPr>
        <w:jc w:val="left"/>
        <w:rPr>
          <w:rFonts w:ascii="宋体" w:hAnsi="宋体" w:cs="宋体"/>
          <w:color w:val="auto"/>
          <w:sz w:val="24"/>
          <w:highlight w:val="none"/>
        </w:rPr>
      </w:pPr>
    </w:p>
    <w:p>
      <w:pPr>
        <w:jc w:val="left"/>
        <w:rPr>
          <w:rFonts w:ascii="宋体" w:hAnsi="宋体" w:cs="宋体"/>
          <w:color w:val="auto"/>
          <w:sz w:val="24"/>
          <w:highlight w:val="none"/>
        </w:rPr>
      </w:pP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1、本项目行业分类为:</w:t>
      </w:r>
      <w:r>
        <w:rPr>
          <w:rFonts w:hint="eastAsia" w:ascii="宋体" w:hAnsi="宋体" w:cs="宋体"/>
          <w:b/>
          <w:bCs/>
          <w:color w:val="auto"/>
          <w:sz w:val="24"/>
          <w:highlight w:val="none"/>
          <w:u w:val="single"/>
        </w:rPr>
        <w:t>建筑业</w:t>
      </w:r>
      <w:r>
        <w:rPr>
          <w:rFonts w:hint="eastAsia" w:ascii="宋体" w:hAnsi="宋体" w:cs="宋体"/>
          <w:color w:val="auto"/>
          <w:szCs w:val="21"/>
          <w:highlight w:val="none"/>
        </w:rPr>
        <w:t>，具体详见“第四章采购需求”。</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2、从业人员、营业收入、资产总额填报上一年度数据，无上一年度数据的新成立企业可不填报资产总额。</w:t>
      </w:r>
    </w:p>
    <w:p>
      <w:pPr>
        <w:spacing w:line="360" w:lineRule="auto"/>
        <w:rPr>
          <w:rFonts w:hint="eastAsia" w:ascii="宋体" w:hAnsi="宋体"/>
          <w:color w:val="auto"/>
          <w:sz w:val="24"/>
          <w:highlight w:val="none"/>
        </w:rPr>
        <w:sectPr>
          <w:pgSz w:w="11906" w:h="16838"/>
          <w:pgMar w:top="1440" w:right="1080" w:bottom="1440" w:left="1080" w:header="851" w:footer="992" w:gutter="0"/>
          <w:pgNumType w:fmt="decimal"/>
          <w:cols w:space="720" w:num="1"/>
          <w:docGrid w:type="linesAndChars" w:linePitch="315" w:charSpace="121"/>
        </w:sectPr>
      </w:pPr>
    </w:p>
    <w:p>
      <w:pPr>
        <w:spacing w:line="360" w:lineRule="auto"/>
        <w:rPr>
          <w:rFonts w:ascii="宋体"/>
          <w:color w:val="auto"/>
          <w:sz w:val="24"/>
          <w:highlight w:val="none"/>
        </w:rPr>
      </w:pPr>
      <w:r>
        <w:rPr>
          <w:rFonts w:hint="eastAsia" w:ascii="宋体" w:hAnsi="宋体"/>
          <w:color w:val="auto"/>
          <w:sz w:val="24"/>
          <w:highlight w:val="none"/>
        </w:rPr>
        <w:t>附件8</w:t>
      </w:r>
      <w:r>
        <w:rPr>
          <w:rFonts w:ascii="宋体" w:hAnsi="宋体"/>
          <w:color w:val="auto"/>
          <w:sz w:val="24"/>
          <w:highlight w:val="none"/>
        </w:rPr>
        <w:t>-</w:t>
      </w:r>
      <w:r>
        <w:rPr>
          <w:rFonts w:hint="eastAsia" w:ascii="宋体" w:hAnsi="宋体"/>
          <w:color w:val="auto"/>
          <w:sz w:val="24"/>
          <w:highlight w:val="none"/>
        </w:rPr>
        <w:t>2：监狱企业声明函</w:t>
      </w:r>
    </w:p>
    <w:p>
      <w:pPr>
        <w:spacing w:line="588" w:lineRule="exact"/>
        <w:rPr>
          <w:rFonts w:ascii="宋体"/>
          <w:b/>
          <w:bCs/>
          <w:color w:val="auto"/>
          <w:spacing w:val="6"/>
          <w:sz w:val="30"/>
          <w:szCs w:val="30"/>
          <w:highlight w:val="none"/>
        </w:rPr>
      </w:pPr>
    </w:p>
    <w:p>
      <w:pPr>
        <w:adjustRightInd w:val="0"/>
        <w:snapToGrid w:val="0"/>
        <w:spacing w:line="360" w:lineRule="auto"/>
        <w:ind w:right="23" w:rightChars="11"/>
        <w:rPr>
          <w:rFonts w:hint="eastAsia" w:ascii="宋体" w:hAnsi="宋体" w:cs="宋体"/>
          <w:bCs/>
          <w:color w:val="auto"/>
          <w:szCs w:val="21"/>
          <w:highlight w:val="none"/>
        </w:rPr>
      </w:pPr>
      <w:r>
        <w:rPr>
          <w:rFonts w:hint="eastAsia" w:ascii="宋体" w:hAnsi="宋体"/>
          <w:b/>
          <w:color w:val="auto"/>
          <w:szCs w:val="21"/>
          <w:highlight w:val="none"/>
        </w:rPr>
        <w:t>监狱企业参加政府采购活动时，应当提供由省级以上监狱管理局、戒毒管理局</w:t>
      </w:r>
      <w:r>
        <w:rPr>
          <w:rFonts w:ascii="宋体" w:hAnsi="宋体"/>
          <w:b/>
          <w:color w:val="auto"/>
          <w:szCs w:val="21"/>
          <w:highlight w:val="none"/>
        </w:rPr>
        <w:t>(</w:t>
      </w:r>
      <w:r>
        <w:rPr>
          <w:rFonts w:hint="eastAsia" w:ascii="宋体" w:hAnsi="宋体"/>
          <w:b/>
          <w:color w:val="auto"/>
          <w:szCs w:val="21"/>
          <w:highlight w:val="none"/>
        </w:rPr>
        <w:t>含新疆生产建设兵团</w:t>
      </w:r>
      <w:r>
        <w:rPr>
          <w:rFonts w:ascii="宋体" w:hAnsi="宋体"/>
          <w:b/>
          <w:color w:val="auto"/>
          <w:szCs w:val="21"/>
          <w:highlight w:val="none"/>
        </w:rPr>
        <w:t>)</w:t>
      </w:r>
      <w:r>
        <w:rPr>
          <w:rFonts w:hint="eastAsia" w:ascii="宋体" w:hAnsi="宋体"/>
          <w:b/>
          <w:color w:val="auto"/>
          <w:szCs w:val="21"/>
          <w:highlight w:val="none"/>
        </w:rPr>
        <w:t>出具的属于监狱企业的证明文件，提供复印件加盖公章。</w:t>
      </w:r>
    </w:p>
    <w:p>
      <w:pPr>
        <w:adjustRightInd w:val="0"/>
        <w:snapToGrid w:val="0"/>
        <w:spacing w:line="360" w:lineRule="auto"/>
        <w:ind w:right="23" w:rightChars="11"/>
        <w:rPr>
          <w:rFonts w:hint="eastAsia" w:ascii="宋体" w:hAnsi="宋体" w:cs="宋体"/>
          <w:bCs/>
          <w:color w:val="auto"/>
          <w:szCs w:val="21"/>
          <w:highlight w:val="none"/>
        </w:rPr>
      </w:pPr>
    </w:p>
    <w:p>
      <w:pPr>
        <w:adjustRightInd w:val="0"/>
        <w:snapToGrid w:val="0"/>
        <w:spacing w:line="360" w:lineRule="auto"/>
        <w:ind w:right="23" w:rightChars="11"/>
        <w:rPr>
          <w:rFonts w:hint="eastAsia" w:ascii="宋体" w:hAnsi="宋体" w:cs="宋体"/>
          <w:bCs/>
          <w:color w:val="auto"/>
          <w:szCs w:val="21"/>
          <w:highlight w:val="none"/>
        </w:rPr>
      </w:pPr>
    </w:p>
    <w:p>
      <w:pPr>
        <w:adjustRightInd w:val="0"/>
        <w:snapToGrid w:val="0"/>
        <w:spacing w:line="360" w:lineRule="auto"/>
        <w:ind w:right="23" w:rightChars="11"/>
        <w:rPr>
          <w:rFonts w:hint="eastAsia" w:ascii="宋体" w:hAnsi="宋体" w:cs="宋体"/>
          <w:bCs/>
          <w:color w:val="auto"/>
          <w:szCs w:val="21"/>
          <w:highlight w:val="none"/>
        </w:rPr>
      </w:pPr>
    </w:p>
    <w:p>
      <w:pPr>
        <w:spacing w:line="360" w:lineRule="auto"/>
        <w:rPr>
          <w:rFonts w:ascii="宋体"/>
          <w:color w:val="auto"/>
          <w:sz w:val="24"/>
          <w:highlight w:val="none"/>
        </w:rPr>
      </w:pPr>
      <w:r>
        <w:rPr>
          <w:rFonts w:hint="eastAsia" w:ascii="宋体" w:hAnsi="宋体"/>
          <w:color w:val="auto"/>
          <w:sz w:val="24"/>
          <w:highlight w:val="none"/>
        </w:rPr>
        <w:t>附件8</w:t>
      </w:r>
      <w:r>
        <w:rPr>
          <w:rFonts w:ascii="宋体" w:hAnsi="宋体"/>
          <w:color w:val="auto"/>
          <w:sz w:val="24"/>
          <w:highlight w:val="none"/>
        </w:rPr>
        <w:t>-</w:t>
      </w:r>
      <w:r>
        <w:rPr>
          <w:rFonts w:hint="eastAsia" w:ascii="宋体" w:hAnsi="宋体"/>
          <w:color w:val="auto"/>
          <w:sz w:val="24"/>
          <w:highlight w:val="none"/>
        </w:rPr>
        <w:t>3：残疾人福利性单位声明函</w:t>
      </w:r>
    </w:p>
    <w:p>
      <w:pPr>
        <w:spacing w:line="588" w:lineRule="exact"/>
        <w:rPr>
          <w:rFonts w:ascii="宋体"/>
          <w:b/>
          <w:bCs/>
          <w:color w:val="auto"/>
          <w:spacing w:val="6"/>
          <w:sz w:val="30"/>
          <w:szCs w:val="30"/>
          <w:highlight w:val="none"/>
        </w:rPr>
      </w:pPr>
    </w:p>
    <w:p>
      <w:pPr>
        <w:widowControl/>
        <w:adjustRightInd w:val="0"/>
        <w:snapToGrid w:val="0"/>
        <w:spacing w:before="157" w:beforeLines="50" w:line="360" w:lineRule="auto"/>
        <w:ind w:firstLine="444" w:firstLineChars="200"/>
        <w:jc w:val="left"/>
        <w:rPr>
          <w:rFonts w:ascii="宋体" w:cs="宋体"/>
          <w:color w:val="auto"/>
          <w:spacing w:val="6"/>
          <w:kern w:val="0"/>
          <w:szCs w:val="21"/>
          <w:highlight w:val="none"/>
        </w:rPr>
      </w:pPr>
      <w:r>
        <w:rPr>
          <w:rFonts w:hint="eastAsia" w:ascii="宋体" w:hAnsi="宋体" w:cs="宋体"/>
          <w:color w:val="auto"/>
          <w:spacing w:val="6"/>
          <w:kern w:val="0"/>
          <w:szCs w:val="21"/>
          <w:highlight w:val="none"/>
        </w:rPr>
        <w:t>本单位郑重声明，根据《财政部</w:t>
      </w:r>
      <w:r>
        <w:rPr>
          <w:rFonts w:ascii="宋体" w:hAnsi="宋体" w:cs="宋体"/>
          <w:color w:val="auto"/>
          <w:spacing w:val="6"/>
          <w:kern w:val="0"/>
          <w:szCs w:val="21"/>
          <w:highlight w:val="none"/>
        </w:rPr>
        <w:t xml:space="preserve"> </w:t>
      </w:r>
      <w:r>
        <w:rPr>
          <w:rFonts w:hint="eastAsia" w:ascii="宋体" w:hAnsi="宋体" w:cs="宋体"/>
          <w:color w:val="auto"/>
          <w:spacing w:val="6"/>
          <w:kern w:val="0"/>
          <w:szCs w:val="21"/>
          <w:highlight w:val="none"/>
        </w:rPr>
        <w:t>民政部</w:t>
      </w:r>
      <w:r>
        <w:rPr>
          <w:rFonts w:ascii="宋体" w:hAnsi="宋体" w:cs="宋体"/>
          <w:color w:val="auto"/>
          <w:spacing w:val="6"/>
          <w:kern w:val="0"/>
          <w:szCs w:val="21"/>
          <w:highlight w:val="none"/>
        </w:rPr>
        <w:t xml:space="preserve"> </w:t>
      </w:r>
      <w:r>
        <w:rPr>
          <w:rFonts w:hint="eastAsia" w:ascii="宋体" w:hAnsi="宋体" w:cs="宋体"/>
          <w:color w:val="auto"/>
          <w:spacing w:val="6"/>
          <w:kern w:val="0"/>
          <w:szCs w:val="21"/>
          <w:highlight w:val="none"/>
        </w:rPr>
        <w:t>中国残疾人联合会关于促进残疾人就业政府采购政策的通知》（财库〔</w:t>
      </w:r>
      <w:r>
        <w:rPr>
          <w:rFonts w:ascii="宋体" w:hAnsi="宋体" w:cs="宋体"/>
          <w:color w:val="auto"/>
          <w:spacing w:val="6"/>
          <w:kern w:val="0"/>
          <w:szCs w:val="21"/>
          <w:highlight w:val="none"/>
        </w:rPr>
        <w:t>2017</w:t>
      </w:r>
      <w:r>
        <w:rPr>
          <w:rFonts w:hint="eastAsia" w:ascii="宋体" w:hAnsi="宋体" w:cs="宋体"/>
          <w:color w:val="auto"/>
          <w:spacing w:val="6"/>
          <w:kern w:val="0"/>
          <w:szCs w:val="21"/>
          <w:highlight w:val="none"/>
        </w:rPr>
        <w:t>〕</w:t>
      </w:r>
      <w:r>
        <w:rPr>
          <w:rFonts w:ascii="宋体" w:hAnsi="宋体" w:cs="宋体"/>
          <w:color w:val="auto"/>
          <w:spacing w:val="6"/>
          <w:kern w:val="0"/>
          <w:szCs w:val="21"/>
          <w:highlight w:val="none"/>
        </w:rPr>
        <w:t xml:space="preserve"> 141</w:t>
      </w:r>
      <w:r>
        <w:rPr>
          <w:rFonts w:hint="eastAsia" w:ascii="宋体" w:hAnsi="宋体" w:cs="宋体"/>
          <w:color w:val="auto"/>
          <w:spacing w:val="6"/>
          <w:kern w:val="0"/>
          <w:szCs w:val="21"/>
          <w:highlight w:val="none"/>
        </w:rPr>
        <w:t>号）的规定，本单位为符合条件的残疾人福利性单位，且本单位参加</w:t>
      </w:r>
      <w:r>
        <w:rPr>
          <w:rFonts w:ascii="宋体" w:hAnsi="宋体" w:cs="宋体"/>
          <w:color w:val="auto"/>
          <w:spacing w:val="6"/>
          <w:kern w:val="0"/>
          <w:szCs w:val="21"/>
          <w:highlight w:val="none"/>
          <w:u w:val="single"/>
        </w:rPr>
        <w:t>______</w:t>
      </w:r>
      <w:r>
        <w:rPr>
          <w:rFonts w:hint="eastAsia" w:ascii="宋体" w:hAnsi="宋体" w:cs="宋体"/>
          <w:color w:val="auto"/>
          <w:spacing w:val="6"/>
          <w:kern w:val="0"/>
          <w:szCs w:val="21"/>
          <w:highlight w:val="none"/>
        </w:rPr>
        <w:t>单位的</w:t>
      </w:r>
      <w:r>
        <w:rPr>
          <w:rFonts w:ascii="宋体" w:hAnsi="宋体" w:cs="宋体"/>
          <w:color w:val="auto"/>
          <w:spacing w:val="6"/>
          <w:kern w:val="0"/>
          <w:szCs w:val="21"/>
          <w:highlight w:val="none"/>
          <w:u w:val="single"/>
        </w:rPr>
        <w:t>______</w:t>
      </w:r>
      <w:r>
        <w:rPr>
          <w:rFonts w:hint="eastAsia" w:ascii="宋体" w:hAnsi="宋体" w:cs="宋体"/>
          <w:color w:val="auto"/>
          <w:spacing w:val="6"/>
          <w:kern w:val="0"/>
          <w:szCs w:val="21"/>
          <w:highlight w:val="none"/>
        </w:rPr>
        <w:t>项目采购活动提供本单位制造的货物（由本单位承担工程</w:t>
      </w:r>
      <w:r>
        <w:rPr>
          <w:rFonts w:ascii="宋体" w:hAnsi="宋体" w:cs="宋体"/>
          <w:color w:val="auto"/>
          <w:spacing w:val="6"/>
          <w:kern w:val="0"/>
          <w:szCs w:val="21"/>
          <w:highlight w:val="none"/>
        </w:rPr>
        <w:t>/</w:t>
      </w:r>
      <w:r>
        <w:rPr>
          <w:rFonts w:hint="eastAsia" w:ascii="宋体" w:hAnsi="宋体" w:cs="宋体"/>
          <w:color w:val="auto"/>
          <w:spacing w:val="6"/>
          <w:kern w:val="0"/>
          <w:szCs w:val="21"/>
          <w:highlight w:val="none"/>
        </w:rPr>
        <w:t>提供服务），或者提供其他残疾人福利性单位制造的货物（不包括使用非残疾人福利性单位注册商标的货物）。</w:t>
      </w:r>
    </w:p>
    <w:p>
      <w:pPr>
        <w:widowControl/>
        <w:adjustRightInd w:val="0"/>
        <w:snapToGrid w:val="0"/>
        <w:spacing w:before="157" w:beforeLines="50" w:line="360" w:lineRule="auto"/>
        <w:ind w:firstLine="444" w:firstLineChars="200"/>
        <w:jc w:val="left"/>
        <w:rPr>
          <w:rFonts w:ascii="宋体" w:cs="宋体"/>
          <w:color w:val="auto"/>
          <w:spacing w:val="6"/>
          <w:kern w:val="0"/>
          <w:szCs w:val="21"/>
          <w:highlight w:val="none"/>
        </w:rPr>
      </w:pPr>
      <w:r>
        <w:rPr>
          <w:rFonts w:hint="eastAsia" w:ascii="宋体" w:hAnsi="宋体" w:cs="宋体"/>
          <w:color w:val="auto"/>
          <w:spacing w:val="6"/>
          <w:kern w:val="0"/>
          <w:szCs w:val="21"/>
          <w:highlight w:val="none"/>
        </w:rPr>
        <w:t>本单位对上述声明的真实性负责。如有虚假，将依法承担相应责任。</w:t>
      </w:r>
    </w:p>
    <w:p>
      <w:pPr>
        <w:spacing w:line="588" w:lineRule="exact"/>
        <w:ind w:firstLine="624" w:firstLineChars="200"/>
        <w:rPr>
          <w:rFonts w:ascii="宋体"/>
          <w:color w:val="auto"/>
          <w:spacing w:val="6"/>
          <w:sz w:val="30"/>
          <w:szCs w:val="30"/>
          <w:highlight w:val="none"/>
        </w:rPr>
      </w:pPr>
    </w:p>
    <w:p>
      <w:pPr>
        <w:spacing w:line="588" w:lineRule="exact"/>
        <w:ind w:firstLine="624" w:firstLineChars="200"/>
        <w:rPr>
          <w:rFonts w:ascii="宋体"/>
          <w:color w:val="auto"/>
          <w:spacing w:val="6"/>
          <w:sz w:val="30"/>
          <w:szCs w:val="30"/>
          <w:highlight w:val="none"/>
        </w:rPr>
      </w:pPr>
    </w:p>
    <w:p>
      <w:pPr>
        <w:widowControl/>
        <w:adjustRightInd w:val="0"/>
        <w:snapToGrid w:val="0"/>
        <w:spacing w:before="157" w:beforeLines="50" w:line="360" w:lineRule="auto"/>
        <w:ind w:firstLine="624" w:firstLineChars="200"/>
        <w:jc w:val="center"/>
        <w:rPr>
          <w:rFonts w:ascii="宋体" w:cs="宋体"/>
          <w:color w:val="auto"/>
          <w:spacing w:val="6"/>
          <w:kern w:val="0"/>
          <w:szCs w:val="21"/>
          <w:highlight w:val="none"/>
        </w:rPr>
      </w:pPr>
      <w:r>
        <w:rPr>
          <w:rFonts w:ascii="宋体" w:hAnsi="宋体" w:cs="仿宋_GB2312"/>
          <w:color w:val="auto"/>
          <w:spacing w:val="6"/>
          <w:sz w:val="30"/>
          <w:szCs w:val="30"/>
          <w:highlight w:val="none"/>
        </w:rPr>
        <w:t xml:space="preserve">             </w:t>
      </w:r>
      <w:r>
        <w:rPr>
          <w:rFonts w:hint="eastAsia" w:ascii="宋体" w:hAnsi="宋体" w:cs="宋体"/>
          <w:color w:val="auto"/>
          <w:spacing w:val="6"/>
          <w:kern w:val="0"/>
          <w:szCs w:val="21"/>
          <w:highlight w:val="none"/>
        </w:rPr>
        <w:t>单位名称（盖章）：</w:t>
      </w:r>
      <w:r>
        <w:rPr>
          <w:rFonts w:ascii="宋体" w:hAnsi="宋体" w:cs="宋体"/>
          <w:color w:val="auto"/>
          <w:spacing w:val="6"/>
          <w:kern w:val="0"/>
          <w:szCs w:val="21"/>
          <w:highlight w:val="none"/>
          <w:u w:val="single"/>
        </w:rPr>
        <w:t xml:space="preserve">              </w:t>
      </w:r>
      <w:r>
        <w:rPr>
          <w:rFonts w:ascii="宋体" w:hAnsi="宋体" w:cs="宋体"/>
          <w:color w:val="auto"/>
          <w:spacing w:val="6"/>
          <w:kern w:val="0"/>
          <w:szCs w:val="21"/>
          <w:highlight w:val="none"/>
        </w:rPr>
        <w:t xml:space="preserve"> </w:t>
      </w:r>
    </w:p>
    <w:p>
      <w:pPr>
        <w:adjustRightInd w:val="0"/>
        <w:snapToGrid w:val="0"/>
        <w:spacing w:line="360" w:lineRule="auto"/>
        <w:ind w:right="23" w:rightChars="11"/>
        <w:jc w:val="center"/>
        <w:rPr>
          <w:rFonts w:hint="eastAsia" w:ascii="宋体" w:hAnsi="宋体" w:cs="宋体"/>
          <w:b/>
          <w:color w:val="auto"/>
          <w:sz w:val="32"/>
          <w:szCs w:val="32"/>
          <w:highlight w:val="none"/>
        </w:rPr>
      </w:pPr>
      <w:r>
        <w:rPr>
          <w:rFonts w:ascii="宋体" w:hAnsi="宋体" w:cs="宋体"/>
          <w:color w:val="auto"/>
          <w:spacing w:val="6"/>
          <w:kern w:val="0"/>
          <w:szCs w:val="21"/>
          <w:highlight w:val="none"/>
        </w:rPr>
        <w:t xml:space="preserve">                                           </w:t>
      </w:r>
      <w:r>
        <w:rPr>
          <w:rFonts w:hint="eastAsia" w:ascii="宋体" w:hAnsi="宋体" w:cs="宋体"/>
          <w:color w:val="auto"/>
          <w:spacing w:val="6"/>
          <w:kern w:val="0"/>
          <w:szCs w:val="21"/>
          <w:highlight w:val="none"/>
        </w:rPr>
        <w:t>日</w:t>
      </w:r>
      <w:r>
        <w:rPr>
          <w:rFonts w:ascii="宋体" w:cs="宋体"/>
          <w:color w:val="auto"/>
          <w:spacing w:val="6"/>
          <w:kern w:val="0"/>
          <w:szCs w:val="21"/>
          <w:highlight w:val="none"/>
        </w:rPr>
        <w:t> </w:t>
      </w:r>
      <w:r>
        <w:rPr>
          <w:rFonts w:hint="eastAsia" w:ascii="宋体" w:hAnsi="宋体" w:cs="宋体"/>
          <w:color w:val="auto"/>
          <w:spacing w:val="6"/>
          <w:kern w:val="0"/>
          <w:szCs w:val="21"/>
          <w:highlight w:val="none"/>
        </w:rPr>
        <w:t>期：</w:t>
      </w:r>
      <w:r>
        <w:rPr>
          <w:rFonts w:ascii="宋体" w:hAnsi="宋体" w:cs="宋体"/>
          <w:color w:val="auto"/>
          <w:spacing w:val="6"/>
          <w:kern w:val="0"/>
          <w:szCs w:val="21"/>
          <w:highlight w:val="none"/>
          <w:u w:val="single"/>
        </w:rPr>
        <w:t xml:space="preserve">         </w:t>
      </w: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七、</w:t>
      </w:r>
      <w:r>
        <w:rPr>
          <w:rFonts w:hint="eastAsia" w:ascii="宋体" w:hAnsi="宋体" w:cs="宋体"/>
          <w:b/>
          <w:color w:val="auto"/>
          <w:sz w:val="32"/>
          <w:szCs w:val="32"/>
          <w:highlight w:val="none"/>
        </w:rPr>
        <w:t>报价一览表及报价文件</w:t>
      </w:r>
    </w:p>
    <w:p>
      <w:pPr>
        <w:ind w:firstLine="480" w:firstLineChars="200"/>
        <w:rPr>
          <w:rFonts w:hint="eastAsia" w:ascii="宋体" w:hAnsi="宋体" w:cs="宋体"/>
          <w:color w:val="auto"/>
          <w:sz w:val="28"/>
          <w:szCs w:val="28"/>
          <w:highlight w:val="none"/>
        </w:rPr>
      </w:pPr>
      <w:r>
        <w:rPr>
          <w:rFonts w:hint="eastAsia" w:ascii="宋体" w:hAnsi="宋体" w:cs="宋体"/>
          <w:color w:val="auto"/>
          <w:sz w:val="24"/>
          <w:highlight w:val="none"/>
        </w:rPr>
        <w:t xml:space="preserve">附件9-1：    </w:t>
      </w:r>
      <w:r>
        <w:rPr>
          <w:rFonts w:hint="eastAsia" w:ascii="宋体" w:hAnsi="宋体" w:cs="宋体"/>
          <w:b/>
          <w:color w:val="auto"/>
          <w:sz w:val="24"/>
          <w:highlight w:val="none"/>
        </w:rPr>
        <w:t xml:space="preserve">                 </w:t>
      </w:r>
      <w:r>
        <w:rPr>
          <w:rFonts w:hint="eastAsia" w:ascii="宋体" w:hAnsi="宋体" w:cs="宋体"/>
          <w:bCs/>
          <w:color w:val="auto"/>
          <w:sz w:val="28"/>
          <w:szCs w:val="28"/>
          <w:highlight w:val="none"/>
        </w:rPr>
        <w:t>报价一览表</w:t>
      </w:r>
    </w:p>
    <w:tbl>
      <w:tblPr>
        <w:tblStyle w:val="44"/>
        <w:tblW w:w="101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7"/>
        <w:gridCol w:w="3649"/>
        <w:gridCol w:w="1784"/>
        <w:gridCol w:w="23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0" w:hRule="atLeast"/>
          <w:jc w:val="center"/>
        </w:trPr>
        <w:tc>
          <w:tcPr>
            <w:tcW w:w="2337" w:type="dxa"/>
            <w:vMerge w:val="restart"/>
            <w:tcBorders>
              <w:right w:val="single" w:color="auto" w:sz="6" w:space="0"/>
            </w:tcBorders>
            <w:noWrap w:val="0"/>
            <w:vAlign w:val="center"/>
          </w:tcPr>
          <w:p>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3649" w:type="dxa"/>
            <w:vMerge w:val="restart"/>
            <w:tcBorders>
              <w:left w:val="single" w:color="auto" w:sz="6" w:space="0"/>
              <w:right w:val="single" w:color="auto" w:sz="6" w:space="0"/>
            </w:tcBorders>
            <w:noWrap w:val="0"/>
            <w:vAlign w:val="center"/>
          </w:tcPr>
          <w:p>
            <w:pPr>
              <w:ind w:right="23" w:rightChars="11"/>
              <w:jc w:val="center"/>
              <w:rPr>
                <w:rFonts w:hint="eastAsia" w:ascii="宋体" w:hAnsi="宋体" w:cs="宋体"/>
                <w:color w:val="auto"/>
                <w:szCs w:val="21"/>
                <w:highlight w:val="none"/>
              </w:rPr>
            </w:pPr>
          </w:p>
        </w:tc>
        <w:tc>
          <w:tcPr>
            <w:tcW w:w="1784" w:type="dxa"/>
            <w:tcBorders>
              <w:left w:val="single" w:color="auto" w:sz="6" w:space="0"/>
              <w:bottom w:val="single" w:color="auto" w:sz="6" w:space="0"/>
              <w:right w:val="single" w:color="auto" w:sz="6" w:space="0"/>
            </w:tcBorders>
            <w:noWrap w:val="0"/>
            <w:vAlign w:val="center"/>
          </w:tcPr>
          <w:p>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政府采购编号</w:t>
            </w:r>
          </w:p>
        </w:tc>
        <w:tc>
          <w:tcPr>
            <w:tcW w:w="2356" w:type="dxa"/>
            <w:tcBorders>
              <w:left w:val="single" w:color="auto" w:sz="6" w:space="0"/>
              <w:bottom w:val="single" w:color="auto" w:sz="6" w:space="0"/>
            </w:tcBorders>
            <w:noWrap w:val="0"/>
            <w:vAlign w:val="center"/>
          </w:tcPr>
          <w:p>
            <w:pPr>
              <w:ind w:right="23" w:rightChars="11"/>
              <w:jc w:val="center"/>
              <w:rPr>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0" w:hRule="atLeast"/>
          <w:jc w:val="center"/>
        </w:trPr>
        <w:tc>
          <w:tcPr>
            <w:tcW w:w="2337" w:type="dxa"/>
            <w:vMerge w:val="continue"/>
            <w:tcBorders>
              <w:bottom w:val="single" w:color="auto" w:sz="4" w:space="0"/>
              <w:right w:val="single" w:color="auto" w:sz="6" w:space="0"/>
            </w:tcBorders>
            <w:noWrap w:val="0"/>
            <w:vAlign w:val="center"/>
          </w:tcPr>
          <w:p>
            <w:pPr>
              <w:ind w:right="23" w:rightChars="11"/>
              <w:jc w:val="center"/>
              <w:rPr>
                <w:rFonts w:ascii="宋体" w:hAnsi="宋体" w:cs="宋体"/>
                <w:color w:val="auto"/>
                <w:szCs w:val="21"/>
                <w:highlight w:val="none"/>
              </w:rPr>
            </w:pPr>
          </w:p>
        </w:tc>
        <w:tc>
          <w:tcPr>
            <w:tcW w:w="3649" w:type="dxa"/>
            <w:vMerge w:val="continue"/>
            <w:tcBorders>
              <w:left w:val="single" w:color="auto" w:sz="6" w:space="0"/>
              <w:bottom w:val="single" w:color="auto" w:sz="6" w:space="0"/>
              <w:right w:val="single" w:color="auto" w:sz="6" w:space="0"/>
            </w:tcBorders>
            <w:noWrap w:val="0"/>
            <w:vAlign w:val="center"/>
          </w:tcPr>
          <w:p>
            <w:pPr>
              <w:ind w:right="23" w:rightChars="11"/>
              <w:jc w:val="center"/>
              <w:rPr>
                <w:rFonts w:hint="eastAsia" w:ascii="宋体" w:hAnsi="宋体" w:cs="宋体"/>
                <w:color w:val="auto"/>
                <w:szCs w:val="21"/>
                <w:highlight w:val="none"/>
              </w:rPr>
            </w:pPr>
          </w:p>
        </w:tc>
        <w:tc>
          <w:tcPr>
            <w:tcW w:w="1784" w:type="dxa"/>
            <w:tcBorders>
              <w:top w:val="single" w:color="auto" w:sz="6" w:space="0"/>
              <w:left w:val="single" w:color="auto" w:sz="6" w:space="0"/>
              <w:bottom w:val="single" w:color="auto" w:sz="6" w:space="0"/>
              <w:right w:val="single" w:color="auto" w:sz="6" w:space="0"/>
            </w:tcBorders>
            <w:noWrap w:val="0"/>
            <w:vAlign w:val="center"/>
          </w:tcPr>
          <w:p>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采购代理编号</w:t>
            </w:r>
          </w:p>
        </w:tc>
        <w:tc>
          <w:tcPr>
            <w:tcW w:w="2356" w:type="dxa"/>
            <w:tcBorders>
              <w:top w:val="single" w:color="auto" w:sz="6" w:space="0"/>
              <w:left w:val="single" w:color="auto" w:sz="6" w:space="0"/>
              <w:bottom w:val="single" w:color="auto" w:sz="6" w:space="0"/>
            </w:tcBorders>
            <w:noWrap w:val="0"/>
            <w:vAlign w:val="center"/>
          </w:tcPr>
          <w:p>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167" w:hRule="atLeast"/>
          <w:jc w:val="center"/>
        </w:trPr>
        <w:tc>
          <w:tcPr>
            <w:tcW w:w="2337" w:type="dxa"/>
            <w:tcBorders>
              <w:top w:val="single" w:color="auto" w:sz="4" w:space="0"/>
              <w:bottom w:val="single" w:color="auto" w:sz="6" w:space="0"/>
            </w:tcBorders>
            <w:noWrap w:val="0"/>
            <w:vAlign w:val="center"/>
          </w:tcPr>
          <w:p>
            <w:pPr>
              <w:ind w:right="23" w:rightChars="1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eastAsia="zh-CN"/>
              </w:rPr>
              <w:t>元</w:t>
            </w:r>
            <w:r>
              <w:rPr>
                <w:rFonts w:hint="eastAsia" w:ascii="宋体" w:hAnsi="宋体" w:eastAsia="宋体" w:cs="宋体"/>
                <w:color w:val="auto"/>
                <w:szCs w:val="21"/>
                <w:highlight w:val="none"/>
              </w:rPr>
              <w:t>）</w:t>
            </w:r>
          </w:p>
        </w:tc>
        <w:tc>
          <w:tcPr>
            <w:tcW w:w="7789" w:type="dxa"/>
            <w:gridSpan w:val="3"/>
            <w:tcBorders>
              <w:top w:val="single" w:color="auto" w:sz="6" w:space="0"/>
              <w:bottom w:val="single" w:color="auto" w:sz="6" w:space="0"/>
            </w:tcBorders>
            <w:noWrap w:val="0"/>
            <w:vAlign w:val="center"/>
          </w:tcPr>
          <w:p>
            <w:pPr>
              <w:ind w:right="23" w:rightChars="11"/>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大写：</w:t>
            </w:r>
          </w:p>
          <w:p>
            <w:pPr>
              <w:ind w:right="23" w:rightChars="11"/>
              <w:jc w:val="left"/>
              <w:rPr>
                <w:rFonts w:hint="eastAsia" w:ascii="宋体" w:hAnsi="宋体" w:eastAsia="宋体" w:cs="宋体"/>
                <w:color w:val="auto"/>
                <w:szCs w:val="21"/>
                <w:highlight w:val="none"/>
                <w:lang w:eastAsia="zh-CN"/>
              </w:rPr>
            </w:pPr>
          </w:p>
          <w:p>
            <w:pPr>
              <w:ind w:right="23" w:rightChars="11"/>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小写：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0" w:hRule="atLeast"/>
          <w:jc w:val="center"/>
        </w:trPr>
        <w:tc>
          <w:tcPr>
            <w:tcW w:w="2337" w:type="dxa"/>
            <w:tcBorders>
              <w:top w:val="single" w:color="auto" w:sz="6" w:space="0"/>
              <w:bottom w:val="single" w:color="auto" w:sz="6" w:space="0"/>
            </w:tcBorders>
            <w:noWrap w:val="0"/>
            <w:vAlign w:val="center"/>
          </w:tcPr>
          <w:p>
            <w:pPr>
              <w:ind w:right="23" w:rightChars="11"/>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期</w:t>
            </w:r>
          </w:p>
        </w:tc>
        <w:tc>
          <w:tcPr>
            <w:tcW w:w="7789" w:type="dxa"/>
            <w:gridSpan w:val="3"/>
            <w:tcBorders>
              <w:top w:val="single" w:color="auto" w:sz="6" w:space="0"/>
              <w:bottom w:val="single" w:color="auto" w:sz="6" w:space="0"/>
            </w:tcBorders>
            <w:noWrap w:val="0"/>
            <w:vAlign w:val="center"/>
          </w:tcPr>
          <w:p>
            <w:pPr>
              <w:pStyle w:val="289"/>
              <w:adjustRightInd w:val="0"/>
              <w:snapToGrid w:val="0"/>
              <w:spacing w:line="276" w:lineRule="auto"/>
              <w:jc w:val="left"/>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0" w:hRule="atLeast"/>
          <w:jc w:val="center"/>
        </w:trPr>
        <w:tc>
          <w:tcPr>
            <w:tcW w:w="2337" w:type="dxa"/>
            <w:tcBorders>
              <w:top w:val="single" w:color="auto" w:sz="6" w:space="0"/>
              <w:bottom w:val="single" w:color="auto" w:sz="6" w:space="0"/>
            </w:tcBorders>
            <w:noWrap w:val="0"/>
            <w:vAlign w:val="center"/>
          </w:tcPr>
          <w:p>
            <w:pPr>
              <w:ind w:right="23" w:rightChars="11"/>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项目负责人姓名</w:t>
            </w:r>
          </w:p>
        </w:tc>
        <w:tc>
          <w:tcPr>
            <w:tcW w:w="7789" w:type="dxa"/>
            <w:gridSpan w:val="3"/>
            <w:tcBorders>
              <w:top w:val="single" w:color="auto" w:sz="6" w:space="0"/>
              <w:bottom w:val="single" w:color="auto" w:sz="6" w:space="0"/>
            </w:tcBorders>
            <w:noWrap w:val="0"/>
            <w:vAlign w:val="center"/>
          </w:tcPr>
          <w:p>
            <w:pPr>
              <w:pStyle w:val="289"/>
              <w:adjustRightInd w:val="0"/>
              <w:snapToGrid w:val="0"/>
              <w:spacing w:line="276" w:lineRule="auto"/>
              <w:jc w:val="left"/>
              <w:rPr>
                <w:rFonts w:hint="eastAsia"/>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0" w:hRule="atLeast"/>
          <w:jc w:val="center"/>
        </w:trPr>
        <w:tc>
          <w:tcPr>
            <w:tcW w:w="2337" w:type="dxa"/>
            <w:tcBorders>
              <w:top w:val="single" w:color="auto" w:sz="6" w:space="0"/>
            </w:tcBorders>
            <w:noWrap w:val="0"/>
            <w:vAlign w:val="center"/>
          </w:tcPr>
          <w:p>
            <w:pPr>
              <w:ind w:right="23" w:rightChars="11"/>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备注</w:t>
            </w:r>
          </w:p>
        </w:tc>
        <w:tc>
          <w:tcPr>
            <w:tcW w:w="7789" w:type="dxa"/>
            <w:gridSpan w:val="3"/>
            <w:tcBorders>
              <w:top w:val="single" w:color="auto" w:sz="6" w:space="0"/>
            </w:tcBorders>
            <w:noWrap w:val="0"/>
            <w:vAlign w:val="center"/>
          </w:tcPr>
          <w:p>
            <w:pPr>
              <w:pStyle w:val="289"/>
              <w:adjustRightInd w:val="0"/>
              <w:snapToGrid w:val="0"/>
              <w:spacing w:line="276" w:lineRule="auto"/>
              <w:jc w:val="left"/>
              <w:rPr>
                <w:rFonts w:hint="eastAsia"/>
                <w:color w:val="auto"/>
                <w:highlight w:val="none"/>
              </w:rPr>
            </w:pPr>
          </w:p>
        </w:tc>
      </w:tr>
    </w:tbl>
    <w:p>
      <w:pPr>
        <w:adjustRightInd w:val="0"/>
        <w:snapToGrid w:val="0"/>
        <w:ind w:right="23" w:rightChars="11"/>
        <w:jc w:val="right"/>
        <w:rPr>
          <w:rFonts w:hint="eastAsia" w:ascii="宋体" w:hAnsi="宋体" w:cs="宋体"/>
          <w:color w:val="auto"/>
          <w:szCs w:val="21"/>
          <w:highlight w:val="none"/>
        </w:rPr>
      </w:pPr>
    </w:p>
    <w:p>
      <w:pPr>
        <w:adjustRightInd w:val="0"/>
        <w:snapToGrid w:val="0"/>
        <w:spacing w:line="360" w:lineRule="auto"/>
        <w:ind w:right="23" w:rightChars="11"/>
        <w:rPr>
          <w:rFonts w:hint="eastAsia" w:ascii="宋体" w:hAnsi="宋体" w:cs="宋体"/>
          <w:color w:val="auto"/>
          <w:highlight w:val="none"/>
        </w:rPr>
      </w:pPr>
    </w:p>
    <w:p>
      <w:pPr>
        <w:adjustRightInd w:val="0"/>
        <w:snapToGrid w:val="0"/>
        <w:spacing w:line="360" w:lineRule="auto"/>
        <w:ind w:right="23" w:rightChars="11"/>
        <w:rPr>
          <w:rFonts w:hint="eastAsia" w:ascii="宋体" w:hAnsi="宋体" w:cs="宋体"/>
          <w:color w:val="auto"/>
          <w:highlight w:val="none"/>
        </w:rPr>
      </w:pP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供应商（盖单位章）：</w:t>
      </w:r>
    </w:p>
    <w:p>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pPr>
        <w:adjustRightInd w:val="0"/>
        <w:snapToGrid w:val="0"/>
        <w:spacing w:line="360" w:lineRule="auto"/>
        <w:ind w:right="23" w:rightChars="11"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ind w:firstLine="803"/>
        <w:jc w:val="center"/>
        <w:rPr>
          <w:rFonts w:hint="eastAsia" w:ascii="宋体" w:hAnsi="宋体" w:cs="宋体"/>
          <w:bCs/>
          <w:color w:val="auto"/>
          <w:szCs w:val="21"/>
          <w:highlight w:val="none"/>
        </w:rPr>
      </w:pPr>
    </w:p>
    <w:p>
      <w:pPr>
        <w:ind w:firstLine="803"/>
        <w:jc w:val="center"/>
        <w:rPr>
          <w:rFonts w:hint="eastAsia" w:ascii="宋体" w:hAnsi="宋体" w:cs="宋体"/>
          <w:bCs/>
          <w:color w:val="auto"/>
          <w:szCs w:val="21"/>
          <w:highlight w:val="none"/>
        </w:rPr>
      </w:pPr>
    </w:p>
    <w:p>
      <w:pPr>
        <w:ind w:firstLine="480" w:firstLineChars="200"/>
        <w:rPr>
          <w:rFonts w:hint="eastAsia" w:ascii="黑体" w:eastAsia="黑体"/>
          <w:color w:val="auto"/>
          <w:sz w:val="24"/>
          <w:highlight w:val="none"/>
          <w:lang w:val="en-US" w:eastAsia="zh-CN"/>
        </w:rPr>
      </w:pPr>
      <w:r>
        <w:rPr>
          <w:rFonts w:hint="eastAsia" w:hAnsi="宋体" w:cs="宋体"/>
          <w:color w:val="auto"/>
          <w:kern w:val="2"/>
          <w:sz w:val="24"/>
          <w:szCs w:val="24"/>
          <w:highlight w:val="none"/>
        </w:rPr>
        <w:br w:type="page"/>
      </w:r>
      <w:r>
        <w:rPr>
          <w:rFonts w:hint="eastAsia" w:ascii="黑体" w:eastAsia="黑体"/>
          <w:color w:val="auto"/>
          <w:sz w:val="24"/>
          <w:highlight w:val="none"/>
        </w:rPr>
        <w:t>附件</w:t>
      </w:r>
      <w:r>
        <w:rPr>
          <w:rFonts w:hint="eastAsia" w:ascii="黑体" w:eastAsia="黑体"/>
          <w:color w:val="auto"/>
          <w:sz w:val="24"/>
          <w:highlight w:val="none"/>
          <w:lang w:val="en-US" w:eastAsia="zh-CN"/>
        </w:rPr>
        <w:t>9</w:t>
      </w:r>
      <w:r>
        <w:rPr>
          <w:rFonts w:hint="eastAsia" w:ascii="黑体" w:eastAsia="黑体"/>
          <w:color w:val="auto"/>
          <w:sz w:val="24"/>
          <w:highlight w:val="none"/>
        </w:rPr>
        <w:t>-</w:t>
      </w:r>
      <w:r>
        <w:rPr>
          <w:rFonts w:hint="eastAsia" w:ascii="黑体" w:eastAsia="黑体"/>
          <w:color w:val="auto"/>
          <w:sz w:val="24"/>
          <w:highlight w:val="none"/>
          <w:lang w:val="en-US" w:eastAsia="zh-CN"/>
        </w:rPr>
        <w:t>2：</w:t>
      </w:r>
    </w:p>
    <w:p>
      <w:pPr>
        <w:adjustRightInd w:val="0"/>
        <w:snapToGrid w:val="0"/>
        <w:spacing w:line="360" w:lineRule="auto"/>
        <w:ind w:firstLine="3360" w:firstLineChars="1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分项价格表</w:t>
      </w:r>
    </w:p>
    <w:p>
      <w:pPr>
        <w:adjustRightInd w:val="0"/>
        <w:snapToGrid w:val="0"/>
        <w:spacing w:line="360" w:lineRule="auto"/>
        <w:ind w:right="23" w:rightChars="11" w:firstLine="666" w:firstLineChars="300"/>
        <w:rPr>
          <w:rFonts w:hint="eastAsia" w:ascii="宋体" w:hAnsi="宋体" w:eastAsia="宋体" w:cs="宋体"/>
          <w:color w:val="auto"/>
          <w:spacing w:val="6"/>
          <w:kern w:val="0"/>
          <w:szCs w:val="21"/>
          <w:highlight w:val="none"/>
          <w:lang w:eastAsia="zh-CN"/>
        </w:rPr>
      </w:pPr>
      <w:r>
        <w:rPr>
          <w:rFonts w:hint="eastAsia" w:ascii="宋体" w:hAnsi="宋体" w:cs="宋体"/>
          <w:color w:val="auto"/>
          <w:spacing w:val="6"/>
          <w:kern w:val="0"/>
          <w:szCs w:val="21"/>
          <w:highlight w:val="none"/>
          <w:lang w:val="en-US" w:eastAsia="zh-CN"/>
        </w:rPr>
        <w:t>按采购人提供的</w:t>
      </w:r>
      <w:r>
        <w:rPr>
          <w:rFonts w:hint="eastAsia" w:ascii="宋体" w:hAnsi="宋体" w:eastAsia="宋体" w:cs="宋体"/>
          <w:color w:val="auto"/>
          <w:spacing w:val="6"/>
          <w:kern w:val="0"/>
          <w:szCs w:val="21"/>
          <w:highlight w:val="none"/>
          <w:lang w:eastAsia="zh-CN"/>
        </w:rPr>
        <w:t>工程量清单</w:t>
      </w:r>
      <w:r>
        <w:rPr>
          <w:rFonts w:hint="eastAsia" w:ascii="宋体" w:hAnsi="宋体" w:cs="宋体"/>
          <w:color w:val="auto"/>
          <w:spacing w:val="6"/>
          <w:kern w:val="0"/>
          <w:szCs w:val="21"/>
          <w:highlight w:val="none"/>
          <w:lang w:val="en-US" w:eastAsia="zh-CN"/>
        </w:rPr>
        <w:t>报价</w:t>
      </w:r>
      <w:r>
        <w:rPr>
          <w:rFonts w:hint="eastAsia" w:ascii="宋体" w:hAnsi="宋体" w:eastAsia="宋体" w:cs="宋体"/>
          <w:color w:val="auto"/>
          <w:spacing w:val="6"/>
          <w:kern w:val="0"/>
          <w:szCs w:val="21"/>
          <w:highlight w:val="none"/>
          <w:lang w:eastAsia="zh-CN"/>
        </w:rPr>
        <w:t>。</w:t>
      </w:r>
    </w:p>
    <w:p>
      <w:pPr>
        <w:pStyle w:val="43"/>
        <w:rPr>
          <w:rFonts w:hAnsi="宋体" w:cs="宋体"/>
          <w:b/>
          <w:bCs/>
          <w:color w:val="auto"/>
          <w:sz w:val="28"/>
          <w:szCs w:val="28"/>
          <w:highlight w:val="none"/>
        </w:rPr>
      </w:pPr>
    </w:p>
    <w:p>
      <w:pPr>
        <w:adjustRightInd w:val="0"/>
        <w:snapToGrid w:val="0"/>
        <w:ind w:right="23" w:rightChars="11"/>
        <w:jc w:val="center"/>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主要</w:t>
      </w:r>
      <w:r>
        <w:rPr>
          <w:rFonts w:hint="eastAsia" w:ascii="黑体" w:hAnsi="宋体" w:eastAsia="黑体"/>
          <w:b/>
          <w:color w:val="auto"/>
          <w:sz w:val="28"/>
          <w:szCs w:val="28"/>
          <w:highlight w:val="none"/>
          <w:lang w:eastAsia="zh-CN"/>
        </w:rPr>
        <w:t>货物、</w:t>
      </w:r>
      <w:r>
        <w:rPr>
          <w:rFonts w:hint="eastAsia" w:ascii="黑体" w:hAnsi="宋体" w:eastAsia="黑体"/>
          <w:b/>
          <w:color w:val="auto"/>
          <w:sz w:val="28"/>
          <w:szCs w:val="28"/>
          <w:highlight w:val="none"/>
        </w:rPr>
        <w:t xml:space="preserve">材料表 </w:t>
      </w:r>
    </w:p>
    <w:p>
      <w:pPr>
        <w:adjustRightInd w:val="0"/>
        <w:snapToGrid w:val="0"/>
        <w:ind w:right="23" w:rightChars="11"/>
        <w:rPr>
          <w:rFonts w:hint="eastAsia" w:ascii="宋体" w:hAnsi="宋体"/>
          <w:color w:val="auto"/>
          <w:szCs w:val="21"/>
          <w:highlight w:val="none"/>
        </w:rPr>
      </w:pPr>
    </w:p>
    <w:p>
      <w:pPr>
        <w:spacing w:line="360" w:lineRule="exact"/>
        <w:ind w:right="23" w:rightChars="11" w:firstLine="210" w:firstLineChars="100"/>
        <w:rPr>
          <w:rFonts w:hint="eastAsia" w:ascii="楷体_GB2312" w:eastAsia="楷体_GB2312"/>
          <w:b/>
          <w:color w:val="auto"/>
          <w:highlight w:val="none"/>
        </w:rPr>
      </w:pPr>
      <w:r>
        <w:rPr>
          <w:rFonts w:hint="eastAsia" w:ascii="楷体_GB2312" w:eastAsia="楷体_GB2312"/>
          <w:b/>
          <w:color w:val="auto"/>
          <w:highlight w:val="none"/>
        </w:rPr>
        <w:t>项目名称：</w:t>
      </w:r>
    </w:p>
    <w:p>
      <w:pPr>
        <w:spacing w:line="360" w:lineRule="exact"/>
        <w:ind w:right="23" w:rightChars="11" w:firstLine="210" w:firstLineChars="100"/>
        <w:rPr>
          <w:rFonts w:hint="eastAsia" w:ascii="楷体_GB2312" w:eastAsia="楷体_GB2312"/>
          <w:b/>
          <w:color w:val="auto"/>
          <w:highlight w:val="none"/>
        </w:rPr>
      </w:pPr>
      <w:r>
        <w:rPr>
          <w:rFonts w:hint="eastAsia" w:ascii="楷体_GB2312" w:eastAsia="楷体_GB2312"/>
          <w:b/>
          <w:color w:val="auto"/>
          <w:highlight w:val="none"/>
        </w:rPr>
        <w:t>金额单位：元</w:t>
      </w:r>
    </w:p>
    <w:tbl>
      <w:tblPr>
        <w:tblStyle w:val="44"/>
        <w:tblW w:w="9636"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458"/>
        <w:gridCol w:w="1036"/>
        <w:gridCol w:w="1605"/>
        <w:gridCol w:w="1565"/>
        <w:gridCol w:w="1606"/>
        <w:gridCol w:w="1377"/>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jc w:val="center"/>
        </w:trPr>
        <w:tc>
          <w:tcPr>
            <w:tcW w:w="989"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序号</w:t>
            </w:r>
          </w:p>
        </w:tc>
        <w:tc>
          <w:tcPr>
            <w:tcW w:w="1458"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材料名称</w:t>
            </w:r>
          </w:p>
        </w:tc>
        <w:tc>
          <w:tcPr>
            <w:tcW w:w="1036"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品牌</w:t>
            </w:r>
          </w:p>
        </w:tc>
        <w:tc>
          <w:tcPr>
            <w:tcW w:w="1605"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型号规格</w:t>
            </w:r>
          </w:p>
        </w:tc>
        <w:tc>
          <w:tcPr>
            <w:tcW w:w="1565"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制造厂商</w:t>
            </w:r>
          </w:p>
        </w:tc>
        <w:tc>
          <w:tcPr>
            <w:tcW w:w="1606"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价格</w:t>
            </w:r>
          </w:p>
        </w:tc>
        <w:tc>
          <w:tcPr>
            <w:tcW w:w="1377"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989"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036"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989"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036"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989"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036"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989"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合计</w:t>
            </w:r>
          </w:p>
        </w:tc>
        <w:tc>
          <w:tcPr>
            <w:tcW w:w="1036"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pPr>
              <w:adjustRightInd w:val="0"/>
              <w:snapToGrid w:val="0"/>
              <w:spacing w:line="360" w:lineRule="auto"/>
              <w:ind w:right="23" w:rightChars="11"/>
              <w:jc w:val="center"/>
              <w:rPr>
                <w:rFonts w:hint="eastAsia" w:ascii="宋体" w:hAnsi="宋体"/>
                <w:color w:val="auto"/>
                <w:szCs w:val="21"/>
                <w:highlight w:val="none"/>
              </w:rPr>
            </w:pPr>
          </w:p>
        </w:tc>
      </w:tr>
    </w:tbl>
    <w:p>
      <w:pPr>
        <w:adjustRightInd w:val="0"/>
        <w:snapToGrid w:val="0"/>
        <w:ind w:right="23" w:rightChars="11"/>
        <w:rPr>
          <w:rFonts w:hint="eastAsia" w:ascii="宋体" w:hAnsi="宋体"/>
          <w:color w:val="auto"/>
          <w:szCs w:val="21"/>
          <w:highlight w:val="none"/>
        </w:rPr>
      </w:pPr>
    </w:p>
    <w:p>
      <w:pPr>
        <w:pStyle w:val="17"/>
        <w:rPr>
          <w:rFonts w:hint="eastAsia"/>
          <w:color w:val="auto"/>
          <w:highlight w:val="none"/>
        </w:rPr>
      </w:pPr>
    </w:p>
    <w:p>
      <w:pPr>
        <w:pStyle w:val="23"/>
        <w:spacing w:line="400" w:lineRule="exact"/>
        <w:jc w:val="center"/>
        <w:rPr>
          <w:rFonts w:hint="eastAsia" w:hAnsi="宋体" w:cs="宋体"/>
          <w:color w:val="auto"/>
          <w:sz w:val="28"/>
          <w:szCs w:val="28"/>
          <w:highlight w:val="none"/>
        </w:rPr>
      </w:pPr>
      <w:r>
        <w:rPr>
          <w:rFonts w:hint="eastAsia" w:hAnsi="宋体" w:cs="宋体"/>
          <w:b/>
          <w:bCs/>
          <w:color w:val="auto"/>
          <w:sz w:val="32"/>
          <w:szCs w:val="32"/>
          <w:highlight w:val="none"/>
        </w:rPr>
        <w:br w:type="page"/>
      </w:r>
      <w:r>
        <w:rPr>
          <w:rFonts w:hint="eastAsia" w:hAnsi="宋体" w:cs="宋体"/>
          <w:b/>
          <w:bCs/>
          <w:color w:val="auto"/>
          <w:sz w:val="32"/>
          <w:szCs w:val="32"/>
          <w:highlight w:val="none"/>
        </w:rPr>
        <w:t>八、供应商认为需要提供的其它资料</w:t>
      </w:r>
    </w:p>
    <w:p>
      <w:pPr>
        <w:adjustRightInd w:val="0"/>
        <w:snapToGrid w:val="0"/>
        <w:spacing w:before="157" w:beforeLines="50" w:line="360" w:lineRule="auto"/>
        <w:jc w:val="center"/>
        <w:rPr>
          <w:rFonts w:hint="eastAsia" w:ascii="宋体" w:hAnsi="宋体" w:cs="宋体"/>
          <w:b/>
          <w:color w:val="auto"/>
          <w:sz w:val="32"/>
          <w:szCs w:val="32"/>
          <w:highlight w:val="none"/>
        </w:rPr>
      </w:pPr>
    </w:p>
    <w:p>
      <w:pPr>
        <w:adjustRightInd w:val="0"/>
        <w:snapToGrid w:val="0"/>
        <w:spacing w:before="157" w:beforeLines="50" w:line="360" w:lineRule="auto"/>
        <w:rPr>
          <w:rFonts w:hint="eastAsia" w:ascii="宋体" w:hAnsi="宋体" w:cs="宋体"/>
          <w:b/>
          <w:color w:val="auto"/>
          <w:sz w:val="32"/>
          <w:szCs w:val="32"/>
          <w:highlight w:val="none"/>
        </w:rPr>
      </w:pPr>
    </w:p>
    <w:p>
      <w:pPr>
        <w:adjustRightInd w:val="0"/>
        <w:snapToGrid w:val="0"/>
        <w:spacing w:before="157" w:beforeLines="50" w:line="360" w:lineRule="auto"/>
        <w:jc w:val="center"/>
        <w:rPr>
          <w:rFonts w:hint="eastAsia" w:ascii="宋体" w:hAnsi="宋体" w:cs="宋体"/>
          <w:b/>
          <w:color w:val="auto"/>
          <w:sz w:val="32"/>
          <w:szCs w:val="32"/>
          <w:highlight w:val="none"/>
        </w:rPr>
      </w:pPr>
    </w:p>
    <w:p>
      <w:pPr>
        <w:pStyle w:val="43"/>
        <w:ind w:left="421" w:firstLine="644"/>
        <w:rPr>
          <w:rFonts w:hint="eastAsia" w:ascii="宋体" w:hAnsi="宋体" w:cs="宋体"/>
          <w:b/>
          <w:color w:val="auto"/>
          <w:sz w:val="32"/>
          <w:szCs w:val="32"/>
          <w:highlight w:val="none"/>
        </w:rPr>
      </w:pPr>
    </w:p>
    <w:p>
      <w:pPr>
        <w:rPr>
          <w:rFonts w:hint="eastAsia" w:ascii="宋体" w:hAnsi="宋体" w:cs="宋体"/>
          <w:b/>
          <w:color w:val="auto"/>
          <w:sz w:val="32"/>
          <w:szCs w:val="32"/>
          <w:highlight w:val="none"/>
        </w:rPr>
      </w:pPr>
    </w:p>
    <w:p>
      <w:pPr>
        <w:pStyle w:val="43"/>
        <w:ind w:left="421" w:firstLine="401"/>
        <w:rPr>
          <w:rFonts w:hint="eastAsia"/>
          <w:color w:val="auto"/>
          <w:highlight w:val="none"/>
        </w:rPr>
      </w:pPr>
    </w:p>
    <w:p>
      <w:pPr>
        <w:adjustRightInd w:val="0"/>
        <w:snapToGrid w:val="0"/>
        <w:spacing w:before="157" w:beforeLines="50" w:line="360" w:lineRule="auto"/>
        <w:jc w:val="center"/>
        <w:rPr>
          <w:rFonts w:hint="eastAsia" w:ascii="宋体" w:hAnsi="宋体" w:cs="宋体"/>
          <w:b/>
          <w:color w:val="auto"/>
          <w:sz w:val="32"/>
          <w:szCs w:val="32"/>
          <w:highlight w:val="none"/>
        </w:rPr>
      </w:pPr>
    </w:p>
    <w:p>
      <w:pPr>
        <w:adjustRightInd w:val="0"/>
        <w:snapToGrid w:val="0"/>
        <w:spacing w:before="157" w:beforeLines="50" w:line="360" w:lineRule="auto"/>
        <w:jc w:val="center"/>
        <w:rPr>
          <w:rFonts w:hint="eastAsia" w:ascii="宋体" w:hAnsi="宋体" w:cs="宋体"/>
          <w:b/>
          <w:color w:val="auto"/>
          <w:sz w:val="32"/>
          <w:szCs w:val="32"/>
          <w:highlight w:val="none"/>
        </w:rPr>
      </w:pPr>
    </w:p>
    <w:p>
      <w:pPr>
        <w:adjustRightInd w:val="0"/>
        <w:snapToGrid w:val="0"/>
        <w:spacing w:before="157" w:beforeLines="50"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九、最后报价</w:t>
      </w:r>
    </w:p>
    <w:p>
      <w:pPr>
        <w:adjustRightInd w:val="0"/>
        <w:snapToGrid w:val="0"/>
        <w:ind w:left="-88" w:leftChars="-42"/>
        <w:rPr>
          <w:rFonts w:hint="eastAsia" w:ascii="宋体" w:hAnsi="宋体" w:cs="宋体"/>
          <w:color w:val="auto"/>
          <w:szCs w:val="21"/>
          <w:highlight w:val="none"/>
        </w:rPr>
      </w:pP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说明：</w:t>
      </w:r>
    </w:p>
    <w:p>
      <w:pPr>
        <w:numPr>
          <w:ilvl w:val="0"/>
          <w:numId w:val="7"/>
        </w:numPr>
        <w:adjustRightInd w:val="0"/>
        <w:snapToGrid w:val="0"/>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本次磋商活动采用电子化线上响应方式，最后报价由磋商小组发起指令后，供应商线上报价提交；请各供应商随时注意会员端系统消息，以免错过报价。供应商提交的最终报价不得超过响应文件报价(首次报价)，否则将被视为无效报价，作无效投标处理。</w:t>
      </w:r>
    </w:p>
    <w:p>
      <w:pPr>
        <w:adjustRightInd w:val="0"/>
        <w:snapToGrid w:val="0"/>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参与报价的供应商登陆《湘西公共资源交易网》(</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"http://ggzy/" \h </w:instrText>
      </w:r>
      <w:r>
        <w:rPr>
          <w:rFonts w:hint="eastAsia" w:ascii="宋体" w:hAnsi="宋体" w:cs="宋体"/>
          <w:color w:val="auto"/>
          <w:szCs w:val="21"/>
          <w:highlight w:val="none"/>
          <w:lang w:eastAsia="zh-CN"/>
        </w:rPr>
        <w:fldChar w:fldCharType="separate"/>
      </w:r>
      <w:r>
        <w:rPr>
          <w:rFonts w:hint="eastAsia" w:ascii="宋体" w:hAnsi="宋体" w:cs="宋体"/>
          <w:color w:val="auto"/>
          <w:szCs w:val="21"/>
          <w:highlight w:val="none"/>
          <w:lang w:eastAsia="zh-CN"/>
        </w:rPr>
        <w:t>http://ggzy</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 xml:space="preserve"> jy.xxz.gov.cn)→点击左侧菜单“采购业务-报价参与”,在对应的项目信息后点击“参与报价”按钮→在参与报价页面，点击【新增报价】按钮→在“新增报价”页面，输入“第2轮报价阶段 ”的价格及有关承诺说明后，点击【提交】按钮→提交报价后，点击“签章查看”进入签章页面→在报价签章页面中，点击“签章”进行签章，签章完成后，点击【签章提交】。(报价过程中遇到任何问题请及时咨询软件科0743-8523902或其他相关科室，以便在在相关科室专业人员指导下进行。)</w:t>
      </w:r>
    </w:p>
    <w:p>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成交供应商在成交结果公告后7日内按《报价表（最后报价）》提供《已标价工程量清单(最后报价）》纸质版叁份。</w:t>
      </w:r>
    </w:p>
    <w:p>
      <w:pPr>
        <w:adjustRightInd w:val="0"/>
        <w:snapToGrid w:val="0"/>
        <w:spacing w:before="157" w:beforeLines="50" w:line="360" w:lineRule="auto"/>
        <w:jc w:val="center"/>
        <w:rPr>
          <w:rFonts w:hint="eastAsia" w:ascii="宋体" w:hAnsi="宋体" w:cs="宋体"/>
          <w:b/>
          <w:color w:val="auto"/>
          <w:sz w:val="32"/>
          <w:szCs w:val="32"/>
          <w:highlight w:val="none"/>
        </w:rPr>
      </w:pPr>
    </w:p>
    <w:p>
      <w:pPr>
        <w:adjustRightInd w:val="0"/>
        <w:snapToGrid w:val="0"/>
        <w:spacing w:line="360" w:lineRule="auto"/>
        <w:ind w:left="-88" w:leftChars="-42" w:firstLine="1365" w:firstLineChars="650"/>
        <w:rPr>
          <w:rFonts w:hint="eastAsia" w:ascii="宋体" w:hAnsi="宋体" w:cs="宋体"/>
          <w:color w:val="auto"/>
          <w:szCs w:val="21"/>
          <w:highlight w:val="none"/>
        </w:rPr>
      </w:pPr>
    </w:p>
    <w:p>
      <w:pPr>
        <w:rPr>
          <w:rFonts w:hint="eastAsia" w:ascii="宋体" w:hAnsi="宋体" w:cs="宋体"/>
          <w:color w:val="auto"/>
          <w:highlight w:val="none"/>
        </w:rPr>
      </w:pPr>
    </w:p>
    <w:p>
      <w:pPr>
        <w:rPr>
          <w:rFonts w:hint="eastAsia" w:ascii="宋体" w:hAnsi="宋体" w:cs="宋体"/>
          <w:color w:val="auto"/>
          <w:highlight w:val="none"/>
        </w:rPr>
      </w:pPr>
    </w:p>
    <w:p>
      <w:pPr>
        <w:adjustRightInd w:val="0"/>
        <w:snapToGrid w:val="0"/>
        <w:spacing w:line="360" w:lineRule="auto"/>
        <w:rPr>
          <w:rFonts w:hint="eastAsia" w:ascii="宋体" w:hAnsi="宋体" w:cs="宋体"/>
          <w:color w:val="auto"/>
          <w:szCs w:val="21"/>
          <w:highlight w:val="none"/>
        </w:rPr>
      </w:pPr>
    </w:p>
    <w:p>
      <w:pPr>
        <w:adjustRightInd w:val="0"/>
        <w:snapToGrid w:val="0"/>
        <w:spacing w:line="360" w:lineRule="auto"/>
        <w:rPr>
          <w:rFonts w:hint="eastAsia" w:ascii="宋体" w:hAnsi="宋体" w:cs="宋体"/>
          <w:color w:val="auto"/>
          <w:szCs w:val="21"/>
          <w:highlight w:val="none"/>
        </w:rPr>
      </w:pPr>
    </w:p>
    <w:p>
      <w:pPr>
        <w:adjustRightInd w:val="0"/>
        <w:snapToGrid w:val="0"/>
        <w:spacing w:line="360" w:lineRule="auto"/>
        <w:rPr>
          <w:rFonts w:hint="eastAsia" w:ascii="宋体" w:hAnsi="宋体" w:cs="宋体"/>
          <w:color w:val="auto"/>
          <w:szCs w:val="21"/>
          <w:highlight w:val="none"/>
        </w:rPr>
      </w:pPr>
    </w:p>
    <w:p>
      <w:pPr>
        <w:numPr>
          <w:ilvl w:val="0"/>
          <w:numId w:val="0"/>
        </w:numPr>
        <w:adjustRightInd w:val="0"/>
        <w:snapToGrid w:val="0"/>
        <w:spacing w:line="360" w:lineRule="auto"/>
        <w:ind w:firstLine="420" w:firstLineChars="0"/>
        <w:jc w:val="left"/>
        <w:rPr>
          <w:rFonts w:hint="eastAsia" w:ascii="仿宋_GB2312" w:hAnsi="仿宋_GB2312" w:eastAsia="仿宋_GB2312" w:cs="仿宋_GB2312"/>
          <w:snapToGrid w:val="0"/>
          <w:color w:val="auto"/>
          <w:kern w:val="0"/>
          <w:szCs w:val="21"/>
          <w:highlight w:val="none"/>
        </w:rPr>
      </w:pPr>
    </w:p>
    <w:sectPr>
      <w:pgSz w:w="11906" w:h="16838"/>
      <w:pgMar w:top="1440" w:right="1080" w:bottom="1440" w:left="1080" w:header="851" w:footer="992" w:gutter="0"/>
      <w:pgNumType w:fmt="decimal"/>
      <w:cols w:space="720" w:num="1"/>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长城仿宋">
    <w:altName w:val="仿宋"/>
    <w:panose1 w:val="00000000000000000000"/>
    <w:charset w:val="86"/>
    <w:family w:val="modern"/>
    <w:pitch w:val="default"/>
    <w:sig w:usb0="00000000" w:usb1="00000000" w:usb2="00000010" w:usb3="00000000" w:csb0="00040000" w:csb1="00000000"/>
  </w:font>
  <w:font w:name="Microsoft Sans Serif">
    <w:panose1 w:val="020B0604020202020204"/>
    <w:charset w:val="00"/>
    <w:family w:val="swiss"/>
    <w:pitch w:val="default"/>
    <w:sig w:usb0="E5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8"/>
      </w:rPr>
    </w:pPr>
    <w:r>
      <w:fldChar w:fldCharType="begin"/>
    </w:r>
    <w:r>
      <w:rPr>
        <w:rStyle w:val="48"/>
      </w:rPr>
      <w:instrText xml:space="preserve">PAGE  </w:instrText>
    </w:r>
    <w:r>
      <w:fldChar w:fldCharType="end"/>
    </w:r>
  </w:p>
  <w:p>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hint="eastAsia" w:eastAsia="宋体"/>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360"/>
      <w:rPr>
        <w:rFonts w:hint="eastAsia" w:ascii="宋体" w:hAnsi="宋体" w:cs="宋体"/>
        <w:bCs/>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clear" w:pos="4153"/>
      </w:tabs>
      <w:jc w:val="center"/>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adjustRightInd w:val="0"/>
      <w:snapToGrid w:val="0"/>
      <w:spacing w:line="360" w:lineRule="auto"/>
      <w:ind w:left="1459" w:leftChars="195" w:hanging="1050" w:hangingChars="50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adjustRightInd w:val="0"/>
      <w:snapToGrid w:val="0"/>
      <w:spacing w:line="360" w:lineRule="auto"/>
      <w:ind w:left="1459" w:leftChars="195" w:hanging="1050" w:hangingChars="500"/>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left"/>
      <w:rPr>
        <w:rFonts w:hint="eastAsia"/>
      </w:rPr>
    </w:pPr>
    <w:r>
      <w:rPr>
        <w:rFonts w:hint="eastAsia" w:ascii="宋体" w:hAnsi="宋体" w:cs="宋体"/>
        <w:sz w:val="21"/>
        <w:szCs w:val="21"/>
      </w:rPr>
      <w:t xml:space="preserve">                 </w:t>
    </w:r>
    <w:r>
      <w:rPr>
        <w:rFonts w:hint="eastAsia" w:ascii="宋体" w:hAnsi="宋体" w:cs="宋体"/>
      </w:rPr>
      <w:t xml:space="preserve">  </w:t>
    </w:r>
    <w:r>
      <w:rPr>
        <w:rFonts w:hint="eastAsia" w:ascii="宋体" w:hAnsi="宋体" w:cs="宋体"/>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4E4E29"/>
    <w:multiLevelType w:val="multilevel"/>
    <w:tmpl w:val="804E4E29"/>
    <w:lvl w:ilvl="0" w:tentative="0">
      <w:start w:val="2"/>
      <w:numFmt w:val="decimal"/>
      <w:lvlText w:val="%1、"/>
      <w:lvlJc w:val="left"/>
      <w:pPr>
        <w:ind w:left="982" w:hanging="361"/>
        <w:jc w:val="left"/>
      </w:pPr>
      <w:rPr>
        <w:rFonts w:hint="default" w:ascii="宋体" w:hAnsi="宋体" w:eastAsia="宋体" w:cs="宋体"/>
        <w:b w:val="0"/>
        <w:bCs w:val="0"/>
        <w:i w:val="0"/>
        <w:iCs w:val="0"/>
        <w:spacing w:val="0"/>
        <w:w w:val="100"/>
        <w:sz w:val="22"/>
        <w:szCs w:val="22"/>
        <w:lang w:val="en-US" w:eastAsia="zh-CN" w:bidi="ar-SA"/>
      </w:rPr>
    </w:lvl>
    <w:lvl w:ilvl="1" w:tentative="0">
      <w:start w:val="0"/>
      <w:numFmt w:val="bullet"/>
      <w:lvlText w:val="•"/>
      <w:lvlJc w:val="left"/>
      <w:pPr>
        <w:ind w:left="1831" w:hanging="361"/>
      </w:pPr>
      <w:rPr>
        <w:rFonts w:hint="default"/>
        <w:lang w:val="en-US" w:eastAsia="zh-CN" w:bidi="ar-SA"/>
      </w:rPr>
    </w:lvl>
    <w:lvl w:ilvl="2" w:tentative="0">
      <w:start w:val="0"/>
      <w:numFmt w:val="bullet"/>
      <w:lvlText w:val="•"/>
      <w:lvlJc w:val="left"/>
      <w:pPr>
        <w:ind w:left="2683" w:hanging="361"/>
      </w:pPr>
      <w:rPr>
        <w:rFonts w:hint="default"/>
        <w:lang w:val="en-US" w:eastAsia="zh-CN" w:bidi="ar-SA"/>
      </w:rPr>
    </w:lvl>
    <w:lvl w:ilvl="3" w:tentative="0">
      <w:start w:val="0"/>
      <w:numFmt w:val="bullet"/>
      <w:lvlText w:val="•"/>
      <w:lvlJc w:val="left"/>
      <w:pPr>
        <w:ind w:left="3535" w:hanging="361"/>
      </w:pPr>
      <w:rPr>
        <w:rFonts w:hint="default"/>
        <w:lang w:val="en-US" w:eastAsia="zh-CN" w:bidi="ar-SA"/>
      </w:rPr>
    </w:lvl>
    <w:lvl w:ilvl="4" w:tentative="0">
      <w:start w:val="0"/>
      <w:numFmt w:val="bullet"/>
      <w:lvlText w:val="•"/>
      <w:lvlJc w:val="left"/>
      <w:pPr>
        <w:ind w:left="4387" w:hanging="361"/>
      </w:pPr>
      <w:rPr>
        <w:rFonts w:hint="default"/>
        <w:lang w:val="en-US" w:eastAsia="zh-CN" w:bidi="ar-SA"/>
      </w:rPr>
    </w:lvl>
    <w:lvl w:ilvl="5" w:tentative="0">
      <w:start w:val="0"/>
      <w:numFmt w:val="bullet"/>
      <w:lvlText w:val="•"/>
      <w:lvlJc w:val="left"/>
      <w:pPr>
        <w:ind w:left="5239" w:hanging="361"/>
      </w:pPr>
      <w:rPr>
        <w:rFonts w:hint="default"/>
        <w:lang w:val="en-US" w:eastAsia="zh-CN" w:bidi="ar-SA"/>
      </w:rPr>
    </w:lvl>
    <w:lvl w:ilvl="6" w:tentative="0">
      <w:start w:val="0"/>
      <w:numFmt w:val="bullet"/>
      <w:lvlText w:val="•"/>
      <w:lvlJc w:val="left"/>
      <w:pPr>
        <w:ind w:left="6090" w:hanging="361"/>
      </w:pPr>
      <w:rPr>
        <w:rFonts w:hint="default"/>
        <w:lang w:val="en-US" w:eastAsia="zh-CN" w:bidi="ar-SA"/>
      </w:rPr>
    </w:lvl>
    <w:lvl w:ilvl="7" w:tentative="0">
      <w:start w:val="0"/>
      <w:numFmt w:val="bullet"/>
      <w:lvlText w:val="•"/>
      <w:lvlJc w:val="left"/>
      <w:pPr>
        <w:ind w:left="6942" w:hanging="361"/>
      </w:pPr>
      <w:rPr>
        <w:rFonts w:hint="default"/>
        <w:lang w:val="en-US" w:eastAsia="zh-CN" w:bidi="ar-SA"/>
      </w:rPr>
    </w:lvl>
    <w:lvl w:ilvl="8" w:tentative="0">
      <w:start w:val="0"/>
      <w:numFmt w:val="bullet"/>
      <w:lvlText w:val="•"/>
      <w:lvlJc w:val="left"/>
      <w:pPr>
        <w:ind w:left="7794" w:hanging="361"/>
      </w:pPr>
      <w:rPr>
        <w:rFonts w:hint="default"/>
        <w:lang w:val="en-US" w:eastAsia="zh-CN" w:bidi="ar-SA"/>
      </w:rPr>
    </w:lvl>
  </w:abstractNum>
  <w:abstractNum w:abstractNumId="1">
    <w:nsid w:val="B1CE4D09"/>
    <w:multiLevelType w:val="singleLevel"/>
    <w:tmpl w:val="B1CE4D09"/>
    <w:lvl w:ilvl="0" w:tentative="0">
      <w:start w:val="1"/>
      <w:numFmt w:val="decimal"/>
      <w:suff w:val="nothing"/>
      <w:lvlText w:val="%1、"/>
      <w:lvlJc w:val="left"/>
    </w:lvl>
  </w:abstractNum>
  <w:abstractNum w:abstractNumId="2">
    <w:nsid w:val="B3AA130B"/>
    <w:multiLevelType w:val="singleLevel"/>
    <w:tmpl w:val="B3AA130B"/>
    <w:lvl w:ilvl="0" w:tentative="0">
      <w:start w:val="3"/>
      <w:numFmt w:val="decimal"/>
      <w:suff w:val="nothing"/>
      <w:lvlText w:val="（%1）"/>
      <w:lvlJc w:val="left"/>
    </w:lvl>
  </w:abstractNum>
  <w:abstractNum w:abstractNumId="3">
    <w:nsid w:val="C65F3F86"/>
    <w:multiLevelType w:val="singleLevel"/>
    <w:tmpl w:val="C65F3F86"/>
    <w:lvl w:ilvl="0" w:tentative="0">
      <w:start w:val="4"/>
      <w:numFmt w:val="chineseCounting"/>
      <w:suff w:val="nothing"/>
      <w:lvlText w:val="%1、"/>
      <w:lvlJc w:val="left"/>
      <w:rPr>
        <w:rFonts w:hint="eastAsia"/>
      </w:rPr>
    </w:lvl>
  </w:abstractNum>
  <w:abstractNum w:abstractNumId="4">
    <w:nsid w:val="DD573DFF"/>
    <w:multiLevelType w:val="singleLevel"/>
    <w:tmpl w:val="DD573DFF"/>
    <w:lvl w:ilvl="0" w:tentative="0">
      <w:start w:val="2"/>
      <w:numFmt w:val="decimal"/>
      <w:suff w:val="nothing"/>
      <w:lvlText w:val="（%1）"/>
      <w:lvlJc w:val="left"/>
    </w:lvl>
  </w:abstractNum>
  <w:abstractNum w:abstractNumId="5">
    <w:nsid w:val="2BA070E7"/>
    <w:multiLevelType w:val="singleLevel"/>
    <w:tmpl w:val="2BA070E7"/>
    <w:lvl w:ilvl="0" w:tentative="0">
      <w:start w:val="1"/>
      <w:numFmt w:val="chineseCounting"/>
      <w:suff w:val="space"/>
      <w:lvlText w:val="第%1章"/>
      <w:lvlJc w:val="left"/>
      <w:rPr>
        <w:rFonts w:hint="eastAsia"/>
        <w:sz w:val="32"/>
        <w:szCs w:val="32"/>
      </w:rPr>
    </w:lvl>
  </w:abstractNum>
  <w:abstractNum w:abstractNumId="6">
    <w:nsid w:val="68B298F7"/>
    <w:multiLevelType w:val="multilevel"/>
    <w:tmpl w:val="68B298F7"/>
    <w:lvl w:ilvl="0" w:tentative="0">
      <w:start w:val="1"/>
      <w:numFmt w:val="decimal"/>
      <w:lvlText w:val="%1）"/>
      <w:lvlJc w:val="left"/>
      <w:pPr>
        <w:ind w:left="104" w:hanging="361"/>
        <w:jc w:val="left"/>
      </w:pPr>
      <w:rPr>
        <w:rFonts w:hint="default" w:ascii="宋体" w:hAnsi="宋体" w:eastAsia="宋体" w:cs="宋体"/>
        <w:b w:val="0"/>
        <w:bCs w:val="0"/>
        <w:i w:val="0"/>
        <w:iCs w:val="0"/>
        <w:spacing w:val="0"/>
        <w:w w:val="100"/>
        <w:sz w:val="22"/>
        <w:szCs w:val="22"/>
        <w:lang w:val="en-US" w:eastAsia="zh-CN" w:bidi="ar-SA"/>
      </w:rPr>
    </w:lvl>
    <w:lvl w:ilvl="1" w:tentative="0">
      <w:start w:val="0"/>
      <w:numFmt w:val="bullet"/>
      <w:lvlText w:val="•"/>
      <w:lvlJc w:val="left"/>
      <w:pPr>
        <w:ind w:left="673" w:hanging="361"/>
      </w:pPr>
      <w:rPr>
        <w:rFonts w:hint="default"/>
        <w:lang w:val="en-US" w:eastAsia="zh-CN" w:bidi="ar-SA"/>
      </w:rPr>
    </w:lvl>
    <w:lvl w:ilvl="2" w:tentative="0">
      <w:start w:val="0"/>
      <w:numFmt w:val="bullet"/>
      <w:lvlText w:val="•"/>
      <w:lvlJc w:val="left"/>
      <w:pPr>
        <w:ind w:left="1247" w:hanging="361"/>
      </w:pPr>
      <w:rPr>
        <w:rFonts w:hint="default"/>
        <w:lang w:val="en-US" w:eastAsia="zh-CN" w:bidi="ar-SA"/>
      </w:rPr>
    </w:lvl>
    <w:lvl w:ilvl="3" w:tentative="0">
      <w:start w:val="0"/>
      <w:numFmt w:val="bullet"/>
      <w:lvlText w:val="•"/>
      <w:lvlJc w:val="left"/>
      <w:pPr>
        <w:ind w:left="1821" w:hanging="361"/>
      </w:pPr>
      <w:rPr>
        <w:rFonts w:hint="default"/>
        <w:lang w:val="en-US" w:eastAsia="zh-CN" w:bidi="ar-SA"/>
      </w:rPr>
    </w:lvl>
    <w:lvl w:ilvl="4" w:tentative="0">
      <w:start w:val="0"/>
      <w:numFmt w:val="bullet"/>
      <w:lvlText w:val="•"/>
      <w:lvlJc w:val="left"/>
      <w:pPr>
        <w:ind w:left="2395" w:hanging="361"/>
      </w:pPr>
      <w:rPr>
        <w:rFonts w:hint="default"/>
        <w:lang w:val="en-US" w:eastAsia="zh-CN" w:bidi="ar-SA"/>
      </w:rPr>
    </w:lvl>
    <w:lvl w:ilvl="5" w:tentative="0">
      <w:start w:val="0"/>
      <w:numFmt w:val="bullet"/>
      <w:lvlText w:val="•"/>
      <w:lvlJc w:val="left"/>
      <w:pPr>
        <w:ind w:left="2969" w:hanging="361"/>
      </w:pPr>
      <w:rPr>
        <w:rFonts w:hint="default"/>
        <w:lang w:val="en-US" w:eastAsia="zh-CN" w:bidi="ar-SA"/>
      </w:rPr>
    </w:lvl>
    <w:lvl w:ilvl="6" w:tentative="0">
      <w:start w:val="0"/>
      <w:numFmt w:val="bullet"/>
      <w:lvlText w:val="•"/>
      <w:lvlJc w:val="left"/>
      <w:pPr>
        <w:ind w:left="3542" w:hanging="361"/>
      </w:pPr>
      <w:rPr>
        <w:rFonts w:hint="default"/>
        <w:lang w:val="en-US" w:eastAsia="zh-CN" w:bidi="ar-SA"/>
      </w:rPr>
    </w:lvl>
    <w:lvl w:ilvl="7" w:tentative="0">
      <w:start w:val="0"/>
      <w:numFmt w:val="bullet"/>
      <w:lvlText w:val="•"/>
      <w:lvlJc w:val="left"/>
      <w:pPr>
        <w:ind w:left="4116" w:hanging="361"/>
      </w:pPr>
      <w:rPr>
        <w:rFonts w:hint="default"/>
        <w:lang w:val="en-US" w:eastAsia="zh-CN" w:bidi="ar-SA"/>
      </w:rPr>
    </w:lvl>
    <w:lvl w:ilvl="8" w:tentative="0">
      <w:start w:val="0"/>
      <w:numFmt w:val="bullet"/>
      <w:lvlText w:val="•"/>
      <w:lvlJc w:val="left"/>
      <w:pPr>
        <w:ind w:left="4690" w:hanging="361"/>
      </w:pPr>
      <w:rPr>
        <w:rFonts w:hint="default"/>
        <w:lang w:val="en-US" w:eastAsia="zh-CN" w:bidi="ar-SA"/>
      </w:rPr>
    </w:lvl>
  </w:abstractNum>
  <w:num w:numId="1">
    <w:abstractNumId w:val="5"/>
  </w:num>
  <w:num w:numId="2">
    <w:abstractNumId w:val="4"/>
  </w:num>
  <w:num w:numId="3">
    <w:abstractNumId w:val="2"/>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Y2JlMDBiZDM0NWZlODllNTg4NDk0OWIzZTljY2EifQ=="/>
  </w:docVars>
  <w:rsids>
    <w:rsidRoot w:val="00496D5A"/>
    <w:rsid w:val="000030AB"/>
    <w:rsid w:val="000048D1"/>
    <w:rsid w:val="00004A7C"/>
    <w:rsid w:val="000058C4"/>
    <w:rsid w:val="00013371"/>
    <w:rsid w:val="000156DF"/>
    <w:rsid w:val="000156E2"/>
    <w:rsid w:val="0002117A"/>
    <w:rsid w:val="00022CB8"/>
    <w:rsid w:val="00024344"/>
    <w:rsid w:val="00025986"/>
    <w:rsid w:val="00026B4C"/>
    <w:rsid w:val="00026FD7"/>
    <w:rsid w:val="00027406"/>
    <w:rsid w:val="0002764C"/>
    <w:rsid w:val="0002779F"/>
    <w:rsid w:val="00027D5B"/>
    <w:rsid w:val="000313EC"/>
    <w:rsid w:val="00034641"/>
    <w:rsid w:val="0003465E"/>
    <w:rsid w:val="00037E98"/>
    <w:rsid w:val="00040D86"/>
    <w:rsid w:val="000441C7"/>
    <w:rsid w:val="000470C6"/>
    <w:rsid w:val="00051E2A"/>
    <w:rsid w:val="00053BA6"/>
    <w:rsid w:val="00053DE3"/>
    <w:rsid w:val="0005506E"/>
    <w:rsid w:val="000640EC"/>
    <w:rsid w:val="000641A5"/>
    <w:rsid w:val="000818D8"/>
    <w:rsid w:val="00081FA6"/>
    <w:rsid w:val="00082276"/>
    <w:rsid w:val="000840FE"/>
    <w:rsid w:val="00085559"/>
    <w:rsid w:val="00086A97"/>
    <w:rsid w:val="000911F1"/>
    <w:rsid w:val="000952E7"/>
    <w:rsid w:val="000A2941"/>
    <w:rsid w:val="000A3E58"/>
    <w:rsid w:val="000A604E"/>
    <w:rsid w:val="000B422C"/>
    <w:rsid w:val="000B6963"/>
    <w:rsid w:val="000C2B71"/>
    <w:rsid w:val="000C3661"/>
    <w:rsid w:val="000C5109"/>
    <w:rsid w:val="000C5BDA"/>
    <w:rsid w:val="000E0FD8"/>
    <w:rsid w:val="000E1E33"/>
    <w:rsid w:val="000E430C"/>
    <w:rsid w:val="000E4DBE"/>
    <w:rsid w:val="000E5498"/>
    <w:rsid w:val="000F23B9"/>
    <w:rsid w:val="000F533F"/>
    <w:rsid w:val="00100878"/>
    <w:rsid w:val="00106CB3"/>
    <w:rsid w:val="00107232"/>
    <w:rsid w:val="001103EE"/>
    <w:rsid w:val="001140FE"/>
    <w:rsid w:val="0011494C"/>
    <w:rsid w:val="00116D5A"/>
    <w:rsid w:val="001256EF"/>
    <w:rsid w:val="00127819"/>
    <w:rsid w:val="001302D6"/>
    <w:rsid w:val="001324C6"/>
    <w:rsid w:val="00132F66"/>
    <w:rsid w:val="001344E3"/>
    <w:rsid w:val="00136079"/>
    <w:rsid w:val="001364C1"/>
    <w:rsid w:val="001416D5"/>
    <w:rsid w:val="00147E27"/>
    <w:rsid w:val="00154ED0"/>
    <w:rsid w:val="00160437"/>
    <w:rsid w:val="001608A0"/>
    <w:rsid w:val="00160FB9"/>
    <w:rsid w:val="00164462"/>
    <w:rsid w:val="001652A3"/>
    <w:rsid w:val="00167D4D"/>
    <w:rsid w:val="00167E36"/>
    <w:rsid w:val="00170AA2"/>
    <w:rsid w:val="0017108F"/>
    <w:rsid w:val="00172007"/>
    <w:rsid w:val="00172683"/>
    <w:rsid w:val="00172AC1"/>
    <w:rsid w:val="00174093"/>
    <w:rsid w:val="00174AD2"/>
    <w:rsid w:val="0017639C"/>
    <w:rsid w:val="00183DFC"/>
    <w:rsid w:val="0018787D"/>
    <w:rsid w:val="00190F87"/>
    <w:rsid w:val="00193F22"/>
    <w:rsid w:val="00194E27"/>
    <w:rsid w:val="00197DB3"/>
    <w:rsid w:val="001A0051"/>
    <w:rsid w:val="001A27C7"/>
    <w:rsid w:val="001B19C8"/>
    <w:rsid w:val="001B229F"/>
    <w:rsid w:val="001B534E"/>
    <w:rsid w:val="001B56C9"/>
    <w:rsid w:val="001B67D0"/>
    <w:rsid w:val="001B6E2A"/>
    <w:rsid w:val="001B7F3D"/>
    <w:rsid w:val="001C30E6"/>
    <w:rsid w:val="001C598A"/>
    <w:rsid w:val="001C6863"/>
    <w:rsid w:val="001C7DB0"/>
    <w:rsid w:val="001C7EEC"/>
    <w:rsid w:val="001D0333"/>
    <w:rsid w:val="001D1504"/>
    <w:rsid w:val="001D23F4"/>
    <w:rsid w:val="001D6192"/>
    <w:rsid w:val="001D6DC2"/>
    <w:rsid w:val="001D71B8"/>
    <w:rsid w:val="001E0AF2"/>
    <w:rsid w:val="001E2332"/>
    <w:rsid w:val="001E700A"/>
    <w:rsid w:val="001F3061"/>
    <w:rsid w:val="001F3A39"/>
    <w:rsid w:val="001F3C77"/>
    <w:rsid w:val="00200EA4"/>
    <w:rsid w:val="002037B4"/>
    <w:rsid w:val="002037DB"/>
    <w:rsid w:val="00205190"/>
    <w:rsid w:val="00206968"/>
    <w:rsid w:val="00206FCE"/>
    <w:rsid w:val="00207162"/>
    <w:rsid w:val="00211C0E"/>
    <w:rsid w:val="002131F5"/>
    <w:rsid w:val="00214AF7"/>
    <w:rsid w:val="0021675C"/>
    <w:rsid w:val="002223E0"/>
    <w:rsid w:val="00223281"/>
    <w:rsid w:val="00223AAF"/>
    <w:rsid w:val="00226977"/>
    <w:rsid w:val="002270C6"/>
    <w:rsid w:val="0023455F"/>
    <w:rsid w:val="00234E98"/>
    <w:rsid w:val="002355BB"/>
    <w:rsid w:val="00242EFF"/>
    <w:rsid w:val="00243709"/>
    <w:rsid w:val="00245A92"/>
    <w:rsid w:val="002502DD"/>
    <w:rsid w:val="002541B3"/>
    <w:rsid w:val="00263C15"/>
    <w:rsid w:val="00266E91"/>
    <w:rsid w:val="00271DF1"/>
    <w:rsid w:val="00275C78"/>
    <w:rsid w:val="00281493"/>
    <w:rsid w:val="00281AFB"/>
    <w:rsid w:val="00285665"/>
    <w:rsid w:val="002859F6"/>
    <w:rsid w:val="00286438"/>
    <w:rsid w:val="002879A0"/>
    <w:rsid w:val="00290F35"/>
    <w:rsid w:val="00291263"/>
    <w:rsid w:val="00291C33"/>
    <w:rsid w:val="002942E2"/>
    <w:rsid w:val="00295E49"/>
    <w:rsid w:val="002A03CB"/>
    <w:rsid w:val="002A0AE6"/>
    <w:rsid w:val="002A41F5"/>
    <w:rsid w:val="002A6ED0"/>
    <w:rsid w:val="002B40FE"/>
    <w:rsid w:val="002B4521"/>
    <w:rsid w:val="002B5F66"/>
    <w:rsid w:val="002B7325"/>
    <w:rsid w:val="002D54FC"/>
    <w:rsid w:val="002E2AB7"/>
    <w:rsid w:val="002E2BB7"/>
    <w:rsid w:val="002E356B"/>
    <w:rsid w:val="002E6042"/>
    <w:rsid w:val="002F0EFC"/>
    <w:rsid w:val="002F1257"/>
    <w:rsid w:val="002F42D5"/>
    <w:rsid w:val="00301B5A"/>
    <w:rsid w:val="00301E28"/>
    <w:rsid w:val="00303383"/>
    <w:rsid w:val="003072D6"/>
    <w:rsid w:val="00310BB3"/>
    <w:rsid w:val="00311078"/>
    <w:rsid w:val="003136E5"/>
    <w:rsid w:val="00313BC8"/>
    <w:rsid w:val="00313BFD"/>
    <w:rsid w:val="0031417B"/>
    <w:rsid w:val="00317CD3"/>
    <w:rsid w:val="00321C75"/>
    <w:rsid w:val="003303DC"/>
    <w:rsid w:val="00330499"/>
    <w:rsid w:val="00330BC3"/>
    <w:rsid w:val="00331A2E"/>
    <w:rsid w:val="00332937"/>
    <w:rsid w:val="003333D7"/>
    <w:rsid w:val="00333943"/>
    <w:rsid w:val="00340105"/>
    <w:rsid w:val="003407EB"/>
    <w:rsid w:val="003412D4"/>
    <w:rsid w:val="00342089"/>
    <w:rsid w:val="00342A68"/>
    <w:rsid w:val="0034572F"/>
    <w:rsid w:val="003469E4"/>
    <w:rsid w:val="0035131B"/>
    <w:rsid w:val="0035276C"/>
    <w:rsid w:val="0035331E"/>
    <w:rsid w:val="0035450A"/>
    <w:rsid w:val="003610D2"/>
    <w:rsid w:val="0036604C"/>
    <w:rsid w:val="0037058A"/>
    <w:rsid w:val="00373945"/>
    <w:rsid w:val="00374E53"/>
    <w:rsid w:val="00376191"/>
    <w:rsid w:val="003811A4"/>
    <w:rsid w:val="00385526"/>
    <w:rsid w:val="00387693"/>
    <w:rsid w:val="003914B4"/>
    <w:rsid w:val="00391A73"/>
    <w:rsid w:val="003948FD"/>
    <w:rsid w:val="00395375"/>
    <w:rsid w:val="003A09EE"/>
    <w:rsid w:val="003A6117"/>
    <w:rsid w:val="003B08B2"/>
    <w:rsid w:val="003B0AFE"/>
    <w:rsid w:val="003B1744"/>
    <w:rsid w:val="003B6A76"/>
    <w:rsid w:val="003B780B"/>
    <w:rsid w:val="003C0109"/>
    <w:rsid w:val="003C1C58"/>
    <w:rsid w:val="003C36DD"/>
    <w:rsid w:val="003C3A5C"/>
    <w:rsid w:val="003C3EAB"/>
    <w:rsid w:val="003C6100"/>
    <w:rsid w:val="003C73C4"/>
    <w:rsid w:val="003C7959"/>
    <w:rsid w:val="003D0222"/>
    <w:rsid w:val="003D1521"/>
    <w:rsid w:val="003E18E1"/>
    <w:rsid w:val="003E1EFA"/>
    <w:rsid w:val="003E7B33"/>
    <w:rsid w:val="003F472F"/>
    <w:rsid w:val="003F4843"/>
    <w:rsid w:val="003F4E1C"/>
    <w:rsid w:val="003F6A20"/>
    <w:rsid w:val="003F7D02"/>
    <w:rsid w:val="004018F9"/>
    <w:rsid w:val="0040786E"/>
    <w:rsid w:val="00410033"/>
    <w:rsid w:val="0041158C"/>
    <w:rsid w:val="004117F0"/>
    <w:rsid w:val="00411C9F"/>
    <w:rsid w:val="00411DA7"/>
    <w:rsid w:val="00412508"/>
    <w:rsid w:val="004204C9"/>
    <w:rsid w:val="004233B4"/>
    <w:rsid w:val="00423CA9"/>
    <w:rsid w:val="00430191"/>
    <w:rsid w:val="00431725"/>
    <w:rsid w:val="00432850"/>
    <w:rsid w:val="004409B2"/>
    <w:rsid w:val="00441209"/>
    <w:rsid w:val="004419AB"/>
    <w:rsid w:val="00462493"/>
    <w:rsid w:val="004836CC"/>
    <w:rsid w:val="00483D0A"/>
    <w:rsid w:val="00485915"/>
    <w:rsid w:val="00485D13"/>
    <w:rsid w:val="0048677F"/>
    <w:rsid w:val="00491260"/>
    <w:rsid w:val="004923B6"/>
    <w:rsid w:val="0049529F"/>
    <w:rsid w:val="00496D5A"/>
    <w:rsid w:val="004A0502"/>
    <w:rsid w:val="004A5608"/>
    <w:rsid w:val="004A7B3D"/>
    <w:rsid w:val="004B2F60"/>
    <w:rsid w:val="004B55A5"/>
    <w:rsid w:val="004B7380"/>
    <w:rsid w:val="004C3F73"/>
    <w:rsid w:val="004D1DC5"/>
    <w:rsid w:val="004F46DF"/>
    <w:rsid w:val="00504192"/>
    <w:rsid w:val="00504385"/>
    <w:rsid w:val="00515059"/>
    <w:rsid w:val="00522A24"/>
    <w:rsid w:val="005255EB"/>
    <w:rsid w:val="0052705B"/>
    <w:rsid w:val="0052793A"/>
    <w:rsid w:val="00530025"/>
    <w:rsid w:val="00531683"/>
    <w:rsid w:val="00531D6B"/>
    <w:rsid w:val="005325DA"/>
    <w:rsid w:val="005327B1"/>
    <w:rsid w:val="0053640B"/>
    <w:rsid w:val="005368A0"/>
    <w:rsid w:val="005426F4"/>
    <w:rsid w:val="00544EF1"/>
    <w:rsid w:val="00546417"/>
    <w:rsid w:val="00546F0D"/>
    <w:rsid w:val="00550DB2"/>
    <w:rsid w:val="00553640"/>
    <w:rsid w:val="00554044"/>
    <w:rsid w:val="00554C89"/>
    <w:rsid w:val="0056199A"/>
    <w:rsid w:val="00563F1D"/>
    <w:rsid w:val="00564DB7"/>
    <w:rsid w:val="00566DDF"/>
    <w:rsid w:val="00570CBE"/>
    <w:rsid w:val="0057541F"/>
    <w:rsid w:val="00575915"/>
    <w:rsid w:val="00575F19"/>
    <w:rsid w:val="005770DF"/>
    <w:rsid w:val="00580BC7"/>
    <w:rsid w:val="00582329"/>
    <w:rsid w:val="00583097"/>
    <w:rsid w:val="00586507"/>
    <w:rsid w:val="00595D1B"/>
    <w:rsid w:val="00596362"/>
    <w:rsid w:val="00596918"/>
    <w:rsid w:val="005A22A2"/>
    <w:rsid w:val="005A2A0F"/>
    <w:rsid w:val="005A2D64"/>
    <w:rsid w:val="005A3897"/>
    <w:rsid w:val="005B1A4E"/>
    <w:rsid w:val="005B38E7"/>
    <w:rsid w:val="005B534C"/>
    <w:rsid w:val="005B6E25"/>
    <w:rsid w:val="005C02DC"/>
    <w:rsid w:val="005C23A1"/>
    <w:rsid w:val="005C4E09"/>
    <w:rsid w:val="005D2618"/>
    <w:rsid w:val="005D3F38"/>
    <w:rsid w:val="005D7ECA"/>
    <w:rsid w:val="005F23F3"/>
    <w:rsid w:val="005F5575"/>
    <w:rsid w:val="00600D94"/>
    <w:rsid w:val="00601F43"/>
    <w:rsid w:val="00604017"/>
    <w:rsid w:val="00605A59"/>
    <w:rsid w:val="00612E59"/>
    <w:rsid w:val="00615D25"/>
    <w:rsid w:val="00621D98"/>
    <w:rsid w:val="00621E4F"/>
    <w:rsid w:val="0062406F"/>
    <w:rsid w:val="006246A7"/>
    <w:rsid w:val="00627018"/>
    <w:rsid w:val="0063170F"/>
    <w:rsid w:val="006328FF"/>
    <w:rsid w:val="00633421"/>
    <w:rsid w:val="0063686A"/>
    <w:rsid w:val="00636A24"/>
    <w:rsid w:val="00640C3D"/>
    <w:rsid w:val="0064250B"/>
    <w:rsid w:val="00650AFD"/>
    <w:rsid w:val="0065196E"/>
    <w:rsid w:val="00654F84"/>
    <w:rsid w:val="006564CF"/>
    <w:rsid w:val="00657A60"/>
    <w:rsid w:val="00657D26"/>
    <w:rsid w:val="00660C14"/>
    <w:rsid w:val="00661AD0"/>
    <w:rsid w:val="006627D5"/>
    <w:rsid w:val="00672F09"/>
    <w:rsid w:val="00673AC8"/>
    <w:rsid w:val="006751BE"/>
    <w:rsid w:val="00676F7B"/>
    <w:rsid w:val="00677930"/>
    <w:rsid w:val="00682C3E"/>
    <w:rsid w:val="00682EB1"/>
    <w:rsid w:val="00687880"/>
    <w:rsid w:val="00687C90"/>
    <w:rsid w:val="006931C3"/>
    <w:rsid w:val="00693615"/>
    <w:rsid w:val="00693CB4"/>
    <w:rsid w:val="00695533"/>
    <w:rsid w:val="006956F6"/>
    <w:rsid w:val="006968C2"/>
    <w:rsid w:val="006A1FCD"/>
    <w:rsid w:val="006A4B81"/>
    <w:rsid w:val="006A797D"/>
    <w:rsid w:val="006B0A67"/>
    <w:rsid w:val="006B1413"/>
    <w:rsid w:val="006C1E31"/>
    <w:rsid w:val="006C3B8E"/>
    <w:rsid w:val="006C5BCC"/>
    <w:rsid w:val="006C6DB0"/>
    <w:rsid w:val="006D1534"/>
    <w:rsid w:val="006D2B6F"/>
    <w:rsid w:val="006D7246"/>
    <w:rsid w:val="006D7616"/>
    <w:rsid w:val="006E316E"/>
    <w:rsid w:val="006F1452"/>
    <w:rsid w:val="006F182D"/>
    <w:rsid w:val="006F6654"/>
    <w:rsid w:val="006F79DE"/>
    <w:rsid w:val="00705812"/>
    <w:rsid w:val="00707019"/>
    <w:rsid w:val="0071222D"/>
    <w:rsid w:val="00712693"/>
    <w:rsid w:val="007145A9"/>
    <w:rsid w:val="007145DE"/>
    <w:rsid w:val="00715886"/>
    <w:rsid w:val="0072365F"/>
    <w:rsid w:val="00725169"/>
    <w:rsid w:val="00725B82"/>
    <w:rsid w:val="0073326B"/>
    <w:rsid w:val="007352B2"/>
    <w:rsid w:val="007377CB"/>
    <w:rsid w:val="007410F1"/>
    <w:rsid w:val="00741768"/>
    <w:rsid w:val="0074301E"/>
    <w:rsid w:val="00745F3E"/>
    <w:rsid w:val="0075074F"/>
    <w:rsid w:val="00752992"/>
    <w:rsid w:val="00754BFA"/>
    <w:rsid w:val="00754D46"/>
    <w:rsid w:val="007576C6"/>
    <w:rsid w:val="00763F0D"/>
    <w:rsid w:val="00767A67"/>
    <w:rsid w:val="0077024A"/>
    <w:rsid w:val="007708C1"/>
    <w:rsid w:val="00771233"/>
    <w:rsid w:val="0077183D"/>
    <w:rsid w:val="007749B5"/>
    <w:rsid w:val="00776B96"/>
    <w:rsid w:val="007856CC"/>
    <w:rsid w:val="00786EE8"/>
    <w:rsid w:val="00787408"/>
    <w:rsid w:val="00793F05"/>
    <w:rsid w:val="007940D5"/>
    <w:rsid w:val="00794207"/>
    <w:rsid w:val="007970D6"/>
    <w:rsid w:val="007A2780"/>
    <w:rsid w:val="007A49E7"/>
    <w:rsid w:val="007A6607"/>
    <w:rsid w:val="007A6ADD"/>
    <w:rsid w:val="007A780F"/>
    <w:rsid w:val="007B0B37"/>
    <w:rsid w:val="007C01D7"/>
    <w:rsid w:val="007C0604"/>
    <w:rsid w:val="007C0A90"/>
    <w:rsid w:val="007C504D"/>
    <w:rsid w:val="007D62A4"/>
    <w:rsid w:val="007D6AEC"/>
    <w:rsid w:val="007E372D"/>
    <w:rsid w:val="007E397C"/>
    <w:rsid w:val="007E5C36"/>
    <w:rsid w:val="007E6442"/>
    <w:rsid w:val="007E72DD"/>
    <w:rsid w:val="007F1B99"/>
    <w:rsid w:val="007F34A8"/>
    <w:rsid w:val="007F6D55"/>
    <w:rsid w:val="007F769F"/>
    <w:rsid w:val="007F76FC"/>
    <w:rsid w:val="00800C3F"/>
    <w:rsid w:val="00801BA0"/>
    <w:rsid w:val="00802C39"/>
    <w:rsid w:val="00803C70"/>
    <w:rsid w:val="00805DF3"/>
    <w:rsid w:val="00805FC3"/>
    <w:rsid w:val="00807CE3"/>
    <w:rsid w:val="008109A2"/>
    <w:rsid w:val="00817C22"/>
    <w:rsid w:val="00820B50"/>
    <w:rsid w:val="008247E7"/>
    <w:rsid w:val="008262E8"/>
    <w:rsid w:val="0083212E"/>
    <w:rsid w:val="00833F9F"/>
    <w:rsid w:val="008358F5"/>
    <w:rsid w:val="00842ACB"/>
    <w:rsid w:val="00845C9E"/>
    <w:rsid w:val="00852A36"/>
    <w:rsid w:val="008565B6"/>
    <w:rsid w:val="008572CB"/>
    <w:rsid w:val="00861C90"/>
    <w:rsid w:val="00862398"/>
    <w:rsid w:val="008632AC"/>
    <w:rsid w:val="008708E7"/>
    <w:rsid w:val="00870E11"/>
    <w:rsid w:val="008717C0"/>
    <w:rsid w:val="0087574F"/>
    <w:rsid w:val="00875E1D"/>
    <w:rsid w:val="00880173"/>
    <w:rsid w:val="008827A6"/>
    <w:rsid w:val="008842E6"/>
    <w:rsid w:val="008850A6"/>
    <w:rsid w:val="00893F57"/>
    <w:rsid w:val="00894431"/>
    <w:rsid w:val="00895459"/>
    <w:rsid w:val="00897135"/>
    <w:rsid w:val="008A393D"/>
    <w:rsid w:val="008A4DF5"/>
    <w:rsid w:val="008A7CC6"/>
    <w:rsid w:val="008B05AA"/>
    <w:rsid w:val="008B6DC9"/>
    <w:rsid w:val="008C53E1"/>
    <w:rsid w:val="008C594B"/>
    <w:rsid w:val="008D0766"/>
    <w:rsid w:val="008E0FD8"/>
    <w:rsid w:val="008E324C"/>
    <w:rsid w:val="008E4D28"/>
    <w:rsid w:val="008E6CAA"/>
    <w:rsid w:val="008F07F0"/>
    <w:rsid w:val="008F0AD3"/>
    <w:rsid w:val="008F4153"/>
    <w:rsid w:val="008F588B"/>
    <w:rsid w:val="00902444"/>
    <w:rsid w:val="00905067"/>
    <w:rsid w:val="00905608"/>
    <w:rsid w:val="00907F19"/>
    <w:rsid w:val="009115DA"/>
    <w:rsid w:val="00914B0C"/>
    <w:rsid w:val="00916A1B"/>
    <w:rsid w:val="009214D1"/>
    <w:rsid w:val="00927AE0"/>
    <w:rsid w:val="00935D10"/>
    <w:rsid w:val="00941224"/>
    <w:rsid w:val="009440B5"/>
    <w:rsid w:val="009457C0"/>
    <w:rsid w:val="00945FD8"/>
    <w:rsid w:val="0094622D"/>
    <w:rsid w:val="009523FD"/>
    <w:rsid w:val="009532D2"/>
    <w:rsid w:val="009552E0"/>
    <w:rsid w:val="00955E56"/>
    <w:rsid w:val="009562F0"/>
    <w:rsid w:val="00956A8A"/>
    <w:rsid w:val="00957320"/>
    <w:rsid w:val="00976258"/>
    <w:rsid w:val="00981256"/>
    <w:rsid w:val="00982D7B"/>
    <w:rsid w:val="009831C8"/>
    <w:rsid w:val="00984D12"/>
    <w:rsid w:val="009864CB"/>
    <w:rsid w:val="009874F9"/>
    <w:rsid w:val="009914BD"/>
    <w:rsid w:val="00992F13"/>
    <w:rsid w:val="00993169"/>
    <w:rsid w:val="0099340D"/>
    <w:rsid w:val="00995FED"/>
    <w:rsid w:val="009A13E7"/>
    <w:rsid w:val="009A5828"/>
    <w:rsid w:val="009A590C"/>
    <w:rsid w:val="009A5BF8"/>
    <w:rsid w:val="009A751B"/>
    <w:rsid w:val="009B0D61"/>
    <w:rsid w:val="009B1053"/>
    <w:rsid w:val="009B129A"/>
    <w:rsid w:val="009B4D48"/>
    <w:rsid w:val="009B630B"/>
    <w:rsid w:val="009C0915"/>
    <w:rsid w:val="009C1C6C"/>
    <w:rsid w:val="009C2C09"/>
    <w:rsid w:val="009C50E0"/>
    <w:rsid w:val="009D52D1"/>
    <w:rsid w:val="009E38BB"/>
    <w:rsid w:val="009E51AA"/>
    <w:rsid w:val="009F2A1B"/>
    <w:rsid w:val="009F2B85"/>
    <w:rsid w:val="009F3049"/>
    <w:rsid w:val="009F588C"/>
    <w:rsid w:val="009F6488"/>
    <w:rsid w:val="009F64B9"/>
    <w:rsid w:val="00A026F0"/>
    <w:rsid w:val="00A125C0"/>
    <w:rsid w:val="00A12F88"/>
    <w:rsid w:val="00A1382A"/>
    <w:rsid w:val="00A16084"/>
    <w:rsid w:val="00A17109"/>
    <w:rsid w:val="00A23A01"/>
    <w:rsid w:val="00A27EAB"/>
    <w:rsid w:val="00A316DA"/>
    <w:rsid w:val="00A332E1"/>
    <w:rsid w:val="00A375C1"/>
    <w:rsid w:val="00A40014"/>
    <w:rsid w:val="00A40CB1"/>
    <w:rsid w:val="00A42E55"/>
    <w:rsid w:val="00A43A45"/>
    <w:rsid w:val="00A4677E"/>
    <w:rsid w:val="00A47F15"/>
    <w:rsid w:val="00A57E27"/>
    <w:rsid w:val="00A62BE8"/>
    <w:rsid w:val="00A64DD9"/>
    <w:rsid w:val="00A6514C"/>
    <w:rsid w:val="00A73333"/>
    <w:rsid w:val="00A74A2F"/>
    <w:rsid w:val="00A74A9F"/>
    <w:rsid w:val="00A843E3"/>
    <w:rsid w:val="00A84EB2"/>
    <w:rsid w:val="00A91454"/>
    <w:rsid w:val="00A952D4"/>
    <w:rsid w:val="00A97BF2"/>
    <w:rsid w:val="00AA1061"/>
    <w:rsid w:val="00AA232A"/>
    <w:rsid w:val="00AA34BA"/>
    <w:rsid w:val="00AA3B30"/>
    <w:rsid w:val="00AA5262"/>
    <w:rsid w:val="00AA5C6A"/>
    <w:rsid w:val="00AA6A1E"/>
    <w:rsid w:val="00AB10B3"/>
    <w:rsid w:val="00AB22F3"/>
    <w:rsid w:val="00AB2C4F"/>
    <w:rsid w:val="00AB4824"/>
    <w:rsid w:val="00AB6907"/>
    <w:rsid w:val="00AB7D38"/>
    <w:rsid w:val="00AC00D7"/>
    <w:rsid w:val="00AC06D6"/>
    <w:rsid w:val="00AC29C0"/>
    <w:rsid w:val="00AC3E7C"/>
    <w:rsid w:val="00AC542B"/>
    <w:rsid w:val="00AC7D43"/>
    <w:rsid w:val="00AC7D59"/>
    <w:rsid w:val="00AD02C0"/>
    <w:rsid w:val="00AD0E2F"/>
    <w:rsid w:val="00AE3743"/>
    <w:rsid w:val="00AE77E6"/>
    <w:rsid w:val="00AE7FA6"/>
    <w:rsid w:val="00AF4888"/>
    <w:rsid w:val="00AF5108"/>
    <w:rsid w:val="00B06AFD"/>
    <w:rsid w:val="00B10E7A"/>
    <w:rsid w:val="00B11E3E"/>
    <w:rsid w:val="00B15ACE"/>
    <w:rsid w:val="00B17596"/>
    <w:rsid w:val="00B17CED"/>
    <w:rsid w:val="00B2517F"/>
    <w:rsid w:val="00B26B9C"/>
    <w:rsid w:val="00B273FE"/>
    <w:rsid w:val="00B3052D"/>
    <w:rsid w:val="00B308C9"/>
    <w:rsid w:val="00B30C84"/>
    <w:rsid w:val="00B3336F"/>
    <w:rsid w:val="00B34456"/>
    <w:rsid w:val="00B369DC"/>
    <w:rsid w:val="00B40087"/>
    <w:rsid w:val="00B40FD8"/>
    <w:rsid w:val="00B428A4"/>
    <w:rsid w:val="00B44BCD"/>
    <w:rsid w:val="00B57BDF"/>
    <w:rsid w:val="00B63832"/>
    <w:rsid w:val="00B65400"/>
    <w:rsid w:val="00B728A0"/>
    <w:rsid w:val="00B75AB5"/>
    <w:rsid w:val="00B75F83"/>
    <w:rsid w:val="00B812C2"/>
    <w:rsid w:val="00B82290"/>
    <w:rsid w:val="00B841F8"/>
    <w:rsid w:val="00B93134"/>
    <w:rsid w:val="00BA0304"/>
    <w:rsid w:val="00BA0BCD"/>
    <w:rsid w:val="00BA4D09"/>
    <w:rsid w:val="00BA4F58"/>
    <w:rsid w:val="00BB000C"/>
    <w:rsid w:val="00BB1202"/>
    <w:rsid w:val="00BB1ABC"/>
    <w:rsid w:val="00BB3D55"/>
    <w:rsid w:val="00BB403C"/>
    <w:rsid w:val="00BB4140"/>
    <w:rsid w:val="00BB4701"/>
    <w:rsid w:val="00BB5DAC"/>
    <w:rsid w:val="00BB6733"/>
    <w:rsid w:val="00BB6A0A"/>
    <w:rsid w:val="00BB75B7"/>
    <w:rsid w:val="00BC0183"/>
    <w:rsid w:val="00BC21EC"/>
    <w:rsid w:val="00BC55C8"/>
    <w:rsid w:val="00BC55F7"/>
    <w:rsid w:val="00BC6FB5"/>
    <w:rsid w:val="00BD4483"/>
    <w:rsid w:val="00BD4A5C"/>
    <w:rsid w:val="00BD4AA2"/>
    <w:rsid w:val="00BD4E66"/>
    <w:rsid w:val="00BD6233"/>
    <w:rsid w:val="00BD79AE"/>
    <w:rsid w:val="00BE2D5E"/>
    <w:rsid w:val="00BE3D6A"/>
    <w:rsid w:val="00BE6F2A"/>
    <w:rsid w:val="00BE7979"/>
    <w:rsid w:val="00BF2D50"/>
    <w:rsid w:val="00BF2EA9"/>
    <w:rsid w:val="00C0044D"/>
    <w:rsid w:val="00C060F5"/>
    <w:rsid w:val="00C122BB"/>
    <w:rsid w:val="00C1377A"/>
    <w:rsid w:val="00C13B20"/>
    <w:rsid w:val="00C15122"/>
    <w:rsid w:val="00C21AFB"/>
    <w:rsid w:val="00C2392D"/>
    <w:rsid w:val="00C25F04"/>
    <w:rsid w:val="00C260B7"/>
    <w:rsid w:val="00C41F91"/>
    <w:rsid w:val="00C45F28"/>
    <w:rsid w:val="00C522DF"/>
    <w:rsid w:val="00C57C3C"/>
    <w:rsid w:val="00C57EBC"/>
    <w:rsid w:val="00C61119"/>
    <w:rsid w:val="00C61250"/>
    <w:rsid w:val="00C62431"/>
    <w:rsid w:val="00C65B62"/>
    <w:rsid w:val="00C7679B"/>
    <w:rsid w:val="00C778B3"/>
    <w:rsid w:val="00C80427"/>
    <w:rsid w:val="00C81ABB"/>
    <w:rsid w:val="00C852BE"/>
    <w:rsid w:val="00C9607A"/>
    <w:rsid w:val="00CA1109"/>
    <w:rsid w:val="00CA41FC"/>
    <w:rsid w:val="00CA455D"/>
    <w:rsid w:val="00CA46B8"/>
    <w:rsid w:val="00CB207B"/>
    <w:rsid w:val="00CB46B9"/>
    <w:rsid w:val="00CC248F"/>
    <w:rsid w:val="00CC315C"/>
    <w:rsid w:val="00CC3BE6"/>
    <w:rsid w:val="00CC4D47"/>
    <w:rsid w:val="00CC4F0C"/>
    <w:rsid w:val="00CD0E59"/>
    <w:rsid w:val="00CD588A"/>
    <w:rsid w:val="00CD79EC"/>
    <w:rsid w:val="00CE14C1"/>
    <w:rsid w:val="00CF349B"/>
    <w:rsid w:val="00CF6AD7"/>
    <w:rsid w:val="00D013F6"/>
    <w:rsid w:val="00D01C2F"/>
    <w:rsid w:val="00D05F96"/>
    <w:rsid w:val="00D06BB5"/>
    <w:rsid w:val="00D06BE0"/>
    <w:rsid w:val="00D07939"/>
    <w:rsid w:val="00D13454"/>
    <w:rsid w:val="00D208D1"/>
    <w:rsid w:val="00D20F37"/>
    <w:rsid w:val="00D23CD8"/>
    <w:rsid w:val="00D24208"/>
    <w:rsid w:val="00D24FE1"/>
    <w:rsid w:val="00D25042"/>
    <w:rsid w:val="00D31906"/>
    <w:rsid w:val="00D352E7"/>
    <w:rsid w:val="00D36066"/>
    <w:rsid w:val="00D363F3"/>
    <w:rsid w:val="00D363F7"/>
    <w:rsid w:val="00D4038E"/>
    <w:rsid w:val="00D466FB"/>
    <w:rsid w:val="00D47185"/>
    <w:rsid w:val="00D501B5"/>
    <w:rsid w:val="00D57AE7"/>
    <w:rsid w:val="00D64D31"/>
    <w:rsid w:val="00D65F4C"/>
    <w:rsid w:val="00D660DE"/>
    <w:rsid w:val="00D67805"/>
    <w:rsid w:val="00D72D2D"/>
    <w:rsid w:val="00D72DDF"/>
    <w:rsid w:val="00D734A0"/>
    <w:rsid w:val="00D739BE"/>
    <w:rsid w:val="00D762A5"/>
    <w:rsid w:val="00D80EF6"/>
    <w:rsid w:val="00D8155D"/>
    <w:rsid w:val="00D81E99"/>
    <w:rsid w:val="00D87130"/>
    <w:rsid w:val="00D90BFB"/>
    <w:rsid w:val="00D92E8A"/>
    <w:rsid w:val="00D97374"/>
    <w:rsid w:val="00D97FB8"/>
    <w:rsid w:val="00DA1139"/>
    <w:rsid w:val="00DA5406"/>
    <w:rsid w:val="00DA5ED4"/>
    <w:rsid w:val="00DB1915"/>
    <w:rsid w:val="00DB4FC9"/>
    <w:rsid w:val="00DB591E"/>
    <w:rsid w:val="00DC35CA"/>
    <w:rsid w:val="00DC3616"/>
    <w:rsid w:val="00DC3754"/>
    <w:rsid w:val="00DC4295"/>
    <w:rsid w:val="00DC448F"/>
    <w:rsid w:val="00DC5D3F"/>
    <w:rsid w:val="00DC612D"/>
    <w:rsid w:val="00DD07D9"/>
    <w:rsid w:val="00DD2ACC"/>
    <w:rsid w:val="00DD534A"/>
    <w:rsid w:val="00DD7982"/>
    <w:rsid w:val="00DE2A57"/>
    <w:rsid w:val="00DE3DE8"/>
    <w:rsid w:val="00DE70C9"/>
    <w:rsid w:val="00DF1A93"/>
    <w:rsid w:val="00DF6442"/>
    <w:rsid w:val="00E01D63"/>
    <w:rsid w:val="00E11B41"/>
    <w:rsid w:val="00E15F46"/>
    <w:rsid w:val="00E237A4"/>
    <w:rsid w:val="00E2441B"/>
    <w:rsid w:val="00E25A4D"/>
    <w:rsid w:val="00E266D6"/>
    <w:rsid w:val="00E30E6B"/>
    <w:rsid w:val="00E33411"/>
    <w:rsid w:val="00E34011"/>
    <w:rsid w:val="00E3428B"/>
    <w:rsid w:val="00E35294"/>
    <w:rsid w:val="00E401C6"/>
    <w:rsid w:val="00E407B4"/>
    <w:rsid w:val="00E408B8"/>
    <w:rsid w:val="00E429CE"/>
    <w:rsid w:val="00E4489A"/>
    <w:rsid w:val="00E4608F"/>
    <w:rsid w:val="00E46FE9"/>
    <w:rsid w:val="00E50550"/>
    <w:rsid w:val="00E53B96"/>
    <w:rsid w:val="00E6289C"/>
    <w:rsid w:val="00E67D52"/>
    <w:rsid w:val="00E67FDD"/>
    <w:rsid w:val="00E71D13"/>
    <w:rsid w:val="00E75528"/>
    <w:rsid w:val="00E80736"/>
    <w:rsid w:val="00E80C09"/>
    <w:rsid w:val="00E8777E"/>
    <w:rsid w:val="00E87AEC"/>
    <w:rsid w:val="00E92426"/>
    <w:rsid w:val="00E95E80"/>
    <w:rsid w:val="00EA020C"/>
    <w:rsid w:val="00EA386E"/>
    <w:rsid w:val="00EA3A50"/>
    <w:rsid w:val="00EA5F90"/>
    <w:rsid w:val="00EA75A7"/>
    <w:rsid w:val="00EA7928"/>
    <w:rsid w:val="00EB6998"/>
    <w:rsid w:val="00EB6A3C"/>
    <w:rsid w:val="00EC0C13"/>
    <w:rsid w:val="00EC73E2"/>
    <w:rsid w:val="00ED0F8F"/>
    <w:rsid w:val="00ED3E23"/>
    <w:rsid w:val="00ED447C"/>
    <w:rsid w:val="00EE04A0"/>
    <w:rsid w:val="00EE1CAC"/>
    <w:rsid w:val="00EE439A"/>
    <w:rsid w:val="00EE48CF"/>
    <w:rsid w:val="00EE5FF0"/>
    <w:rsid w:val="00EE6864"/>
    <w:rsid w:val="00EF0DCF"/>
    <w:rsid w:val="00EF3179"/>
    <w:rsid w:val="00F076A2"/>
    <w:rsid w:val="00F11A54"/>
    <w:rsid w:val="00F126D0"/>
    <w:rsid w:val="00F12723"/>
    <w:rsid w:val="00F146A1"/>
    <w:rsid w:val="00F156A1"/>
    <w:rsid w:val="00F204F9"/>
    <w:rsid w:val="00F20AF0"/>
    <w:rsid w:val="00F22952"/>
    <w:rsid w:val="00F22CF7"/>
    <w:rsid w:val="00F230F6"/>
    <w:rsid w:val="00F24C96"/>
    <w:rsid w:val="00F27C91"/>
    <w:rsid w:val="00F32116"/>
    <w:rsid w:val="00F32D01"/>
    <w:rsid w:val="00F3538E"/>
    <w:rsid w:val="00F40707"/>
    <w:rsid w:val="00F4072F"/>
    <w:rsid w:val="00F4215A"/>
    <w:rsid w:val="00F4629B"/>
    <w:rsid w:val="00F46D15"/>
    <w:rsid w:val="00F51BC7"/>
    <w:rsid w:val="00F52E4A"/>
    <w:rsid w:val="00F52EF3"/>
    <w:rsid w:val="00F57737"/>
    <w:rsid w:val="00F57A75"/>
    <w:rsid w:val="00F57B52"/>
    <w:rsid w:val="00F620DD"/>
    <w:rsid w:val="00F70AAC"/>
    <w:rsid w:val="00F71C06"/>
    <w:rsid w:val="00F724DF"/>
    <w:rsid w:val="00F735A7"/>
    <w:rsid w:val="00F74994"/>
    <w:rsid w:val="00F75F80"/>
    <w:rsid w:val="00F77D8A"/>
    <w:rsid w:val="00F83892"/>
    <w:rsid w:val="00F85688"/>
    <w:rsid w:val="00F857EE"/>
    <w:rsid w:val="00F86059"/>
    <w:rsid w:val="00F86E90"/>
    <w:rsid w:val="00F901DE"/>
    <w:rsid w:val="00F902AA"/>
    <w:rsid w:val="00F942F9"/>
    <w:rsid w:val="00F97E4F"/>
    <w:rsid w:val="00FA1877"/>
    <w:rsid w:val="00FA4189"/>
    <w:rsid w:val="00FA58BB"/>
    <w:rsid w:val="00FB3A4E"/>
    <w:rsid w:val="00FB747D"/>
    <w:rsid w:val="00FB7B9F"/>
    <w:rsid w:val="00FC6B39"/>
    <w:rsid w:val="00FD04F4"/>
    <w:rsid w:val="00FD7704"/>
    <w:rsid w:val="00FE05AD"/>
    <w:rsid w:val="00FE0768"/>
    <w:rsid w:val="00FE1CF8"/>
    <w:rsid w:val="00FE2A2C"/>
    <w:rsid w:val="00FE397A"/>
    <w:rsid w:val="00FE752A"/>
    <w:rsid w:val="00FE7F23"/>
    <w:rsid w:val="00FF4495"/>
    <w:rsid w:val="00FF56B6"/>
    <w:rsid w:val="00FF64C5"/>
    <w:rsid w:val="01096B95"/>
    <w:rsid w:val="01141129"/>
    <w:rsid w:val="0123040E"/>
    <w:rsid w:val="012D51E7"/>
    <w:rsid w:val="012F232C"/>
    <w:rsid w:val="01373E09"/>
    <w:rsid w:val="013E755F"/>
    <w:rsid w:val="01402F2F"/>
    <w:rsid w:val="01446407"/>
    <w:rsid w:val="014B4A42"/>
    <w:rsid w:val="014E3EB5"/>
    <w:rsid w:val="0154469E"/>
    <w:rsid w:val="01551A1B"/>
    <w:rsid w:val="01654D38"/>
    <w:rsid w:val="01664743"/>
    <w:rsid w:val="016C493F"/>
    <w:rsid w:val="01742C99"/>
    <w:rsid w:val="017C4550"/>
    <w:rsid w:val="017E10BF"/>
    <w:rsid w:val="017E489E"/>
    <w:rsid w:val="017E72C4"/>
    <w:rsid w:val="01852A00"/>
    <w:rsid w:val="01860B68"/>
    <w:rsid w:val="018617C4"/>
    <w:rsid w:val="01957389"/>
    <w:rsid w:val="019D740D"/>
    <w:rsid w:val="01A03DB1"/>
    <w:rsid w:val="01A764B6"/>
    <w:rsid w:val="01A91652"/>
    <w:rsid w:val="01AC486D"/>
    <w:rsid w:val="01AF3299"/>
    <w:rsid w:val="01B446F6"/>
    <w:rsid w:val="01B64086"/>
    <w:rsid w:val="01BB7B50"/>
    <w:rsid w:val="01C0314F"/>
    <w:rsid w:val="01C51DE6"/>
    <w:rsid w:val="01C963F3"/>
    <w:rsid w:val="01EE3AD9"/>
    <w:rsid w:val="01F24850"/>
    <w:rsid w:val="01FA0D18"/>
    <w:rsid w:val="02073812"/>
    <w:rsid w:val="021B659B"/>
    <w:rsid w:val="021C2123"/>
    <w:rsid w:val="0224106C"/>
    <w:rsid w:val="023044BD"/>
    <w:rsid w:val="0231625E"/>
    <w:rsid w:val="02390B55"/>
    <w:rsid w:val="023A7D8E"/>
    <w:rsid w:val="023D6734"/>
    <w:rsid w:val="02496A1F"/>
    <w:rsid w:val="024E1A9B"/>
    <w:rsid w:val="025601B3"/>
    <w:rsid w:val="0259024D"/>
    <w:rsid w:val="026557B4"/>
    <w:rsid w:val="026726D8"/>
    <w:rsid w:val="02687B33"/>
    <w:rsid w:val="026B436C"/>
    <w:rsid w:val="026C6106"/>
    <w:rsid w:val="02763040"/>
    <w:rsid w:val="0278049E"/>
    <w:rsid w:val="02795CBB"/>
    <w:rsid w:val="027C0B58"/>
    <w:rsid w:val="027C45B4"/>
    <w:rsid w:val="028008DA"/>
    <w:rsid w:val="02965BFE"/>
    <w:rsid w:val="02A24E15"/>
    <w:rsid w:val="02B43496"/>
    <w:rsid w:val="02B514DF"/>
    <w:rsid w:val="02B80146"/>
    <w:rsid w:val="02B964F5"/>
    <w:rsid w:val="02C321C0"/>
    <w:rsid w:val="02D86CA3"/>
    <w:rsid w:val="02DB4952"/>
    <w:rsid w:val="02E04CB1"/>
    <w:rsid w:val="02E32195"/>
    <w:rsid w:val="02EF0BF2"/>
    <w:rsid w:val="030579E6"/>
    <w:rsid w:val="03153D79"/>
    <w:rsid w:val="031641FB"/>
    <w:rsid w:val="03225EB3"/>
    <w:rsid w:val="03265FAC"/>
    <w:rsid w:val="032769F7"/>
    <w:rsid w:val="03310198"/>
    <w:rsid w:val="03337753"/>
    <w:rsid w:val="033D4D28"/>
    <w:rsid w:val="03421714"/>
    <w:rsid w:val="034545D8"/>
    <w:rsid w:val="0355587D"/>
    <w:rsid w:val="035B0D02"/>
    <w:rsid w:val="035C78AC"/>
    <w:rsid w:val="03602489"/>
    <w:rsid w:val="036A50B9"/>
    <w:rsid w:val="036C23BE"/>
    <w:rsid w:val="03760D11"/>
    <w:rsid w:val="03795037"/>
    <w:rsid w:val="037B3B99"/>
    <w:rsid w:val="037B5D91"/>
    <w:rsid w:val="037E6D55"/>
    <w:rsid w:val="0381155B"/>
    <w:rsid w:val="038334F2"/>
    <w:rsid w:val="038506AF"/>
    <w:rsid w:val="03855C6A"/>
    <w:rsid w:val="03866097"/>
    <w:rsid w:val="038D7B81"/>
    <w:rsid w:val="038F7D22"/>
    <w:rsid w:val="039059E3"/>
    <w:rsid w:val="0398535E"/>
    <w:rsid w:val="03A107FB"/>
    <w:rsid w:val="03A6317C"/>
    <w:rsid w:val="03A912ED"/>
    <w:rsid w:val="03AC11DE"/>
    <w:rsid w:val="03B05BF4"/>
    <w:rsid w:val="03B06D23"/>
    <w:rsid w:val="03B36D5F"/>
    <w:rsid w:val="03B70231"/>
    <w:rsid w:val="03BB09DF"/>
    <w:rsid w:val="03C632AF"/>
    <w:rsid w:val="03C651DC"/>
    <w:rsid w:val="03CB5E93"/>
    <w:rsid w:val="03D560C4"/>
    <w:rsid w:val="03DB5E85"/>
    <w:rsid w:val="03E619A3"/>
    <w:rsid w:val="03E955D4"/>
    <w:rsid w:val="03F163EC"/>
    <w:rsid w:val="03F42E47"/>
    <w:rsid w:val="03F43FC6"/>
    <w:rsid w:val="03FB5250"/>
    <w:rsid w:val="03FD0234"/>
    <w:rsid w:val="04012BEF"/>
    <w:rsid w:val="04030C7B"/>
    <w:rsid w:val="0407074A"/>
    <w:rsid w:val="040919E9"/>
    <w:rsid w:val="040F1963"/>
    <w:rsid w:val="0410030A"/>
    <w:rsid w:val="04252839"/>
    <w:rsid w:val="042C567D"/>
    <w:rsid w:val="042E130D"/>
    <w:rsid w:val="043B47D4"/>
    <w:rsid w:val="043B5817"/>
    <w:rsid w:val="044E3608"/>
    <w:rsid w:val="04536DD2"/>
    <w:rsid w:val="04542801"/>
    <w:rsid w:val="0459599E"/>
    <w:rsid w:val="045C4619"/>
    <w:rsid w:val="045E70F5"/>
    <w:rsid w:val="046028E7"/>
    <w:rsid w:val="046128EF"/>
    <w:rsid w:val="046747DF"/>
    <w:rsid w:val="04676AFE"/>
    <w:rsid w:val="046B5694"/>
    <w:rsid w:val="046F6B8A"/>
    <w:rsid w:val="0471482B"/>
    <w:rsid w:val="04754809"/>
    <w:rsid w:val="04772F24"/>
    <w:rsid w:val="04812E42"/>
    <w:rsid w:val="04855E56"/>
    <w:rsid w:val="049522A4"/>
    <w:rsid w:val="04A52A36"/>
    <w:rsid w:val="04A95831"/>
    <w:rsid w:val="04B1407B"/>
    <w:rsid w:val="04BE6397"/>
    <w:rsid w:val="04C4405A"/>
    <w:rsid w:val="04D172E9"/>
    <w:rsid w:val="04E066C9"/>
    <w:rsid w:val="04F278F8"/>
    <w:rsid w:val="04F86147"/>
    <w:rsid w:val="04FB519B"/>
    <w:rsid w:val="04FE295D"/>
    <w:rsid w:val="0506145B"/>
    <w:rsid w:val="051150C2"/>
    <w:rsid w:val="051167BB"/>
    <w:rsid w:val="051F276A"/>
    <w:rsid w:val="051F668B"/>
    <w:rsid w:val="05200BE6"/>
    <w:rsid w:val="05264D6F"/>
    <w:rsid w:val="05276DC4"/>
    <w:rsid w:val="052826BE"/>
    <w:rsid w:val="052A5AE1"/>
    <w:rsid w:val="053B632C"/>
    <w:rsid w:val="05401155"/>
    <w:rsid w:val="05404C82"/>
    <w:rsid w:val="054431E4"/>
    <w:rsid w:val="05446D78"/>
    <w:rsid w:val="054A0E55"/>
    <w:rsid w:val="054D2E98"/>
    <w:rsid w:val="054D3B78"/>
    <w:rsid w:val="054E3037"/>
    <w:rsid w:val="054E5D63"/>
    <w:rsid w:val="05527F43"/>
    <w:rsid w:val="055B1966"/>
    <w:rsid w:val="055B1FFB"/>
    <w:rsid w:val="05715C31"/>
    <w:rsid w:val="05774BAA"/>
    <w:rsid w:val="05787AF6"/>
    <w:rsid w:val="05862499"/>
    <w:rsid w:val="058825B4"/>
    <w:rsid w:val="059D0677"/>
    <w:rsid w:val="05A837B6"/>
    <w:rsid w:val="05AF52A5"/>
    <w:rsid w:val="05B211C8"/>
    <w:rsid w:val="05BC1C71"/>
    <w:rsid w:val="05CC5074"/>
    <w:rsid w:val="05D01FC7"/>
    <w:rsid w:val="05F949C2"/>
    <w:rsid w:val="05FD41D0"/>
    <w:rsid w:val="0609101D"/>
    <w:rsid w:val="060A74CA"/>
    <w:rsid w:val="060B69B9"/>
    <w:rsid w:val="0617612A"/>
    <w:rsid w:val="061B6BD1"/>
    <w:rsid w:val="061C3E64"/>
    <w:rsid w:val="061E0466"/>
    <w:rsid w:val="062064F4"/>
    <w:rsid w:val="063310DF"/>
    <w:rsid w:val="06335E4D"/>
    <w:rsid w:val="063571A8"/>
    <w:rsid w:val="063858F6"/>
    <w:rsid w:val="063A616A"/>
    <w:rsid w:val="063D6724"/>
    <w:rsid w:val="06456710"/>
    <w:rsid w:val="06496B36"/>
    <w:rsid w:val="064D309B"/>
    <w:rsid w:val="064F33E1"/>
    <w:rsid w:val="065075B0"/>
    <w:rsid w:val="06535FE7"/>
    <w:rsid w:val="065A4505"/>
    <w:rsid w:val="065E4927"/>
    <w:rsid w:val="066218E7"/>
    <w:rsid w:val="06635046"/>
    <w:rsid w:val="0663772E"/>
    <w:rsid w:val="06695B47"/>
    <w:rsid w:val="066977FE"/>
    <w:rsid w:val="066C3CA0"/>
    <w:rsid w:val="06707BC6"/>
    <w:rsid w:val="067A7C39"/>
    <w:rsid w:val="067B7D25"/>
    <w:rsid w:val="0682106B"/>
    <w:rsid w:val="068A123D"/>
    <w:rsid w:val="06924CE0"/>
    <w:rsid w:val="069459D7"/>
    <w:rsid w:val="069460C6"/>
    <w:rsid w:val="069757C9"/>
    <w:rsid w:val="0699071A"/>
    <w:rsid w:val="069F5293"/>
    <w:rsid w:val="06A237FE"/>
    <w:rsid w:val="06B349E9"/>
    <w:rsid w:val="06B56F46"/>
    <w:rsid w:val="06BA475E"/>
    <w:rsid w:val="06BB2933"/>
    <w:rsid w:val="06C43B3B"/>
    <w:rsid w:val="06C50352"/>
    <w:rsid w:val="06C64AB9"/>
    <w:rsid w:val="06CF771E"/>
    <w:rsid w:val="06DC42AA"/>
    <w:rsid w:val="06E25862"/>
    <w:rsid w:val="06EB30D0"/>
    <w:rsid w:val="06F04579"/>
    <w:rsid w:val="06F20C2C"/>
    <w:rsid w:val="07135465"/>
    <w:rsid w:val="071F1A6A"/>
    <w:rsid w:val="072123AE"/>
    <w:rsid w:val="072506D9"/>
    <w:rsid w:val="07327E2D"/>
    <w:rsid w:val="073663F5"/>
    <w:rsid w:val="073E0B46"/>
    <w:rsid w:val="074A55EE"/>
    <w:rsid w:val="076051E0"/>
    <w:rsid w:val="07605FE9"/>
    <w:rsid w:val="076369A2"/>
    <w:rsid w:val="07662484"/>
    <w:rsid w:val="07670DCF"/>
    <w:rsid w:val="076B19C1"/>
    <w:rsid w:val="077252BD"/>
    <w:rsid w:val="07805F29"/>
    <w:rsid w:val="07853973"/>
    <w:rsid w:val="078C0A24"/>
    <w:rsid w:val="07A46A98"/>
    <w:rsid w:val="07A61BD0"/>
    <w:rsid w:val="07A95164"/>
    <w:rsid w:val="07B12683"/>
    <w:rsid w:val="07B23E70"/>
    <w:rsid w:val="07B30527"/>
    <w:rsid w:val="07B377FF"/>
    <w:rsid w:val="07BA0AC8"/>
    <w:rsid w:val="07BC6EF8"/>
    <w:rsid w:val="07D257D0"/>
    <w:rsid w:val="07DB590A"/>
    <w:rsid w:val="07DE4F84"/>
    <w:rsid w:val="07E8743A"/>
    <w:rsid w:val="07F93902"/>
    <w:rsid w:val="08073132"/>
    <w:rsid w:val="08083BEE"/>
    <w:rsid w:val="080B0CF2"/>
    <w:rsid w:val="080B388B"/>
    <w:rsid w:val="080C4F73"/>
    <w:rsid w:val="08120F01"/>
    <w:rsid w:val="081725CD"/>
    <w:rsid w:val="081F3B6D"/>
    <w:rsid w:val="08227A45"/>
    <w:rsid w:val="082A4FDA"/>
    <w:rsid w:val="082B0D53"/>
    <w:rsid w:val="08350FE3"/>
    <w:rsid w:val="0838502B"/>
    <w:rsid w:val="083C5414"/>
    <w:rsid w:val="08407824"/>
    <w:rsid w:val="08411900"/>
    <w:rsid w:val="08424D5F"/>
    <w:rsid w:val="08582890"/>
    <w:rsid w:val="08593FE2"/>
    <w:rsid w:val="085B7D8C"/>
    <w:rsid w:val="085D03D8"/>
    <w:rsid w:val="085E0D64"/>
    <w:rsid w:val="08676EA6"/>
    <w:rsid w:val="087543D2"/>
    <w:rsid w:val="087D3BD3"/>
    <w:rsid w:val="088265ED"/>
    <w:rsid w:val="088E7B40"/>
    <w:rsid w:val="08961E7F"/>
    <w:rsid w:val="089762D4"/>
    <w:rsid w:val="08977C31"/>
    <w:rsid w:val="08995FD0"/>
    <w:rsid w:val="089D6B9E"/>
    <w:rsid w:val="08A051DC"/>
    <w:rsid w:val="08A316A0"/>
    <w:rsid w:val="08A85932"/>
    <w:rsid w:val="08AB1DB1"/>
    <w:rsid w:val="08AD64D7"/>
    <w:rsid w:val="08B57AD7"/>
    <w:rsid w:val="08B865A0"/>
    <w:rsid w:val="08BE4AE8"/>
    <w:rsid w:val="08CF7F37"/>
    <w:rsid w:val="08D40D54"/>
    <w:rsid w:val="08DA606E"/>
    <w:rsid w:val="08E42C57"/>
    <w:rsid w:val="08E431CA"/>
    <w:rsid w:val="08E93C1C"/>
    <w:rsid w:val="08FC5A70"/>
    <w:rsid w:val="09046C0D"/>
    <w:rsid w:val="090536E2"/>
    <w:rsid w:val="09087694"/>
    <w:rsid w:val="090A3B93"/>
    <w:rsid w:val="09175715"/>
    <w:rsid w:val="09186FED"/>
    <w:rsid w:val="091907D5"/>
    <w:rsid w:val="092C3AEB"/>
    <w:rsid w:val="092E5702"/>
    <w:rsid w:val="092F42FA"/>
    <w:rsid w:val="09323054"/>
    <w:rsid w:val="09353344"/>
    <w:rsid w:val="094C2DFD"/>
    <w:rsid w:val="094E0C5A"/>
    <w:rsid w:val="09510329"/>
    <w:rsid w:val="095219AD"/>
    <w:rsid w:val="09565731"/>
    <w:rsid w:val="09676F3F"/>
    <w:rsid w:val="096961EA"/>
    <w:rsid w:val="09697373"/>
    <w:rsid w:val="096C2EC7"/>
    <w:rsid w:val="0972435D"/>
    <w:rsid w:val="09782214"/>
    <w:rsid w:val="098A1B87"/>
    <w:rsid w:val="09A2127C"/>
    <w:rsid w:val="09AC10EF"/>
    <w:rsid w:val="09AF1E33"/>
    <w:rsid w:val="09B9572A"/>
    <w:rsid w:val="09C90EC3"/>
    <w:rsid w:val="09CC1013"/>
    <w:rsid w:val="09D43752"/>
    <w:rsid w:val="09D94DF0"/>
    <w:rsid w:val="09DD2B48"/>
    <w:rsid w:val="09EB0873"/>
    <w:rsid w:val="09F02578"/>
    <w:rsid w:val="09F40358"/>
    <w:rsid w:val="09FE6CC0"/>
    <w:rsid w:val="0A071642"/>
    <w:rsid w:val="0A087E21"/>
    <w:rsid w:val="0A0F06E0"/>
    <w:rsid w:val="0A0F27B8"/>
    <w:rsid w:val="0A1D6C50"/>
    <w:rsid w:val="0A1E3172"/>
    <w:rsid w:val="0A215262"/>
    <w:rsid w:val="0A3B3A90"/>
    <w:rsid w:val="0A3B7C14"/>
    <w:rsid w:val="0A466571"/>
    <w:rsid w:val="0A47319F"/>
    <w:rsid w:val="0A4A20FD"/>
    <w:rsid w:val="0A570853"/>
    <w:rsid w:val="0A5A25F0"/>
    <w:rsid w:val="0A5D44A2"/>
    <w:rsid w:val="0A600276"/>
    <w:rsid w:val="0A630B4F"/>
    <w:rsid w:val="0A847EBA"/>
    <w:rsid w:val="0A8C2F6F"/>
    <w:rsid w:val="0A8C3798"/>
    <w:rsid w:val="0A8C5F78"/>
    <w:rsid w:val="0A8E48B3"/>
    <w:rsid w:val="0A941F77"/>
    <w:rsid w:val="0A9425D5"/>
    <w:rsid w:val="0A9A4817"/>
    <w:rsid w:val="0AA06010"/>
    <w:rsid w:val="0AA11D51"/>
    <w:rsid w:val="0AA85F9E"/>
    <w:rsid w:val="0AAB1EFA"/>
    <w:rsid w:val="0AAC1826"/>
    <w:rsid w:val="0AAD4DC5"/>
    <w:rsid w:val="0AB17000"/>
    <w:rsid w:val="0AB53E94"/>
    <w:rsid w:val="0ABC55A0"/>
    <w:rsid w:val="0AC1540A"/>
    <w:rsid w:val="0AC545C2"/>
    <w:rsid w:val="0ACE5D6C"/>
    <w:rsid w:val="0AD31AFD"/>
    <w:rsid w:val="0AD60867"/>
    <w:rsid w:val="0ADC2C50"/>
    <w:rsid w:val="0ADE42CC"/>
    <w:rsid w:val="0AEE0316"/>
    <w:rsid w:val="0AF160E4"/>
    <w:rsid w:val="0AFC09E3"/>
    <w:rsid w:val="0AFD49C0"/>
    <w:rsid w:val="0AFE4148"/>
    <w:rsid w:val="0B0B51A2"/>
    <w:rsid w:val="0B0C0AB3"/>
    <w:rsid w:val="0B0D72E0"/>
    <w:rsid w:val="0B0D7A54"/>
    <w:rsid w:val="0B0F10F6"/>
    <w:rsid w:val="0B106515"/>
    <w:rsid w:val="0B1353D9"/>
    <w:rsid w:val="0B14660F"/>
    <w:rsid w:val="0B1625FF"/>
    <w:rsid w:val="0B187038"/>
    <w:rsid w:val="0B1A7CC0"/>
    <w:rsid w:val="0B1B00A6"/>
    <w:rsid w:val="0B1F756D"/>
    <w:rsid w:val="0B24469B"/>
    <w:rsid w:val="0B2671C0"/>
    <w:rsid w:val="0B2A2E0E"/>
    <w:rsid w:val="0B3C3260"/>
    <w:rsid w:val="0B407C25"/>
    <w:rsid w:val="0B460A75"/>
    <w:rsid w:val="0B465711"/>
    <w:rsid w:val="0B484314"/>
    <w:rsid w:val="0B53335E"/>
    <w:rsid w:val="0B582AA4"/>
    <w:rsid w:val="0B6F5EB1"/>
    <w:rsid w:val="0B704101"/>
    <w:rsid w:val="0B704A5A"/>
    <w:rsid w:val="0B750C80"/>
    <w:rsid w:val="0B7C2086"/>
    <w:rsid w:val="0B8546F9"/>
    <w:rsid w:val="0B857D36"/>
    <w:rsid w:val="0B890FDB"/>
    <w:rsid w:val="0B9271DB"/>
    <w:rsid w:val="0B950342"/>
    <w:rsid w:val="0B9B525D"/>
    <w:rsid w:val="0BA725DD"/>
    <w:rsid w:val="0BA83707"/>
    <w:rsid w:val="0BA956AC"/>
    <w:rsid w:val="0BAA5271"/>
    <w:rsid w:val="0BAB63D5"/>
    <w:rsid w:val="0BB37DB7"/>
    <w:rsid w:val="0BC82AFC"/>
    <w:rsid w:val="0BCA005D"/>
    <w:rsid w:val="0BCB2D68"/>
    <w:rsid w:val="0BCD2F74"/>
    <w:rsid w:val="0BEA2CF1"/>
    <w:rsid w:val="0BF02996"/>
    <w:rsid w:val="0BFA645B"/>
    <w:rsid w:val="0BFF0F4E"/>
    <w:rsid w:val="0C0267CE"/>
    <w:rsid w:val="0C035C7C"/>
    <w:rsid w:val="0C112F8A"/>
    <w:rsid w:val="0C147DAB"/>
    <w:rsid w:val="0C256292"/>
    <w:rsid w:val="0C274B0F"/>
    <w:rsid w:val="0C2C320A"/>
    <w:rsid w:val="0C2E5BE0"/>
    <w:rsid w:val="0C302F9D"/>
    <w:rsid w:val="0C354060"/>
    <w:rsid w:val="0C3D32E1"/>
    <w:rsid w:val="0C435D88"/>
    <w:rsid w:val="0C4371A2"/>
    <w:rsid w:val="0C487075"/>
    <w:rsid w:val="0C5706A1"/>
    <w:rsid w:val="0C5A3AFD"/>
    <w:rsid w:val="0C620AC7"/>
    <w:rsid w:val="0C670279"/>
    <w:rsid w:val="0C672730"/>
    <w:rsid w:val="0C6C0283"/>
    <w:rsid w:val="0C6F1945"/>
    <w:rsid w:val="0C702E1B"/>
    <w:rsid w:val="0C75162B"/>
    <w:rsid w:val="0C776A4C"/>
    <w:rsid w:val="0C7C4C66"/>
    <w:rsid w:val="0C8215BF"/>
    <w:rsid w:val="0C866594"/>
    <w:rsid w:val="0C8E2907"/>
    <w:rsid w:val="0C900A26"/>
    <w:rsid w:val="0C9111BF"/>
    <w:rsid w:val="0C950306"/>
    <w:rsid w:val="0C957EAE"/>
    <w:rsid w:val="0C98586B"/>
    <w:rsid w:val="0C9A77C9"/>
    <w:rsid w:val="0C9E1D89"/>
    <w:rsid w:val="0CA43620"/>
    <w:rsid w:val="0CA51A9E"/>
    <w:rsid w:val="0CB11A15"/>
    <w:rsid w:val="0CB94C1F"/>
    <w:rsid w:val="0CBD51FA"/>
    <w:rsid w:val="0CBD6E1F"/>
    <w:rsid w:val="0CC36903"/>
    <w:rsid w:val="0CC744AB"/>
    <w:rsid w:val="0CC91CF5"/>
    <w:rsid w:val="0CD10FA7"/>
    <w:rsid w:val="0CD14931"/>
    <w:rsid w:val="0CD6068D"/>
    <w:rsid w:val="0CD95BB0"/>
    <w:rsid w:val="0CE21899"/>
    <w:rsid w:val="0CE57E5A"/>
    <w:rsid w:val="0CF44B30"/>
    <w:rsid w:val="0CF57028"/>
    <w:rsid w:val="0CF62958"/>
    <w:rsid w:val="0CF9542B"/>
    <w:rsid w:val="0CFD4D64"/>
    <w:rsid w:val="0CFE0C51"/>
    <w:rsid w:val="0D130C25"/>
    <w:rsid w:val="0D203C65"/>
    <w:rsid w:val="0D2240B0"/>
    <w:rsid w:val="0D227240"/>
    <w:rsid w:val="0D230FE2"/>
    <w:rsid w:val="0D272C2D"/>
    <w:rsid w:val="0D2C2471"/>
    <w:rsid w:val="0D2C7659"/>
    <w:rsid w:val="0D450277"/>
    <w:rsid w:val="0D4564DF"/>
    <w:rsid w:val="0D48628F"/>
    <w:rsid w:val="0D4E1C4A"/>
    <w:rsid w:val="0D574E8A"/>
    <w:rsid w:val="0D5A6950"/>
    <w:rsid w:val="0D615B86"/>
    <w:rsid w:val="0D636797"/>
    <w:rsid w:val="0D682A91"/>
    <w:rsid w:val="0D7D06C8"/>
    <w:rsid w:val="0D8E4ADA"/>
    <w:rsid w:val="0D9456C4"/>
    <w:rsid w:val="0D9B4E43"/>
    <w:rsid w:val="0D9E293C"/>
    <w:rsid w:val="0DAC2BE9"/>
    <w:rsid w:val="0DAD2686"/>
    <w:rsid w:val="0DB01BB5"/>
    <w:rsid w:val="0DBC505E"/>
    <w:rsid w:val="0DBE1DB1"/>
    <w:rsid w:val="0DC1750C"/>
    <w:rsid w:val="0DC77E11"/>
    <w:rsid w:val="0DCA2BB7"/>
    <w:rsid w:val="0DCB1449"/>
    <w:rsid w:val="0DCC641D"/>
    <w:rsid w:val="0DD343D0"/>
    <w:rsid w:val="0DDB587B"/>
    <w:rsid w:val="0DDC4F58"/>
    <w:rsid w:val="0DE52350"/>
    <w:rsid w:val="0DF04D54"/>
    <w:rsid w:val="0E024815"/>
    <w:rsid w:val="0E0514A4"/>
    <w:rsid w:val="0E1878E9"/>
    <w:rsid w:val="0E2070BD"/>
    <w:rsid w:val="0E231949"/>
    <w:rsid w:val="0E254188"/>
    <w:rsid w:val="0E31150C"/>
    <w:rsid w:val="0E3E792C"/>
    <w:rsid w:val="0E4D215A"/>
    <w:rsid w:val="0E50106A"/>
    <w:rsid w:val="0E552547"/>
    <w:rsid w:val="0E6D18F8"/>
    <w:rsid w:val="0E6F047A"/>
    <w:rsid w:val="0E7149BF"/>
    <w:rsid w:val="0E7A727D"/>
    <w:rsid w:val="0E7C2CAA"/>
    <w:rsid w:val="0E7C6CFE"/>
    <w:rsid w:val="0E7F1B5F"/>
    <w:rsid w:val="0E83792A"/>
    <w:rsid w:val="0E8876EC"/>
    <w:rsid w:val="0E891FDE"/>
    <w:rsid w:val="0E915A10"/>
    <w:rsid w:val="0E9674B9"/>
    <w:rsid w:val="0EA10A6D"/>
    <w:rsid w:val="0EA4425D"/>
    <w:rsid w:val="0EA86EBB"/>
    <w:rsid w:val="0EA915F6"/>
    <w:rsid w:val="0EAC6261"/>
    <w:rsid w:val="0EB5200B"/>
    <w:rsid w:val="0EB57E4B"/>
    <w:rsid w:val="0EB81505"/>
    <w:rsid w:val="0ED10097"/>
    <w:rsid w:val="0EF21E56"/>
    <w:rsid w:val="0EF613AC"/>
    <w:rsid w:val="0F043120"/>
    <w:rsid w:val="0F093A96"/>
    <w:rsid w:val="0F0A046D"/>
    <w:rsid w:val="0F0C1D81"/>
    <w:rsid w:val="0F236FA5"/>
    <w:rsid w:val="0F2754CB"/>
    <w:rsid w:val="0F2B4F82"/>
    <w:rsid w:val="0F386123"/>
    <w:rsid w:val="0F402F7C"/>
    <w:rsid w:val="0F404EE9"/>
    <w:rsid w:val="0F461D5A"/>
    <w:rsid w:val="0F4774E7"/>
    <w:rsid w:val="0F4E2186"/>
    <w:rsid w:val="0F5412F3"/>
    <w:rsid w:val="0F5812CA"/>
    <w:rsid w:val="0F5F3EF3"/>
    <w:rsid w:val="0F68540E"/>
    <w:rsid w:val="0F6F3850"/>
    <w:rsid w:val="0F70751E"/>
    <w:rsid w:val="0F710FAB"/>
    <w:rsid w:val="0F724CC8"/>
    <w:rsid w:val="0F775971"/>
    <w:rsid w:val="0F7D081D"/>
    <w:rsid w:val="0F804524"/>
    <w:rsid w:val="0F841BAC"/>
    <w:rsid w:val="0F8C0ABD"/>
    <w:rsid w:val="0F8D2286"/>
    <w:rsid w:val="0F8E7E36"/>
    <w:rsid w:val="0F9140BB"/>
    <w:rsid w:val="0F993410"/>
    <w:rsid w:val="0F9C1062"/>
    <w:rsid w:val="0F9E58BB"/>
    <w:rsid w:val="0FAE37A9"/>
    <w:rsid w:val="0FAF4E2C"/>
    <w:rsid w:val="0FBA55CD"/>
    <w:rsid w:val="0FBE439B"/>
    <w:rsid w:val="0FC20F05"/>
    <w:rsid w:val="0FCB7FCB"/>
    <w:rsid w:val="0FCF5B6F"/>
    <w:rsid w:val="0FCF7F4D"/>
    <w:rsid w:val="0FD526DB"/>
    <w:rsid w:val="0FD767AC"/>
    <w:rsid w:val="0FDB2F7E"/>
    <w:rsid w:val="0FE004D1"/>
    <w:rsid w:val="0FE82B90"/>
    <w:rsid w:val="0FF232B0"/>
    <w:rsid w:val="0FFF686C"/>
    <w:rsid w:val="10001209"/>
    <w:rsid w:val="10004520"/>
    <w:rsid w:val="10023822"/>
    <w:rsid w:val="100A58CF"/>
    <w:rsid w:val="10187BC3"/>
    <w:rsid w:val="10464D6C"/>
    <w:rsid w:val="104670A4"/>
    <w:rsid w:val="104D7889"/>
    <w:rsid w:val="10535627"/>
    <w:rsid w:val="105429B1"/>
    <w:rsid w:val="105B26A6"/>
    <w:rsid w:val="105B5D67"/>
    <w:rsid w:val="1068346D"/>
    <w:rsid w:val="1077495A"/>
    <w:rsid w:val="10794135"/>
    <w:rsid w:val="10836292"/>
    <w:rsid w:val="10901FC5"/>
    <w:rsid w:val="1094233D"/>
    <w:rsid w:val="109A05D7"/>
    <w:rsid w:val="109B683D"/>
    <w:rsid w:val="10B514B6"/>
    <w:rsid w:val="10C2148F"/>
    <w:rsid w:val="10C23648"/>
    <w:rsid w:val="10C6577F"/>
    <w:rsid w:val="10D65051"/>
    <w:rsid w:val="10DD3832"/>
    <w:rsid w:val="10DD4DDE"/>
    <w:rsid w:val="10E71D85"/>
    <w:rsid w:val="10EA672A"/>
    <w:rsid w:val="10F05E73"/>
    <w:rsid w:val="10F87999"/>
    <w:rsid w:val="10FC4763"/>
    <w:rsid w:val="11024BFB"/>
    <w:rsid w:val="11030DA0"/>
    <w:rsid w:val="110C1E59"/>
    <w:rsid w:val="11156898"/>
    <w:rsid w:val="11157A58"/>
    <w:rsid w:val="11194E1D"/>
    <w:rsid w:val="11196DE2"/>
    <w:rsid w:val="111F5821"/>
    <w:rsid w:val="11203188"/>
    <w:rsid w:val="11275E16"/>
    <w:rsid w:val="11276C93"/>
    <w:rsid w:val="11362167"/>
    <w:rsid w:val="11515ABE"/>
    <w:rsid w:val="115655F5"/>
    <w:rsid w:val="115924B2"/>
    <w:rsid w:val="115C1A5F"/>
    <w:rsid w:val="115E11B3"/>
    <w:rsid w:val="11625A9D"/>
    <w:rsid w:val="11653FFA"/>
    <w:rsid w:val="11695105"/>
    <w:rsid w:val="116B5D35"/>
    <w:rsid w:val="116C19E8"/>
    <w:rsid w:val="11720508"/>
    <w:rsid w:val="11760CAC"/>
    <w:rsid w:val="117F14A6"/>
    <w:rsid w:val="11815C56"/>
    <w:rsid w:val="11825C25"/>
    <w:rsid w:val="11AE0636"/>
    <w:rsid w:val="11B91E08"/>
    <w:rsid w:val="11BC1D7F"/>
    <w:rsid w:val="11BE4E7D"/>
    <w:rsid w:val="11C47108"/>
    <w:rsid w:val="11C91064"/>
    <w:rsid w:val="11D66535"/>
    <w:rsid w:val="11DB182B"/>
    <w:rsid w:val="11E844CB"/>
    <w:rsid w:val="11EC046D"/>
    <w:rsid w:val="11F110EE"/>
    <w:rsid w:val="11FA2144"/>
    <w:rsid w:val="11FA6155"/>
    <w:rsid w:val="11FC5FA9"/>
    <w:rsid w:val="11FC7EAF"/>
    <w:rsid w:val="120462CD"/>
    <w:rsid w:val="12081134"/>
    <w:rsid w:val="120940EF"/>
    <w:rsid w:val="120946FA"/>
    <w:rsid w:val="120E0AD5"/>
    <w:rsid w:val="120F384C"/>
    <w:rsid w:val="12250A88"/>
    <w:rsid w:val="12264541"/>
    <w:rsid w:val="12287BC2"/>
    <w:rsid w:val="122A6FF0"/>
    <w:rsid w:val="12404C3A"/>
    <w:rsid w:val="12460437"/>
    <w:rsid w:val="1247560D"/>
    <w:rsid w:val="124A0FA9"/>
    <w:rsid w:val="124F64A1"/>
    <w:rsid w:val="12513105"/>
    <w:rsid w:val="12574B5F"/>
    <w:rsid w:val="125F3008"/>
    <w:rsid w:val="12626137"/>
    <w:rsid w:val="1263038F"/>
    <w:rsid w:val="1276051E"/>
    <w:rsid w:val="12843E46"/>
    <w:rsid w:val="12876105"/>
    <w:rsid w:val="12882D40"/>
    <w:rsid w:val="128A524C"/>
    <w:rsid w:val="128F20B2"/>
    <w:rsid w:val="1291424A"/>
    <w:rsid w:val="12A06CFD"/>
    <w:rsid w:val="12A24894"/>
    <w:rsid w:val="12A630BD"/>
    <w:rsid w:val="12AE6D40"/>
    <w:rsid w:val="12AF3CE4"/>
    <w:rsid w:val="12B13BA8"/>
    <w:rsid w:val="12B24C82"/>
    <w:rsid w:val="12B51B0A"/>
    <w:rsid w:val="12B6466C"/>
    <w:rsid w:val="12B97F08"/>
    <w:rsid w:val="12C846BA"/>
    <w:rsid w:val="12C91E60"/>
    <w:rsid w:val="12CB6E54"/>
    <w:rsid w:val="12D60970"/>
    <w:rsid w:val="12E41C1F"/>
    <w:rsid w:val="12E54E31"/>
    <w:rsid w:val="13006476"/>
    <w:rsid w:val="13031DFF"/>
    <w:rsid w:val="13071E7A"/>
    <w:rsid w:val="130A4E6F"/>
    <w:rsid w:val="130C209D"/>
    <w:rsid w:val="130D010A"/>
    <w:rsid w:val="130D3C66"/>
    <w:rsid w:val="131119A8"/>
    <w:rsid w:val="13192847"/>
    <w:rsid w:val="1322106F"/>
    <w:rsid w:val="13352544"/>
    <w:rsid w:val="13441C0D"/>
    <w:rsid w:val="13451688"/>
    <w:rsid w:val="13453ACE"/>
    <w:rsid w:val="134621B3"/>
    <w:rsid w:val="135127B8"/>
    <w:rsid w:val="135651E5"/>
    <w:rsid w:val="13581606"/>
    <w:rsid w:val="136947F1"/>
    <w:rsid w:val="13697D0C"/>
    <w:rsid w:val="136D34F2"/>
    <w:rsid w:val="13774E43"/>
    <w:rsid w:val="1379754E"/>
    <w:rsid w:val="137E2F3F"/>
    <w:rsid w:val="137E2F7D"/>
    <w:rsid w:val="137F4560"/>
    <w:rsid w:val="138071C7"/>
    <w:rsid w:val="13830A8B"/>
    <w:rsid w:val="138C0502"/>
    <w:rsid w:val="138F4F4F"/>
    <w:rsid w:val="139031FD"/>
    <w:rsid w:val="13950025"/>
    <w:rsid w:val="139B119C"/>
    <w:rsid w:val="139D3891"/>
    <w:rsid w:val="13A12A6E"/>
    <w:rsid w:val="13A418A5"/>
    <w:rsid w:val="13AE4E55"/>
    <w:rsid w:val="13AE601E"/>
    <w:rsid w:val="13B13284"/>
    <w:rsid w:val="13B2699F"/>
    <w:rsid w:val="13B36596"/>
    <w:rsid w:val="13B37597"/>
    <w:rsid w:val="13B97394"/>
    <w:rsid w:val="13C16E37"/>
    <w:rsid w:val="13C22A1A"/>
    <w:rsid w:val="13C564C1"/>
    <w:rsid w:val="13D95C9E"/>
    <w:rsid w:val="13DD35CB"/>
    <w:rsid w:val="13E055B7"/>
    <w:rsid w:val="13E22C12"/>
    <w:rsid w:val="13ED15D8"/>
    <w:rsid w:val="13EF4A87"/>
    <w:rsid w:val="13F67FD6"/>
    <w:rsid w:val="140524CA"/>
    <w:rsid w:val="14122ED4"/>
    <w:rsid w:val="14126CB8"/>
    <w:rsid w:val="14152F25"/>
    <w:rsid w:val="14162150"/>
    <w:rsid w:val="141F59D2"/>
    <w:rsid w:val="142B1F63"/>
    <w:rsid w:val="144A52FF"/>
    <w:rsid w:val="14665894"/>
    <w:rsid w:val="1480651D"/>
    <w:rsid w:val="14841377"/>
    <w:rsid w:val="1485763A"/>
    <w:rsid w:val="148C0451"/>
    <w:rsid w:val="14983A03"/>
    <w:rsid w:val="1499304B"/>
    <w:rsid w:val="149C1AD9"/>
    <w:rsid w:val="14B93131"/>
    <w:rsid w:val="14BB1635"/>
    <w:rsid w:val="14C35E73"/>
    <w:rsid w:val="14CC7532"/>
    <w:rsid w:val="14CF355D"/>
    <w:rsid w:val="14D841AA"/>
    <w:rsid w:val="14D9723A"/>
    <w:rsid w:val="14EB0EFE"/>
    <w:rsid w:val="14F238DA"/>
    <w:rsid w:val="14F41FC1"/>
    <w:rsid w:val="15062BE1"/>
    <w:rsid w:val="150B1983"/>
    <w:rsid w:val="15105783"/>
    <w:rsid w:val="151A1CE7"/>
    <w:rsid w:val="152D205D"/>
    <w:rsid w:val="153A18BD"/>
    <w:rsid w:val="15415E49"/>
    <w:rsid w:val="15420091"/>
    <w:rsid w:val="15577984"/>
    <w:rsid w:val="155F3473"/>
    <w:rsid w:val="156030A4"/>
    <w:rsid w:val="15705DE8"/>
    <w:rsid w:val="15775E99"/>
    <w:rsid w:val="158079F8"/>
    <w:rsid w:val="158174CB"/>
    <w:rsid w:val="15841317"/>
    <w:rsid w:val="15842403"/>
    <w:rsid w:val="158B2D72"/>
    <w:rsid w:val="158F6D92"/>
    <w:rsid w:val="15984140"/>
    <w:rsid w:val="15A63CF9"/>
    <w:rsid w:val="15A72150"/>
    <w:rsid w:val="15A967DA"/>
    <w:rsid w:val="15AA08A2"/>
    <w:rsid w:val="15AA7797"/>
    <w:rsid w:val="15AE559E"/>
    <w:rsid w:val="15AF307C"/>
    <w:rsid w:val="15B57CF2"/>
    <w:rsid w:val="15C22650"/>
    <w:rsid w:val="15C63E7B"/>
    <w:rsid w:val="15CC0EFB"/>
    <w:rsid w:val="15DB15EF"/>
    <w:rsid w:val="15DC447F"/>
    <w:rsid w:val="15E02425"/>
    <w:rsid w:val="15E30B26"/>
    <w:rsid w:val="15E50137"/>
    <w:rsid w:val="15E546CB"/>
    <w:rsid w:val="15F00714"/>
    <w:rsid w:val="15F10D12"/>
    <w:rsid w:val="15F33FB1"/>
    <w:rsid w:val="15F6770D"/>
    <w:rsid w:val="15F93B00"/>
    <w:rsid w:val="160F5AD4"/>
    <w:rsid w:val="161C4897"/>
    <w:rsid w:val="161E030A"/>
    <w:rsid w:val="162E1800"/>
    <w:rsid w:val="162E2871"/>
    <w:rsid w:val="16311576"/>
    <w:rsid w:val="1640429D"/>
    <w:rsid w:val="164E7420"/>
    <w:rsid w:val="16537736"/>
    <w:rsid w:val="1662574A"/>
    <w:rsid w:val="16651897"/>
    <w:rsid w:val="16777C22"/>
    <w:rsid w:val="1680761A"/>
    <w:rsid w:val="16905E2F"/>
    <w:rsid w:val="16913CFE"/>
    <w:rsid w:val="16934C1E"/>
    <w:rsid w:val="16A10C26"/>
    <w:rsid w:val="16B269AA"/>
    <w:rsid w:val="16B87D73"/>
    <w:rsid w:val="16BB5853"/>
    <w:rsid w:val="16BE0F7B"/>
    <w:rsid w:val="16C47691"/>
    <w:rsid w:val="16C96D7A"/>
    <w:rsid w:val="16CD023D"/>
    <w:rsid w:val="16CF72F5"/>
    <w:rsid w:val="16D12D12"/>
    <w:rsid w:val="16DA0BFE"/>
    <w:rsid w:val="16DC3C84"/>
    <w:rsid w:val="16DD1EBB"/>
    <w:rsid w:val="16DD4130"/>
    <w:rsid w:val="16E12AF8"/>
    <w:rsid w:val="16E154C4"/>
    <w:rsid w:val="16E33DD2"/>
    <w:rsid w:val="16ED79ED"/>
    <w:rsid w:val="16F36DBD"/>
    <w:rsid w:val="16F629CB"/>
    <w:rsid w:val="16F7148E"/>
    <w:rsid w:val="16FD590E"/>
    <w:rsid w:val="170D2F48"/>
    <w:rsid w:val="171D5111"/>
    <w:rsid w:val="172511BD"/>
    <w:rsid w:val="17252203"/>
    <w:rsid w:val="172614BA"/>
    <w:rsid w:val="172D63D2"/>
    <w:rsid w:val="173271FF"/>
    <w:rsid w:val="173F10BA"/>
    <w:rsid w:val="17432218"/>
    <w:rsid w:val="174914D0"/>
    <w:rsid w:val="175066C2"/>
    <w:rsid w:val="175C6990"/>
    <w:rsid w:val="17632DC6"/>
    <w:rsid w:val="17641283"/>
    <w:rsid w:val="176443AF"/>
    <w:rsid w:val="176B520F"/>
    <w:rsid w:val="177745C8"/>
    <w:rsid w:val="17783D9A"/>
    <w:rsid w:val="177F4CFC"/>
    <w:rsid w:val="177F7BFE"/>
    <w:rsid w:val="17904D72"/>
    <w:rsid w:val="17910407"/>
    <w:rsid w:val="179474B0"/>
    <w:rsid w:val="179725AB"/>
    <w:rsid w:val="17B3195D"/>
    <w:rsid w:val="17B70BB5"/>
    <w:rsid w:val="17C34175"/>
    <w:rsid w:val="17CF7012"/>
    <w:rsid w:val="17D911DF"/>
    <w:rsid w:val="17D933C7"/>
    <w:rsid w:val="17E06880"/>
    <w:rsid w:val="17E63237"/>
    <w:rsid w:val="17E74BEF"/>
    <w:rsid w:val="17F414AB"/>
    <w:rsid w:val="17F9635E"/>
    <w:rsid w:val="17FD1DAB"/>
    <w:rsid w:val="1801431A"/>
    <w:rsid w:val="18162FC9"/>
    <w:rsid w:val="1818503E"/>
    <w:rsid w:val="181C5569"/>
    <w:rsid w:val="181E645C"/>
    <w:rsid w:val="182278AC"/>
    <w:rsid w:val="182346DF"/>
    <w:rsid w:val="18237DD0"/>
    <w:rsid w:val="182458DB"/>
    <w:rsid w:val="1826040D"/>
    <w:rsid w:val="182908B6"/>
    <w:rsid w:val="18316811"/>
    <w:rsid w:val="183441A9"/>
    <w:rsid w:val="1837216A"/>
    <w:rsid w:val="183C7667"/>
    <w:rsid w:val="183D0099"/>
    <w:rsid w:val="18415068"/>
    <w:rsid w:val="1842614F"/>
    <w:rsid w:val="184F39A2"/>
    <w:rsid w:val="1856532C"/>
    <w:rsid w:val="18575CA9"/>
    <w:rsid w:val="18602B45"/>
    <w:rsid w:val="186414AE"/>
    <w:rsid w:val="18707B92"/>
    <w:rsid w:val="187E7B0D"/>
    <w:rsid w:val="188C0AC0"/>
    <w:rsid w:val="189A5F9C"/>
    <w:rsid w:val="18AC00DB"/>
    <w:rsid w:val="18B0296E"/>
    <w:rsid w:val="18B057C0"/>
    <w:rsid w:val="18BA7A79"/>
    <w:rsid w:val="18BC2E77"/>
    <w:rsid w:val="18C56152"/>
    <w:rsid w:val="18CB07A2"/>
    <w:rsid w:val="18DA08FD"/>
    <w:rsid w:val="18E45E20"/>
    <w:rsid w:val="18E51E17"/>
    <w:rsid w:val="18FF7F3C"/>
    <w:rsid w:val="19006747"/>
    <w:rsid w:val="19095452"/>
    <w:rsid w:val="190A7387"/>
    <w:rsid w:val="190B448C"/>
    <w:rsid w:val="190C084C"/>
    <w:rsid w:val="190F0E05"/>
    <w:rsid w:val="191B392F"/>
    <w:rsid w:val="19206A1B"/>
    <w:rsid w:val="192347E7"/>
    <w:rsid w:val="193310BC"/>
    <w:rsid w:val="193B3E5D"/>
    <w:rsid w:val="194C1CEF"/>
    <w:rsid w:val="195A62BB"/>
    <w:rsid w:val="195D69FB"/>
    <w:rsid w:val="195F3593"/>
    <w:rsid w:val="1965002E"/>
    <w:rsid w:val="196704DB"/>
    <w:rsid w:val="19682677"/>
    <w:rsid w:val="196A5B1D"/>
    <w:rsid w:val="196C070C"/>
    <w:rsid w:val="196C6506"/>
    <w:rsid w:val="196D718F"/>
    <w:rsid w:val="196E55E2"/>
    <w:rsid w:val="196F7DE9"/>
    <w:rsid w:val="197266D2"/>
    <w:rsid w:val="19727892"/>
    <w:rsid w:val="197B7B7C"/>
    <w:rsid w:val="197C0B8C"/>
    <w:rsid w:val="197D721E"/>
    <w:rsid w:val="197F222F"/>
    <w:rsid w:val="19815310"/>
    <w:rsid w:val="19837EAC"/>
    <w:rsid w:val="19843306"/>
    <w:rsid w:val="19847557"/>
    <w:rsid w:val="198D3594"/>
    <w:rsid w:val="19920602"/>
    <w:rsid w:val="199806A9"/>
    <w:rsid w:val="19A94924"/>
    <w:rsid w:val="19AD2D29"/>
    <w:rsid w:val="19AF64D3"/>
    <w:rsid w:val="19B87118"/>
    <w:rsid w:val="19B87156"/>
    <w:rsid w:val="19BF7E83"/>
    <w:rsid w:val="19C33288"/>
    <w:rsid w:val="19C50257"/>
    <w:rsid w:val="19CF490B"/>
    <w:rsid w:val="19D309DF"/>
    <w:rsid w:val="19D925F2"/>
    <w:rsid w:val="19DC151E"/>
    <w:rsid w:val="19ED2756"/>
    <w:rsid w:val="19F5031B"/>
    <w:rsid w:val="19F52545"/>
    <w:rsid w:val="19F847D6"/>
    <w:rsid w:val="1A0721B8"/>
    <w:rsid w:val="1A0A3A0A"/>
    <w:rsid w:val="1A0F084C"/>
    <w:rsid w:val="1A11629B"/>
    <w:rsid w:val="1A1D631D"/>
    <w:rsid w:val="1A24695C"/>
    <w:rsid w:val="1A2A6D37"/>
    <w:rsid w:val="1A2C6E7B"/>
    <w:rsid w:val="1A322500"/>
    <w:rsid w:val="1A35541E"/>
    <w:rsid w:val="1A3725BA"/>
    <w:rsid w:val="1A3E7A6B"/>
    <w:rsid w:val="1A460858"/>
    <w:rsid w:val="1A480D5A"/>
    <w:rsid w:val="1A786D35"/>
    <w:rsid w:val="1A794FF3"/>
    <w:rsid w:val="1A7C14BD"/>
    <w:rsid w:val="1A824A21"/>
    <w:rsid w:val="1A845A7B"/>
    <w:rsid w:val="1A860DE2"/>
    <w:rsid w:val="1A89138C"/>
    <w:rsid w:val="1A8E5287"/>
    <w:rsid w:val="1A9D7097"/>
    <w:rsid w:val="1A9E4F8C"/>
    <w:rsid w:val="1AA01126"/>
    <w:rsid w:val="1AA47D21"/>
    <w:rsid w:val="1AA83D17"/>
    <w:rsid w:val="1AAD01AC"/>
    <w:rsid w:val="1AB11A6A"/>
    <w:rsid w:val="1AB30798"/>
    <w:rsid w:val="1AB34776"/>
    <w:rsid w:val="1ABA1840"/>
    <w:rsid w:val="1ACE7693"/>
    <w:rsid w:val="1AE25943"/>
    <w:rsid w:val="1AE75563"/>
    <w:rsid w:val="1AEA31A6"/>
    <w:rsid w:val="1AF158BC"/>
    <w:rsid w:val="1AFA0F74"/>
    <w:rsid w:val="1B031DE8"/>
    <w:rsid w:val="1B085E1F"/>
    <w:rsid w:val="1B0C5A2A"/>
    <w:rsid w:val="1B0F419B"/>
    <w:rsid w:val="1B160E6C"/>
    <w:rsid w:val="1B181C65"/>
    <w:rsid w:val="1B196B80"/>
    <w:rsid w:val="1B263775"/>
    <w:rsid w:val="1B2B667D"/>
    <w:rsid w:val="1B2C5F21"/>
    <w:rsid w:val="1B2D464E"/>
    <w:rsid w:val="1B2E5932"/>
    <w:rsid w:val="1B3352A0"/>
    <w:rsid w:val="1B342C3F"/>
    <w:rsid w:val="1B3F7ADC"/>
    <w:rsid w:val="1B4220C1"/>
    <w:rsid w:val="1B50573A"/>
    <w:rsid w:val="1B542C7D"/>
    <w:rsid w:val="1B5C2B00"/>
    <w:rsid w:val="1B63418E"/>
    <w:rsid w:val="1B636D8E"/>
    <w:rsid w:val="1B697245"/>
    <w:rsid w:val="1B702375"/>
    <w:rsid w:val="1B7103AC"/>
    <w:rsid w:val="1B791F1E"/>
    <w:rsid w:val="1B7B588D"/>
    <w:rsid w:val="1B7C2621"/>
    <w:rsid w:val="1B7C5541"/>
    <w:rsid w:val="1B7D54DD"/>
    <w:rsid w:val="1B8A60B0"/>
    <w:rsid w:val="1B8F48B1"/>
    <w:rsid w:val="1B9311A0"/>
    <w:rsid w:val="1B967CD3"/>
    <w:rsid w:val="1B9803A4"/>
    <w:rsid w:val="1BAB49FC"/>
    <w:rsid w:val="1BAD4238"/>
    <w:rsid w:val="1BAF0730"/>
    <w:rsid w:val="1BB00481"/>
    <w:rsid w:val="1BB309FB"/>
    <w:rsid w:val="1BB41172"/>
    <w:rsid w:val="1BBF2581"/>
    <w:rsid w:val="1BC26CD4"/>
    <w:rsid w:val="1BCD746A"/>
    <w:rsid w:val="1BD104EB"/>
    <w:rsid w:val="1BD207DE"/>
    <w:rsid w:val="1BE02603"/>
    <w:rsid w:val="1BE503F3"/>
    <w:rsid w:val="1BE84644"/>
    <w:rsid w:val="1BF5073D"/>
    <w:rsid w:val="1BF77D4F"/>
    <w:rsid w:val="1C031C0D"/>
    <w:rsid w:val="1C0B2C5E"/>
    <w:rsid w:val="1C0D486C"/>
    <w:rsid w:val="1C164ED3"/>
    <w:rsid w:val="1C2038B1"/>
    <w:rsid w:val="1C276E3A"/>
    <w:rsid w:val="1C2A44DB"/>
    <w:rsid w:val="1C364884"/>
    <w:rsid w:val="1C440407"/>
    <w:rsid w:val="1C4A07EB"/>
    <w:rsid w:val="1C5E0ABA"/>
    <w:rsid w:val="1C5E7147"/>
    <w:rsid w:val="1C63251F"/>
    <w:rsid w:val="1C652154"/>
    <w:rsid w:val="1C6F18C1"/>
    <w:rsid w:val="1C74342B"/>
    <w:rsid w:val="1C752AD4"/>
    <w:rsid w:val="1C7B348C"/>
    <w:rsid w:val="1C7C1298"/>
    <w:rsid w:val="1C7C676C"/>
    <w:rsid w:val="1C7E5C4D"/>
    <w:rsid w:val="1C942CC0"/>
    <w:rsid w:val="1C981008"/>
    <w:rsid w:val="1CA35E52"/>
    <w:rsid w:val="1CA51D2F"/>
    <w:rsid w:val="1CA822F9"/>
    <w:rsid w:val="1CA829BF"/>
    <w:rsid w:val="1CA97F81"/>
    <w:rsid w:val="1CB15378"/>
    <w:rsid w:val="1CB17D58"/>
    <w:rsid w:val="1CBC30B3"/>
    <w:rsid w:val="1CC0560B"/>
    <w:rsid w:val="1CC37ABE"/>
    <w:rsid w:val="1CCA4CC8"/>
    <w:rsid w:val="1CD307B8"/>
    <w:rsid w:val="1CD8609E"/>
    <w:rsid w:val="1CD90F87"/>
    <w:rsid w:val="1CE1563A"/>
    <w:rsid w:val="1CEF6806"/>
    <w:rsid w:val="1D0156FB"/>
    <w:rsid w:val="1D0200ED"/>
    <w:rsid w:val="1D021058"/>
    <w:rsid w:val="1D10367E"/>
    <w:rsid w:val="1D143B42"/>
    <w:rsid w:val="1D1452EC"/>
    <w:rsid w:val="1D2422D8"/>
    <w:rsid w:val="1D301018"/>
    <w:rsid w:val="1D315580"/>
    <w:rsid w:val="1D382A91"/>
    <w:rsid w:val="1D38694B"/>
    <w:rsid w:val="1D42558B"/>
    <w:rsid w:val="1D4917D5"/>
    <w:rsid w:val="1D525A95"/>
    <w:rsid w:val="1D570D33"/>
    <w:rsid w:val="1D6076B4"/>
    <w:rsid w:val="1D6168D8"/>
    <w:rsid w:val="1D675CE2"/>
    <w:rsid w:val="1D7A1E96"/>
    <w:rsid w:val="1D7C7F4B"/>
    <w:rsid w:val="1D82145C"/>
    <w:rsid w:val="1D823EBE"/>
    <w:rsid w:val="1D86535F"/>
    <w:rsid w:val="1D881215"/>
    <w:rsid w:val="1D8A4AD5"/>
    <w:rsid w:val="1D8B528B"/>
    <w:rsid w:val="1D931BA7"/>
    <w:rsid w:val="1D990635"/>
    <w:rsid w:val="1D9E4602"/>
    <w:rsid w:val="1DA3747D"/>
    <w:rsid w:val="1DAC3721"/>
    <w:rsid w:val="1DAC5347"/>
    <w:rsid w:val="1DAD65E4"/>
    <w:rsid w:val="1DD43EF1"/>
    <w:rsid w:val="1DE0090E"/>
    <w:rsid w:val="1DE177C3"/>
    <w:rsid w:val="1DED1C86"/>
    <w:rsid w:val="1DEE6CE8"/>
    <w:rsid w:val="1DF423BD"/>
    <w:rsid w:val="1DF54A37"/>
    <w:rsid w:val="1DFB5672"/>
    <w:rsid w:val="1DFD3F11"/>
    <w:rsid w:val="1E007B7D"/>
    <w:rsid w:val="1E041D74"/>
    <w:rsid w:val="1E0D548A"/>
    <w:rsid w:val="1E103B27"/>
    <w:rsid w:val="1E1D43BE"/>
    <w:rsid w:val="1E1F1152"/>
    <w:rsid w:val="1E29764F"/>
    <w:rsid w:val="1E2E7340"/>
    <w:rsid w:val="1E310B22"/>
    <w:rsid w:val="1E314B1A"/>
    <w:rsid w:val="1E350525"/>
    <w:rsid w:val="1E3727F8"/>
    <w:rsid w:val="1E3A6697"/>
    <w:rsid w:val="1E484F7E"/>
    <w:rsid w:val="1E48744A"/>
    <w:rsid w:val="1E4F128E"/>
    <w:rsid w:val="1E5E4019"/>
    <w:rsid w:val="1E5E730F"/>
    <w:rsid w:val="1E64177F"/>
    <w:rsid w:val="1E673791"/>
    <w:rsid w:val="1E6859BC"/>
    <w:rsid w:val="1E6D1EC4"/>
    <w:rsid w:val="1E7535D3"/>
    <w:rsid w:val="1E7735E4"/>
    <w:rsid w:val="1E7A2618"/>
    <w:rsid w:val="1E7E35F9"/>
    <w:rsid w:val="1E8A1B9D"/>
    <w:rsid w:val="1E9110E5"/>
    <w:rsid w:val="1E9B481C"/>
    <w:rsid w:val="1EA4700A"/>
    <w:rsid w:val="1EA60B92"/>
    <w:rsid w:val="1EB42FF3"/>
    <w:rsid w:val="1EB432E4"/>
    <w:rsid w:val="1EB54A12"/>
    <w:rsid w:val="1EBC65FF"/>
    <w:rsid w:val="1EBF56C9"/>
    <w:rsid w:val="1EC6075E"/>
    <w:rsid w:val="1EC77E88"/>
    <w:rsid w:val="1EC920E5"/>
    <w:rsid w:val="1ED37CF3"/>
    <w:rsid w:val="1ED45976"/>
    <w:rsid w:val="1EE25BD5"/>
    <w:rsid w:val="1EF15E85"/>
    <w:rsid w:val="1EF92448"/>
    <w:rsid w:val="1EF97235"/>
    <w:rsid w:val="1EFD427E"/>
    <w:rsid w:val="1EFE5B5D"/>
    <w:rsid w:val="1EFE740B"/>
    <w:rsid w:val="1F0567B6"/>
    <w:rsid w:val="1F066AA9"/>
    <w:rsid w:val="1F0D520B"/>
    <w:rsid w:val="1F174132"/>
    <w:rsid w:val="1F1F3BB7"/>
    <w:rsid w:val="1F200123"/>
    <w:rsid w:val="1F2325CA"/>
    <w:rsid w:val="1F25775C"/>
    <w:rsid w:val="1F2E7674"/>
    <w:rsid w:val="1F300B93"/>
    <w:rsid w:val="1F3A2D1B"/>
    <w:rsid w:val="1F3C4E1E"/>
    <w:rsid w:val="1F3C5FFF"/>
    <w:rsid w:val="1F437DC6"/>
    <w:rsid w:val="1F48573F"/>
    <w:rsid w:val="1F4C1E73"/>
    <w:rsid w:val="1F4E0131"/>
    <w:rsid w:val="1F5A1320"/>
    <w:rsid w:val="1F720436"/>
    <w:rsid w:val="1F756F79"/>
    <w:rsid w:val="1F775634"/>
    <w:rsid w:val="1F8030A4"/>
    <w:rsid w:val="1F8B3329"/>
    <w:rsid w:val="1F9178B6"/>
    <w:rsid w:val="1F95036F"/>
    <w:rsid w:val="1F985A49"/>
    <w:rsid w:val="1F994D23"/>
    <w:rsid w:val="1FA17949"/>
    <w:rsid w:val="1FA73E22"/>
    <w:rsid w:val="1FAD7C02"/>
    <w:rsid w:val="1FAE1D28"/>
    <w:rsid w:val="1FB3495A"/>
    <w:rsid w:val="1FCB6B6F"/>
    <w:rsid w:val="1FCE463F"/>
    <w:rsid w:val="1FD30839"/>
    <w:rsid w:val="1FD97C79"/>
    <w:rsid w:val="1FDB1336"/>
    <w:rsid w:val="1FDC4E43"/>
    <w:rsid w:val="1FE044C6"/>
    <w:rsid w:val="1FE741BD"/>
    <w:rsid w:val="1FE84DDD"/>
    <w:rsid w:val="1FE9457F"/>
    <w:rsid w:val="1FF70178"/>
    <w:rsid w:val="1FFF31DB"/>
    <w:rsid w:val="20032679"/>
    <w:rsid w:val="20072250"/>
    <w:rsid w:val="20174376"/>
    <w:rsid w:val="20175DC6"/>
    <w:rsid w:val="2023019A"/>
    <w:rsid w:val="20235D2D"/>
    <w:rsid w:val="202449AE"/>
    <w:rsid w:val="2033583E"/>
    <w:rsid w:val="2036778C"/>
    <w:rsid w:val="20440E01"/>
    <w:rsid w:val="20492095"/>
    <w:rsid w:val="20495797"/>
    <w:rsid w:val="204C1BC0"/>
    <w:rsid w:val="20501A3F"/>
    <w:rsid w:val="20645A1B"/>
    <w:rsid w:val="206A3BE2"/>
    <w:rsid w:val="206A4E82"/>
    <w:rsid w:val="206B1C00"/>
    <w:rsid w:val="20744C39"/>
    <w:rsid w:val="20751E7D"/>
    <w:rsid w:val="20752C7A"/>
    <w:rsid w:val="207D1368"/>
    <w:rsid w:val="207F1C28"/>
    <w:rsid w:val="20801000"/>
    <w:rsid w:val="208A2643"/>
    <w:rsid w:val="208C544D"/>
    <w:rsid w:val="208D461A"/>
    <w:rsid w:val="208E7664"/>
    <w:rsid w:val="20991B8D"/>
    <w:rsid w:val="20A84C9C"/>
    <w:rsid w:val="20B525EF"/>
    <w:rsid w:val="20C0056A"/>
    <w:rsid w:val="20CC33B3"/>
    <w:rsid w:val="20D23D78"/>
    <w:rsid w:val="20D3431A"/>
    <w:rsid w:val="20D45270"/>
    <w:rsid w:val="20D91558"/>
    <w:rsid w:val="20DB33C9"/>
    <w:rsid w:val="20DC3361"/>
    <w:rsid w:val="20E06E5E"/>
    <w:rsid w:val="20EC0873"/>
    <w:rsid w:val="20F608C0"/>
    <w:rsid w:val="20F75C64"/>
    <w:rsid w:val="2108702D"/>
    <w:rsid w:val="210E2ED9"/>
    <w:rsid w:val="210F50BD"/>
    <w:rsid w:val="2110329F"/>
    <w:rsid w:val="2123014F"/>
    <w:rsid w:val="212738FD"/>
    <w:rsid w:val="212A0D09"/>
    <w:rsid w:val="212B727B"/>
    <w:rsid w:val="21304D65"/>
    <w:rsid w:val="21313231"/>
    <w:rsid w:val="21332C24"/>
    <w:rsid w:val="213A0F1D"/>
    <w:rsid w:val="213E59D4"/>
    <w:rsid w:val="214119F6"/>
    <w:rsid w:val="214C2711"/>
    <w:rsid w:val="2152138B"/>
    <w:rsid w:val="21664CC6"/>
    <w:rsid w:val="21666882"/>
    <w:rsid w:val="216745FD"/>
    <w:rsid w:val="21674CCD"/>
    <w:rsid w:val="21685BAA"/>
    <w:rsid w:val="216D1AAD"/>
    <w:rsid w:val="217734E1"/>
    <w:rsid w:val="217A66C9"/>
    <w:rsid w:val="217F719C"/>
    <w:rsid w:val="21852256"/>
    <w:rsid w:val="21864455"/>
    <w:rsid w:val="21896947"/>
    <w:rsid w:val="21897146"/>
    <w:rsid w:val="218A3248"/>
    <w:rsid w:val="218B68A8"/>
    <w:rsid w:val="219B705D"/>
    <w:rsid w:val="21A901F6"/>
    <w:rsid w:val="21AC5B83"/>
    <w:rsid w:val="21AC65E9"/>
    <w:rsid w:val="21B01374"/>
    <w:rsid w:val="21B75F33"/>
    <w:rsid w:val="21BA6494"/>
    <w:rsid w:val="21C442CD"/>
    <w:rsid w:val="21CA00F3"/>
    <w:rsid w:val="21CE659A"/>
    <w:rsid w:val="21CF6D50"/>
    <w:rsid w:val="21D928EE"/>
    <w:rsid w:val="21DA2CCA"/>
    <w:rsid w:val="21DE05B2"/>
    <w:rsid w:val="21DE122F"/>
    <w:rsid w:val="21EB262E"/>
    <w:rsid w:val="21F84C13"/>
    <w:rsid w:val="21FA7280"/>
    <w:rsid w:val="22076734"/>
    <w:rsid w:val="22085530"/>
    <w:rsid w:val="22120A2D"/>
    <w:rsid w:val="22134149"/>
    <w:rsid w:val="22192627"/>
    <w:rsid w:val="22233E18"/>
    <w:rsid w:val="22243E08"/>
    <w:rsid w:val="22282A51"/>
    <w:rsid w:val="22333ACE"/>
    <w:rsid w:val="22380187"/>
    <w:rsid w:val="223F5781"/>
    <w:rsid w:val="224A567E"/>
    <w:rsid w:val="224A6351"/>
    <w:rsid w:val="224D186C"/>
    <w:rsid w:val="224F429B"/>
    <w:rsid w:val="22663E30"/>
    <w:rsid w:val="2268147A"/>
    <w:rsid w:val="226F0584"/>
    <w:rsid w:val="227009FE"/>
    <w:rsid w:val="227960B2"/>
    <w:rsid w:val="22880F40"/>
    <w:rsid w:val="22A73EA7"/>
    <w:rsid w:val="22AF1576"/>
    <w:rsid w:val="22AF5B43"/>
    <w:rsid w:val="22B66E5B"/>
    <w:rsid w:val="22C03531"/>
    <w:rsid w:val="22D528E7"/>
    <w:rsid w:val="22E12829"/>
    <w:rsid w:val="22E71C5B"/>
    <w:rsid w:val="22F400A8"/>
    <w:rsid w:val="231E0A26"/>
    <w:rsid w:val="231F0F91"/>
    <w:rsid w:val="2323027F"/>
    <w:rsid w:val="23241FF6"/>
    <w:rsid w:val="2324632C"/>
    <w:rsid w:val="232864B2"/>
    <w:rsid w:val="232B1534"/>
    <w:rsid w:val="233800F8"/>
    <w:rsid w:val="233A2438"/>
    <w:rsid w:val="233E5416"/>
    <w:rsid w:val="234204CA"/>
    <w:rsid w:val="234931B8"/>
    <w:rsid w:val="235020FA"/>
    <w:rsid w:val="23531A7D"/>
    <w:rsid w:val="2355713B"/>
    <w:rsid w:val="235F57E6"/>
    <w:rsid w:val="235F626A"/>
    <w:rsid w:val="23660AAE"/>
    <w:rsid w:val="236C4EAD"/>
    <w:rsid w:val="236F3309"/>
    <w:rsid w:val="23795573"/>
    <w:rsid w:val="238E4331"/>
    <w:rsid w:val="239460B1"/>
    <w:rsid w:val="239861B9"/>
    <w:rsid w:val="239E3437"/>
    <w:rsid w:val="23A20059"/>
    <w:rsid w:val="23AD4A96"/>
    <w:rsid w:val="23AE1078"/>
    <w:rsid w:val="23B06046"/>
    <w:rsid w:val="23B30686"/>
    <w:rsid w:val="23B42AC3"/>
    <w:rsid w:val="23B8695D"/>
    <w:rsid w:val="23BB33EC"/>
    <w:rsid w:val="23BB3AA1"/>
    <w:rsid w:val="23C6146D"/>
    <w:rsid w:val="23C73DB8"/>
    <w:rsid w:val="23C80334"/>
    <w:rsid w:val="23CC0A7A"/>
    <w:rsid w:val="23E12B6F"/>
    <w:rsid w:val="23E50D8F"/>
    <w:rsid w:val="23E734D7"/>
    <w:rsid w:val="23EC7666"/>
    <w:rsid w:val="23F4677D"/>
    <w:rsid w:val="24015121"/>
    <w:rsid w:val="24142375"/>
    <w:rsid w:val="24154EEB"/>
    <w:rsid w:val="241C4968"/>
    <w:rsid w:val="242243E4"/>
    <w:rsid w:val="242249CB"/>
    <w:rsid w:val="24233F5F"/>
    <w:rsid w:val="242B5124"/>
    <w:rsid w:val="242D0C21"/>
    <w:rsid w:val="243601D6"/>
    <w:rsid w:val="24366AC8"/>
    <w:rsid w:val="243B21BF"/>
    <w:rsid w:val="24456F85"/>
    <w:rsid w:val="244E1665"/>
    <w:rsid w:val="245203CA"/>
    <w:rsid w:val="24521405"/>
    <w:rsid w:val="245573CD"/>
    <w:rsid w:val="24601CF3"/>
    <w:rsid w:val="24777032"/>
    <w:rsid w:val="247B3A37"/>
    <w:rsid w:val="247F56A7"/>
    <w:rsid w:val="2482335A"/>
    <w:rsid w:val="24826D23"/>
    <w:rsid w:val="248B6C54"/>
    <w:rsid w:val="249443BB"/>
    <w:rsid w:val="24A5730A"/>
    <w:rsid w:val="24AF6548"/>
    <w:rsid w:val="24B33474"/>
    <w:rsid w:val="24B648A8"/>
    <w:rsid w:val="24B959FC"/>
    <w:rsid w:val="24BC0B2C"/>
    <w:rsid w:val="24BDC67C"/>
    <w:rsid w:val="24BE5498"/>
    <w:rsid w:val="24C8736F"/>
    <w:rsid w:val="24C97A12"/>
    <w:rsid w:val="24CB46E4"/>
    <w:rsid w:val="24DA6C58"/>
    <w:rsid w:val="24E11D9F"/>
    <w:rsid w:val="24ED02FA"/>
    <w:rsid w:val="24F30CF9"/>
    <w:rsid w:val="24FE5793"/>
    <w:rsid w:val="25011F31"/>
    <w:rsid w:val="250452C2"/>
    <w:rsid w:val="25127281"/>
    <w:rsid w:val="2515207E"/>
    <w:rsid w:val="251A37FF"/>
    <w:rsid w:val="25211AD8"/>
    <w:rsid w:val="25385069"/>
    <w:rsid w:val="254A6D51"/>
    <w:rsid w:val="254F7196"/>
    <w:rsid w:val="25562DC3"/>
    <w:rsid w:val="255B5DFD"/>
    <w:rsid w:val="25631B7E"/>
    <w:rsid w:val="25645885"/>
    <w:rsid w:val="2564706C"/>
    <w:rsid w:val="25683825"/>
    <w:rsid w:val="25725DCE"/>
    <w:rsid w:val="257478AC"/>
    <w:rsid w:val="257A19A8"/>
    <w:rsid w:val="25817DF5"/>
    <w:rsid w:val="2587649B"/>
    <w:rsid w:val="25967543"/>
    <w:rsid w:val="259B64CC"/>
    <w:rsid w:val="259F50A7"/>
    <w:rsid w:val="25A42D73"/>
    <w:rsid w:val="25A8720A"/>
    <w:rsid w:val="25B45519"/>
    <w:rsid w:val="25C30952"/>
    <w:rsid w:val="25C626C7"/>
    <w:rsid w:val="25C72C82"/>
    <w:rsid w:val="25CC4312"/>
    <w:rsid w:val="25D16EC5"/>
    <w:rsid w:val="25DE51DB"/>
    <w:rsid w:val="25E24FF3"/>
    <w:rsid w:val="25E73628"/>
    <w:rsid w:val="25EE1E4B"/>
    <w:rsid w:val="25EF0E27"/>
    <w:rsid w:val="25F627A0"/>
    <w:rsid w:val="25F72F79"/>
    <w:rsid w:val="25F7612F"/>
    <w:rsid w:val="25F85A67"/>
    <w:rsid w:val="25FD41A7"/>
    <w:rsid w:val="260A7A45"/>
    <w:rsid w:val="26155682"/>
    <w:rsid w:val="261704D4"/>
    <w:rsid w:val="261D7F1E"/>
    <w:rsid w:val="262114F5"/>
    <w:rsid w:val="26296BC2"/>
    <w:rsid w:val="262A053E"/>
    <w:rsid w:val="262B7B34"/>
    <w:rsid w:val="262F6014"/>
    <w:rsid w:val="26302E45"/>
    <w:rsid w:val="263B0B1D"/>
    <w:rsid w:val="263D006F"/>
    <w:rsid w:val="264B6B41"/>
    <w:rsid w:val="264D30D9"/>
    <w:rsid w:val="26504F3D"/>
    <w:rsid w:val="2654098E"/>
    <w:rsid w:val="2671446C"/>
    <w:rsid w:val="26745166"/>
    <w:rsid w:val="26751582"/>
    <w:rsid w:val="26780E16"/>
    <w:rsid w:val="267925ED"/>
    <w:rsid w:val="2682732E"/>
    <w:rsid w:val="2686EE6E"/>
    <w:rsid w:val="268B5C21"/>
    <w:rsid w:val="2698508A"/>
    <w:rsid w:val="269A68E2"/>
    <w:rsid w:val="269D294C"/>
    <w:rsid w:val="269D6224"/>
    <w:rsid w:val="269F4FF2"/>
    <w:rsid w:val="26A95935"/>
    <w:rsid w:val="26AB75C6"/>
    <w:rsid w:val="26AC550E"/>
    <w:rsid w:val="26AF7BD7"/>
    <w:rsid w:val="26C04935"/>
    <w:rsid w:val="26D15431"/>
    <w:rsid w:val="26D16405"/>
    <w:rsid w:val="26D24327"/>
    <w:rsid w:val="26D878DD"/>
    <w:rsid w:val="26DC12F9"/>
    <w:rsid w:val="26E254CF"/>
    <w:rsid w:val="26E455CC"/>
    <w:rsid w:val="26E8750F"/>
    <w:rsid w:val="26F0040F"/>
    <w:rsid w:val="26F27D6D"/>
    <w:rsid w:val="26F36390"/>
    <w:rsid w:val="26F62F37"/>
    <w:rsid w:val="26F66C87"/>
    <w:rsid w:val="26F838F1"/>
    <w:rsid w:val="27051AB1"/>
    <w:rsid w:val="270B4E8B"/>
    <w:rsid w:val="271176C3"/>
    <w:rsid w:val="27124A7C"/>
    <w:rsid w:val="27160EE4"/>
    <w:rsid w:val="27244727"/>
    <w:rsid w:val="27265FC6"/>
    <w:rsid w:val="273B5008"/>
    <w:rsid w:val="2749160C"/>
    <w:rsid w:val="274A0887"/>
    <w:rsid w:val="274A3E14"/>
    <w:rsid w:val="274F61B8"/>
    <w:rsid w:val="27621854"/>
    <w:rsid w:val="27677898"/>
    <w:rsid w:val="276F1CF7"/>
    <w:rsid w:val="27700B16"/>
    <w:rsid w:val="27754BC3"/>
    <w:rsid w:val="277A5E02"/>
    <w:rsid w:val="277B51EB"/>
    <w:rsid w:val="27817DE9"/>
    <w:rsid w:val="2783457B"/>
    <w:rsid w:val="27985122"/>
    <w:rsid w:val="279B6824"/>
    <w:rsid w:val="27A14AE6"/>
    <w:rsid w:val="27B34155"/>
    <w:rsid w:val="27BC44FB"/>
    <w:rsid w:val="27C300C4"/>
    <w:rsid w:val="27C54D70"/>
    <w:rsid w:val="27C85B7A"/>
    <w:rsid w:val="27CB45CE"/>
    <w:rsid w:val="27D950A3"/>
    <w:rsid w:val="27ED707E"/>
    <w:rsid w:val="27FC16C1"/>
    <w:rsid w:val="27FF611C"/>
    <w:rsid w:val="28004B69"/>
    <w:rsid w:val="28076FFB"/>
    <w:rsid w:val="280B64A4"/>
    <w:rsid w:val="28134E6B"/>
    <w:rsid w:val="281732DC"/>
    <w:rsid w:val="281D6FEB"/>
    <w:rsid w:val="282D6BF4"/>
    <w:rsid w:val="28362ACB"/>
    <w:rsid w:val="28370CCA"/>
    <w:rsid w:val="283E1036"/>
    <w:rsid w:val="284445EA"/>
    <w:rsid w:val="28534762"/>
    <w:rsid w:val="285659C7"/>
    <w:rsid w:val="285773F3"/>
    <w:rsid w:val="285A5999"/>
    <w:rsid w:val="285B14AA"/>
    <w:rsid w:val="285D679A"/>
    <w:rsid w:val="285E4472"/>
    <w:rsid w:val="28697739"/>
    <w:rsid w:val="286D7C9D"/>
    <w:rsid w:val="28727D3A"/>
    <w:rsid w:val="2879245E"/>
    <w:rsid w:val="287A41A1"/>
    <w:rsid w:val="287D2FA7"/>
    <w:rsid w:val="28831525"/>
    <w:rsid w:val="289167D9"/>
    <w:rsid w:val="289279D1"/>
    <w:rsid w:val="2893153E"/>
    <w:rsid w:val="28946BAC"/>
    <w:rsid w:val="289B3F5F"/>
    <w:rsid w:val="28A02231"/>
    <w:rsid w:val="28A224C2"/>
    <w:rsid w:val="28B50FCF"/>
    <w:rsid w:val="28B873BC"/>
    <w:rsid w:val="28B933BD"/>
    <w:rsid w:val="28BB5512"/>
    <w:rsid w:val="28BC3849"/>
    <w:rsid w:val="28C05976"/>
    <w:rsid w:val="28C3013D"/>
    <w:rsid w:val="28C92801"/>
    <w:rsid w:val="28D009D1"/>
    <w:rsid w:val="28D06FEB"/>
    <w:rsid w:val="28D74770"/>
    <w:rsid w:val="28DB494E"/>
    <w:rsid w:val="28DC2BA6"/>
    <w:rsid w:val="28DE1ED5"/>
    <w:rsid w:val="28DE5414"/>
    <w:rsid w:val="28E13773"/>
    <w:rsid w:val="28E67F77"/>
    <w:rsid w:val="28EE1BCC"/>
    <w:rsid w:val="28F00477"/>
    <w:rsid w:val="28F83E00"/>
    <w:rsid w:val="28FE61A4"/>
    <w:rsid w:val="28FF1B25"/>
    <w:rsid w:val="29026091"/>
    <w:rsid w:val="2909680B"/>
    <w:rsid w:val="290E7AF5"/>
    <w:rsid w:val="29114B82"/>
    <w:rsid w:val="29144B26"/>
    <w:rsid w:val="29194CBB"/>
    <w:rsid w:val="291C4B37"/>
    <w:rsid w:val="29247539"/>
    <w:rsid w:val="29294491"/>
    <w:rsid w:val="292B21FC"/>
    <w:rsid w:val="293F3B13"/>
    <w:rsid w:val="293F56AC"/>
    <w:rsid w:val="294130C4"/>
    <w:rsid w:val="294273C1"/>
    <w:rsid w:val="29440C00"/>
    <w:rsid w:val="294D51F9"/>
    <w:rsid w:val="294E060D"/>
    <w:rsid w:val="2956681C"/>
    <w:rsid w:val="29566AA7"/>
    <w:rsid w:val="29570E1F"/>
    <w:rsid w:val="29692776"/>
    <w:rsid w:val="297006BA"/>
    <w:rsid w:val="2975374C"/>
    <w:rsid w:val="297A5550"/>
    <w:rsid w:val="2984046F"/>
    <w:rsid w:val="29845195"/>
    <w:rsid w:val="298653E4"/>
    <w:rsid w:val="29883BEF"/>
    <w:rsid w:val="298935CD"/>
    <w:rsid w:val="298C4BCA"/>
    <w:rsid w:val="298E370E"/>
    <w:rsid w:val="29905FA1"/>
    <w:rsid w:val="29936336"/>
    <w:rsid w:val="299C345D"/>
    <w:rsid w:val="299E1B2D"/>
    <w:rsid w:val="29B00DCC"/>
    <w:rsid w:val="29B04B79"/>
    <w:rsid w:val="29B245D9"/>
    <w:rsid w:val="29DA250F"/>
    <w:rsid w:val="29DD6CF4"/>
    <w:rsid w:val="29E548CE"/>
    <w:rsid w:val="29F324E4"/>
    <w:rsid w:val="29FB26BC"/>
    <w:rsid w:val="29FD4227"/>
    <w:rsid w:val="2A00146D"/>
    <w:rsid w:val="2A062C97"/>
    <w:rsid w:val="2A0C1F62"/>
    <w:rsid w:val="2A104300"/>
    <w:rsid w:val="2A157830"/>
    <w:rsid w:val="2A1F4553"/>
    <w:rsid w:val="2A245E4B"/>
    <w:rsid w:val="2A2A7FF3"/>
    <w:rsid w:val="2A3459A1"/>
    <w:rsid w:val="2A4108E6"/>
    <w:rsid w:val="2A423259"/>
    <w:rsid w:val="2A4426C2"/>
    <w:rsid w:val="2A5C3332"/>
    <w:rsid w:val="2A676B6B"/>
    <w:rsid w:val="2A6A0B9D"/>
    <w:rsid w:val="2A7105A1"/>
    <w:rsid w:val="2A7858CE"/>
    <w:rsid w:val="2A890BFB"/>
    <w:rsid w:val="2A8F01D1"/>
    <w:rsid w:val="2A910103"/>
    <w:rsid w:val="2A9D03ED"/>
    <w:rsid w:val="2AB07A18"/>
    <w:rsid w:val="2AB7595D"/>
    <w:rsid w:val="2ABA6273"/>
    <w:rsid w:val="2ABD03C6"/>
    <w:rsid w:val="2AC3029B"/>
    <w:rsid w:val="2AC375D4"/>
    <w:rsid w:val="2AD7204C"/>
    <w:rsid w:val="2ADC67F6"/>
    <w:rsid w:val="2AF453BA"/>
    <w:rsid w:val="2AF510AE"/>
    <w:rsid w:val="2B03773C"/>
    <w:rsid w:val="2B164104"/>
    <w:rsid w:val="2B21249C"/>
    <w:rsid w:val="2B2C0694"/>
    <w:rsid w:val="2B2D0B33"/>
    <w:rsid w:val="2B34327F"/>
    <w:rsid w:val="2B3713EA"/>
    <w:rsid w:val="2B4C64B1"/>
    <w:rsid w:val="2B5037A1"/>
    <w:rsid w:val="2B5A65A4"/>
    <w:rsid w:val="2B5E2025"/>
    <w:rsid w:val="2B5F5E65"/>
    <w:rsid w:val="2B5F5ECE"/>
    <w:rsid w:val="2B6D6655"/>
    <w:rsid w:val="2B740A6E"/>
    <w:rsid w:val="2B752BB2"/>
    <w:rsid w:val="2B7538BA"/>
    <w:rsid w:val="2B7565C2"/>
    <w:rsid w:val="2B7F3C50"/>
    <w:rsid w:val="2B8478D4"/>
    <w:rsid w:val="2B863A71"/>
    <w:rsid w:val="2B8711FA"/>
    <w:rsid w:val="2B89340F"/>
    <w:rsid w:val="2B8A3070"/>
    <w:rsid w:val="2B8B0754"/>
    <w:rsid w:val="2B8D2B7C"/>
    <w:rsid w:val="2B922D6A"/>
    <w:rsid w:val="2B943A03"/>
    <w:rsid w:val="2B976086"/>
    <w:rsid w:val="2B9A71EF"/>
    <w:rsid w:val="2BA66BC3"/>
    <w:rsid w:val="2BA97557"/>
    <w:rsid w:val="2BB7615D"/>
    <w:rsid w:val="2BB81946"/>
    <w:rsid w:val="2BB9554F"/>
    <w:rsid w:val="2BBB79E3"/>
    <w:rsid w:val="2BBE7BE9"/>
    <w:rsid w:val="2BCA79D8"/>
    <w:rsid w:val="2BCD7478"/>
    <w:rsid w:val="2BCE7FDF"/>
    <w:rsid w:val="2BCF3FB4"/>
    <w:rsid w:val="2BD2558F"/>
    <w:rsid w:val="2BDC0795"/>
    <w:rsid w:val="2BDD2FC9"/>
    <w:rsid w:val="2BFC5C4E"/>
    <w:rsid w:val="2BFD393E"/>
    <w:rsid w:val="2BFE0ED0"/>
    <w:rsid w:val="2BFF47F0"/>
    <w:rsid w:val="2C004D0D"/>
    <w:rsid w:val="2C024EB0"/>
    <w:rsid w:val="2C10726F"/>
    <w:rsid w:val="2C137867"/>
    <w:rsid w:val="2C2151C6"/>
    <w:rsid w:val="2C2455E8"/>
    <w:rsid w:val="2C2A2717"/>
    <w:rsid w:val="2C2F0601"/>
    <w:rsid w:val="2C357791"/>
    <w:rsid w:val="2C367386"/>
    <w:rsid w:val="2C4E00FF"/>
    <w:rsid w:val="2C4E39C8"/>
    <w:rsid w:val="2C5F1C34"/>
    <w:rsid w:val="2C615CB8"/>
    <w:rsid w:val="2C645142"/>
    <w:rsid w:val="2C673C19"/>
    <w:rsid w:val="2C692EF2"/>
    <w:rsid w:val="2C6959C7"/>
    <w:rsid w:val="2C6E0B09"/>
    <w:rsid w:val="2C74742A"/>
    <w:rsid w:val="2C797A54"/>
    <w:rsid w:val="2C8020C7"/>
    <w:rsid w:val="2C827152"/>
    <w:rsid w:val="2C8A6C99"/>
    <w:rsid w:val="2C8D2A30"/>
    <w:rsid w:val="2CA14C6D"/>
    <w:rsid w:val="2CC65F2C"/>
    <w:rsid w:val="2CCE4D57"/>
    <w:rsid w:val="2CD067C3"/>
    <w:rsid w:val="2CD23AFF"/>
    <w:rsid w:val="2CD35BCE"/>
    <w:rsid w:val="2CD663B9"/>
    <w:rsid w:val="2CD66B0E"/>
    <w:rsid w:val="2CDA6E44"/>
    <w:rsid w:val="2CE17F09"/>
    <w:rsid w:val="2CF12160"/>
    <w:rsid w:val="2CF81CAF"/>
    <w:rsid w:val="2D022FDB"/>
    <w:rsid w:val="2D0C0904"/>
    <w:rsid w:val="2D196167"/>
    <w:rsid w:val="2D1A0388"/>
    <w:rsid w:val="2D1E1DE6"/>
    <w:rsid w:val="2D242672"/>
    <w:rsid w:val="2D2A4D31"/>
    <w:rsid w:val="2D2F45A4"/>
    <w:rsid w:val="2D3431FB"/>
    <w:rsid w:val="2D360577"/>
    <w:rsid w:val="2D373B1E"/>
    <w:rsid w:val="2D3D727A"/>
    <w:rsid w:val="2D45453E"/>
    <w:rsid w:val="2D49244D"/>
    <w:rsid w:val="2D4E0C44"/>
    <w:rsid w:val="2D581769"/>
    <w:rsid w:val="2D5B2F73"/>
    <w:rsid w:val="2D605BA8"/>
    <w:rsid w:val="2D624372"/>
    <w:rsid w:val="2D6603CA"/>
    <w:rsid w:val="2D68092C"/>
    <w:rsid w:val="2D683DA1"/>
    <w:rsid w:val="2D6E156F"/>
    <w:rsid w:val="2D6F1B9D"/>
    <w:rsid w:val="2D77403F"/>
    <w:rsid w:val="2D774ABE"/>
    <w:rsid w:val="2D7846B3"/>
    <w:rsid w:val="2D786C07"/>
    <w:rsid w:val="2D7C28E1"/>
    <w:rsid w:val="2D7C5EC9"/>
    <w:rsid w:val="2D7C7CDC"/>
    <w:rsid w:val="2D80504A"/>
    <w:rsid w:val="2D895213"/>
    <w:rsid w:val="2D9250AA"/>
    <w:rsid w:val="2D9D6D6E"/>
    <w:rsid w:val="2DA06EE6"/>
    <w:rsid w:val="2DA35075"/>
    <w:rsid w:val="2DAD5C4C"/>
    <w:rsid w:val="2DB05AB4"/>
    <w:rsid w:val="2DB8022C"/>
    <w:rsid w:val="2DC55DC2"/>
    <w:rsid w:val="2DCA6346"/>
    <w:rsid w:val="2DD34B01"/>
    <w:rsid w:val="2DD54B6A"/>
    <w:rsid w:val="2DE160C0"/>
    <w:rsid w:val="2DE16FC6"/>
    <w:rsid w:val="2DEA7022"/>
    <w:rsid w:val="2DEE023B"/>
    <w:rsid w:val="2DF3760E"/>
    <w:rsid w:val="2DF65F13"/>
    <w:rsid w:val="2DF7585B"/>
    <w:rsid w:val="2DFF3591"/>
    <w:rsid w:val="2E011FB5"/>
    <w:rsid w:val="2E016F28"/>
    <w:rsid w:val="2E0261DC"/>
    <w:rsid w:val="2E0708CF"/>
    <w:rsid w:val="2E0F5A69"/>
    <w:rsid w:val="2E143333"/>
    <w:rsid w:val="2E1455B7"/>
    <w:rsid w:val="2E1D6224"/>
    <w:rsid w:val="2E217E2D"/>
    <w:rsid w:val="2E223386"/>
    <w:rsid w:val="2E234CDF"/>
    <w:rsid w:val="2E236E8E"/>
    <w:rsid w:val="2E2418BE"/>
    <w:rsid w:val="2E3453AE"/>
    <w:rsid w:val="2E35633F"/>
    <w:rsid w:val="2E365CCE"/>
    <w:rsid w:val="2E392715"/>
    <w:rsid w:val="2E3A4A59"/>
    <w:rsid w:val="2E3F21B9"/>
    <w:rsid w:val="2E400AC5"/>
    <w:rsid w:val="2E416BCA"/>
    <w:rsid w:val="2E420605"/>
    <w:rsid w:val="2E454B6C"/>
    <w:rsid w:val="2E480105"/>
    <w:rsid w:val="2E565609"/>
    <w:rsid w:val="2E613C2E"/>
    <w:rsid w:val="2E66570E"/>
    <w:rsid w:val="2E724AAD"/>
    <w:rsid w:val="2E7E0FD9"/>
    <w:rsid w:val="2E840578"/>
    <w:rsid w:val="2E85402F"/>
    <w:rsid w:val="2E897520"/>
    <w:rsid w:val="2E8B507B"/>
    <w:rsid w:val="2E8B664F"/>
    <w:rsid w:val="2E93682A"/>
    <w:rsid w:val="2E9F30CA"/>
    <w:rsid w:val="2EA40BAB"/>
    <w:rsid w:val="2EAD2DCD"/>
    <w:rsid w:val="2EB03957"/>
    <w:rsid w:val="2EB90E56"/>
    <w:rsid w:val="2EBC03B2"/>
    <w:rsid w:val="2EC601F7"/>
    <w:rsid w:val="2ED32715"/>
    <w:rsid w:val="2EDA17A3"/>
    <w:rsid w:val="2EF76EF3"/>
    <w:rsid w:val="2EF8528A"/>
    <w:rsid w:val="2EFC409A"/>
    <w:rsid w:val="2F06788C"/>
    <w:rsid w:val="2F0E52AD"/>
    <w:rsid w:val="2F1A09BA"/>
    <w:rsid w:val="2F220017"/>
    <w:rsid w:val="2F276D50"/>
    <w:rsid w:val="2F287AAB"/>
    <w:rsid w:val="2F3D4C91"/>
    <w:rsid w:val="2F414CB4"/>
    <w:rsid w:val="2F425A93"/>
    <w:rsid w:val="2F47463D"/>
    <w:rsid w:val="2F5750DA"/>
    <w:rsid w:val="2F6111E2"/>
    <w:rsid w:val="2F6569D5"/>
    <w:rsid w:val="2F66320F"/>
    <w:rsid w:val="2F6B742B"/>
    <w:rsid w:val="2F7254A1"/>
    <w:rsid w:val="2F771286"/>
    <w:rsid w:val="2F7F6108"/>
    <w:rsid w:val="2F8723D3"/>
    <w:rsid w:val="2F8967F9"/>
    <w:rsid w:val="2F932CCF"/>
    <w:rsid w:val="2F9A099E"/>
    <w:rsid w:val="2F9F2A0D"/>
    <w:rsid w:val="2FA712BF"/>
    <w:rsid w:val="2FAA1D1A"/>
    <w:rsid w:val="2FAC69F2"/>
    <w:rsid w:val="2FB10466"/>
    <w:rsid w:val="2FB24CD7"/>
    <w:rsid w:val="2FBA38E7"/>
    <w:rsid w:val="2FCA6D0F"/>
    <w:rsid w:val="2FCE73EA"/>
    <w:rsid w:val="2FD10DEE"/>
    <w:rsid w:val="2FD73FC3"/>
    <w:rsid w:val="2FD87285"/>
    <w:rsid w:val="2FE072F8"/>
    <w:rsid w:val="2FE25E6E"/>
    <w:rsid w:val="2FE320F1"/>
    <w:rsid w:val="2FE977B3"/>
    <w:rsid w:val="2FED7AF6"/>
    <w:rsid w:val="2FEF38B9"/>
    <w:rsid w:val="2FEF3E14"/>
    <w:rsid w:val="2FF06254"/>
    <w:rsid w:val="2FF7640A"/>
    <w:rsid w:val="2FFA38C6"/>
    <w:rsid w:val="30054F78"/>
    <w:rsid w:val="30102D84"/>
    <w:rsid w:val="30122443"/>
    <w:rsid w:val="3019319E"/>
    <w:rsid w:val="3022311D"/>
    <w:rsid w:val="302A0D8D"/>
    <w:rsid w:val="302C658C"/>
    <w:rsid w:val="30392D43"/>
    <w:rsid w:val="30431AA6"/>
    <w:rsid w:val="304A01AE"/>
    <w:rsid w:val="305137BE"/>
    <w:rsid w:val="306A34CE"/>
    <w:rsid w:val="306D21C2"/>
    <w:rsid w:val="30774A15"/>
    <w:rsid w:val="30814974"/>
    <w:rsid w:val="308462D4"/>
    <w:rsid w:val="30855468"/>
    <w:rsid w:val="30A05CC2"/>
    <w:rsid w:val="30A42088"/>
    <w:rsid w:val="30A747AE"/>
    <w:rsid w:val="30BA0961"/>
    <w:rsid w:val="30BC6662"/>
    <w:rsid w:val="30C24B1B"/>
    <w:rsid w:val="30C672D4"/>
    <w:rsid w:val="30D240FE"/>
    <w:rsid w:val="30D2619E"/>
    <w:rsid w:val="30DA2CF7"/>
    <w:rsid w:val="30E3178A"/>
    <w:rsid w:val="30E53C48"/>
    <w:rsid w:val="30E85A4C"/>
    <w:rsid w:val="30F2701B"/>
    <w:rsid w:val="31053493"/>
    <w:rsid w:val="31113CCB"/>
    <w:rsid w:val="31135BAA"/>
    <w:rsid w:val="311741D6"/>
    <w:rsid w:val="311843C6"/>
    <w:rsid w:val="311C142E"/>
    <w:rsid w:val="311D4A71"/>
    <w:rsid w:val="311E3A5F"/>
    <w:rsid w:val="31256F57"/>
    <w:rsid w:val="31276385"/>
    <w:rsid w:val="313E6147"/>
    <w:rsid w:val="31416A7C"/>
    <w:rsid w:val="31486AA5"/>
    <w:rsid w:val="314953BE"/>
    <w:rsid w:val="314D02DD"/>
    <w:rsid w:val="3155570E"/>
    <w:rsid w:val="315E2CB3"/>
    <w:rsid w:val="316F6895"/>
    <w:rsid w:val="3177372B"/>
    <w:rsid w:val="31776A61"/>
    <w:rsid w:val="31781CBE"/>
    <w:rsid w:val="31792F52"/>
    <w:rsid w:val="317D47F7"/>
    <w:rsid w:val="318650A1"/>
    <w:rsid w:val="31865E20"/>
    <w:rsid w:val="318A43F0"/>
    <w:rsid w:val="31927AD0"/>
    <w:rsid w:val="319475D5"/>
    <w:rsid w:val="319A3CE0"/>
    <w:rsid w:val="319C176F"/>
    <w:rsid w:val="31A4770B"/>
    <w:rsid w:val="31A53156"/>
    <w:rsid w:val="31A840A9"/>
    <w:rsid w:val="31A95697"/>
    <w:rsid w:val="31B656E2"/>
    <w:rsid w:val="31BE1287"/>
    <w:rsid w:val="31C04D6C"/>
    <w:rsid w:val="31C33B5B"/>
    <w:rsid w:val="31D377A6"/>
    <w:rsid w:val="31E12A45"/>
    <w:rsid w:val="31EC0F05"/>
    <w:rsid w:val="31EC1EE7"/>
    <w:rsid w:val="31F004AC"/>
    <w:rsid w:val="31FF6B6D"/>
    <w:rsid w:val="32053809"/>
    <w:rsid w:val="321E3802"/>
    <w:rsid w:val="32275A0E"/>
    <w:rsid w:val="322E4416"/>
    <w:rsid w:val="323B69EA"/>
    <w:rsid w:val="323D35C7"/>
    <w:rsid w:val="323D6C97"/>
    <w:rsid w:val="323E7B12"/>
    <w:rsid w:val="32416BC0"/>
    <w:rsid w:val="32451424"/>
    <w:rsid w:val="324869D8"/>
    <w:rsid w:val="325052C6"/>
    <w:rsid w:val="325C6E66"/>
    <w:rsid w:val="325F322A"/>
    <w:rsid w:val="326229EC"/>
    <w:rsid w:val="32792B03"/>
    <w:rsid w:val="327B5295"/>
    <w:rsid w:val="32805186"/>
    <w:rsid w:val="328470E7"/>
    <w:rsid w:val="3287156E"/>
    <w:rsid w:val="329021C6"/>
    <w:rsid w:val="32936760"/>
    <w:rsid w:val="32946E3D"/>
    <w:rsid w:val="32975264"/>
    <w:rsid w:val="32A12E42"/>
    <w:rsid w:val="32B128F4"/>
    <w:rsid w:val="32BA306B"/>
    <w:rsid w:val="32C10694"/>
    <w:rsid w:val="32C429E4"/>
    <w:rsid w:val="32CA6997"/>
    <w:rsid w:val="32D32798"/>
    <w:rsid w:val="32DF489F"/>
    <w:rsid w:val="32E7482D"/>
    <w:rsid w:val="32E87922"/>
    <w:rsid w:val="32EB7C7F"/>
    <w:rsid w:val="32EC3BF2"/>
    <w:rsid w:val="32ED1692"/>
    <w:rsid w:val="32EE29D7"/>
    <w:rsid w:val="32F52B07"/>
    <w:rsid w:val="32FE75C2"/>
    <w:rsid w:val="3303140C"/>
    <w:rsid w:val="330C6AF8"/>
    <w:rsid w:val="33105198"/>
    <w:rsid w:val="3314341A"/>
    <w:rsid w:val="331D5FAA"/>
    <w:rsid w:val="3326125F"/>
    <w:rsid w:val="332F07DB"/>
    <w:rsid w:val="3331313B"/>
    <w:rsid w:val="333F067E"/>
    <w:rsid w:val="33416CDF"/>
    <w:rsid w:val="33495B03"/>
    <w:rsid w:val="334C561A"/>
    <w:rsid w:val="336043FB"/>
    <w:rsid w:val="33626D6A"/>
    <w:rsid w:val="336D5F42"/>
    <w:rsid w:val="33756070"/>
    <w:rsid w:val="337577DF"/>
    <w:rsid w:val="338023B4"/>
    <w:rsid w:val="3380628F"/>
    <w:rsid w:val="338D7B77"/>
    <w:rsid w:val="33906530"/>
    <w:rsid w:val="339B249F"/>
    <w:rsid w:val="339D632C"/>
    <w:rsid w:val="339F7211"/>
    <w:rsid w:val="33A310D2"/>
    <w:rsid w:val="33A97FAC"/>
    <w:rsid w:val="33BF44DA"/>
    <w:rsid w:val="33C85747"/>
    <w:rsid w:val="33CA5B19"/>
    <w:rsid w:val="33D83DE9"/>
    <w:rsid w:val="33E47C04"/>
    <w:rsid w:val="33E859FB"/>
    <w:rsid w:val="33ED42A1"/>
    <w:rsid w:val="33F467B9"/>
    <w:rsid w:val="33FC5B0A"/>
    <w:rsid w:val="34150AE7"/>
    <w:rsid w:val="34190550"/>
    <w:rsid w:val="34194752"/>
    <w:rsid w:val="34201548"/>
    <w:rsid w:val="3428011B"/>
    <w:rsid w:val="342962AD"/>
    <w:rsid w:val="342F6FDA"/>
    <w:rsid w:val="34341AA3"/>
    <w:rsid w:val="34354125"/>
    <w:rsid w:val="343D5C7F"/>
    <w:rsid w:val="34450BF6"/>
    <w:rsid w:val="34454FD7"/>
    <w:rsid w:val="34456035"/>
    <w:rsid w:val="34473B97"/>
    <w:rsid w:val="34493602"/>
    <w:rsid w:val="344978D1"/>
    <w:rsid w:val="344C3E5A"/>
    <w:rsid w:val="3455668D"/>
    <w:rsid w:val="345C7A84"/>
    <w:rsid w:val="34624412"/>
    <w:rsid w:val="34633E5C"/>
    <w:rsid w:val="34665D64"/>
    <w:rsid w:val="346A3AEE"/>
    <w:rsid w:val="346E4C43"/>
    <w:rsid w:val="34796E3E"/>
    <w:rsid w:val="347B2465"/>
    <w:rsid w:val="347D0BE5"/>
    <w:rsid w:val="348B2D39"/>
    <w:rsid w:val="348C7A18"/>
    <w:rsid w:val="348D60C4"/>
    <w:rsid w:val="349247D1"/>
    <w:rsid w:val="34A56A9B"/>
    <w:rsid w:val="34A66AD3"/>
    <w:rsid w:val="34AA183F"/>
    <w:rsid w:val="34B23166"/>
    <w:rsid w:val="34BA4382"/>
    <w:rsid w:val="34BD12EE"/>
    <w:rsid w:val="34BF3585"/>
    <w:rsid w:val="34BF36B7"/>
    <w:rsid w:val="34C50C79"/>
    <w:rsid w:val="34C62A7B"/>
    <w:rsid w:val="34D141EC"/>
    <w:rsid w:val="34DE03ED"/>
    <w:rsid w:val="34E2166F"/>
    <w:rsid w:val="34EB00A3"/>
    <w:rsid w:val="34F015C2"/>
    <w:rsid w:val="34FF28D2"/>
    <w:rsid w:val="35022771"/>
    <w:rsid w:val="35044C50"/>
    <w:rsid w:val="3507480E"/>
    <w:rsid w:val="350926F6"/>
    <w:rsid w:val="350D2E19"/>
    <w:rsid w:val="3510351D"/>
    <w:rsid w:val="3510536B"/>
    <w:rsid w:val="35177BDE"/>
    <w:rsid w:val="35216FA8"/>
    <w:rsid w:val="352F5ECF"/>
    <w:rsid w:val="353E1058"/>
    <w:rsid w:val="353F5293"/>
    <w:rsid w:val="354B78C6"/>
    <w:rsid w:val="35525E69"/>
    <w:rsid w:val="35592A4D"/>
    <w:rsid w:val="35611B0A"/>
    <w:rsid w:val="356244BE"/>
    <w:rsid w:val="3564D463"/>
    <w:rsid w:val="35663DD9"/>
    <w:rsid w:val="35795F9A"/>
    <w:rsid w:val="3583195B"/>
    <w:rsid w:val="358B50A1"/>
    <w:rsid w:val="35917ABA"/>
    <w:rsid w:val="35985B5A"/>
    <w:rsid w:val="359A42F7"/>
    <w:rsid w:val="35A81153"/>
    <w:rsid w:val="35A90FBB"/>
    <w:rsid w:val="35A9287E"/>
    <w:rsid w:val="35AB6E2A"/>
    <w:rsid w:val="35AF0985"/>
    <w:rsid w:val="35B70117"/>
    <w:rsid w:val="35B71A02"/>
    <w:rsid w:val="35B83D6B"/>
    <w:rsid w:val="35BD4182"/>
    <w:rsid w:val="35BE4F38"/>
    <w:rsid w:val="35C040F1"/>
    <w:rsid w:val="35C203AB"/>
    <w:rsid w:val="35C406E9"/>
    <w:rsid w:val="35CF0475"/>
    <w:rsid w:val="35D026AB"/>
    <w:rsid w:val="35D14E2B"/>
    <w:rsid w:val="35DC7088"/>
    <w:rsid w:val="35E720E1"/>
    <w:rsid w:val="35E771E5"/>
    <w:rsid w:val="35E8268D"/>
    <w:rsid w:val="35EF0B5E"/>
    <w:rsid w:val="35F2186B"/>
    <w:rsid w:val="36040DAE"/>
    <w:rsid w:val="36085391"/>
    <w:rsid w:val="360A2DF9"/>
    <w:rsid w:val="360C7DF2"/>
    <w:rsid w:val="36155E0B"/>
    <w:rsid w:val="36187132"/>
    <w:rsid w:val="361B11BE"/>
    <w:rsid w:val="362705A3"/>
    <w:rsid w:val="362D76D9"/>
    <w:rsid w:val="362E5E57"/>
    <w:rsid w:val="36311454"/>
    <w:rsid w:val="36323EEC"/>
    <w:rsid w:val="3639660C"/>
    <w:rsid w:val="363C39C3"/>
    <w:rsid w:val="3643097F"/>
    <w:rsid w:val="36433DB2"/>
    <w:rsid w:val="364533BA"/>
    <w:rsid w:val="364B0E82"/>
    <w:rsid w:val="364B40EE"/>
    <w:rsid w:val="365451C4"/>
    <w:rsid w:val="365A0CB6"/>
    <w:rsid w:val="366C695B"/>
    <w:rsid w:val="366E68A8"/>
    <w:rsid w:val="36735375"/>
    <w:rsid w:val="36745F60"/>
    <w:rsid w:val="367A53F7"/>
    <w:rsid w:val="36843B5B"/>
    <w:rsid w:val="369F55EC"/>
    <w:rsid w:val="36A6459A"/>
    <w:rsid w:val="36A93D26"/>
    <w:rsid w:val="36BFEBF7"/>
    <w:rsid w:val="36C1081F"/>
    <w:rsid w:val="36C77801"/>
    <w:rsid w:val="36C926CC"/>
    <w:rsid w:val="36CD09D6"/>
    <w:rsid w:val="36CE5B4E"/>
    <w:rsid w:val="36D24131"/>
    <w:rsid w:val="36DB5241"/>
    <w:rsid w:val="36DE4EF6"/>
    <w:rsid w:val="36E41903"/>
    <w:rsid w:val="36F70DBC"/>
    <w:rsid w:val="36FE4136"/>
    <w:rsid w:val="36FF59F2"/>
    <w:rsid w:val="37066396"/>
    <w:rsid w:val="37083255"/>
    <w:rsid w:val="371167EC"/>
    <w:rsid w:val="37120202"/>
    <w:rsid w:val="371804FC"/>
    <w:rsid w:val="37185071"/>
    <w:rsid w:val="372117F4"/>
    <w:rsid w:val="372300E9"/>
    <w:rsid w:val="372924E2"/>
    <w:rsid w:val="37335379"/>
    <w:rsid w:val="373D24BC"/>
    <w:rsid w:val="373F4BB9"/>
    <w:rsid w:val="375510AA"/>
    <w:rsid w:val="37596DCE"/>
    <w:rsid w:val="376A0BB3"/>
    <w:rsid w:val="376C2447"/>
    <w:rsid w:val="376D649D"/>
    <w:rsid w:val="37747EC1"/>
    <w:rsid w:val="378C450C"/>
    <w:rsid w:val="379D1DCA"/>
    <w:rsid w:val="37A1684F"/>
    <w:rsid w:val="37BC4986"/>
    <w:rsid w:val="37BD0553"/>
    <w:rsid w:val="37BD6046"/>
    <w:rsid w:val="37C830CA"/>
    <w:rsid w:val="37D153CC"/>
    <w:rsid w:val="37D346BE"/>
    <w:rsid w:val="37D43DFC"/>
    <w:rsid w:val="37D7646D"/>
    <w:rsid w:val="37DE253D"/>
    <w:rsid w:val="37DE7260"/>
    <w:rsid w:val="37E21BF8"/>
    <w:rsid w:val="37E423BF"/>
    <w:rsid w:val="37E6489D"/>
    <w:rsid w:val="37EC4F5A"/>
    <w:rsid w:val="37ED3F45"/>
    <w:rsid w:val="37F12006"/>
    <w:rsid w:val="37FA0697"/>
    <w:rsid w:val="38042738"/>
    <w:rsid w:val="38086EBA"/>
    <w:rsid w:val="3814146F"/>
    <w:rsid w:val="3814321D"/>
    <w:rsid w:val="3814345B"/>
    <w:rsid w:val="382B13FF"/>
    <w:rsid w:val="382D5EA4"/>
    <w:rsid w:val="383B0C8C"/>
    <w:rsid w:val="38445307"/>
    <w:rsid w:val="384950B2"/>
    <w:rsid w:val="384B6FB2"/>
    <w:rsid w:val="385F733C"/>
    <w:rsid w:val="38651963"/>
    <w:rsid w:val="3871397F"/>
    <w:rsid w:val="38714A05"/>
    <w:rsid w:val="3878300E"/>
    <w:rsid w:val="38783421"/>
    <w:rsid w:val="387B6F5F"/>
    <w:rsid w:val="38830735"/>
    <w:rsid w:val="38A07D4E"/>
    <w:rsid w:val="38A21F90"/>
    <w:rsid w:val="38A55C36"/>
    <w:rsid w:val="38A66EF8"/>
    <w:rsid w:val="38A85F61"/>
    <w:rsid w:val="38A94778"/>
    <w:rsid w:val="38B24D80"/>
    <w:rsid w:val="38BD055B"/>
    <w:rsid w:val="38BD497D"/>
    <w:rsid w:val="38C10213"/>
    <w:rsid w:val="38C66027"/>
    <w:rsid w:val="38CC354C"/>
    <w:rsid w:val="38CD0656"/>
    <w:rsid w:val="38DB133D"/>
    <w:rsid w:val="38F100C2"/>
    <w:rsid w:val="38F36AA1"/>
    <w:rsid w:val="38F51172"/>
    <w:rsid w:val="38FF9B12"/>
    <w:rsid w:val="3906662E"/>
    <w:rsid w:val="390F0203"/>
    <w:rsid w:val="39145220"/>
    <w:rsid w:val="391720C4"/>
    <w:rsid w:val="391825F0"/>
    <w:rsid w:val="391A46C5"/>
    <w:rsid w:val="391D5E5F"/>
    <w:rsid w:val="391F35CE"/>
    <w:rsid w:val="391F6ACB"/>
    <w:rsid w:val="39224964"/>
    <w:rsid w:val="392B2636"/>
    <w:rsid w:val="39317E0D"/>
    <w:rsid w:val="393D4ABE"/>
    <w:rsid w:val="393E07C1"/>
    <w:rsid w:val="39402D8C"/>
    <w:rsid w:val="39407969"/>
    <w:rsid w:val="394269E1"/>
    <w:rsid w:val="394376F3"/>
    <w:rsid w:val="395039BF"/>
    <w:rsid w:val="395158CA"/>
    <w:rsid w:val="39576DDC"/>
    <w:rsid w:val="39606D4A"/>
    <w:rsid w:val="39616987"/>
    <w:rsid w:val="396A0EB1"/>
    <w:rsid w:val="396A518F"/>
    <w:rsid w:val="398443D3"/>
    <w:rsid w:val="3988161C"/>
    <w:rsid w:val="398C1311"/>
    <w:rsid w:val="398C3287"/>
    <w:rsid w:val="399751AF"/>
    <w:rsid w:val="39A06EA9"/>
    <w:rsid w:val="39A62BE5"/>
    <w:rsid w:val="39AD1E65"/>
    <w:rsid w:val="39B62D13"/>
    <w:rsid w:val="39B666BA"/>
    <w:rsid w:val="39B7462E"/>
    <w:rsid w:val="39BE2215"/>
    <w:rsid w:val="39CC5A28"/>
    <w:rsid w:val="39CE4F2F"/>
    <w:rsid w:val="39D105FF"/>
    <w:rsid w:val="39D22715"/>
    <w:rsid w:val="39D418EC"/>
    <w:rsid w:val="39D553CC"/>
    <w:rsid w:val="39D6127A"/>
    <w:rsid w:val="39E7757C"/>
    <w:rsid w:val="39EF4A71"/>
    <w:rsid w:val="3A0952EC"/>
    <w:rsid w:val="3A0C207E"/>
    <w:rsid w:val="3A0E7264"/>
    <w:rsid w:val="3A13029B"/>
    <w:rsid w:val="3A211DC4"/>
    <w:rsid w:val="3A2D72E9"/>
    <w:rsid w:val="3A325BDD"/>
    <w:rsid w:val="3A3A03CA"/>
    <w:rsid w:val="3A3A1A98"/>
    <w:rsid w:val="3A485400"/>
    <w:rsid w:val="3A4D2153"/>
    <w:rsid w:val="3A5C5A83"/>
    <w:rsid w:val="3A5F2C85"/>
    <w:rsid w:val="3A6535A4"/>
    <w:rsid w:val="3A6544A1"/>
    <w:rsid w:val="3A690764"/>
    <w:rsid w:val="3A702F77"/>
    <w:rsid w:val="3A907B60"/>
    <w:rsid w:val="3A9E0B0F"/>
    <w:rsid w:val="3A9F50D4"/>
    <w:rsid w:val="3AA75337"/>
    <w:rsid w:val="3AAA08DF"/>
    <w:rsid w:val="3AAF642E"/>
    <w:rsid w:val="3AB8326A"/>
    <w:rsid w:val="3ABA1445"/>
    <w:rsid w:val="3AC0207C"/>
    <w:rsid w:val="3AC15D5C"/>
    <w:rsid w:val="3ACD11F3"/>
    <w:rsid w:val="3AE42AA5"/>
    <w:rsid w:val="3AEF0A57"/>
    <w:rsid w:val="3AF140C1"/>
    <w:rsid w:val="3AFA62A0"/>
    <w:rsid w:val="3AFF0C4B"/>
    <w:rsid w:val="3B036F16"/>
    <w:rsid w:val="3B0E2EB5"/>
    <w:rsid w:val="3B156EF8"/>
    <w:rsid w:val="3B1D5096"/>
    <w:rsid w:val="3B1D69FF"/>
    <w:rsid w:val="3B1E40FD"/>
    <w:rsid w:val="3B220A19"/>
    <w:rsid w:val="3B4C0199"/>
    <w:rsid w:val="3B4E1C3B"/>
    <w:rsid w:val="3B55703A"/>
    <w:rsid w:val="3B5672A6"/>
    <w:rsid w:val="3B5953EB"/>
    <w:rsid w:val="3B6F329F"/>
    <w:rsid w:val="3B743DEF"/>
    <w:rsid w:val="3B7B33B1"/>
    <w:rsid w:val="3B820A9A"/>
    <w:rsid w:val="3B82530D"/>
    <w:rsid w:val="3B8C5A2E"/>
    <w:rsid w:val="3B8F2D63"/>
    <w:rsid w:val="3BA142AF"/>
    <w:rsid w:val="3BA45420"/>
    <w:rsid w:val="3BA870CD"/>
    <w:rsid w:val="3BAA600C"/>
    <w:rsid w:val="3BAF452C"/>
    <w:rsid w:val="3BBE6FA3"/>
    <w:rsid w:val="3BC41CDC"/>
    <w:rsid w:val="3BC97731"/>
    <w:rsid w:val="3BCF03F9"/>
    <w:rsid w:val="3BD72251"/>
    <w:rsid w:val="3BDC3800"/>
    <w:rsid w:val="3BDE16EB"/>
    <w:rsid w:val="3BDF1946"/>
    <w:rsid w:val="3BE62C91"/>
    <w:rsid w:val="3BF50C01"/>
    <w:rsid w:val="3C021877"/>
    <w:rsid w:val="3C047C00"/>
    <w:rsid w:val="3C0D3F24"/>
    <w:rsid w:val="3C0E4155"/>
    <w:rsid w:val="3C112054"/>
    <w:rsid w:val="3C143C18"/>
    <w:rsid w:val="3C1930D1"/>
    <w:rsid w:val="3C1C6EF4"/>
    <w:rsid w:val="3C241735"/>
    <w:rsid w:val="3C2511EA"/>
    <w:rsid w:val="3C2E422E"/>
    <w:rsid w:val="3C305183"/>
    <w:rsid w:val="3C3A7EC9"/>
    <w:rsid w:val="3C3C4736"/>
    <w:rsid w:val="3C3D2B84"/>
    <w:rsid w:val="3C40654C"/>
    <w:rsid w:val="3C41378F"/>
    <w:rsid w:val="3C4165AB"/>
    <w:rsid w:val="3C426033"/>
    <w:rsid w:val="3C4439AE"/>
    <w:rsid w:val="3C5E1441"/>
    <w:rsid w:val="3C6310B5"/>
    <w:rsid w:val="3C64418B"/>
    <w:rsid w:val="3C65485F"/>
    <w:rsid w:val="3C6C7C80"/>
    <w:rsid w:val="3C76776C"/>
    <w:rsid w:val="3C767F49"/>
    <w:rsid w:val="3C7C43F7"/>
    <w:rsid w:val="3C877F67"/>
    <w:rsid w:val="3C8C45A8"/>
    <w:rsid w:val="3C9144E9"/>
    <w:rsid w:val="3C994FDF"/>
    <w:rsid w:val="3C9B6E2A"/>
    <w:rsid w:val="3CAD181D"/>
    <w:rsid w:val="3CB03703"/>
    <w:rsid w:val="3CB2054C"/>
    <w:rsid w:val="3CBB2810"/>
    <w:rsid w:val="3CBC0C90"/>
    <w:rsid w:val="3CBC163B"/>
    <w:rsid w:val="3CBE2671"/>
    <w:rsid w:val="3CC124F9"/>
    <w:rsid w:val="3CC25F06"/>
    <w:rsid w:val="3CCB6CEE"/>
    <w:rsid w:val="3CD128EB"/>
    <w:rsid w:val="3CDA31EE"/>
    <w:rsid w:val="3CDE1D1F"/>
    <w:rsid w:val="3CE34259"/>
    <w:rsid w:val="3CE714C4"/>
    <w:rsid w:val="3CEE5213"/>
    <w:rsid w:val="3CF95669"/>
    <w:rsid w:val="3CFE385E"/>
    <w:rsid w:val="3CFEA19A"/>
    <w:rsid w:val="3D05508A"/>
    <w:rsid w:val="3D0C4039"/>
    <w:rsid w:val="3D0E7CB6"/>
    <w:rsid w:val="3D1046F9"/>
    <w:rsid w:val="3D223043"/>
    <w:rsid w:val="3D257430"/>
    <w:rsid w:val="3D2D5DDA"/>
    <w:rsid w:val="3D343AFA"/>
    <w:rsid w:val="3D3A5509"/>
    <w:rsid w:val="3D3E4E5D"/>
    <w:rsid w:val="3D404E58"/>
    <w:rsid w:val="3D4A09A8"/>
    <w:rsid w:val="3D5001D8"/>
    <w:rsid w:val="3D5B3453"/>
    <w:rsid w:val="3D7D21A2"/>
    <w:rsid w:val="3D7E2371"/>
    <w:rsid w:val="3D8608E5"/>
    <w:rsid w:val="3D87341F"/>
    <w:rsid w:val="3D882E4A"/>
    <w:rsid w:val="3D8D5EAC"/>
    <w:rsid w:val="3D8E136B"/>
    <w:rsid w:val="3D9813ED"/>
    <w:rsid w:val="3D9E04C1"/>
    <w:rsid w:val="3DA04A9D"/>
    <w:rsid w:val="3DA17789"/>
    <w:rsid w:val="3DAB6DE1"/>
    <w:rsid w:val="3DB45A29"/>
    <w:rsid w:val="3DBC7EA9"/>
    <w:rsid w:val="3DBD780B"/>
    <w:rsid w:val="3DC07785"/>
    <w:rsid w:val="3DC428D7"/>
    <w:rsid w:val="3DCC3C4C"/>
    <w:rsid w:val="3DCD427E"/>
    <w:rsid w:val="3DCE698D"/>
    <w:rsid w:val="3DD00C5F"/>
    <w:rsid w:val="3DD0408A"/>
    <w:rsid w:val="3DD208E4"/>
    <w:rsid w:val="3DD24B5F"/>
    <w:rsid w:val="3DD8115C"/>
    <w:rsid w:val="3DDA3532"/>
    <w:rsid w:val="3DDE63B5"/>
    <w:rsid w:val="3DE14AF6"/>
    <w:rsid w:val="3DE82B29"/>
    <w:rsid w:val="3DEE49B8"/>
    <w:rsid w:val="3DEF5475"/>
    <w:rsid w:val="3DF24AE6"/>
    <w:rsid w:val="3DF5626B"/>
    <w:rsid w:val="3DF571AA"/>
    <w:rsid w:val="3DFB3A62"/>
    <w:rsid w:val="3E01770A"/>
    <w:rsid w:val="3E0D792B"/>
    <w:rsid w:val="3E0F04DE"/>
    <w:rsid w:val="3E0F2DA3"/>
    <w:rsid w:val="3E13074D"/>
    <w:rsid w:val="3E130977"/>
    <w:rsid w:val="3E2B496C"/>
    <w:rsid w:val="3E2D3452"/>
    <w:rsid w:val="3E321AB3"/>
    <w:rsid w:val="3E39199F"/>
    <w:rsid w:val="3E3B29AF"/>
    <w:rsid w:val="3E405B07"/>
    <w:rsid w:val="3E46368E"/>
    <w:rsid w:val="3E46422C"/>
    <w:rsid w:val="3E5161C3"/>
    <w:rsid w:val="3E56D9E7"/>
    <w:rsid w:val="3E5C6018"/>
    <w:rsid w:val="3E6E76FA"/>
    <w:rsid w:val="3E717E28"/>
    <w:rsid w:val="3E784BD4"/>
    <w:rsid w:val="3E7A05B7"/>
    <w:rsid w:val="3E7A4404"/>
    <w:rsid w:val="3E7B1296"/>
    <w:rsid w:val="3E8135F6"/>
    <w:rsid w:val="3E823CE4"/>
    <w:rsid w:val="3E8371BF"/>
    <w:rsid w:val="3E8C0D5D"/>
    <w:rsid w:val="3E8F219A"/>
    <w:rsid w:val="3E9519EC"/>
    <w:rsid w:val="3E967EAF"/>
    <w:rsid w:val="3E9C04C1"/>
    <w:rsid w:val="3E9E232B"/>
    <w:rsid w:val="3EAB3E7B"/>
    <w:rsid w:val="3EAC6050"/>
    <w:rsid w:val="3EAE1EA8"/>
    <w:rsid w:val="3EB0596A"/>
    <w:rsid w:val="3EB2562F"/>
    <w:rsid w:val="3EB437A8"/>
    <w:rsid w:val="3EB51937"/>
    <w:rsid w:val="3EB9572B"/>
    <w:rsid w:val="3EBB5DF9"/>
    <w:rsid w:val="3EBC04EE"/>
    <w:rsid w:val="3EBC5545"/>
    <w:rsid w:val="3EBD70AC"/>
    <w:rsid w:val="3ECF1E9F"/>
    <w:rsid w:val="3ED2462F"/>
    <w:rsid w:val="3ED851A3"/>
    <w:rsid w:val="3EDB59FF"/>
    <w:rsid w:val="3EDB5BBB"/>
    <w:rsid w:val="3EDD0B17"/>
    <w:rsid w:val="3EE56535"/>
    <w:rsid w:val="3EEB4C3D"/>
    <w:rsid w:val="3EEC6E82"/>
    <w:rsid w:val="3EEE3759"/>
    <w:rsid w:val="3EF53B72"/>
    <w:rsid w:val="3EF961F3"/>
    <w:rsid w:val="3EFE78FC"/>
    <w:rsid w:val="3F1417D4"/>
    <w:rsid w:val="3F15699D"/>
    <w:rsid w:val="3F1663F0"/>
    <w:rsid w:val="3F1A5ADB"/>
    <w:rsid w:val="3F1B5500"/>
    <w:rsid w:val="3F1E1F12"/>
    <w:rsid w:val="3F205786"/>
    <w:rsid w:val="3F235331"/>
    <w:rsid w:val="3F253F74"/>
    <w:rsid w:val="3F266E6C"/>
    <w:rsid w:val="3F29533B"/>
    <w:rsid w:val="3F35027E"/>
    <w:rsid w:val="3F3643D6"/>
    <w:rsid w:val="3F4217C1"/>
    <w:rsid w:val="3F430AF8"/>
    <w:rsid w:val="3F4324CF"/>
    <w:rsid w:val="3F467683"/>
    <w:rsid w:val="3F48420B"/>
    <w:rsid w:val="3F4F63EB"/>
    <w:rsid w:val="3F537340"/>
    <w:rsid w:val="3F5C2B02"/>
    <w:rsid w:val="3F5F12C3"/>
    <w:rsid w:val="3F5F150C"/>
    <w:rsid w:val="3F5F17A2"/>
    <w:rsid w:val="3F6137BA"/>
    <w:rsid w:val="3F623D95"/>
    <w:rsid w:val="3F6C2F2E"/>
    <w:rsid w:val="3F6E2978"/>
    <w:rsid w:val="3F6F45E0"/>
    <w:rsid w:val="3F733C3F"/>
    <w:rsid w:val="3F98464D"/>
    <w:rsid w:val="3F9A3453"/>
    <w:rsid w:val="3F9B6610"/>
    <w:rsid w:val="3FB07673"/>
    <w:rsid w:val="3FB7776D"/>
    <w:rsid w:val="3FBC6A90"/>
    <w:rsid w:val="3FBF15B5"/>
    <w:rsid w:val="3FC210F9"/>
    <w:rsid w:val="3FC60A77"/>
    <w:rsid w:val="3FC70954"/>
    <w:rsid w:val="3FCE516B"/>
    <w:rsid w:val="3FD3062C"/>
    <w:rsid w:val="3FD87788"/>
    <w:rsid w:val="3FDE50E7"/>
    <w:rsid w:val="3FE20F21"/>
    <w:rsid w:val="3FE8004D"/>
    <w:rsid w:val="3FFD6785"/>
    <w:rsid w:val="3FFECEFA"/>
    <w:rsid w:val="40020C67"/>
    <w:rsid w:val="400E7F16"/>
    <w:rsid w:val="40115193"/>
    <w:rsid w:val="40125DBD"/>
    <w:rsid w:val="4013586F"/>
    <w:rsid w:val="401B123D"/>
    <w:rsid w:val="402172A2"/>
    <w:rsid w:val="40262677"/>
    <w:rsid w:val="40273F88"/>
    <w:rsid w:val="4034481B"/>
    <w:rsid w:val="4036385B"/>
    <w:rsid w:val="403B37E7"/>
    <w:rsid w:val="404426A5"/>
    <w:rsid w:val="40482189"/>
    <w:rsid w:val="405F289D"/>
    <w:rsid w:val="406B38AD"/>
    <w:rsid w:val="40731613"/>
    <w:rsid w:val="407349A0"/>
    <w:rsid w:val="40801440"/>
    <w:rsid w:val="4082500D"/>
    <w:rsid w:val="408C7DCF"/>
    <w:rsid w:val="40946302"/>
    <w:rsid w:val="40964112"/>
    <w:rsid w:val="409A48AF"/>
    <w:rsid w:val="409B6E41"/>
    <w:rsid w:val="409C6D8E"/>
    <w:rsid w:val="409F36EF"/>
    <w:rsid w:val="40A925CA"/>
    <w:rsid w:val="40AD56E7"/>
    <w:rsid w:val="40B355C2"/>
    <w:rsid w:val="40B36C94"/>
    <w:rsid w:val="40BA59C8"/>
    <w:rsid w:val="40C035A7"/>
    <w:rsid w:val="40CA31D2"/>
    <w:rsid w:val="40CA7685"/>
    <w:rsid w:val="40CC43DB"/>
    <w:rsid w:val="40D177E0"/>
    <w:rsid w:val="40D34D6A"/>
    <w:rsid w:val="40D376B5"/>
    <w:rsid w:val="40E3187F"/>
    <w:rsid w:val="40F66712"/>
    <w:rsid w:val="40F87E87"/>
    <w:rsid w:val="40FF54B6"/>
    <w:rsid w:val="410327AE"/>
    <w:rsid w:val="411C7F69"/>
    <w:rsid w:val="411F720E"/>
    <w:rsid w:val="412644E7"/>
    <w:rsid w:val="41293F1C"/>
    <w:rsid w:val="4138346C"/>
    <w:rsid w:val="4138537E"/>
    <w:rsid w:val="413C1875"/>
    <w:rsid w:val="414417F0"/>
    <w:rsid w:val="41454EBC"/>
    <w:rsid w:val="41563016"/>
    <w:rsid w:val="415B3C6B"/>
    <w:rsid w:val="416027C6"/>
    <w:rsid w:val="416A0D4B"/>
    <w:rsid w:val="417A6A3B"/>
    <w:rsid w:val="41817E43"/>
    <w:rsid w:val="41904770"/>
    <w:rsid w:val="419A26DD"/>
    <w:rsid w:val="419D0128"/>
    <w:rsid w:val="41A50532"/>
    <w:rsid w:val="41BA15A2"/>
    <w:rsid w:val="41C819BB"/>
    <w:rsid w:val="41D45CAE"/>
    <w:rsid w:val="41D72253"/>
    <w:rsid w:val="41DB7D91"/>
    <w:rsid w:val="41DF5359"/>
    <w:rsid w:val="41E424C6"/>
    <w:rsid w:val="41E47960"/>
    <w:rsid w:val="41E7120D"/>
    <w:rsid w:val="41E84C8C"/>
    <w:rsid w:val="41EF06CB"/>
    <w:rsid w:val="41EF53DA"/>
    <w:rsid w:val="41F66319"/>
    <w:rsid w:val="4205365D"/>
    <w:rsid w:val="420E63F8"/>
    <w:rsid w:val="420F7266"/>
    <w:rsid w:val="4214389D"/>
    <w:rsid w:val="421C1F7F"/>
    <w:rsid w:val="422028AD"/>
    <w:rsid w:val="42265F21"/>
    <w:rsid w:val="42290050"/>
    <w:rsid w:val="42415675"/>
    <w:rsid w:val="42531585"/>
    <w:rsid w:val="425965FC"/>
    <w:rsid w:val="425A2175"/>
    <w:rsid w:val="4270061B"/>
    <w:rsid w:val="42705599"/>
    <w:rsid w:val="42776F9A"/>
    <w:rsid w:val="427C1DD8"/>
    <w:rsid w:val="428408B4"/>
    <w:rsid w:val="428464C3"/>
    <w:rsid w:val="42A40B0B"/>
    <w:rsid w:val="42AA2643"/>
    <w:rsid w:val="42B37AD7"/>
    <w:rsid w:val="42D17EA0"/>
    <w:rsid w:val="42D234E7"/>
    <w:rsid w:val="42D414FB"/>
    <w:rsid w:val="42DA0C46"/>
    <w:rsid w:val="42DD69FD"/>
    <w:rsid w:val="42EA36EB"/>
    <w:rsid w:val="42F442FB"/>
    <w:rsid w:val="43017E75"/>
    <w:rsid w:val="4308180C"/>
    <w:rsid w:val="430D4CE5"/>
    <w:rsid w:val="430D6005"/>
    <w:rsid w:val="430F0EC3"/>
    <w:rsid w:val="43162B0F"/>
    <w:rsid w:val="43204881"/>
    <w:rsid w:val="4328427B"/>
    <w:rsid w:val="432976E2"/>
    <w:rsid w:val="432C35D9"/>
    <w:rsid w:val="432F7349"/>
    <w:rsid w:val="433C3A8D"/>
    <w:rsid w:val="433C7D9E"/>
    <w:rsid w:val="43523137"/>
    <w:rsid w:val="4357134D"/>
    <w:rsid w:val="435818FA"/>
    <w:rsid w:val="435D7D22"/>
    <w:rsid w:val="436A0559"/>
    <w:rsid w:val="43706E3C"/>
    <w:rsid w:val="437B7DDD"/>
    <w:rsid w:val="43835004"/>
    <w:rsid w:val="438F08BA"/>
    <w:rsid w:val="43A80060"/>
    <w:rsid w:val="43AA2A8A"/>
    <w:rsid w:val="43AD137F"/>
    <w:rsid w:val="43B12FF5"/>
    <w:rsid w:val="43B4271C"/>
    <w:rsid w:val="43B634E4"/>
    <w:rsid w:val="43B7391F"/>
    <w:rsid w:val="43C544F7"/>
    <w:rsid w:val="43CF13AC"/>
    <w:rsid w:val="43D2095C"/>
    <w:rsid w:val="43DD02D9"/>
    <w:rsid w:val="43E05ADF"/>
    <w:rsid w:val="43E35848"/>
    <w:rsid w:val="43EC79A6"/>
    <w:rsid w:val="43EE1CC1"/>
    <w:rsid w:val="43F04FED"/>
    <w:rsid w:val="43F25D1E"/>
    <w:rsid w:val="44036206"/>
    <w:rsid w:val="44062032"/>
    <w:rsid w:val="440936BE"/>
    <w:rsid w:val="440D0AAB"/>
    <w:rsid w:val="441365F2"/>
    <w:rsid w:val="44137D61"/>
    <w:rsid w:val="4416049D"/>
    <w:rsid w:val="442A33A1"/>
    <w:rsid w:val="442A771A"/>
    <w:rsid w:val="44353D44"/>
    <w:rsid w:val="4436276D"/>
    <w:rsid w:val="443E1FFC"/>
    <w:rsid w:val="44407190"/>
    <w:rsid w:val="444C5824"/>
    <w:rsid w:val="44547FF8"/>
    <w:rsid w:val="445F2A2D"/>
    <w:rsid w:val="446E7185"/>
    <w:rsid w:val="44740C29"/>
    <w:rsid w:val="447E7CD8"/>
    <w:rsid w:val="447F0423"/>
    <w:rsid w:val="4484172B"/>
    <w:rsid w:val="448B60D0"/>
    <w:rsid w:val="4492799F"/>
    <w:rsid w:val="44931814"/>
    <w:rsid w:val="449D65D4"/>
    <w:rsid w:val="44A26055"/>
    <w:rsid w:val="44A31611"/>
    <w:rsid w:val="44A63C52"/>
    <w:rsid w:val="44A75229"/>
    <w:rsid w:val="44AC4DC7"/>
    <w:rsid w:val="44B11C10"/>
    <w:rsid w:val="44B472FA"/>
    <w:rsid w:val="44B636E9"/>
    <w:rsid w:val="44B65397"/>
    <w:rsid w:val="44C71A75"/>
    <w:rsid w:val="44C86035"/>
    <w:rsid w:val="44D36793"/>
    <w:rsid w:val="44E51588"/>
    <w:rsid w:val="44EC2E5B"/>
    <w:rsid w:val="44EE40CB"/>
    <w:rsid w:val="44F55A09"/>
    <w:rsid w:val="44FA6BBD"/>
    <w:rsid w:val="44FB3288"/>
    <w:rsid w:val="44FB58F9"/>
    <w:rsid w:val="44FC3DAF"/>
    <w:rsid w:val="450A3129"/>
    <w:rsid w:val="45101828"/>
    <w:rsid w:val="45165D08"/>
    <w:rsid w:val="45227A16"/>
    <w:rsid w:val="452B4650"/>
    <w:rsid w:val="452D0960"/>
    <w:rsid w:val="45391497"/>
    <w:rsid w:val="453B51C6"/>
    <w:rsid w:val="45415E9B"/>
    <w:rsid w:val="4544544B"/>
    <w:rsid w:val="455A7DC6"/>
    <w:rsid w:val="455B1D0D"/>
    <w:rsid w:val="456234CC"/>
    <w:rsid w:val="45743E3C"/>
    <w:rsid w:val="457472B4"/>
    <w:rsid w:val="45780A7D"/>
    <w:rsid w:val="45790333"/>
    <w:rsid w:val="457E089E"/>
    <w:rsid w:val="4583502B"/>
    <w:rsid w:val="45892F4B"/>
    <w:rsid w:val="45963F36"/>
    <w:rsid w:val="459F194E"/>
    <w:rsid w:val="45A22034"/>
    <w:rsid w:val="45A27F2E"/>
    <w:rsid w:val="45A44622"/>
    <w:rsid w:val="45AE7F69"/>
    <w:rsid w:val="45B17617"/>
    <w:rsid w:val="45B43F6E"/>
    <w:rsid w:val="45B70710"/>
    <w:rsid w:val="45C061AC"/>
    <w:rsid w:val="45C116B7"/>
    <w:rsid w:val="45C70C20"/>
    <w:rsid w:val="45D355A1"/>
    <w:rsid w:val="45D43A08"/>
    <w:rsid w:val="45D8054A"/>
    <w:rsid w:val="45E04730"/>
    <w:rsid w:val="45FC5B6D"/>
    <w:rsid w:val="45FD6E19"/>
    <w:rsid w:val="46035F2F"/>
    <w:rsid w:val="46061F08"/>
    <w:rsid w:val="460F3AE7"/>
    <w:rsid w:val="4611795A"/>
    <w:rsid w:val="46127022"/>
    <w:rsid w:val="46140850"/>
    <w:rsid w:val="461702CD"/>
    <w:rsid w:val="461C0E0C"/>
    <w:rsid w:val="461D520E"/>
    <w:rsid w:val="46285A74"/>
    <w:rsid w:val="46363DC6"/>
    <w:rsid w:val="4646138E"/>
    <w:rsid w:val="467419EC"/>
    <w:rsid w:val="46772288"/>
    <w:rsid w:val="4678259D"/>
    <w:rsid w:val="467A6C23"/>
    <w:rsid w:val="467D55BA"/>
    <w:rsid w:val="4681431C"/>
    <w:rsid w:val="46891879"/>
    <w:rsid w:val="468C359E"/>
    <w:rsid w:val="468E739E"/>
    <w:rsid w:val="46914870"/>
    <w:rsid w:val="46933353"/>
    <w:rsid w:val="469669F2"/>
    <w:rsid w:val="46966B2D"/>
    <w:rsid w:val="46972590"/>
    <w:rsid w:val="46977186"/>
    <w:rsid w:val="469D17B3"/>
    <w:rsid w:val="46A27F62"/>
    <w:rsid w:val="46B01411"/>
    <w:rsid w:val="46B101C6"/>
    <w:rsid w:val="46C642F7"/>
    <w:rsid w:val="46D24579"/>
    <w:rsid w:val="46E04F66"/>
    <w:rsid w:val="46E75D44"/>
    <w:rsid w:val="46F45C11"/>
    <w:rsid w:val="46FF2D95"/>
    <w:rsid w:val="470E73C6"/>
    <w:rsid w:val="471140C8"/>
    <w:rsid w:val="4712491C"/>
    <w:rsid w:val="47173303"/>
    <w:rsid w:val="471F78CB"/>
    <w:rsid w:val="4721703F"/>
    <w:rsid w:val="4725502A"/>
    <w:rsid w:val="47301BF6"/>
    <w:rsid w:val="47335AF9"/>
    <w:rsid w:val="47395DE1"/>
    <w:rsid w:val="473A71A7"/>
    <w:rsid w:val="473D026D"/>
    <w:rsid w:val="47497F8D"/>
    <w:rsid w:val="474D65DF"/>
    <w:rsid w:val="474F6FD8"/>
    <w:rsid w:val="475574FA"/>
    <w:rsid w:val="475E3A4E"/>
    <w:rsid w:val="47630253"/>
    <w:rsid w:val="47684B82"/>
    <w:rsid w:val="47685334"/>
    <w:rsid w:val="47760139"/>
    <w:rsid w:val="478202B0"/>
    <w:rsid w:val="478969FE"/>
    <w:rsid w:val="47903CEB"/>
    <w:rsid w:val="47997584"/>
    <w:rsid w:val="479E04F3"/>
    <w:rsid w:val="479E755C"/>
    <w:rsid w:val="47A00219"/>
    <w:rsid w:val="47A1485B"/>
    <w:rsid w:val="47A5679F"/>
    <w:rsid w:val="47B21E99"/>
    <w:rsid w:val="47B343D1"/>
    <w:rsid w:val="47B73A82"/>
    <w:rsid w:val="47B743D7"/>
    <w:rsid w:val="47B85E88"/>
    <w:rsid w:val="47BB0719"/>
    <w:rsid w:val="47C26E58"/>
    <w:rsid w:val="47C817E0"/>
    <w:rsid w:val="47CC213E"/>
    <w:rsid w:val="47D0099A"/>
    <w:rsid w:val="47D038C8"/>
    <w:rsid w:val="47D07060"/>
    <w:rsid w:val="47E13B74"/>
    <w:rsid w:val="47E334DF"/>
    <w:rsid w:val="47E356C5"/>
    <w:rsid w:val="47E80223"/>
    <w:rsid w:val="47E8134A"/>
    <w:rsid w:val="47ED6175"/>
    <w:rsid w:val="47FF45C3"/>
    <w:rsid w:val="480A3164"/>
    <w:rsid w:val="481352B8"/>
    <w:rsid w:val="481863E1"/>
    <w:rsid w:val="481B027E"/>
    <w:rsid w:val="48220F93"/>
    <w:rsid w:val="48227FD1"/>
    <w:rsid w:val="482D12C1"/>
    <w:rsid w:val="48332FC7"/>
    <w:rsid w:val="48383ADC"/>
    <w:rsid w:val="48455F56"/>
    <w:rsid w:val="486B7B26"/>
    <w:rsid w:val="48784777"/>
    <w:rsid w:val="487A3407"/>
    <w:rsid w:val="4887329E"/>
    <w:rsid w:val="48880FBF"/>
    <w:rsid w:val="488A0ED6"/>
    <w:rsid w:val="488A120A"/>
    <w:rsid w:val="48905BD3"/>
    <w:rsid w:val="48967B3E"/>
    <w:rsid w:val="489A5C8F"/>
    <w:rsid w:val="489C6C3C"/>
    <w:rsid w:val="48A04C9A"/>
    <w:rsid w:val="48A86FF7"/>
    <w:rsid w:val="48AE38B6"/>
    <w:rsid w:val="48B936F7"/>
    <w:rsid w:val="48D95B3B"/>
    <w:rsid w:val="48DD1F9B"/>
    <w:rsid w:val="48DE7C62"/>
    <w:rsid w:val="48E478BA"/>
    <w:rsid w:val="48F5154B"/>
    <w:rsid w:val="48FD68C4"/>
    <w:rsid w:val="48FF06AD"/>
    <w:rsid w:val="48FF1DC1"/>
    <w:rsid w:val="4908038C"/>
    <w:rsid w:val="49085D68"/>
    <w:rsid w:val="490B5A19"/>
    <w:rsid w:val="490B5F77"/>
    <w:rsid w:val="490D21EC"/>
    <w:rsid w:val="490E2C43"/>
    <w:rsid w:val="49112686"/>
    <w:rsid w:val="49151DC3"/>
    <w:rsid w:val="491C2609"/>
    <w:rsid w:val="493031B0"/>
    <w:rsid w:val="493A5BDD"/>
    <w:rsid w:val="49400A34"/>
    <w:rsid w:val="4940773A"/>
    <w:rsid w:val="49476BD6"/>
    <w:rsid w:val="494D5726"/>
    <w:rsid w:val="49675557"/>
    <w:rsid w:val="49776324"/>
    <w:rsid w:val="498C3541"/>
    <w:rsid w:val="499421CF"/>
    <w:rsid w:val="49944C71"/>
    <w:rsid w:val="49A2530C"/>
    <w:rsid w:val="49A3452D"/>
    <w:rsid w:val="49A44EF7"/>
    <w:rsid w:val="49AE13EF"/>
    <w:rsid w:val="49B62D9C"/>
    <w:rsid w:val="49B81710"/>
    <w:rsid w:val="49C22EF2"/>
    <w:rsid w:val="49CF7722"/>
    <w:rsid w:val="49D03FCB"/>
    <w:rsid w:val="49D76673"/>
    <w:rsid w:val="49DA71A5"/>
    <w:rsid w:val="49ED4D5E"/>
    <w:rsid w:val="49F03AA2"/>
    <w:rsid w:val="49F57D92"/>
    <w:rsid w:val="49F86211"/>
    <w:rsid w:val="4A0229F1"/>
    <w:rsid w:val="4A0A3BF6"/>
    <w:rsid w:val="4A127399"/>
    <w:rsid w:val="4A13190D"/>
    <w:rsid w:val="4A1A3042"/>
    <w:rsid w:val="4A1D4161"/>
    <w:rsid w:val="4A204F57"/>
    <w:rsid w:val="4A2C4167"/>
    <w:rsid w:val="4A2D3A16"/>
    <w:rsid w:val="4A3904FB"/>
    <w:rsid w:val="4A3C2CE1"/>
    <w:rsid w:val="4A3F34FC"/>
    <w:rsid w:val="4A404860"/>
    <w:rsid w:val="4A471230"/>
    <w:rsid w:val="4A4F2528"/>
    <w:rsid w:val="4A5247D7"/>
    <w:rsid w:val="4A567227"/>
    <w:rsid w:val="4A572AA9"/>
    <w:rsid w:val="4A5D79DA"/>
    <w:rsid w:val="4A5E17DF"/>
    <w:rsid w:val="4A6355E0"/>
    <w:rsid w:val="4A693AFE"/>
    <w:rsid w:val="4A6D6611"/>
    <w:rsid w:val="4A7079D9"/>
    <w:rsid w:val="4A811B75"/>
    <w:rsid w:val="4A88D727"/>
    <w:rsid w:val="4A8F0761"/>
    <w:rsid w:val="4A973567"/>
    <w:rsid w:val="4A987E5B"/>
    <w:rsid w:val="4A9D765B"/>
    <w:rsid w:val="4AA77C8F"/>
    <w:rsid w:val="4AA80D7A"/>
    <w:rsid w:val="4AA959F0"/>
    <w:rsid w:val="4AAE0F92"/>
    <w:rsid w:val="4AB85528"/>
    <w:rsid w:val="4ABB6797"/>
    <w:rsid w:val="4AC047DD"/>
    <w:rsid w:val="4AD43538"/>
    <w:rsid w:val="4ADA526E"/>
    <w:rsid w:val="4AE15E47"/>
    <w:rsid w:val="4AE41442"/>
    <w:rsid w:val="4AFA1768"/>
    <w:rsid w:val="4AFE790B"/>
    <w:rsid w:val="4AFF0115"/>
    <w:rsid w:val="4B052E99"/>
    <w:rsid w:val="4B091650"/>
    <w:rsid w:val="4B124BEE"/>
    <w:rsid w:val="4B1A2F6F"/>
    <w:rsid w:val="4B1D2D8B"/>
    <w:rsid w:val="4B201CF7"/>
    <w:rsid w:val="4B2E2B5B"/>
    <w:rsid w:val="4B2F2D93"/>
    <w:rsid w:val="4B3A3FB9"/>
    <w:rsid w:val="4B3A72D7"/>
    <w:rsid w:val="4B402FE0"/>
    <w:rsid w:val="4B4A3680"/>
    <w:rsid w:val="4B552DB9"/>
    <w:rsid w:val="4B5C0970"/>
    <w:rsid w:val="4B602E82"/>
    <w:rsid w:val="4B6E741A"/>
    <w:rsid w:val="4B7621C2"/>
    <w:rsid w:val="4B95346E"/>
    <w:rsid w:val="4B993F70"/>
    <w:rsid w:val="4B9C01F4"/>
    <w:rsid w:val="4B9D59A8"/>
    <w:rsid w:val="4B9E7576"/>
    <w:rsid w:val="4BA56AA5"/>
    <w:rsid w:val="4BB20C08"/>
    <w:rsid w:val="4BB824F2"/>
    <w:rsid w:val="4BC67E8D"/>
    <w:rsid w:val="4BCB6794"/>
    <w:rsid w:val="4BD00089"/>
    <w:rsid w:val="4BD12974"/>
    <w:rsid w:val="4BDC011F"/>
    <w:rsid w:val="4BDF6336"/>
    <w:rsid w:val="4BE15658"/>
    <w:rsid w:val="4BE23638"/>
    <w:rsid w:val="4BF55129"/>
    <w:rsid w:val="4C007741"/>
    <w:rsid w:val="4C0409C6"/>
    <w:rsid w:val="4C100E0C"/>
    <w:rsid w:val="4C1269B2"/>
    <w:rsid w:val="4C190B38"/>
    <w:rsid w:val="4C250EC2"/>
    <w:rsid w:val="4C27130D"/>
    <w:rsid w:val="4C325ADD"/>
    <w:rsid w:val="4C36741E"/>
    <w:rsid w:val="4C431D1C"/>
    <w:rsid w:val="4C4925F6"/>
    <w:rsid w:val="4C4B1B75"/>
    <w:rsid w:val="4C5623BC"/>
    <w:rsid w:val="4C5D743B"/>
    <w:rsid w:val="4C66598E"/>
    <w:rsid w:val="4C69358E"/>
    <w:rsid w:val="4C793B73"/>
    <w:rsid w:val="4C8973AB"/>
    <w:rsid w:val="4C9A5D7C"/>
    <w:rsid w:val="4C9F2639"/>
    <w:rsid w:val="4CA801EB"/>
    <w:rsid w:val="4CB36CBE"/>
    <w:rsid w:val="4CB579C0"/>
    <w:rsid w:val="4CB6100E"/>
    <w:rsid w:val="4CB97C4E"/>
    <w:rsid w:val="4CBF0602"/>
    <w:rsid w:val="4CC36939"/>
    <w:rsid w:val="4CC36EC4"/>
    <w:rsid w:val="4CC87A79"/>
    <w:rsid w:val="4CD22170"/>
    <w:rsid w:val="4CD57B0C"/>
    <w:rsid w:val="4CE52C81"/>
    <w:rsid w:val="4CED33FF"/>
    <w:rsid w:val="4CED7E60"/>
    <w:rsid w:val="4CF02694"/>
    <w:rsid w:val="4D0158D0"/>
    <w:rsid w:val="4D0504E2"/>
    <w:rsid w:val="4D051EDC"/>
    <w:rsid w:val="4D0A650F"/>
    <w:rsid w:val="4D0B69FF"/>
    <w:rsid w:val="4D0F18F3"/>
    <w:rsid w:val="4D150374"/>
    <w:rsid w:val="4D165EB3"/>
    <w:rsid w:val="4D1A2436"/>
    <w:rsid w:val="4D1B4D3D"/>
    <w:rsid w:val="4D1F6494"/>
    <w:rsid w:val="4D2C65BA"/>
    <w:rsid w:val="4D3007D0"/>
    <w:rsid w:val="4D340D8D"/>
    <w:rsid w:val="4D401424"/>
    <w:rsid w:val="4D473C38"/>
    <w:rsid w:val="4D49672F"/>
    <w:rsid w:val="4D4C28EF"/>
    <w:rsid w:val="4D52292F"/>
    <w:rsid w:val="4D607375"/>
    <w:rsid w:val="4D6A5974"/>
    <w:rsid w:val="4D731449"/>
    <w:rsid w:val="4D745D19"/>
    <w:rsid w:val="4D7E00EB"/>
    <w:rsid w:val="4D8A1336"/>
    <w:rsid w:val="4D8F551F"/>
    <w:rsid w:val="4D913F38"/>
    <w:rsid w:val="4D955898"/>
    <w:rsid w:val="4D984755"/>
    <w:rsid w:val="4D98694F"/>
    <w:rsid w:val="4D9D2806"/>
    <w:rsid w:val="4D9E27F6"/>
    <w:rsid w:val="4DA9722D"/>
    <w:rsid w:val="4DAF760E"/>
    <w:rsid w:val="4DBA2662"/>
    <w:rsid w:val="4DC22E59"/>
    <w:rsid w:val="4DD53E43"/>
    <w:rsid w:val="4DD80226"/>
    <w:rsid w:val="4DDD484D"/>
    <w:rsid w:val="4DE30E04"/>
    <w:rsid w:val="4DE624F3"/>
    <w:rsid w:val="4DF758BD"/>
    <w:rsid w:val="4DFF0227"/>
    <w:rsid w:val="4E0468B9"/>
    <w:rsid w:val="4E07059D"/>
    <w:rsid w:val="4E0D3A82"/>
    <w:rsid w:val="4E1A3F1C"/>
    <w:rsid w:val="4E2238E3"/>
    <w:rsid w:val="4E234101"/>
    <w:rsid w:val="4E4B134D"/>
    <w:rsid w:val="4E566D32"/>
    <w:rsid w:val="4E600612"/>
    <w:rsid w:val="4E617864"/>
    <w:rsid w:val="4E6629A1"/>
    <w:rsid w:val="4E6D6181"/>
    <w:rsid w:val="4E704B83"/>
    <w:rsid w:val="4E8153D4"/>
    <w:rsid w:val="4E89473F"/>
    <w:rsid w:val="4E984750"/>
    <w:rsid w:val="4E9B4E1E"/>
    <w:rsid w:val="4EA55AA7"/>
    <w:rsid w:val="4EB8649F"/>
    <w:rsid w:val="4EC679E1"/>
    <w:rsid w:val="4ECE0346"/>
    <w:rsid w:val="4ED14CE6"/>
    <w:rsid w:val="4ED22D7B"/>
    <w:rsid w:val="4ED64F3B"/>
    <w:rsid w:val="4EDD7052"/>
    <w:rsid w:val="4EE40330"/>
    <w:rsid w:val="4EF12E40"/>
    <w:rsid w:val="4EF86790"/>
    <w:rsid w:val="4F003730"/>
    <w:rsid w:val="4F0A64ED"/>
    <w:rsid w:val="4F2618B6"/>
    <w:rsid w:val="4F340F1B"/>
    <w:rsid w:val="4F3B7BF9"/>
    <w:rsid w:val="4F4354F6"/>
    <w:rsid w:val="4F437A17"/>
    <w:rsid w:val="4F4E4E6E"/>
    <w:rsid w:val="4F572AA2"/>
    <w:rsid w:val="4F611AAD"/>
    <w:rsid w:val="4F6D750F"/>
    <w:rsid w:val="4F7312FE"/>
    <w:rsid w:val="4F7741BF"/>
    <w:rsid w:val="4F7914F4"/>
    <w:rsid w:val="4F7A4C32"/>
    <w:rsid w:val="4F7B650E"/>
    <w:rsid w:val="4F825634"/>
    <w:rsid w:val="4F8D4E45"/>
    <w:rsid w:val="4F97D48F"/>
    <w:rsid w:val="4FA14823"/>
    <w:rsid w:val="4FB11742"/>
    <w:rsid w:val="4FB50A89"/>
    <w:rsid w:val="4FB55C91"/>
    <w:rsid w:val="4FBF5D0D"/>
    <w:rsid w:val="4FC15AE2"/>
    <w:rsid w:val="4FCA31BD"/>
    <w:rsid w:val="4FE461EE"/>
    <w:rsid w:val="4FE51F8C"/>
    <w:rsid w:val="4FE60DD8"/>
    <w:rsid w:val="4FF30B09"/>
    <w:rsid w:val="4FF73DA2"/>
    <w:rsid w:val="4FFB3039"/>
    <w:rsid w:val="4FFB57DD"/>
    <w:rsid w:val="4FFF3191"/>
    <w:rsid w:val="50031422"/>
    <w:rsid w:val="500C022E"/>
    <w:rsid w:val="500F3448"/>
    <w:rsid w:val="502563C7"/>
    <w:rsid w:val="50266FE8"/>
    <w:rsid w:val="502671FD"/>
    <w:rsid w:val="502837E4"/>
    <w:rsid w:val="50296B51"/>
    <w:rsid w:val="502A19EC"/>
    <w:rsid w:val="502F1297"/>
    <w:rsid w:val="50407109"/>
    <w:rsid w:val="50453D83"/>
    <w:rsid w:val="505A6AC9"/>
    <w:rsid w:val="505D10F0"/>
    <w:rsid w:val="507A23E1"/>
    <w:rsid w:val="50800297"/>
    <w:rsid w:val="50867A29"/>
    <w:rsid w:val="50886DB4"/>
    <w:rsid w:val="50985D0D"/>
    <w:rsid w:val="509F7D01"/>
    <w:rsid w:val="50A21ED7"/>
    <w:rsid w:val="50B33519"/>
    <w:rsid w:val="50BC462B"/>
    <w:rsid w:val="50C82C57"/>
    <w:rsid w:val="50D34D20"/>
    <w:rsid w:val="50D52CE8"/>
    <w:rsid w:val="50DA3095"/>
    <w:rsid w:val="50E563AC"/>
    <w:rsid w:val="50E87175"/>
    <w:rsid w:val="50FA6BC2"/>
    <w:rsid w:val="50FB08E7"/>
    <w:rsid w:val="510838D5"/>
    <w:rsid w:val="510B6162"/>
    <w:rsid w:val="51183927"/>
    <w:rsid w:val="511C3E16"/>
    <w:rsid w:val="51226553"/>
    <w:rsid w:val="51244D0B"/>
    <w:rsid w:val="51286367"/>
    <w:rsid w:val="512A1536"/>
    <w:rsid w:val="512C10E5"/>
    <w:rsid w:val="513005C5"/>
    <w:rsid w:val="513917B7"/>
    <w:rsid w:val="513A39A8"/>
    <w:rsid w:val="513B1AD3"/>
    <w:rsid w:val="514337EA"/>
    <w:rsid w:val="514668E6"/>
    <w:rsid w:val="515379CB"/>
    <w:rsid w:val="5154543F"/>
    <w:rsid w:val="51587530"/>
    <w:rsid w:val="515D53CE"/>
    <w:rsid w:val="5165675D"/>
    <w:rsid w:val="5176072C"/>
    <w:rsid w:val="51774053"/>
    <w:rsid w:val="517A337B"/>
    <w:rsid w:val="517D1373"/>
    <w:rsid w:val="51907C22"/>
    <w:rsid w:val="51964180"/>
    <w:rsid w:val="519A70AB"/>
    <w:rsid w:val="519C30FB"/>
    <w:rsid w:val="519D454C"/>
    <w:rsid w:val="51A77472"/>
    <w:rsid w:val="51A829ED"/>
    <w:rsid w:val="51AE5ED6"/>
    <w:rsid w:val="51B84D15"/>
    <w:rsid w:val="51B969DE"/>
    <w:rsid w:val="51BD464E"/>
    <w:rsid w:val="51D85410"/>
    <w:rsid w:val="51E26844"/>
    <w:rsid w:val="51E3394B"/>
    <w:rsid w:val="51F0511B"/>
    <w:rsid w:val="51F13035"/>
    <w:rsid w:val="51F174CA"/>
    <w:rsid w:val="51F73FAA"/>
    <w:rsid w:val="51F90C61"/>
    <w:rsid w:val="51FB04CD"/>
    <w:rsid w:val="51FC7708"/>
    <w:rsid w:val="51FD14F9"/>
    <w:rsid w:val="51FEC1C0"/>
    <w:rsid w:val="52060579"/>
    <w:rsid w:val="520B595F"/>
    <w:rsid w:val="520F05AC"/>
    <w:rsid w:val="52102A4C"/>
    <w:rsid w:val="521918F5"/>
    <w:rsid w:val="521D367A"/>
    <w:rsid w:val="521E6E07"/>
    <w:rsid w:val="52202C5F"/>
    <w:rsid w:val="52232D2C"/>
    <w:rsid w:val="52325B24"/>
    <w:rsid w:val="523B5477"/>
    <w:rsid w:val="52521E37"/>
    <w:rsid w:val="52542CAC"/>
    <w:rsid w:val="525F2732"/>
    <w:rsid w:val="526019F9"/>
    <w:rsid w:val="527343DD"/>
    <w:rsid w:val="5273632D"/>
    <w:rsid w:val="527A7770"/>
    <w:rsid w:val="52814FDE"/>
    <w:rsid w:val="528B22A3"/>
    <w:rsid w:val="529C0803"/>
    <w:rsid w:val="52A50B99"/>
    <w:rsid w:val="52A7025A"/>
    <w:rsid w:val="52B156E5"/>
    <w:rsid w:val="52B479F6"/>
    <w:rsid w:val="52BC79C6"/>
    <w:rsid w:val="52BD3222"/>
    <w:rsid w:val="52F43F44"/>
    <w:rsid w:val="52F46DDA"/>
    <w:rsid w:val="52F5148F"/>
    <w:rsid w:val="52F719CC"/>
    <w:rsid w:val="530D42AD"/>
    <w:rsid w:val="530F3B21"/>
    <w:rsid w:val="530F6FAB"/>
    <w:rsid w:val="531F6EFC"/>
    <w:rsid w:val="532575F9"/>
    <w:rsid w:val="532C41A4"/>
    <w:rsid w:val="533A66AA"/>
    <w:rsid w:val="533D56C3"/>
    <w:rsid w:val="533F54F4"/>
    <w:rsid w:val="53430968"/>
    <w:rsid w:val="5344403D"/>
    <w:rsid w:val="534D5ABE"/>
    <w:rsid w:val="53510596"/>
    <w:rsid w:val="53561319"/>
    <w:rsid w:val="535C29DB"/>
    <w:rsid w:val="535D1F32"/>
    <w:rsid w:val="5366097B"/>
    <w:rsid w:val="536E376A"/>
    <w:rsid w:val="53722655"/>
    <w:rsid w:val="53754F91"/>
    <w:rsid w:val="53831075"/>
    <w:rsid w:val="5384387D"/>
    <w:rsid w:val="53943C93"/>
    <w:rsid w:val="53964B01"/>
    <w:rsid w:val="539700C2"/>
    <w:rsid w:val="53A84DEB"/>
    <w:rsid w:val="53B17198"/>
    <w:rsid w:val="53B36B90"/>
    <w:rsid w:val="53B691B1"/>
    <w:rsid w:val="53BA31C2"/>
    <w:rsid w:val="53BE69EB"/>
    <w:rsid w:val="53C323CB"/>
    <w:rsid w:val="53CB6E38"/>
    <w:rsid w:val="53CE36FC"/>
    <w:rsid w:val="53CF43D8"/>
    <w:rsid w:val="53D630CF"/>
    <w:rsid w:val="53D95B0A"/>
    <w:rsid w:val="53DF2C8F"/>
    <w:rsid w:val="53E43C5A"/>
    <w:rsid w:val="53F340BD"/>
    <w:rsid w:val="54024116"/>
    <w:rsid w:val="540B3CA0"/>
    <w:rsid w:val="54103FFD"/>
    <w:rsid w:val="541122B3"/>
    <w:rsid w:val="5414309E"/>
    <w:rsid w:val="541605C0"/>
    <w:rsid w:val="54177EC5"/>
    <w:rsid w:val="541D1254"/>
    <w:rsid w:val="54274D45"/>
    <w:rsid w:val="542C274A"/>
    <w:rsid w:val="543C3B66"/>
    <w:rsid w:val="54427DC3"/>
    <w:rsid w:val="54436F0C"/>
    <w:rsid w:val="54497F1E"/>
    <w:rsid w:val="54621B5D"/>
    <w:rsid w:val="54631FF6"/>
    <w:rsid w:val="54675082"/>
    <w:rsid w:val="547E648F"/>
    <w:rsid w:val="548C6F05"/>
    <w:rsid w:val="54A12219"/>
    <w:rsid w:val="54A6489D"/>
    <w:rsid w:val="54B548D4"/>
    <w:rsid w:val="54C74254"/>
    <w:rsid w:val="54CD459F"/>
    <w:rsid w:val="54D01E51"/>
    <w:rsid w:val="54D44845"/>
    <w:rsid w:val="54DA59A3"/>
    <w:rsid w:val="54E425C6"/>
    <w:rsid w:val="54EB0075"/>
    <w:rsid w:val="54EB07AC"/>
    <w:rsid w:val="54ED54C9"/>
    <w:rsid w:val="54F2508A"/>
    <w:rsid w:val="54F94472"/>
    <w:rsid w:val="54FD105E"/>
    <w:rsid w:val="550F4C72"/>
    <w:rsid w:val="5519585F"/>
    <w:rsid w:val="551B519E"/>
    <w:rsid w:val="55213ED2"/>
    <w:rsid w:val="55252EB8"/>
    <w:rsid w:val="552F3010"/>
    <w:rsid w:val="553D1656"/>
    <w:rsid w:val="55470032"/>
    <w:rsid w:val="554F3641"/>
    <w:rsid w:val="55591282"/>
    <w:rsid w:val="55763C0E"/>
    <w:rsid w:val="557969CB"/>
    <w:rsid w:val="557A77E0"/>
    <w:rsid w:val="557B3242"/>
    <w:rsid w:val="5582372F"/>
    <w:rsid w:val="55857C99"/>
    <w:rsid w:val="55890798"/>
    <w:rsid w:val="558C3B1F"/>
    <w:rsid w:val="558D6640"/>
    <w:rsid w:val="55A53C10"/>
    <w:rsid w:val="55A72A72"/>
    <w:rsid w:val="55A81388"/>
    <w:rsid w:val="55AC1A7E"/>
    <w:rsid w:val="55C914A2"/>
    <w:rsid w:val="55D223A0"/>
    <w:rsid w:val="55D36C61"/>
    <w:rsid w:val="55EA4B40"/>
    <w:rsid w:val="55EB3B10"/>
    <w:rsid w:val="560005ED"/>
    <w:rsid w:val="56065A38"/>
    <w:rsid w:val="561A5210"/>
    <w:rsid w:val="562E6337"/>
    <w:rsid w:val="56337E3C"/>
    <w:rsid w:val="564A7EF9"/>
    <w:rsid w:val="5659088A"/>
    <w:rsid w:val="5659456A"/>
    <w:rsid w:val="56612625"/>
    <w:rsid w:val="56686E72"/>
    <w:rsid w:val="566B5428"/>
    <w:rsid w:val="566C0D6E"/>
    <w:rsid w:val="566C34CD"/>
    <w:rsid w:val="56784C2E"/>
    <w:rsid w:val="569B2037"/>
    <w:rsid w:val="56A114A7"/>
    <w:rsid w:val="56A47539"/>
    <w:rsid w:val="56A72D53"/>
    <w:rsid w:val="56B505B7"/>
    <w:rsid w:val="56B94B0A"/>
    <w:rsid w:val="56D53DD4"/>
    <w:rsid w:val="56D70CEB"/>
    <w:rsid w:val="56DA6734"/>
    <w:rsid w:val="56E176CE"/>
    <w:rsid w:val="56E66160"/>
    <w:rsid w:val="56EB2EA1"/>
    <w:rsid w:val="56F647F4"/>
    <w:rsid w:val="57075F2D"/>
    <w:rsid w:val="57084C3D"/>
    <w:rsid w:val="57172D1A"/>
    <w:rsid w:val="57185DC0"/>
    <w:rsid w:val="571E71E2"/>
    <w:rsid w:val="57354F1A"/>
    <w:rsid w:val="573574C8"/>
    <w:rsid w:val="573D0A11"/>
    <w:rsid w:val="57417420"/>
    <w:rsid w:val="57483BE4"/>
    <w:rsid w:val="57570F58"/>
    <w:rsid w:val="5768624F"/>
    <w:rsid w:val="577228E2"/>
    <w:rsid w:val="577D08AE"/>
    <w:rsid w:val="578908B4"/>
    <w:rsid w:val="57897991"/>
    <w:rsid w:val="578C031A"/>
    <w:rsid w:val="57962473"/>
    <w:rsid w:val="57973DA5"/>
    <w:rsid w:val="579D5131"/>
    <w:rsid w:val="57A8155F"/>
    <w:rsid w:val="57AF622F"/>
    <w:rsid w:val="57B7AC2D"/>
    <w:rsid w:val="57BB7923"/>
    <w:rsid w:val="57BC1110"/>
    <w:rsid w:val="57BE75AE"/>
    <w:rsid w:val="57C30778"/>
    <w:rsid w:val="57C31483"/>
    <w:rsid w:val="57CE4C8A"/>
    <w:rsid w:val="57D163E4"/>
    <w:rsid w:val="57D16401"/>
    <w:rsid w:val="57D24914"/>
    <w:rsid w:val="57DB6D3D"/>
    <w:rsid w:val="57DF3C6E"/>
    <w:rsid w:val="57E04DBF"/>
    <w:rsid w:val="57E143E9"/>
    <w:rsid w:val="57EC6094"/>
    <w:rsid w:val="57EF7DA7"/>
    <w:rsid w:val="57F54575"/>
    <w:rsid w:val="57F7035B"/>
    <w:rsid w:val="57FD1FF0"/>
    <w:rsid w:val="58010DC1"/>
    <w:rsid w:val="5803175C"/>
    <w:rsid w:val="58053E27"/>
    <w:rsid w:val="58086F80"/>
    <w:rsid w:val="581642D4"/>
    <w:rsid w:val="581676C7"/>
    <w:rsid w:val="58170F3C"/>
    <w:rsid w:val="5818486D"/>
    <w:rsid w:val="5819077D"/>
    <w:rsid w:val="58214972"/>
    <w:rsid w:val="58285432"/>
    <w:rsid w:val="58292291"/>
    <w:rsid w:val="58310DA9"/>
    <w:rsid w:val="58322F5B"/>
    <w:rsid w:val="583F1695"/>
    <w:rsid w:val="58402004"/>
    <w:rsid w:val="58484357"/>
    <w:rsid w:val="584E7C2E"/>
    <w:rsid w:val="58540B70"/>
    <w:rsid w:val="585A1EA8"/>
    <w:rsid w:val="585E711F"/>
    <w:rsid w:val="585F2818"/>
    <w:rsid w:val="58615632"/>
    <w:rsid w:val="586923FC"/>
    <w:rsid w:val="586970C5"/>
    <w:rsid w:val="586C2216"/>
    <w:rsid w:val="586E0760"/>
    <w:rsid w:val="58771A37"/>
    <w:rsid w:val="587A2927"/>
    <w:rsid w:val="587B479B"/>
    <w:rsid w:val="5884134D"/>
    <w:rsid w:val="588615B2"/>
    <w:rsid w:val="588C7872"/>
    <w:rsid w:val="58A557B0"/>
    <w:rsid w:val="58AA5028"/>
    <w:rsid w:val="58B02697"/>
    <w:rsid w:val="58B271EF"/>
    <w:rsid w:val="58B45971"/>
    <w:rsid w:val="58BB6D92"/>
    <w:rsid w:val="58C92A02"/>
    <w:rsid w:val="58C947C6"/>
    <w:rsid w:val="58D55067"/>
    <w:rsid w:val="58E415AA"/>
    <w:rsid w:val="58F2796E"/>
    <w:rsid w:val="58F520DA"/>
    <w:rsid w:val="58FB2E45"/>
    <w:rsid w:val="5903180D"/>
    <w:rsid w:val="590463F2"/>
    <w:rsid w:val="590A31B1"/>
    <w:rsid w:val="590F3616"/>
    <w:rsid w:val="59115F7D"/>
    <w:rsid w:val="591D1757"/>
    <w:rsid w:val="591E3238"/>
    <w:rsid w:val="59297121"/>
    <w:rsid w:val="592C478D"/>
    <w:rsid w:val="592F4D6F"/>
    <w:rsid w:val="593000AB"/>
    <w:rsid w:val="59340C57"/>
    <w:rsid w:val="59353948"/>
    <w:rsid w:val="593A2D6E"/>
    <w:rsid w:val="593F2505"/>
    <w:rsid w:val="59413709"/>
    <w:rsid w:val="594E5D0C"/>
    <w:rsid w:val="595175F4"/>
    <w:rsid w:val="595757DF"/>
    <w:rsid w:val="595853FF"/>
    <w:rsid w:val="59595E25"/>
    <w:rsid w:val="595A436D"/>
    <w:rsid w:val="595C5675"/>
    <w:rsid w:val="596001A9"/>
    <w:rsid w:val="59607221"/>
    <w:rsid w:val="596349AC"/>
    <w:rsid w:val="596C1E93"/>
    <w:rsid w:val="596D6914"/>
    <w:rsid w:val="59732FBF"/>
    <w:rsid w:val="59923A4D"/>
    <w:rsid w:val="599C1B8F"/>
    <w:rsid w:val="599C33BC"/>
    <w:rsid w:val="59A4604E"/>
    <w:rsid w:val="59B002B3"/>
    <w:rsid w:val="59B47B64"/>
    <w:rsid w:val="59BA36C4"/>
    <w:rsid w:val="59C43D7F"/>
    <w:rsid w:val="59C53E78"/>
    <w:rsid w:val="59C7158B"/>
    <w:rsid w:val="59D05A7C"/>
    <w:rsid w:val="59D17EAB"/>
    <w:rsid w:val="59DA0EE8"/>
    <w:rsid w:val="59F523D2"/>
    <w:rsid w:val="59F9604B"/>
    <w:rsid w:val="59FA43B9"/>
    <w:rsid w:val="5A00117D"/>
    <w:rsid w:val="5A001DCB"/>
    <w:rsid w:val="5A0A7D63"/>
    <w:rsid w:val="5A0C7DA1"/>
    <w:rsid w:val="5A0F6FF7"/>
    <w:rsid w:val="5A0F7B46"/>
    <w:rsid w:val="5A1A323F"/>
    <w:rsid w:val="5A1B0550"/>
    <w:rsid w:val="5A1B1514"/>
    <w:rsid w:val="5A1C0938"/>
    <w:rsid w:val="5A2F3127"/>
    <w:rsid w:val="5A334F56"/>
    <w:rsid w:val="5A505703"/>
    <w:rsid w:val="5A5E46EB"/>
    <w:rsid w:val="5A6302B0"/>
    <w:rsid w:val="5A654CCB"/>
    <w:rsid w:val="5A7D37D6"/>
    <w:rsid w:val="5A8221E9"/>
    <w:rsid w:val="5A856AD4"/>
    <w:rsid w:val="5A8C6D70"/>
    <w:rsid w:val="5A8D6F72"/>
    <w:rsid w:val="5A902E00"/>
    <w:rsid w:val="5A987170"/>
    <w:rsid w:val="5A9A2002"/>
    <w:rsid w:val="5A9A74B2"/>
    <w:rsid w:val="5A9F2A23"/>
    <w:rsid w:val="5AA241BD"/>
    <w:rsid w:val="5AA76822"/>
    <w:rsid w:val="5AA858EF"/>
    <w:rsid w:val="5AAA4F3D"/>
    <w:rsid w:val="5AAF577B"/>
    <w:rsid w:val="5AB15849"/>
    <w:rsid w:val="5AB426B0"/>
    <w:rsid w:val="5AB4497A"/>
    <w:rsid w:val="5AB85B69"/>
    <w:rsid w:val="5ABA64EE"/>
    <w:rsid w:val="5AC10616"/>
    <w:rsid w:val="5ACE6F50"/>
    <w:rsid w:val="5AE27EBB"/>
    <w:rsid w:val="5AE820EA"/>
    <w:rsid w:val="5AEA1A58"/>
    <w:rsid w:val="5AEB5C08"/>
    <w:rsid w:val="5AF41035"/>
    <w:rsid w:val="5AFD3A39"/>
    <w:rsid w:val="5AFF5DAD"/>
    <w:rsid w:val="5B0C0EB3"/>
    <w:rsid w:val="5B183273"/>
    <w:rsid w:val="5B23050D"/>
    <w:rsid w:val="5B243F0E"/>
    <w:rsid w:val="5B2854DF"/>
    <w:rsid w:val="5B296115"/>
    <w:rsid w:val="5B2C14B7"/>
    <w:rsid w:val="5B304346"/>
    <w:rsid w:val="5B3C2289"/>
    <w:rsid w:val="5B3D4773"/>
    <w:rsid w:val="5B433601"/>
    <w:rsid w:val="5B4922BD"/>
    <w:rsid w:val="5B5012D0"/>
    <w:rsid w:val="5B5C3BF6"/>
    <w:rsid w:val="5B6E1A2A"/>
    <w:rsid w:val="5B6E2DAA"/>
    <w:rsid w:val="5B705D65"/>
    <w:rsid w:val="5B707758"/>
    <w:rsid w:val="5B7622C9"/>
    <w:rsid w:val="5B812007"/>
    <w:rsid w:val="5B856E8C"/>
    <w:rsid w:val="5B864799"/>
    <w:rsid w:val="5B8E74DE"/>
    <w:rsid w:val="5B94216A"/>
    <w:rsid w:val="5B9646D6"/>
    <w:rsid w:val="5B9976DE"/>
    <w:rsid w:val="5B9F0D81"/>
    <w:rsid w:val="5B9F76D0"/>
    <w:rsid w:val="5BA60FE6"/>
    <w:rsid w:val="5BA869EA"/>
    <w:rsid w:val="5BA960B3"/>
    <w:rsid w:val="5BAC7388"/>
    <w:rsid w:val="5BB52961"/>
    <w:rsid w:val="5BBE64E2"/>
    <w:rsid w:val="5BC81090"/>
    <w:rsid w:val="5BCE4273"/>
    <w:rsid w:val="5BDB0397"/>
    <w:rsid w:val="5BDC1DA9"/>
    <w:rsid w:val="5BDE3464"/>
    <w:rsid w:val="5BE1765B"/>
    <w:rsid w:val="5BE7353A"/>
    <w:rsid w:val="5C045D98"/>
    <w:rsid w:val="5C052E74"/>
    <w:rsid w:val="5C0627FA"/>
    <w:rsid w:val="5C1A3C85"/>
    <w:rsid w:val="5C1D5FD0"/>
    <w:rsid w:val="5C261450"/>
    <w:rsid w:val="5C2C59CA"/>
    <w:rsid w:val="5C312917"/>
    <w:rsid w:val="5C3F3AAA"/>
    <w:rsid w:val="5C3F4562"/>
    <w:rsid w:val="5C482E9B"/>
    <w:rsid w:val="5C502940"/>
    <w:rsid w:val="5C562D28"/>
    <w:rsid w:val="5C5861D6"/>
    <w:rsid w:val="5C5B236F"/>
    <w:rsid w:val="5C5D3282"/>
    <w:rsid w:val="5C6374D4"/>
    <w:rsid w:val="5C676FBC"/>
    <w:rsid w:val="5C6A68A5"/>
    <w:rsid w:val="5C792E7A"/>
    <w:rsid w:val="5C7D79C2"/>
    <w:rsid w:val="5C91758A"/>
    <w:rsid w:val="5C9516FC"/>
    <w:rsid w:val="5C965D04"/>
    <w:rsid w:val="5C971C23"/>
    <w:rsid w:val="5C973129"/>
    <w:rsid w:val="5C985FDC"/>
    <w:rsid w:val="5CA01187"/>
    <w:rsid w:val="5CA469D6"/>
    <w:rsid w:val="5CAC47AA"/>
    <w:rsid w:val="5CB4366B"/>
    <w:rsid w:val="5CB954A6"/>
    <w:rsid w:val="5CB95D74"/>
    <w:rsid w:val="5CC46C4B"/>
    <w:rsid w:val="5CCA1A6D"/>
    <w:rsid w:val="5CCB6710"/>
    <w:rsid w:val="5CD90EA9"/>
    <w:rsid w:val="5CDB7ECF"/>
    <w:rsid w:val="5CDC0FE9"/>
    <w:rsid w:val="5CE10B7B"/>
    <w:rsid w:val="5CE45F9E"/>
    <w:rsid w:val="5CF45FB4"/>
    <w:rsid w:val="5CFE4DCA"/>
    <w:rsid w:val="5CFE6FB8"/>
    <w:rsid w:val="5D0A3D12"/>
    <w:rsid w:val="5D223885"/>
    <w:rsid w:val="5D23625D"/>
    <w:rsid w:val="5D2C2B85"/>
    <w:rsid w:val="5D3A6AA6"/>
    <w:rsid w:val="5D3C11F3"/>
    <w:rsid w:val="5D3C207A"/>
    <w:rsid w:val="5D440E5D"/>
    <w:rsid w:val="5D4F4B1A"/>
    <w:rsid w:val="5D501B39"/>
    <w:rsid w:val="5D5359A6"/>
    <w:rsid w:val="5D6004A4"/>
    <w:rsid w:val="5D6553AA"/>
    <w:rsid w:val="5D6767B6"/>
    <w:rsid w:val="5D6B528B"/>
    <w:rsid w:val="5D750FB4"/>
    <w:rsid w:val="5D7964E3"/>
    <w:rsid w:val="5D850511"/>
    <w:rsid w:val="5D8C76EA"/>
    <w:rsid w:val="5D8D1105"/>
    <w:rsid w:val="5D94083C"/>
    <w:rsid w:val="5D9C1551"/>
    <w:rsid w:val="5DA701B9"/>
    <w:rsid w:val="5DAF3958"/>
    <w:rsid w:val="5DB838B5"/>
    <w:rsid w:val="5DB9494B"/>
    <w:rsid w:val="5DC070A6"/>
    <w:rsid w:val="5DD260CE"/>
    <w:rsid w:val="5DD5093F"/>
    <w:rsid w:val="5DE000D6"/>
    <w:rsid w:val="5DE7005B"/>
    <w:rsid w:val="5DEA59ED"/>
    <w:rsid w:val="5DEE667B"/>
    <w:rsid w:val="5DF63D13"/>
    <w:rsid w:val="5DFFDE1E"/>
    <w:rsid w:val="5E040A06"/>
    <w:rsid w:val="5E0863AC"/>
    <w:rsid w:val="5E0B03FA"/>
    <w:rsid w:val="5E102D9C"/>
    <w:rsid w:val="5E1216FE"/>
    <w:rsid w:val="5E1611EE"/>
    <w:rsid w:val="5E22789D"/>
    <w:rsid w:val="5E284013"/>
    <w:rsid w:val="5E2F64A3"/>
    <w:rsid w:val="5E352FF9"/>
    <w:rsid w:val="5E394D35"/>
    <w:rsid w:val="5E400225"/>
    <w:rsid w:val="5E40657D"/>
    <w:rsid w:val="5E554463"/>
    <w:rsid w:val="5E6C3223"/>
    <w:rsid w:val="5E6C7060"/>
    <w:rsid w:val="5E6E7175"/>
    <w:rsid w:val="5E6F08FE"/>
    <w:rsid w:val="5E7B3DF7"/>
    <w:rsid w:val="5E911FEC"/>
    <w:rsid w:val="5E9FB5EA"/>
    <w:rsid w:val="5EA70BDD"/>
    <w:rsid w:val="5EAA4D26"/>
    <w:rsid w:val="5EAA6F2B"/>
    <w:rsid w:val="5EAB7367"/>
    <w:rsid w:val="5EB54E1A"/>
    <w:rsid w:val="5EBB25CF"/>
    <w:rsid w:val="5EBF6EB7"/>
    <w:rsid w:val="5EC46F7F"/>
    <w:rsid w:val="5EC735DC"/>
    <w:rsid w:val="5EC7698C"/>
    <w:rsid w:val="5EC944B2"/>
    <w:rsid w:val="5ECC0E55"/>
    <w:rsid w:val="5EE03C07"/>
    <w:rsid w:val="5EE056B4"/>
    <w:rsid w:val="5EE56729"/>
    <w:rsid w:val="5EE963B9"/>
    <w:rsid w:val="5EEB1F44"/>
    <w:rsid w:val="5EED3EF8"/>
    <w:rsid w:val="5EF534F9"/>
    <w:rsid w:val="5EF855A5"/>
    <w:rsid w:val="5EFA7A1D"/>
    <w:rsid w:val="5F0069F5"/>
    <w:rsid w:val="5F020305"/>
    <w:rsid w:val="5F0C2090"/>
    <w:rsid w:val="5F0D15D7"/>
    <w:rsid w:val="5F0E4833"/>
    <w:rsid w:val="5F0E78F0"/>
    <w:rsid w:val="5F1649B1"/>
    <w:rsid w:val="5F1A654B"/>
    <w:rsid w:val="5F1B2566"/>
    <w:rsid w:val="5F22248D"/>
    <w:rsid w:val="5F235AFE"/>
    <w:rsid w:val="5F282FD3"/>
    <w:rsid w:val="5F2C0CD8"/>
    <w:rsid w:val="5F3409EE"/>
    <w:rsid w:val="5F4215A3"/>
    <w:rsid w:val="5F4A5B98"/>
    <w:rsid w:val="5F4E7239"/>
    <w:rsid w:val="5F500C69"/>
    <w:rsid w:val="5F665AF1"/>
    <w:rsid w:val="5F6A2830"/>
    <w:rsid w:val="5F73300E"/>
    <w:rsid w:val="5F775D49"/>
    <w:rsid w:val="5F787A1B"/>
    <w:rsid w:val="5F871164"/>
    <w:rsid w:val="5F8C3F86"/>
    <w:rsid w:val="5F8D6BD2"/>
    <w:rsid w:val="5F943B86"/>
    <w:rsid w:val="5F996572"/>
    <w:rsid w:val="5F9D0AA7"/>
    <w:rsid w:val="5F9E3BB0"/>
    <w:rsid w:val="5FA43C22"/>
    <w:rsid w:val="5FAA3CC5"/>
    <w:rsid w:val="5FAB4F16"/>
    <w:rsid w:val="5FAD4477"/>
    <w:rsid w:val="5FBB7D3C"/>
    <w:rsid w:val="5FBE3E2A"/>
    <w:rsid w:val="5FC35AE4"/>
    <w:rsid w:val="5FD37631"/>
    <w:rsid w:val="5FD6185F"/>
    <w:rsid w:val="5FE505F4"/>
    <w:rsid w:val="5FF76198"/>
    <w:rsid w:val="5FFB769D"/>
    <w:rsid w:val="6009338C"/>
    <w:rsid w:val="601022C4"/>
    <w:rsid w:val="601807A1"/>
    <w:rsid w:val="60194144"/>
    <w:rsid w:val="601D3644"/>
    <w:rsid w:val="60204838"/>
    <w:rsid w:val="60257EC7"/>
    <w:rsid w:val="60276616"/>
    <w:rsid w:val="60341886"/>
    <w:rsid w:val="603A7A1A"/>
    <w:rsid w:val="6044330F"/>
    <w:rsid w:val="604B0D7C"/>
    <w:rsid w:val="604C2EF1"/>
    <w:rsid w:val="60522285"/>
    <w:rsid w:val="605543FD"/>
    <w:rsid w:val="60573CE6"/>
    <w:rsid w:val="607820E0"/>
    <w:rsid w:val="60896CF0"/>
    <w:rsid w:val="608B5700"/>
    <w:rsid w:val="609D68B2"/>
    <w:rsid w:val="60A81DCF"/>
    <w:rsid w:val="60AD0AAA"/>
    <w:rsid w:val="60AF7E8F"/>
    <w:rsid w:val="60B43329"/>
    <w:rsid w:val="60BA2CED"/>
    <w:rsid w:val="60C13560"/>
    <w:rsid w:val="60C617EA"/>
    <w:rsid w:val="60C75998"/>
    <w:rsid w:val="60C878A3"/>
    <w:rsid w:val="60E16353"/>
    <w:rsid w:val="60E25639"/>
    <w:rsid w:val="60EB0D04"/>
    <w:rsid w:val="60F42CB3"/>
    <w:rsid w:val="60F5158E"/>
    <w:rsid w:val="60F52D7F"/>
    <w:rsid w:val="60FE3A3F"/>
    <w:rsid w:val="610103E9"/>
    <w:rsid w:val="61025314"/>
    <w:rsid w:val="61051730"/>
    <w:rsid w:val="610530DC"/>
    <w:rsid w:val="610C2DF5"/>
    <w:rsid w:val="611A7247"/>
    <w:rsid w:val="611A7743"/>
    <w:rsid w:val="611D3029"/>
    <w:rsid w:val="611E005A"/>
    <w:rsid w:val="612017B8"/>
    <w:rsid w:val="61224D8A"/>
    <w:rsid w:val="613255AF"/>
    <w:rsid w:val="61362C91"/>
    <w:rsid w:val="613B61F1"/>
    <w:rsid w:val="613E2855"/>
    <w:rsid w:val="61434E3E"/>
    <w:rsid w:val="6145144C"/>
    <w:rsid w:val="61472A98"/>
    <w:rsid w:val="61514E1B"/>
    <w:rsid w:val="6153724B"/>
    <w:rsid w:val="6159422F"/>
    <w:rsid w:val="61613953"/>
    <w:rsid w:val="616D3308"/>
    <w:rsid w:val="617277E4"/>
    <w:rsid w:val="6174196A"/>
    <w:rsid w:val="617715A5"/>
    <w:rsid w:val="61772772"/>
    <w:rsid w:val="6177433A"/>
    <w:rsid w:val="6177532B"/>
    <w:rsid w:val="6180751A"/>
    <w:rsid w:val="61871857"/>
    <w:rsid w:val="61885104"/>
    <w:rsid w:val="618D3B0C"/>
    <w:rsid w:val="61927737"/>
    <w:rsid w:val="61A60013"/>
    <w:rsid w:val="61AA0FBA"/>
    <w:rsid w:val="61AE3668"/>
    <w:rsid w:val="61B542B4"/>
    <w:rsid w:val="61BA03A6"/>
    <w:rsid w:val="61CD4F65"/>
    <w:rsid w:val="61CF6508"/>
    <w:rsid w:val="61D00F25"/>
    <w:rsid w:val="61D631F0"/>
    <w:rsid w:val="61D73E23"/>
    <w:rsid w:val="61D759CA"/>
    <w:rsid w:val="61E949E9"/>
    <w:rsid w:val="61E94A89"/>
    <w:rsid w:val="61F80608"/>
    <w:rsid w:val="61FC0464"/>
    <w:rsid w:val="620235F5"/>
    <w:rsid w:val="620268D0"/>
    <w:rsid w:val="620577D3"/>
    <w:rsid w:val="6206083C"/>
    <w:rsid w:val="62124169"/>
    <w:rsid w:val="621560E2"/>
    <w:rsid w:val="621B538C"/>
    <w:rsid w:val="621C2B4B"/>
    <w:rsid w:val="621C47DB"/>
    <w:rsid w:val="62243CEC"/>
    <w:rsid w:val="623C384F"/>
    <w:rsid w:val="623D1262"/>
    <w:rsid w:val="62442EF6"/>
    <w:rsid w:val="624C74A4"/>
    <w:rsid w:val="62534262"/>
    <w:rsid w:val="625A6113"/>
    <w:rsid w:val="625A7447"/>
    <w:rsid w:val="626530C5"/>
    <w:rsid w:val="626873F2"/>
    <w:rsid w:val="626F07E1"/>
    <w:rsid w:val="626F5F64"/>
    <w:rsid w:val="6279740B"/>
    <w:rsid w:val="628247EA"/>
    <w:rsid w:val="628B7B1B"/>
    <w:rsid w:val="628C26C6"/>
    <w:rsid w:val="62A05729"/>
    <w:rsid w:val="62A2629E"/>
    <w:rsid w:val="62A437CC"/>
    <w:rsid w:val="62A55BD6"/>
    <w:rsid w:val="62AD6683"/>
    <w:rsid w:val="62AF5A6B"/>
    <w:rsid w:val="62B17C91"/>
    <w:rsid w:val="62B241DD"/>
    <w:rsid w:val="62B719AD"/>
    <w:rsid w:val="62B766CD"/>
    <w:rsid w:val="62BA6C49"/>
    <w:rsid w:val="62BD49C4"/>
    <w:rsid w:val="62C01D53"/>
    <w:rsid w:val="62C04332"/>
    <w:rsid w:val="62C67800"/>
    <w:rsid w:val="62D86A3E"/>
    <w:rsid w:val="62E167FC"/>
    <w:rsid w:val="62E2684A"/>
    <w:rsid w:val="62E34971"/>
    <w:rsid w:val="62E81BF3"/>
    <w:rsid w:val="62F41505"/>
    <w:rsid w:val="6300246C"/>
    <w:rsid w:val="63020226"/>
    <w:rsid w:val="630F26A6"/>
    <w:rsid w:val="631E786F"/>
    <w:rsid w:val="632E090E"/>
    <w:rsid w:val="633A1D9D"/>
    <w:rsid w:val="633C09BF"/>
    <w:rsid w:val="633D618F"/>
    <w:rsid w:val="6340036D"/>
    <w:rsid w:val="63406D0B"/>
    <w:rsid w:val="634A0BE9"/>
    <w:rsid w:val="634A459E"/>
    <w:rsid w:val="63504F4E"/>
    <w:rsid w:val="63595D04"/>
    <w:rsid w:val="636045EC"/>
    <w:rsid w:val="63622346"/>
    <w:rsid w:val="63636DF6"/>
    <w:rsid w:val="636A15F7"/>
    <w:rsid w:val="637132DB"/>
    <w:rsid w:val="63822316"/>
    <w:rsid w:val="63841EB0"/>
    <w:rsid w:val="638C42DB"/>
    <w:rsid w:val="63954A92"/>
    <w:rsid w:val="639E277B"/>
    <w:rsid w:val="63A17FBE"/>
    <w:rsid w:val="63AB3904"/>
    <w:rsid w:val="63AD43A2"/>
    <w:rsid w:val="63B32FD2"/>
    <w:rsid w:val="63B36432"/>
    <w:rsid w:val="63CA09CE"/>
    <w:rsid w:val="63EC7AA2"/>
    <w:rsid w:val="63FB4B76"/>
    <w:rsid w:val="640C2E60"/>
    <w:rsid w:val="640E4C42"/>
    <w:rsid w:val="6429037C"/>
    <w:rsid w:val="642915D3"/>
    <w:rsid w:val="64297DF8"/>
    <w:rsid w:val="643810CC"/>
    <w:rsid w:val="6439517B"/>
    <w:rsid w:val="643F7705"/>
    <w:rsid w:val="644D3AE1"/>
    <w:rsid w:val="644F7E6C"/>
    <w:rsid w:val="646111E2"/>
    <w:rsid w:val="646874A5"/>
    <w:rsid w:val="646B3DE9"/>
    <w:rsid w:val="646C0E82"/>
    <w:rsid w:val="64823C39"/>
    <w:rsid w:val="648C53E3"/>
    <w:rsid w:val="649070FA"/>
    <w:rsid w:val="649134A5"/>
    <w:rsid w:val="649345CE"/>
    <w:rsid w:val="64961CD5"/>
    <w:rsid w:val="649966D5"/>
    <w:rsid w:val="649B244D"/>
    <w:rsid w:val="649D3CEF"/>
    <w:rsid w:val="64A415D0"/>
    <w:rsid w:val="64A467F5"/>
    <w:rsid w:val="64A72B3D"/>
    <w:rsid w:val="64AF152E"/>
    <w:rsid w:val="64AF1704"/>
    <w:rsid w:val="64B820AC"/>
    <w:rsid w:val="64B84856"/>
    <w:rsid w:val="64BA1F50"/>
    <w:rsid w:val="64BA3C23"/>
    <w:rsid w:val="64BB04A9"/>
    <w:rsid w:val="64C76D65"/>
    <w:rsid w:val="64CA5A5B"/>
    <w:rsid w:val="64CD5445"/>
    <w:rsid w:val="64E003B4"/>
    <w:rsid w:val="64E32074"/>
    <w:rsid w:val="64E3451C"/>
    <w:rsid w:val="64E77DAE"/>
    <w:rsid w:val="64F304A7"/>
    <w:rsid w:val="64FD7956"/>
    <w:rsid w:val="65001DF2"/>
    <w:rsid w:val="65005799"/>
    <w:rsid w:val="65055594"/>
    <w:rsid w:val="65061405"/>
    <w:rsid w:val="651061AD"/>
    <w:rsid w:val="65130E9C"/>
    <w:rsid w:val="65171A2A"/>
    <w:rsid w:val="651B5108"/>
    <w:rsid w:val="652228CF"/>
    <w:rsid w:val="6530713D"/>
    <w:rsid w:val="653D308D"/>
    <w:rsid w:val="65513934"/>
    <w:rsid w:val="65560D68"/>
    <w:rsid w:val="65593E22"/>
    <w:rsid w:val="6559788E"/>
    <w:rsid w:val="655A488E"/>
    <w:rsid w:val="655A5DC7"/>
    <w:rsid w:val="655D04B0"/>
    <w:rsid w:val="655F6345"/>
    <w:rsid w:val="656438A7"/>
    <w:rsid w:val="657356C3"/>
    <w:rsid w:val="65767E96"/>
    <w:rsid w:val="65770897"/>
    <w:rsid w:val="657860A1"/>
    <w:rsid w:val="657C227E"/>
    <w:rsid w:val="657E17A6"/>
    <w:rsid w:val="658B197F"/>
    <w:rsid w:val="658D3D93"/>
    <w:rsid w:val="65912EFB"/>
    <w:rsid w:val="65996439"/>
    <w:rsid w:val="65A21488"/>
    <w:rsid w:val="65A256B6"/>
    <w:rsid w:val="65AA4EF4"/>
    <w:rsid w:val="65AE56F8"/>
    <w:rsid w:val="65B338AA"/>
    <w:rsid w:val="65B74C05"/>
    <w:rsid w:val="65BD4688"/>
    <w:rsid w:val="65C07C91"/>
    <w:rsid w:val="65C75049"/>
    <w:rsid w:val="65D06BF7"/>
    <w:rsid w:val="65D26468"/>
    <w:rsid w:val="65D42C8C"/>
    <w:rsid w:val="65DC1DA8"/>
    <w:rsid w:val="65DE1F40"/>
    <w:rsid w:val="65E0085A"/>
    <w:rsid w:val="65E218D3"/>
    <w:rsid w:val="65EB6C59"/>
    <w:rsid w:val="65F428BF"/>
    <w:rsid w:val="660869D4"/>
    <w:rsid w:val="660E0F62"/>
    <w:rsid w:val="66106931"/>
    <w:rsid w:val="66185564"/>
    <w:rsid w:val="661F4C53"/>
    <w:rsid w:val="66292968"/>
    <w:rsid w:val="662C38C0"/>
    <w:rsid w:val="66342F25"/>
    <w:rsid w:val="66357E93"/>
    <w:rsid w:val="66363085"/>
    <w:rsid w:val="663A3825"/>
    <w:rsid w:val="663C384C"/>
    <w:rsid w:val="663D03EE"/>
    <w:rsid w:val="664663E8"/>
    <w:rsid w:val="66476153"/>
    <w:rsid w:val="66481C4D"/>
    <w:rsid w:val="66490E3A"/>
    <w:rsid w:val="66520A4F"/>
    <w:rsid w:val="66624DFD"/>
    <w:rsid w:val="667B000A"/>
    <w:rsid w:val="667B2432"/>
    <w:rsid w:val="668120DB"/>
    <w:rsid w:val="668202AA"/>
    <w:rsid w:val="66843DA0"/>
    <w:rsid w:val="66980CE3"/>
    <w:rsid w:val="669970BB"/>
    <w:rsid w:val="66AB49B0"/>
    <w:rsid w:val="66AF2C96"/>
    <w:rsid w:val="66B512F5"/>
    <w:rsid w:val="66C30F56"/>
    <w:rsid w:val="66C35765"/>
    <w:rsid w:val="66C858E3"/>
    <w:rsid w:val="66D63AFB"/>
    <w:rsid w:val="66D84587"/>
    <w:rsid w:val="66DA4732"/>
    <w:rsid w:val="66DC597E"/>
    <w:rsid w:val="66DE170F"/>
    <w:rsid w:val="66E148D1"/>
    <w:rsid w:val="66EC0D1B"/>
    <w:rsid w:val="66ED3C14"/>
    <w:rsid w:val="66FD4D6C"/>
    <w:rsid w:val="67031CA2"/>
    <w:rsid w:val="670342D9"/>
    <w:rsid w:val="67051DDD"/>
    <w:rsid w:val="67112C04"/>
    <w:rsid w:val="67147FC9"/>
    <w:rsid w:val="671D4D43"/>
    <w:rsid w:val="671E0C04"/>
    <w:rsid w:val="671E604E"/>
    <w:rsid w:val="67235F80"/>
    <w:rsid w:val="67246540"/>
    <w:rsid w:val="673056B6"/>
    <w:rsid w:val="673117A1"/>
    <w:rsid w:val="673336AD"/>
    <w:rsid w:val="67350215"/>
    <w:rsid w:val="67361915"/>
    <w:rsid w:val="673732BD"/>
    <w:rsid w:val="673C4335"/>
    <w:rsid w:val="673E6CA6"/>
    <w:rsid w:val="67480A9A"/>
    <w:rsid w:val="674C4FAF"/>
    <w:rsid w:val="67515045"/>
    <w:rsid w:val="675510C4"/>
    <w:rsid w:val="675D7E8D"/>
    <w:rsid w:val="675E318F"/>
    <w:rsid w:val="6760369A"/>
    <w:rsid w:val="67647172"/>
    <w:rsid w:val="67663615"/>
    <w:rsid w:val="676746E6"/>
    <w:rsid w:val="676871BA"/>
    <w:rsid w:val="6769391C"/>
    <w:rsid w:val="676C63EE"/>
    <w:rsid w:val="676C7AA4"/>
    <w:rsid w:val="676E2419"/>
    <w:rsid w:val="677A78C3"/>
    <w:rsid w:val="67824321"/>
    <w:rsid w:val="6785562F"/>
    <w:rsid w:val="67857B6D"/>
    <w:rsid w:val="678738AA"/>
    <w:rsid w:val="67895952"/>
    <w:rsid w:val="678C2146"/>
    <w:rsid w:val="67A12F4D"/>
    <w:rsid w:val="67A64393"/>
    <w:rsid w:val="67A96406"/>
    <w:rsid w:val="67B30ACF"/>
    <w:rsid w:val="67B40668"/>
    <w:rsid w:val="67BC5A64"/>
    <w:rsid w:val="67C13751"/>
    <w:rsid w:val="67C759FE"/>
    <w:rsid w:val="67D02015"/>
    <w:rsid w:val="67D76F1F"/>
    <w:rsid w:val="67E10494"/>
    <w:rsid w:val="67E229AF"/>
    <w:rsid w:val="67F03745"/>
    <w:rsid w:val="67F178F7"/>
    <w:rsid w:val="67F30569"/>
    <w:rsid w:val="68091434"/>
    <w:rsid w:val="680F6778"/>
    <w:rsid w:val="68181653"/>
    <w:rsid w:val="68182378"/>
    <w:rsid w:val="68241307"/>
    <w:rsid w:val="682A3D56"/>
    <w:rsid w:val="682D5C8C"/>
    <w:rsid w:val="682F03EA"/>
    <w:rsid w:val="68345299"/>
    <w:rsid w:val="684248F7"/>
    <w:rsid w:val="68460981"/>
    <w:rsid w:val="68462DE6"/>
    <w:rsid w:val="684E08B0"/>
    <w:rsid w:val="684F407A"/>
    <w:rsid w:val="68523095"/>
    <w:rsid w:val="68562280"/>
    <w:rsid w:val="685A02DE"/>
    <w:rsid w:val="685D50FE"/>
    <w:rsid w:val="68652A51"/>
    <w:rsid w:val="68676988"/>
    <w:rsid w:val="686961EC"/>
    <w:rsid w:val="6872468D"/>
    <w:rsid w:val="68772CD5"/>
    <w:rsid w:val="68787AF0"/>
    <w:rsid w:val="687C55AF"/>
    <w:rsid w:val="68811BD5"/>
    <w:rsid w:val="689817C7"/>
    <w:rsid w:val="68990638"/>
    <w:rsid w:val="689D07D4"/>
    <w:rsid w:val="689D7F4C"/>
    <w:rsid w:val="689F1B12"/>
    <w:rsid w:val="68B17212"/>
    <w:rsid w:val="68B81D07"/>
    <w:rsid w:val="68B96B17"/>
    <w:rsid w:val="68C56287"/>
    <w:rsid w:val="68C62924"/>
    <w:rsid w:val="68CB6DC2"/>
    <w:rsid w:val="68D02873"/>
    <w:rsid w:val="68D31318"/>
    <w:rsid w:val="68EC771B"/>
    <w:rsid w:val="68F420D8"/>
    <w:rsid w:val="68F53959"/>
    <w:rsid w:val="69000FBE"/>
    <w:rsid w:val="69022C34"/>
    <w:rsid w:val="690B70BC"/>
    <w:rsid w:val="69106A0C"/>
    <w:rsid w:val="691256B8"/>
    <w:rsid w:val="69170C63"/>
    <w:rsid w:val="691B6F90"/>
    <w:rsid w:val="69201173"/>
    <w:rsid w:val="692A1471"/>
    <w:rsid w:val="692B1FCE"/>
    <w:rsid w:val="692F13B6"/>
    <w:rsid w:val="69315E77"/>
    <w:rsid w:val="69341963"/>
    <w:rsid w:val="69380A1B"/>
    <w:rsid w:val="694D5E12"/>
    <w:rsid w:val="695977F4"/>
    <w:rsid w:val="695A22BD"/>
    <w:rsid w:val="695F3AF8"/>
    <w:rsid w:val="69687884"/>
    <w:rsid w:val="696C3D5D"/>
    <w:rsid w:val="69752C2C"/>
    <w:rsid w:val="69754F85"/>
    <w:rsid w:val="69755AAC"/>
    <w:rsid w:val="69781437"/>
    <w:rsid w:val="69854A7F"/>
    <w:rsid w:val="698D4236"/>
    <w:rsid w:val="698E1085"/>
    <w:rsid w:val="69912723"/>
    <w:rsid w:val="69983BA7"/>
    <w:rsid w:val="699A68A7"/>
    <w:rsid w:val="699B6206"/>
    <w:rsid w:val="69B17D90"/>
    <w:rsid w:val="69C455BB"/>
    <w:rsid w:val="69C60021"/>
    <w:rsid w:val="69D55B66"/>
    <w:rsid w:val="69D72C8A"/>
    <w:rsid w:val="69D80288"/>
    <w:rsid w:val="69DC0EC7"/>
    <w:rsid w:val="69E20E7E"/>
    <w:rsid w:val="69E46644"/>
    <w:rsid w:val="69E76B96"/>
    <w:rsid w:val="69EB3831"/>
    <w:rsid w:val="69EC4CA7"/>
    <w:rsid w:val="69F917F3"/>
    <w:rsid w:val="69FC5B98"/>
    <w:rsid w:val="69FE6C56"/>
    <w:rsid w:val="69FE7A9F"/>
    <w:rsid w:val="6A0058E9"/>
    <w:rsid w:val="6A1B7B06"/>
    <w:rsid w:val="6A1D533F"/>
    <w:rsid w:val="6A1E4436"/>
    <w:rsid w:val="6A2A1CC6"/>
    <w:rsid w:val="6A2E0FDE"/>
    <w:rsid w:val="6A3B1B8D"/>
    <w:rsid w:val="6A475159"/>
    <w:rsid w:val="6A4846A0"/>
    <w:rsid w:val="6A4B161B"/>
    <w:rsid w:val="6A5F3CC1"/>
    <w:rsid w:val="6A645966"/>
    <w:rsid w:val="6A6552EA"/>
    <w:rsid w:val="6A6B4C89"/>
    <w:rsid w:val="6A714E68"/>
    <w:rsid w:val="6A730B3C"/>
    <w:rsid w:val="6A7F1B7F"/>
    <w:rsid w:val="6A8012C0"/>
    <w:rsid w:val="6A804764"/>
    <w:rsid w:val="6A8F09D6"/>
    <w:rsid w:val="6A8F1041"/>
    <w:rsid w:val="6A93607D"/>
    <w:rsid w:val="6A95732B"/>
    <w:rsid w:val="6A9D0C27"/>
    <w:rsid w:val="6AA54689"/>
    <w:rsid w:val="6AA978E0"/>
    <w:rsid w:val="6AAC22B0"/>
    <w:rsid w:val="6AB420FA"/>
    <w:rsid w:val="6AB62879"/>
    <w:rsid w:val="6ABB1173"/>
    <w:rsid w:val="6AC16175"/>
    <w:rsid w:val="6AD35EC8"/>
    <w:rsid w:val="6AD83FB1"/>
    <w:rsid w:val="6AE10DD5"/>
    <w:rsid w:val="6AE11BAA"/>
    <w:rsid w:val="6AE26E3C"/>
    <w:rsid w:val="6AE701EC"/>
    <w:rsid w:val="6AEF787A"/>
    <w:rsid w:val="6AF25152"/>
    <w:rsid w:val="6AF96F68"/>
    <w:rsid w:val="6AFF2F05"/>
    <w:rsid w:val="6AFF3009"/>
    <w:rsid w:val="6B04786E"/>
    <w:rsid w:val="6B0B3FF3"/>
    <w:rsid w:val="6B214FA9"/>
    <w:rsid w:val="6B3E1733"/>
    <w:rsid w:val="6B415261"/>
    <w:rsid w:val="6B434B67"/>
    <w:rsid w:val="6B443054"/>
    <w:rsid w:val="6B481122"/>
    <w:rsid w:val="6B49560F"/>
    <w:rsid w:val="6B4B21B1"/>
    <w:rsid w:val="6B501820"/>
    <w:rsid w:val="6B564BDA"/>
    <w:rsid w:val="6B5A286D"/>
    <w:rsid w:val="6B5F545B"/>
    <w:rsid w:val="6B607FD8"/>
    <w:rsid w:val="6B657A76"/>
    <w:rsid w:val="6B6F07C6"/>
    <w:rsid w:val="6B7832E5"/>
    <w:rsid w:val="6B816E7E"/>
    <w:rsid w:val="6B823D99"/>
    <w:rsid w:val="6B8541B4"/>
    <w:rsid w:val="6B913077"/>
    <w:rsid w:val="6B975D0E"/>
    <w:rsid w:val="6B9E6B00"/>
    <w:rsid w:val="6B9E7644"/>
    <w:rsid w:val="6B9F5688"/>
    <w:rsid w:val="6BB121F7"/>
    <w:rsid w:val="6BB237F6"/>
    <w:rsid w:val="6BB67635"/>
    <w:rsid w:val="6BC04E5F"/>
    <w:rsid w:val="6BC115AA"/>
    <w:rsid w:val="6BC16EAF"/>
    <w:rsid w:val="6BCA3618"/>
    <w:rsid w:val="6BDB5D47"/>
    <w:rsid w:val="6BE553FA"/>
    <w:rsid w:val="6BF96056"/>
    <w:rsid w:val="6BFB0B7B"/>
    <w:rsid w:val="6BFD053C"/>
    <w:rsid w:val="6C08301C"/>
    <w:rsid w:val="6C0E3675"/>
    <w:rsid w:val="6C155365"/>
    <w:rsid w:val="6C221253"/>
    <w:rsid w:val="6C225878"/>
    <w:rsid w:val="6C27690D"/>
    <w:rsid w:val="6C2F21BA"/>
    <w:rsid w:val="6C300E1B"/>
    <w:rsid w:val="6C391051"/>
    <w:rsid w:val="6C3F5AEA"/>
    <w:rsid w:val="6C477355"/>
    <w:rsid w:val="6C4C0AB9"/>
    <w:rsid w:val="6C4E415D"/>
    <w:rsid w:val="6C522712"/>
    <w:rsid w:val="6C5A2A99"/>
    <w:rsid w:val="6C656129"/>
    <w:rsid w:val="6C695E9D"/>
    <w:rsid w:val="6C6D7795"/>
    <w:rsid w:val="6C773E4A"/>
    <w:rsid w:val="6C804D0D"/>
    <w:rsid w:val="6C983D4B"/>
    <w:rsid w:val="6C992226"/>
    <w:rsid w:val="6C9F2804"/>
    <w:rsid w:val="6C9F5589"/>
    <w:rsid w:val="6CA44D32"/>
    <w:rsid w:val="6CB12922"/>
    <w:rsid w:val="6CB23179"/>
    <w:rsid w:val="6CBB0C14"/>
    <w:rsid w:val="6CBE1180"/>
    <w:rsid w:val="6CC26BD2"/>
    <w:rsid w:val="6CC42F7D"/>
    <w:rsid w:val="6CCC7458"/>
    <w:rsid w:val="6CCF34C1"/>
    <w:rsid w:val="6CD43BA4"/>
    <w:rsid w:val="6CDE424F"/>
    <w:rsid w:val="6CDF78E8"/>
    <w:rsid w:val="6CE55D64"/>
    <w:rsid w:val="6CEB6E22"/>
    <w:rsid w:val="6CF122A8"/>
    <w:rsid w:val="6CFC25F7"/>
    <w:rsid w:val="6CFD6A5C"/>
    <w:rsid w:val="6D0F5F7C"/>
    <w:rsid w:val="6D106CF2"/>
    <w:rsid w:val="6D1F15FC"/>
    <w:rsid w:val="6D23303C"/>
    <w:rsid w:val="6D2474F7"/>
    <w:rsid w:val="6D543E7C"/>
    <w:rsid w:val="6D54763D"/>
    <w:rsid w:val="6D580627"/>
    <w:rsid w:val="6D5C4885"/>
    <w:rsid w:val="6D5F693C"/>
    <w:rsid w:val="6D613585"/>
    <w:rsid w:val="6D635CBF"/>
    <w:rsid w:val="6D751DAA"/>
    <w:rsid w:val="6D7874F0"/>
    <w:rsid w:val="6D801964"/>
    <w:rsid w:val="6D816ED8"/>
    <w:rsid w:val="6D8A3BA2"/>
    <w:rsid w:val="6D9228A0"/>
    <w:rsid w:val="6D9370C5"/>
    <w:rsid w:val="6DAD705D"/>
    <w:rsid w:val="6DB1650E"/>
    <w:rsid w:val="6DBD2905"/>
    <w:rsid w:val="6DC07A36"/>
    <w:rsid w:val="6DC1431F"/>
    <w:rsid w:val="6DC5678C"/>
    <w:rsid w:val="6DC854AD"/>
    <w:rsid w:val="6DD6151C"/>
    <w:rsid w:val="6DD82086"/>
    <w:rsid w:val="6DE41CBD"/>
    <w:rsid w:val="6DE52319"/>
    <w:rsid w:val="6DE82E3E"/>
    <w:rsid w:val="6DE835B4"/>
    <w:rsid w:val="6DF754B8"/>
    <w:rsid w:val="6DFE716E"/>
    <w:rsid w:val="6E001677"/>
    <w:rsid w:val="6E014EA2"/>
    <w:rsid w:val="6E0354CB"/>
    <w:rsid w:val="6E141100"/>
    <w:rsid w:val="6E182726"/>
    <w:rsid w:val="6E185418"/>
    <w:rsid w:val="6E186643"/>
    <w:rsid w:val="6E1A2C72"/>
    <w:rsid w:val="6E1B6179"/>
    <w:rsid w:val="6E1F544F"/>
    <w:rsid w:val="6E231CDB"/>
    <w:rsid w:val="6E2A795D"/>
    <w:rsid w:val="6E2E5C64"/>
    <w:rsid w:val="6E355F06"/>
    <w:rsid w:val="6E374F6D"/>
    <w:rsid w:val="6E427DDD"/>
    <w:rsid w:val="6E5D0E40"/>
    <w:rsid w:val="6E5E1ACA"/>
    <w:rsid w:val="6E626033"/>
    <w:rsid w:val="6E675342"/>
    <w:rsid w:val="6E696051"/>
    <w:rsid w:val="6E6B0043"/>
    <w:rsid w:val="6E76753B"/>
    <w:rsid w:val="6E78306D"/>
    <w:rsid w:val="6E7863BF"/>
    <w:rsid w:val="6E7C410E"/>
    <w:rsid w:val="6E7C6964"/>
    <w:rsid w:val="6E7D619E"/>
    <w:rsid w:val="6E890747"/>
    <w:rsid w:val="6E892C21"/>
    <w:rsid w:val="6E901971"/>
    <w:rsid w:val="6E907693"/>
    <w:rsid w:val="6E926153"/>
    <w:rsid w:val="6E9301FB"/>
    <w:rsid w:val="6E9332C6"/>
    <w:rsid w:val="6EA658EB"/>
    <w:rsid w:val="6EA67ACF"/>
    <w:rsid w:val="6EA71427"/>
    <w:rsid w:val="6EA74A2D"/>
    <w:rsid w:val="6EAB7C88"/>
    <w:rsid w:val="6EAC7191"/>
    <w:rsid w:val="6EAD5CFF"/>
    <w:rsid w:val="6ECA17DD"/>
    <w:rsid w:val="6ED02D1F"/>
    <w:rsid w:val="6ED103E7"/>
    <w:rsid w:val="6EDD3D15"/>
    <w:rsid w:val="6EF07715"/>
    <w:rsid w:val="6EFA6D72"/>
    <w:rsid w:val="6EFB39B1"/>
    <w:rsid w:val="6F093B8C"/>
    <w:rsid w:val="6F105658"/>
    <w:rsid w:val="6F146659"/>
    <w:rsid w:val="6F184EE3"/>
    <w:rsid w:val="6F1C4E01"/>
    <w:rsid w:val="6F257696"/>
    <w:rsid w:val="6F2712E5"/>
    <w:rsid w:val="6F43591F"/>
    <w:rsid w:val="6F485939"/>
    <w:rsid w:val="6F4A17D7"/>
    <w:rsid w:val="6F4A61AA"/>
    <w:rsid w:val="6F55295C"/>
    <w:rsid w:val="6F613B0C"/>
    <w:rsid w:val="6F6208AA"/>
    <w:rsid w:val="6F6A2101"/>
    <w:rsid w:val="6F6D50D0"/>
    <w:rsid w:val="6F805593"/>
    <w:rsid w:val="6F883BD3"/>
    <w:rsid w:val="6F891D2E"/>
    <w:rsid w:val="6FA97DC0"/>
    <w:rsid w:val="6FB10C45"/>
    <w:rsid w:val="6FB62B00"/>
    <w:rsid w:val="6FB920EB"/>
    <w:rsid w:val="6FC37276"/>
    <w:rsid w:val="6FC85AC9"/>
    <w:rsid w:val="6FC86FD5"/>
    <w:rsid w:val="6FD573E7"/>
    <w:rsid w:val="6FDB168D"/>
    <w:rsid w:val="6FDC1EF7"/>
    <w:rsid w:val="6FE339B5"/>
    <w:rsid w:val="6FE8756C"/>
    <w:rsid w:val="6FEF7AF1"/>
    <w:rsid w:val="6FF7581C"/>
    <w:rsid w:val="6FFD4D2F"/>
    <w:rsid w:val="6FFD637A"/>
    <w:rsid w:val="6FFF5CA1"/>
    <w:rsid w:val="70022091"/>
    <w:rsid w:val="700A0DEE"/>
    <w:rsid w:val="700D1F16"/>
    <w:rsid w:val="70120BCA"/>
    <w:rsid w:val="70135693"/>
    <w:rsid w:val="70184611"/>
    <w:rsid w:val="701A2752"/>
    <w:rsid w:val="70215C1F"/>
    <w:rsid w:val="702400B9"/>
    <w:rsid w:val="70305C8B"/>
    <w:rsid w:val="7034081B"/>
    <w:rsid w:val="703A0F61"/>
    <w:rsid w:val="703B37BC"/>
    <w:rsid w:val="70406119"/>
    <w:rsid w:val="70407455"/>
    <w:rsid w:val="70525925"/>
    <w:rsid w:val="70550C16"/>
    <w:rsid w:val="70571351"/>
    <w:rsid w:val="70573F47"/>
    <w:rsid w:val="705C733F"/>
    <w:rsid w:val="70656D38"/>
    <w:rsid w:val="706D3CC0"/>
    <w:rsid w:val="706E4EFF"/>
    <w:rsid w:val="70762E43"/>
    <w:rsid w:val="707F328B"/>
    <w:rsid w:val="7083509B"/>
    <w:rsid w:val="708F16E3"/>
    <w:rsid w:val="709644AB"/>
    <w:rsid w:val="70992D4A"/>
    <w:rsid w:val="70A94C0F"/>
    <w:rsid w:val="70AD636B"/>
    <w:rsid w:val="70BE6351"/>
    <w:rsid w:val="70C04C2B"/>
    <w:rsid w:val="70C141D3"/>
    <w:rsid w:val="70C53331"/>
    <w:rsid w:val="70CB6768"/>
    <w:rsid w:val="70D92160"/>
    <w:rsid w:val="70DF0639"/>
    <w:rsid w:val="70E54876"/>
    <w:rsid w:val="70F50586"/>
    <w:rsid w:val="71001706"/>
    <w:rsid w:val="71051181"/>
    <w:rsid w:val="7108777A"/>
    <w:rsid w:val="71174688"/>
    <w:rsid w:val="71254E04"/>
    <w:rsid w:val="713018A5"/>
    <w:rsid w:val="71340297"/>
    <w:rsid w:val="713A2BA8"/>
    <w:rsid w:val="7146126D"/>
    <w:rsid w:val="714A1579"/>
    <w:rsid w:val="7154564B"/>
    <w:rsid w:val="715B27DB"/>
    <w:rsid w:val="715D6B5B"/>
    <w:rsid w:val="716D03F0"/>
    <w:rsid w:val="71732AF1"/>
    <w:rsid w:val="717538CA"/>
    <w:rsid w:val="71767874"/>
    <w:rsid w:val="717D272B"/>
    <w:rsid w:val="717E112C"/>
    <w:rsid w:val="718E4747"/>
    <w:rsid w:val="718F27E8"/>
    <w:rsid w:val="719535CF"/>
    <w:rsid w:val="719641CC"/>
    <w:rsid w:val="719747E1"/>
    <w:rsid w:val="719D5B6D"/>
    <w:rsid w:val="71A00E4F"/>
    <w:rsid w:val="71A01B59"/>
    <w:rsid w:val="71A5271A"/>
    <w:rsid w:val="71B35B52"/>
    <w:rsid w:val="71B77149"/>
    <w:rsid w:val="71BA0A1A"/>
    <w:rsid w:val="71BD3BA1"/>
    <w:rsid w:val="71C02F40"/>
    <w:rsid w:val="71C33472"/>
    <w:rsid w:val="71C3685F"/>
    <w:rsid w:val="71C573BF"/>
    <w:rsid w:val="71D006D8"/>
    <w:rsid w:val="71D750A5"/>
    <w:rsid w:val="71E64D3E"/>
    <w:rsid w:val="71E824A3"/>
    <w:rsid w:val="71ED24BB"/>
    <w:rsid w:val="71F0184F"/>
    <w:rsid w:val="71F1111A"/>
    <w:rsid w:val="71F53F27"/>
    <w:rsid w:val="71F80EEF"/>
    <w:rsid w:val="71F9523D"/>
    <w:rsid w:val="72055789"/>
    <w:rsid w:val="720745EF"/>
    <w:rsid w:val="72141AC0"/>
    <w:rsid w:val="72205215"/>
    <w:rsid w:val="7225176A"/>
    <w:rsid w:val="722A4CA0"/>
    <w:rsid w:val="722C002A"/>
    <w:rsid w:val="72313DA4"/>
    <w:rsid w:val="72361A07"/>
    <w:rsid w:val="72465C13"/>
    <w:rsid w:val="724F4F5A"/>
    <w:rsid w:val="72531481"/>
    <w:rsid w:val="725A229B"/>
    <w:rsid w:val="725A6EAE"/>
    <w:rsid w:val="725B0142"/>
    <w:rsid w:val="72602FBF"/>
    <w:rsid w:val="726D5BE3"/>
    <w:rsid w:val="727D3318"/>
    <w:rsid w:val="72812C96"/>
    <w:rsid w:val="728C2DCD"/>
    <w:rsid w:val="72900213"/>
    <w:rsid w:val="729908F5"/>
    <w:rsid w:val="729D0095"/>
    <w:rsid w:val="72AC6ACB"/>
    <w:rsid w:val="72B83705"/>
    <w:rsid w:val="72B9392D"/>
    <w:rsid w:val="72BD5971"/>
    <w:rsid w:val="72C22666"/>
    <w:rsid w:val="72D06CD4"/>
    <w:rsid w:val="72DF7209"/>
    <w:rsid w:val="72E83262"/>
    <w:rsid w:val="72E83AC4"/>
    <w:rsid w:val="72EB1683"/>
    <w:rsid w:val="72FB358C"/>
    <w:rsid w:val="73065D1F"/>
    <w:rsid w:val="73076BF4"/>
    <w:rsid w:val="73133061"/>
    <w:rsid w:val="7315024B"/>
    <w:rsid w:val="73150D84"/>
    <w:rsid w:val="731B4BB1"/>
    <w:rsid w:val="732609E3"/>
    <w:rsid w:val="73313D34"/>
    <w:rsid w:val="734627C1"/>
    <w:rsid w:val="73482387"/>
    <w:rsid w:val="73584D3C"/>
    <w:rsid w:val="735F3073"/>
    <w:rsid w:val="7363358A"/>
    <w:rsid w:val="736F1C9E"/>
    <w:rsid w:val="737148BB"/>
    <w:rsid w:val="73733A8C"/>
    <w:rsid w:val="7374360D"/>
    <w:rsid w:val="737C58EE"/>
    <w:rsid w:val="73811DE4"/>
    <w:rsid w:val="738277C3"/>
    <w:rsid w:val="738817A1"/>
    <w:rsid w:val="73895C35"/>
    <w:rsid w:val="738F7621"/>
    <w:rsid w:val="73903A9E"/>
    <w:rsid w:val="73A34B65"/>
    <w:rsid w:val="73AD2706"/>
    <w:rsid w:val="73AE7C48"/>
    <w:rsid w:val="73AF3484"/>
    <w:rsid w:val="73B12563"/>
    <w:rsid w:val="73B46713"/>
    <w:rsid w:val="73B8066B"/>
    <w:rsid w:val="73B83878"/>
    <w:rsid w:val="73C03ED3"/>
    <w:rsid w:val="73C745B6"/>
    <w:rsid w:val="73CF1EA2"/>
    <w:rsid w:val="73D92EE2"/>
    <w:rsid w:val="73DF1760"/>
    <w:rsid w:val="73E3249B"/>
    <w:rsid w:val="73F74FF6"/>
    <w:rsid w:val="73FA419A"/>
    <w:rsid w:val="73FE6D90"/>
    <w:rsid w:val="740921AE"/>
    <w:rsid w:val="740B7901"/>
    <w:rsid w:val="74170A57"/>
    <w:rsid w:val="74202DA4"/>
    <w:rsid w:val="742D2420"/>
    <w:rsid w:val="74300FC5"/>
    <w:rsid w:val="74324984"/>
    <w:rsid w:val="743F7090"/>
    <w:rsid w:val="74427199"/>
    <w:rsid w:val="744B5630"/>
    <w:rsid w:val="745079BE"/>
    <w:rsid w:val="74532343"/>
    <w:rsid w:val="745B3074"/>
    <w:rsid w:val="745E5245"/>
    <w:rsid w:val="74603426"/>
    <w:rsid w:val="74650E6A"/>
    <w:rsid w:val="746633FA"/>
    <w:rsid w:val="746A3CE6"/>
    <w:rsid w:val="746F2CE6"/>
    <w:rsid w:val="747A1DC4"/>
    <w:rsid w:val="74857710"/>
    <w:rsid w:val="74865E7C"/>
    <w:rsid w:val="749A7573"/>
    <w:rsid w:val="749C771E"/>
    <w:rsid w:val="74AB4A00"/>
    <w:rsid w:val="74B24548"/>
    <w:rsid w:val="74BC6E11"/>
    <w:rsid w:val="74BE7F85"/>
    <w:rsid w:val="74C51790"/>
    <w:rsid w:val="74CD5A1A"/>
    <w:rsid w:val="74CF288C"/>
    <w:rsid w:val="74D3675E"/>
    <w:rsid w:val="74DC3B24"/>
    <w:rsid w:val="74E21E14"/>
    <w:rsid w:val="74E67C39"/>
    <w:rsid w:val="74F910E2"/>
    <w:rsid w:val="74F97FD6"/>
    <w:rsid w:val="74FA582A"/>
    <w:rsid w:val="751B34C4"/>
    <w:rsid w:val="751C68D7"/>
    <w:rsid w:val="75297AD3"/>
    <w:rsid w:val="752A6107"/>
    <w:rsid w:val="752E5067"/>
    <w:rsid w:val="752F51AC"/>
    <w:rsid w:val="753677BC"/>
    <w:rsid w:val="753A2C4A"/>
    <w:rsid w:val="753A4F6F"/>
    <w:rsid w:val="753B2FE1"/>
    <w:rsid w:val="753B709B"/>
    <w:rsid w:val="754B1219"/>
    <w:rsid w:val="754C0FF0"/>
    <w:rsid w:val="754D7245"/>
    <w:rsid w:val="755203F4"/>
    <w:rsid w:val="75691C1B"/>
    <w:rsid w:val="7575152B"/>
    <w:rsid w:val="757A543B"/>
    <w:rsid w:val="757B5B30"/>
    <w:rsid w:val="757E7B33"/>
    <w:rsid w:val="758331B5"/>
    <w:rsid w:val="75850046"/>
    <w:rsid w:val="7589009F"/>
    <w:rsid w:val="75943B7B"/>
    <w:rsid w:val="759538F3"/>
    <w:rsid w:val="759E1F9B"/>
    <w:rsid w:val="759F4708"/>
    <w:rsid w:val="75A1365B"/>
    <w:rsid w:val="75A17244"/>
    <w:rsid w:val="75A27218"/>
    <w:rsid w:val="75A37CC8"/>
    <w:rsid w:val="75A46352"/>
    <w:rsid w:val="75A659B1"/>
    <w:rsid w:val="75A67C6E"/>
    <w:rsid w:val="75A70180"/>
    <w:rsid w:val="75A96675"/>
    <w:rsid w:val="75C42FAE"/>
    <w:rsid w:val="75C63608"/>
    <w:rsid w:val="75CD53DF"/>
    <w:rsid w:val="75D85E6C"/>
    <w:rsid w:val="75E87D13"/>
    <w:rsid w:val="75ED580A"/>
    <w:rsid w:val="75F06371"/>
    <w:rsid w:val="75F92B5E"/>
    <w:rsid w:val="75FD19B2"/>
    <w:rsid w:val="760C5E88"/>
    <w:rsid w:val="7618644C"/>
    <w:rsid w:val="761D0539"/>
    <w:rsid w:val="761E6683"/>
    <w:rsid w:val="761E66FC"/>
    <w:rsid w:val="76216E9E"/>
    <w:rsid w:val="7629587A"/>
    <w:rsid w:val="7630605A"/>
    <w:rsid w:val="763C1B4F"/>
    <w:rsid w:val="763E76D9"/>
    <w:rsid w:val="764664BD"/>
    <w:rsid w:val="7648327E"/>
    <w:rsid w:val="76503C51"/>
    <w:rsid w:val="765C5A87"/>
    <w:rsid w:val="766379F8"/>
    <w:rsid w:val="76667440"/>
    <w:rsid w:val="766D1D16"/>
    <w:rsid w:val="766F6698"/>
    <w:rsid w:val="76726D86"/>
    <w:rsid w:val="76766BBB"/>
    <w:rsid w:val="767D1912"/>
    <w:rsid w:val="767F36D6"/>
    <w:rsid w:val="768726CF"/>
    <w:rsid w:val="76880529"/>
    <w:rsid w:val="768C44DE"/>
    <w:rsid w:val="768C5166"/>
    <w:rsid w:val="769A050A"/>
    <w:rsid w:val="76BD53D4"/>
    <w:rsid w:val="76C61E69"/>
    <w:rsid w:val="76C74D54"/>
    <w:rsid w:val="76C82379"/>
    <w:rsid w:val="76C95CBA"/>
    <w:rsid w:val="76D108FC"/>
    <w:rsid w:val="76E62254"/>
    <w:rsid w:val="76E705D4"/>
    <w:rsid w:val="76EA3458"/>
    <w:rsid w:val="76FAB479"/>
    <w:rsid w:val="76FD595E"/>
    <w:rsid w:val="76FF1EBB"/>
    <w:rsid w:val="77085426"/>
    <w:rsid w:val="77087D9A"/>
    <w:rsid w:val="770B42E0"/>
    <w:rsid w:val="770D439B"/>
    <w:rsid w:val="770F6E13"/>
    <w:rsid w:val="77113C45"/>
    <w:rsid w:val="7717699C"/>
    <w:rsid w:val="771F43D3"/>
    <w:rsid w:val="772522E5"/>
    <w:rsid w:val="772A182D"/>
    <w:rsid w:val="772F6F8E"/>
    <w:rsid w:val="773359AD"/>
    <w:rsid w:val="7739673C"/>
    <w:rsid w:val="77451CF3"/>
    <w:rsid w:val="774E4838"/>
    <w:rsid w:val="77582609"/>
    <w:rsid w:val="775A0183"/>
    <w:rsid w:val="776E05AD"/>
    <w:rsid w:val="77821ED8"/>
    <w:rsid w:val="77837DD1"/>
    <w:rsid w:val="77857B5E"/>
    <w:rsid w:val="7789445C"/>
    <w:rsid w:val="778B37D8"/>
    <w:rsid w:val="77962ADB"/>
    <w:rsid w:val="7797597A"/>
    <w:rsid w:val="779928E7"/>
    <w:rsid w:val="779A3069"/>
    <w:rsid w:val="779C4AC9"/>
    <w:rsid w:val="779F30E7"/>
    <w:rsid w:val="77A30CE7"/>
    <w:rsid w:val="77B207D3"/>
    <w:rsid w:val="77B85C13"/>
    <w:rsid w:val="77BE36D1"/>
    <w:rsid w:val="77C600DC"/>
    <w:rsid w:val="77CC49CC"/>
    <w:rsid w:val="77CF0CC7"/>
    <w:rsid w:val="77EF4869"/>
    <w:rsid w:val="77EF682D"/>
    <w:rsid w:val="77F0041B"/>
    <w:rsid w:val="77F62B08"/>
    <w:rsid w:val="77FD439A"/>
    <w:rsid w:val="78076271"/>
    <w:rsid w:val="783163C0"/>
    <w:rsid w:val="785051FD"/>
    <w:rsid w:val="786256B6"/>
    <w:rsid w:val="7869141F"/>
    <w:rsid w:val="78744958"/>
    <w:rsid w:val="787532D6"/>
    <w:rsid w:val="78786071"/>
    <w:rsid w:val="78793810"/>
    <w:rsid w:val="787A1552"/>
    <w:rsid w:val="787C48B7"/>
    <w:rsid w:val="787C514D"/>
    <w:rsid w:val="787C7570"/>
    <w:rsid w:val="78832F36"/>
    <w:rsid w:val="78833359"/>
    <w:rsid w:val="78855B5A"/>
    <w:rsid w:val="788C0A92"/>
    <w:rsid w:val="788F5F3D"/>
    <w:rsid w:val="78965A52"/>
    <w:rsid w:val="78980441"/>
    <w:rsid w:val="78997701"/>
    <w:rsid w:val="789E6DA1"/>
    <w:rsid w:val="789F6891"/>
    <w:rsid w:val="78A52C01"/>
    <w:rsid w:val="78B70F8F"/>
    <w:rsid w:val="78C6774D"/>
    <w:rsid w:val="78CA2332"/>
    <w:rsid w:val="78CD34A0"/>
    <w:rsid w:val="78CD3820"/>
    <w:rsid w:val="78DA26BD"/>
    <w:rsid w:val="78EB2996"/>
    <w:rsid w:val="78ED072B"/>
    <w:rsid w:val="78EF28D7"/>
    <w:rsid w:val="78F54A69"/>
    <w:rsid w:val="78F91CA6"/>
    <w:rsid w:val="78F91DD1"/>
    <w:rsid w:val="78F9680A"/>
    <w:rsid w:val="78FE1DA7"/>
    <w:rsid w:val="79025667"/>
    <w:rsid w:val="79050F3D"/>
    <w:rsid w:val="790542DC"/>
    <w:rsid w:val="79084BD3"/>
    <w:rsid w:val="790A38B1"/>
    <w:rsid w:val="79112D8F"/>
    <w:rsid w:val="791A2B16"/>
    <w:rsid w:val="792D06F8"/>
    <w:rsid w:val="79351D65"/>
    <w:rsid w:val="79352B0C"/>
    <w:rsid w:val="7938004C"/>
    <w:rsid w:val="793F408B"/>
    <w:rsid w:val="79402195"/>
    <w:rsid w:val="79413E8B"/>
    <w:rsid w:val="794677DC"/>
    <w:rsid w:val="794C3223"/>
    <w:rsid w:val="794F62E9"/>
    <w:rsid w:val="79510149"/>
    <w:rsid w:val="79565A1E"/>
    <w:rsid w:val="796161A7"/>
    <w:rsid w:val="79624787"/>
    <w:rsid w:val="796456B1"/>
    <w:rsid w:val="79651014"/>
    <w:rsid w:val="796C006F"/>
    <w:rsid w:val="796F0F5F"/>
    <w:rsid w:val="796F2CC6"/>
    <w:rsid w:val="797057FE"/>
    <w:rsid w:val="79770AEF"/>
    <w:rsid w:val="79845ADD"/>
    <w:rsid w:val="79857DAB"/>
    <w:rsid w:val="79875B64"/>
    <w:rsid w:val="79984052"/>
    <w:rsid w:val="799A085D"/>
    <w:rsid w:val="799D6BDD"/>
    <w:rsid w:val="79AD46DE"/>
    <w:rsid w:val="79B210EA"/>
    <w:rsid w:val="79BA4CCB"/>
    <w:rsid w:val="79C41AC7"/>
    <w:rsid w:val="79C6588B"/>
    <w:rsid w:val="79C66766"/>
    <w:rsid w:val="79CE32C6"/>
    <w:rsid w:val="79D15305"/>
    <w:rsid w:val="79DA4D57"/>
    <w:rsid w:val="79E81C88"/>
    <w:rsid w:val="79E961DA"/>
    <w:rsid w:val="79F050E7"/>
    <w:rsid w:val="79FF312C"/>
    <w:rsid w:val="7A00256F"/>
    <w:rsid w:val="7A04696C"/>
    <w:rsid w:val="7A07363A"/>
    <w:rsid w:val="7A073791"/>
    <w:rsid w:val="7A1A0663"/>
    <w:rsid w:val="7A1F7224"/>
    <w:rsid w:val="7A287B94"/>
    <w:rsid w:val="7A346CEF"/>
    <w:rsid w:val="7A406C17"/>
    <w:rsid w:val="7A4753AB"/>
    <w:rsid w:val="7A485651"/>
    <w:rsid w:val="7A4964A7"/>
    <w:rsid w:val="7A4E7EA4"/>
    <w:rsid w:val="7A521DD6"/>
    <w:rsid w:val="7A533406"/>
    <w:rsid w:val="7A5637E9"/>
    <w:rsid w:val="7A730237"/>
    <w:rsid w:val="7A751D04"/>
    <w:rsid w:val="7A7B346F"/>
    <w:rsid w:val="7A866270"/>
    <w:rsid w:val="7A92261D"/>
    <w:rsid w:val="7A951531"/>
    <w:rsid w:val="7A95390E"/>
    <w:rsid w:val="7A9B1DAE"/>
    <w:rsid w:val="7AA04A12"/>
    <w:rsid w:val="7AC35E85"/>
    <w:rsid w:val="7AC36159"/>
    <w:rsid w:val="7AD13BCC"/>
    <w:rsid w:val="7AD76B24"/>
    <w:rsid w:val="7ADB4D8A"/>
    <w:rsid w:val="7ADBAD70"/>
    <w:rsid w:val="7AE91D0C"/>
    <w:rsid w:val="7AE96B45"/>
    <w:rsid w:val="7AF92EE8"/>
    <w:rsid w:val="7B0108F3"/>
    <w:rsid w:val="7B071F48"/>
    <w:rsid w:val="7B095F9D"/>
    <w:rsid w:val="7B0A401C"/>
    <w:rsid w:val="7B113D7D"/>
    <w:rsid w:val="7B13288F"/>
    <w:rsid w:val="7B166879"/>
    <w:rsid w:val="7B246F23"/>
    <w:rsid w:val="7B277949"/>
    <w:rsid w:val="7B361E67"/>
    <w:rsid w:val="7B3779CC"/>
    <w:rsid w:val="7B414271"/>
    <w:rsid w:val="7B4431DE"/>
    <w:rsid w:val="7B484CDB"/>
    <w:rsid w:val="7B5335D8"/>
    <w:rsid w:val="7B592E8D"/>
    <w:rsid w:val="7B6523E8"/>
    <w:rsid w:val="7B682161"/>
    <w:rsid w:val="7B6D2995"/>
    <w:rsid w:val="7B7B4F8A"/>
    <w:rsid w:val="7B7E77F6"/>
    <w:rsid w:val="7B8028FA"/>
    <w:rsid w:val="7B843766"/>
    <w:rsid w:val="7B912C40"/>
    <w:rsid w:val="7B931DCB"/>
    <w:rsid w:val="7B93624A"/>
    <w:rsid w:val="7B9D269D"/>
    <w:rsid w:val="7BA65770"/>
    <w:rsid w:val="7BAE7E1E"/>
    <w:rsid w:val="7BB648D9"/>
    <w:rsid w:val="7BBC3C60"/>
    <w:rsid w:val="7BC41DE3"/>
    <w:rsid w:val="7BCA093B"/>
    <w:rsid w:val="7BD52290"/>
    <w:rsid w:val="7BD7CAE2"/>
    <w:rsid w:val="7BE42467"/>
    <w:rsid w:val="7BEB7EA4"/>
    <w:rsid w:val="7BEF7381"/>
    <w:rsid w:val="7BF9A668"/>
    <w:rsid w:val="7BFC6F4C"/>
    <w:rsid w:val="7C1927D2"/>
    <w:rsid w:val="7C26750E"/>
    <w:rsid w:val="7C2B26B6"/>
    <w:rsid w:val="7C3C767A"/>
    <w:rsid w:val="7C3D3192"/>
    <w:rsid w:val="7C4278FA"/>
    <w:rsid w:val="7C463B8E"/>
    <w:rsid w:val="7C4B2E53"/>
    <w:rsid w:val="7C4B33B1"/>
    <w:rsid w:val="7C512567"/>
    <w:rsid w:val="7C532D6D"/>
    <w:rsid w:val="7C59794D"/>
    <w:rsid w:val="7C597BDD"/>
    <w:rsid w:val="7C5C0871"/>
    <w:rsid w:val="7C5D5437"/>
    <w:rsid w:val="7C612F6F"/>
    <w:rsid w:val="7C64023E"/>
    <w:rsid w:val="7C781755"/>
    <w:rsid w:val="7C8337D5"/>
    <w:rsid w:val="7C861251"/>
    <w:rsid w:val="7C8E755B"/>
    <w:rsid w:val="7C913BEE"/>
    <w:rsid w:val="7C91616B"/>
    <w:rsid w:val="7CA431AF"/>
    <w:rsid w:val="7CAC374A"/>
    <w:rsid w:val="7CAFA3A5"/>
    <w:rsid w:val="7CB73A40"/>
    <w:rsid w:val="7CB76467"/>
    <w:rsid w:val="7CBC2341"/>
    <w:rsid w:val="7CBF65C3"/>
    <w:rsid w:val="7CC27A36"/>
    <w:rsid w:val="7CC35828"/>
    <w:rsid w:val="7CC40472"/>
    <w:rsid w:val="7CC7319C"/>
    <w:rsid w:val="7CC73732"/>
    <w:rsid w:val="7CE02C1E"/>
    <w:rsid w:val="7CE21ECB"/>
    <w:rsid w:val="7CEA0E50"/>
    <w:rsid w:val="7CF907B1"/>
    <w:rsid w:val="7D036F40"/>
    <w:rsid w:val="7D10012F"/>
    <w:rsid w:val="7D182BB1"/>
    <w:rsid w:val="7D352F4F"/>
    <w:rsid w:val="7D3A6FD2"/>
    <w:rsid w:val="7D3E4C78"/>
    <w:rsid w:val="7D474D62"/>
    <w:rsid w:val="7D4856B5"/>
    <w:rsid w:val="7D4D78CE"/>
    <w:rsid w:val="7D51699D"/>
    <w:rsid w:val="7D533734"/>
    <w:rsid w:val="7D5E279A"/>
    <w:rsid w:val="7D607048"/>
    <w:rsid w:val="7D6077B1"/>
    <w:rsid w:val="7D6A321B"/>
    <w:rsid w:val="7D7A1BC9"/>
    <w:rsid w:val="7D8A53FF"/>
    <w:rsid w:val="7D942E2A"/>
    <w:rsid w:val="7D966B85"/>
    <w:rsid w:val="7DA05775"/>
    <w:rsid w:val="7DA4607B"/>
    <w:rsid w:val="7DA67D9E"/>
    <w:rsid w:val="7DAB4E6B"/>
    <w:rsid w:val="7DCE4DC9"/>
    <w:rsid w:val="7DD64B31"/>
    <w:rsid w:val="7DDA4E8A"/>
    <w:rsid w:val="7DDB4235"/>
    <w:rsid w:val="7DDF63E5"/>
    <w:rsid w:val="7DE558B2"/>
    <w:rsid w:val="7DE83A24"/>
    <w:rsid w:val="7DFF6934"/>
    <w:rsid w:val="7E05751A"/>
    <w:rsid w:val="7E06628A"/>
    <w:rsid w:val="7E1C1DBC"/>
    <w:rsid w:val="7E224DC5"/>
    <w:rsid w:val="7E230BBA"/>
    <w:rsid w:val="7E2541FA"/>
    <w:rsid w:val="7E2662E7"/>
    <w:rsid w:val="7E2E1EDF"/>
    <w:rsid w:val="7E3050E0"/>
    <w:rsid w:val="7E382BCB"/>
    <w:rsid w:val="7E414E2E"/>
    <w:rsid w:val="7E42153B"/>
    <w:rsid w:val="7E4234A7"/>
    <w:rsid w:val="7E467C6C"/>
    <w:rsid w:val="7E4F3D20"/>
    <w:rsid w:val="7E541527"/>
    <w:rsid w:val="7E5F2625"/>
    <w:rsid w:val="7E5F4DA0"/>
    <w:rsid w:val="7E6130CD"/>
    <w:rsid w:val="7E65627E"/>
    <w:rsid w:val="7E793318"/>
    <w:rsid w:val="7E7A2C7B"/>
    <w:rsid w:val="7E7D8082"/>
    <w:rsid w:val="7E817325"/>
    <w:rsid w:val="7E830414"/>
    <w:rsid w:val="7E866EF3"/>
    <w:rsid w:val="7E867F6C"/>
    <w:rsid w:val="7E8827D6"/>
    <w:rsid w:val="7E8B2B3E"/>
    <w:rsid w:val="7E8E1BC0"/>
    <w:rsid w:val="7E8E43F6"/>
    <w:rsid w:val="7E947583"/>
    <w:rsid w:val="7E9B61C8"/>
    <w:rsid w:val="7E9F2754"/>
    <w:rsid w:val="7EAA774C"/>
    <w:rsid w:val="7EAC29D8"/>
    <w:rsid w:val="7EAE01FA"/>
    <w:rsid w:val="7EB0630F"/>
    <w:rsid w:val="7EB23B19"/>
    <w:rsid w:val="7EBFC425"/>
    <w:rsid w:val="7ECA683B"/>
    <w:rsid w:val="7ECF21DA"/>
    <w:rsid w:val="7ED101A1"/>
    <w:rsid w:val="7ED928CF"/>
    <w:rsid w:val="7EDF3DC9"/>
    <w:rsid w:val="7EE62B4F"/>
    <w:rsid w:val="7EE91160"/>
    <w:rsid w:val="7EEA4F6F"/>
    <w:rsid w:val="7EEB5CB6"/>
    <w:rsid w:val="7EED6D6B"/>
    <w:rsid w:val="7EEF3128"/>
    <w:rsid w:val="7EF37CEE"/>
    <w:rsid w:val="7F0D7A85"/>
    <w:rsid w:val="7F150202"/>
    <w:rsid w:val="7F201029"/>
    <w:rsid w:val="7F24781D"/>
    <w:rsid w:val="7F2770EC"/>
    <w:rsid w:val="7F2D53BB"/>
    <w:rsid w:val="7F2F3E5D"/>
    <w:rsid w:val="7F3D4D25"/>
    <w:rsid w:val="7F3DF234"/>
    <w:rsid w:val="7F3F386D"/>
    <w:rsid w:val="7F3F817F"/>
    <w:rsid w:val="7F403DC9"/>
    <w:rsid w:val="7F4062C6"/>
    <w:rsid w:val="7F4206D6"/>
    <w:rsid w:val="7F5A57DF"/>
    <w:rsid w:val="7F5B0AE4"/>
    <w:rsid w:val="7F5B1339"/>
    <w:rsid w:val="7F6C1778"/>
    <w:rsid w:val="7F6D66D8"/>
    <w:rsid w:val="7F753034"/>
    <w:rsid w:val="7F77C12B"/>
    <w:rsid w:val="7F7C0781"/>
    <w:rsid w:val="7F7C0E89"/>
    <w:rsid w:val="7F7F8A1A"/>
    <w:rsid w:val="7F910EC9"/>
    <w:rsid w:val="7FA24AB5"/>
    <w:rsid w:val="7FA40D5D"/>
    <w:rsid w:val="7FA41118"/>
    <w:rsid w:val="7FB00D7E"/>
    <w:rsid w:val="7FBB38B7"/>
    <w:rsid w:val="7FBD5445"/>
    <w:rsid w:val="7FBD5975"/>
    <w:rsid w:val="7FCFC104"/>
    <w:rsid w:val="7FD14043"/>
    <w:rsid w:val="7FDE5193"/>
    <w:rsid w:val="7FE14AAC"/>
    <w:rsid w:val="7FECAB69"/>
    <w:rsid w:val="7FEEA3A7"/>
    <w:rsid w:val="7FF07079"/>
    <w:rsid w:val="7FF41029"/>
    <w:rsid w:val="7FF57527"/>
    <w:rsid w:val="7FFC1AB7"/>
    <w:rsid w:val="7FFE5E09"/>
    <w:rsid w:val="9B9C16DF"/>
    <w:rsid w:val="9CB6BF3E"/>
    <w:rsid w:val="9DF9D99D"/>
    <w:rsid w:val="A5B8B5D3"/>
    <w:rsid w:val="ADDED9D4"/>
    <w:rsid w:val="B77F3AF2"/>
    <w:rsid w:val="B77FBFF1"/>
    <w:rsid w:val="BBEF6C96"/>
    <w:rsid w:val="BCDF2342"/>
    <w:rsid w:val="BEDF3F0D"/>
    <w:rsid w:val="CEF682A0"/>
    <w:rsid w:val="CFDF900F"/>
    <w:rsid w:val="D5FE4FBB"/>
    <w:rsid w:val="D5FF0CF4"/>
    <w:rsid w:val="D6EB38B7"/>
    <w:rsid w:val="D7FFB2E6"/>
    <w:rsid w:val="DD6BC025"/>
    <w:rsid w:val="DEEF627A"/>
    <w:rsid w:val="DFF41EAD"/>
    <w:rsid w:val="E3AED59C"/>
    <w:rsid w:val="E7E799C2"/>
    <w:rsid w:val="ED87950F"/>
    <w:rsid w:val="EF7917E5"/>
    <w:rsid w:val="EFF71A43"/>
    <w:rsid w:val="EFFAF63E"/>
    <w:rsid w:val="EFFBC9DF"/>
    <w:rsid w:val="F4FF0914"/>
    <w:rsid w:val="F5BF8FE2"/>
    <w:rsid w:val="F65BA76A"/>
    <w:rsid w:val="F72F5063"/>
    <w:rsid w:val="F7F54D1F"/>
    <w:rsid w:val="F97FAD74"/>
    <w:rsid w:val="FAF787D1"/>
    <w:rsid w:val="FCDAB33C"/>
    <w:rsid w:val="FCFFF216"/>
    <w:rsid w:val="FD118C1E"/>
    <w:rsid w:val="FDF77746"/>
    <w:rsid w:val="FEFB9036"/>
    <w:rsid w:val="FEFF5EF7"/>
    <w:rsid w:val="FFBF9693"/>
    <w:rsid w:val="FFBFFF63"/>
    <w:rsid w:val="FFFE2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27"/>
    <w:qFormat/>
    <w:uiPriority w:val="0"/>
    <w:pPr>
      <w:keepNext/>
      <w:jc w:val="center"/>
      <w:outlineLvl w:val="0"/>
    </w:pPr>
    <w:rPr>
      <w:b/>
      <w:bCs/>
      <w:sz w:val="24"/>
      <w:szCs w:val="20"/>
    </w:rPr>
  </w:style>
  <w:style w:type="paragraph" w:styleId="3">
    <w:name w:val="heading 2"/>
    <w:basedOn w:val="1"/>
    <w:next w:val="1"/>
    <w:link w:val="216"/>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2"/>
    <w:qFormat/>
    <w:uiPriority w:val="0"/>
    <w:pPr>
      <w:keepNext/>
      <w:keepLines/>
      <w:spacing w:before="260" w:after="260" w:line="416" w:lineRule="auto"/>
      <w:outlineLvl w:val="2"/>
    </w:pPr>
    <w:rPr>
      <w:b/>
      <w:bCs/>
      <w:sz w:val="32"/>
      <w:szCs w:val="32"/>
    </w:rPr>
  </w:style>
  <w:style w:type="paragraph" w:styleId="5">
    <w:name w:val="heading 4"/>
    <w:basedOn w:val="1"/>
    <w:next w:val="1"/>
    <w:link w:val="17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8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23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25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8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23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qFormat/>
    <w:uiPriority w:val="0"/>
    <w:pPr>
      <w:ind w:left="2520" w:leftChars="1200"/>
    </w:pPr>
    <w:rPr>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228"/>
    <w:semiHidden/>
    <w:qFormat/>
    <w:uiPriority w:val="0"/>
    <w:pPr>
      <w:jc w:val="left"/>
    </w:pPr>
  </w:style>
  <w:style w:type="paragraph" w:styleId="15">
    <w:name w:val="Salutation"/>
    <w:basedOn w:val="1"/>
    <w:next w:val="1"/>
    <w:qFormat/>
    <w:uiPriority w:val="0"/>
    <w:rPr>
      <w:rFonts w:ascii="仿宋_GB2312" w:eastAsia="仿宋_GB2312"/>
      <w:sz w:val="24"/>
    </w:rPr>
  </w:style>
  <w:style w:type="paragraph" w:styleId="16">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8"/>
    <w:qFormat/>
    <w:uiPriority w:val="0"/>
    <w:pPr>
      <w:spacing w:after="120"/>
    </w:pPr>
  </w:style>
  <w:style w:type="paragraph" w:styleId="18">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9">
    <w:name w:val="Body Text Indent"/>
    <w:basedOn w:val="1"/>
    <w:link w:val="206"/>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0"/>
    <w:pPr>
      <w:ind w:left="1680" w:leftChars="800"/>
    </w:pPr>
    <w:rPr>
      <w:szCs w:val="22"/>
    </w:rPr>
  </w:style>
  <w:style w:type="paragraph" w:styleId="22">
    <w:name w:val="toc 3"/>
    <w:basedOn w:val="1"/>
    <w:next w:val="1"/>
    <w:qFormat/>
    <w:uiPriority w:val="0"/>
    <w:pPr>
      <w:ind w:left="840" w:leftChars="400"/>
    </w:pPr>
  </w:style>
  <w:style w:type="paragraph" w:styleId="23">
    <w:name w:val="Plain Text"/>
    <w:basedOn w:val="1"/>
    <w:link w:val="253"/>
    <w:qFormat/>
    <w:uiPriority w:val="0"/>
    <w:rPr>
      <w:rFonts w:ascii="宋体" w:hAnsi="Courier New" w:cs="Courier New"/>
      <w:szCs w:val="21"/>
    </w:rPr>
  </w:style>
  <w:style w:type="paragraph" w:styleId="24">
    <w:name w:val="toc 8"/>
    <w:basedOn w:val="1"/>
    <w:next w:val="1"/>
    <w:qFormat/>
    <w:uiPriority w:val="0"/>
    <w:pPr>
      <w:ind w:left="2940" w:leftChars="1400"/>
    </w:pPr>
    <w:rPr>
      <w:szCs w:val="22"/>
    </w:rPr>
  </w:style>
  <w:style w:type="paragraph" w:styleId="25">
    <w:name w:val="Date"/>
    <w:basedOn w:val="1"/>
    <w:next w:val="1"/>
    <w:link w:val="205"/>
    <w:qFormat/>
    <w:uiPriority w:val="0"/>
    <w:rPr>
      <w:sz w:val="24"/>
      <w:szCs w:val="20"/>
    </w:rPr>
  </w:style>
  <w:style w:type="paragraph" w:styleId="26">
    <w:name w:val="Body Text Indent 2"/>
    <w:basedOn w:val="1"/>
    <w:qFormat/>
    <w:uiPriority w:val="0"/>
    <w:pPr>
      <w:spacing w:after="120" w:line="480" w:lineRule="auto"/>
      <w:ind w:left="420" w:leftChars="200"/>
    </w:pPr>
  </w:style>
  <w:style w:type="paragraph" w:styleId="27">
    <w:name w:val="Balloon Text"/>
    <w:basedOn w:val="1"/>
    <w:link w:val="233"/>
    <w:qFormat/>
    <w:uiPriority w:val="0"/>
    <w:rPr>
      <w:sz w:val="18"/>
      <w:szCs w:val="18"/>
    </w:rPr>
  </w:style>
  <w:style w:type="paragraph" w:styleId="28">
    <w:name w:val="footer"/>
    <w:basedOn w:val="1"/>
    <w:link w:val="249"/>
    <w:qFormat/>
    <w:uiPriority w:val="0"/>
    <w:pPr>
      <w:tabs>
        <w:tab w:val="center" w:pos="4153"/>
        <w:tab w:val="right" w:pos="8306"/>
      </w:tabs>
      <w:snapToGrid w:val="0"/>
      <w:jc w:val="left"/>
    </w:pPr>
    <w:rPr>
      <w:sz w:val="18"/>
      <w:szCs w:val="18"/>
    </w:rPr>
  </w:style>
  <w:style w:type="paragraph" w:styleId="29">
    <w:name w:val="header"/>
    <w:basedOn w:val="1"/>
    <w:link w:val="208"/>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rPr>
      <w:szCs w:val="22"/>
    </w:rPr>
  </w:style>
  <w:style w:type="paragraph" w:styleId="33">
    <w:name w:val="Body Text Indent 3"/>
    <w:basedOn w:val="1"/>
    <w:next w:val="1"/>
    <w:link w:val="251"/>
    <w:qFormat/>
    <w:uiPriority w:val="0"/>
    <w:pPr>
      <w:spacing w:after="120"/>
      <w:ind w:left="420" w:leftChars="200"/>
    </w:pPr>
    <w:rPr>
      <w:sz w:val="16"/>
      <w:szCs w:val="16"/>
    </w:rPr>
  </w:style>
  <w:style w:type="paragraph" w:styleId="34">
    <w:name w:val="toc 2"/>
    <w:basedOn w:val="1"/>
    <w:next w:val="1"/>
    <w:qFormat/>
    <w:uiPriority w:val="0"/>
    <w:pPr>
      <w:ind w:left="420" w:leftChars="200"/>
    </w:pPr>
  </w:style>
  <w:style w:type="paragraph" w:styleId="35">
    <w:name w:val="toc 9"/>
    <w:basedOn w:val="1"/>
    <w:next w:val="1"/>
    <w:qFormat/>
    <w:uiPriority w:val="0"/>
    <w:pPr>
      <w:ind w:left="3360" w:leftChars="1600"/>
    </w:pPr>
    <w:rPr>
      <w:szCs w:val="22"/>
    </w:rPr>
  </w:style>
  <w:style w:type="paragraph" w:styleId="36">
    <w:name w:val="Body Text 2"/>
    <w:basedOn w:val="1"/>
    <w:qFormat/>
    <w:uiPriority w:val="0"/>
    <w:pPr>
      <w:spacing w:after="120" w:line="480" w:lineRule="auto"/>
    </w:pPr>
  </w:style>
  <w:style w:type="paragraph" w:styleId="3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4"/>
    <w:next w:val="1"/>
    <w:link w:val="175"/>
    <w:qFormat/>
    <w:uiPriority w:val="0"/>
    <w:rPr>
      <w:b/>
      <w:bCs/>
    </w:rPr>
  </w:style>
  <w:style w:type="paragraph" w:styleId="42">
    <w:name w:val="Body Text First Indent"/>
    <w:basedOn w:val="17"/>
    <w:next w:val="33"/>
    <w:qFormat/>
    <w:uiPriority w:val="0"/>
    <w:pPr>
      <w:ind w:firstLine="420" w:firstLineChars="100"/>
    </w:pPr>
  </w:style>
  <w:style w:type="paragraph" w:styleId="43">
    <w:name w:val="Body Text First Indent 2"/>
    <w:basedOn w:val="19"/>
    <w:unhideWhenUsed/>
    <w:qFormat/>
    <w:uiPriority w:val="99"/>
    <w:pPr>
      <w:ind w:firstLine="420" w:firstLineChars="200"/>
    </w:p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800080"/>
      <w:u w:val="none"/>
    </w:rPr>
  </w:style>
  <w:style w:type="character" w:styleId="50">
    <w:name w:val="Emphasis"/>
    <w:qFormat/>
    <w:uiPriority w:val="0"/>
    <w:rPr>
      <w:rFonts w:ascii="Times New Roman" w:hAnsi="Times New Roman" w:eastAsia="宋体"/>
    </w:rPr>
  </w:style>
  <w:style w:type="character" w:styleId="51">
    <w:name w:val="HTML Definition"/>
    <w:qFormat/>
    <w:uiPriority w:val="0"/>
    <w:rPr>
      <w:rFonts w:ascii="Times New Roman" w:hAnsi="Times New Roman" w:eastAsia="宋体"/>
    </w:rPr>
  </w:style>
  <w:style w:type="character" w:styleId="52">
    <w:name w:val="HTML Variable"/>
    <w:qFormat/>
    <w:uiPriority w:val="0"/>
    <w:rPr>
      <w:rFonts w:ascii="Times New Roman" w:hAnsi="Times New Roman" w:eastAsia="宋体"/>
    </w:rPr>
  </w:style>
  <w:style w:type="character" w:styleId="53">
    <w:name w:val="Hyperlink"/>
    <w:qFormat/>
    <w:uiPriority w:val="0"/>
    <w:rPr>
      <w:color w:val="136EC2"/>
      <w:u w:val="single"/>
    </w:rPr>
  </w:style>
  <w:style w:type="character" w:styleId="54">
    <w:name w:val="HTML Code"/>
    <w:qFormat/>
    <w:uiPriority w:val="0"/>
    <w:rPr>
      <w:rFonts w:ascii="Courier New" w:hAnsi="Courier New" w:eastAsia="Courier New" w:cs="Courier New"/>
      <w:sz w:val="20"/>
    </w:rPr>
  </w:style>
  <w:style w:type="character" w:styleId="55">
    <w:name w:val="annotation reference"/>
    <w:qFormat/>
    <w:uiPriority w:val="0"/>
    <w:rPr>
      <w:sz w:val="21"/>
      <w:szCs w:val="21"/>
    </w:rPr>
  </w:style>
  <w:style w:type="character" w:styleId="56">
    <w:name w:val="HTML Cite"/>
    <w:qFormat/>
    <w:uiPriority w:val="0"/>
    <w:rPr>
      <w:rFonts w:ascii="Times New Roman" w:hAnsi="Times New Roman" w:eastAsia="宋体"/>
    </w:rPr>
  </w:style>
  <w:style w:type="character" w:styleId="57">
    <w:name w:val="HTML Keyboard"/>
    <w:qFormat/>
    <w:uiPriority w:val="0"/>
    <w:rPr>
      <w:rFonts w:ascii="Courier New" w:hAnsi="Courier New" w:eastAsia="Courier New" w:cs="Courier New"/>
      <w:sz w:val="20"/>
    </w:rPr>
  </w:style>
  <w:style w:type="character" w:styleId="58">
    <w:name w:val="HTML Sample"/>
    <w:qFormat/>
    <w:uiPriority w:val="0"/>
    <w:rPr>
      <w:rFonts w:ascii="Courier New" w:hAnsi="Courier New" w:eastAsia="Courier New" w:cs="Courier New"/>
    </w:rPr>
  </w:style>
  <w:style w:type="character" w:customStyle="1" w:styleId="59">
    <w:name w:val="标题 1 Char"/>
    <w:qFormat/>
    <w:uiPriority w:val="0"/>
    <w:rPr>
      <w:rFonts w:ascii="Cambria" w:hAnsi="Cambria"/>
      <w:b/>
      <w:bCs/>
      <w:kern w:val="32"/>
      <w:sz w:val="32"/>
      <w:szCs w:val="32"/>
    </w:rPr>
  </w:style>
  <w:style w:type="paragraph" w:customStyle="1" w:styleId="60">
    <w:name w:val="Heading1"/>
    <w:basedOn w:val="1"/>
    <w:next w:val="1"/>
    <w:unhideWhenUsed/>
    <w:qFormat/>
    <w:uiPriority w:val="0"/>
    <w:pPr>
      <w:keepNext/>
      <w:jc w:val="center"/>
      <w:textAlignment w:val="baseline"/>
    </w:pPr>
    <w:rPr>
      <w:b/>
      <w:sz w:val="24"/>
    </w:rPr>
  </w:style>
  <w:style w:type="paragraph" w:customStyle="1" w:styleId="61">
    <w:name w:val="样式 小四 行距: 1.5 倍行距"/>
    <w:qFormat/>
    <w:uiPriority w:val="0"/>
    <w:pPr>
      <w:widowControl w:val="0"/>
      <w:ind w:firstLine="480"/>
      <w:jc w:val="both"/>
    </w:pPr>
    <w:rPr>
      <w:rFonts w:ascii="Calibri" w:hAnsi="Calibri" w:eastAsia="宋体" w:cs="宋体"/>
      <w:kern w:val="2"/>
      <w:sz w:val="21"/>
      <w:szCs w:val="20"/>
      <w:lang w:val="en-US" w:eastAsia="zh-CN" w:bidi="ar-SA"/>
    </w:rPr>
  </w:style>
  <w:style w:type="character" w:customStyle="1" w:styleId="62">
    <w:name w:val="标题 3 字符"/>
    <w:link w:val="4"/>
    <w:qFormat/>
    <w:uiPriority w:val="0"/>
    <w:rPr>
      <w:rFonts w:eastAsia="宋体"/>
      <w:b/>
      <w:bCs/>
      <w:kern w:val="2"/>
      <w:sz w:val="32"/>
      <w:szCs w:val="32"/>
      <w:lang w:val="en-US" w:eastAsia="zh-CN" w:bidi="ar-SA"/>
    </w:rPr>
  </w:style>
  <w:style w:type="paragraph" w:customStyle="1" w:styleId="63">
    <w:name w:val="Char2"/>
    <w:basedOn w:val="1"/>
    <w:qFormat/>
    <w:uiPriority w:val="0"/>
    <w:pPr>
      <w:tabs>
        <w:tab w:val="left" w:pos="360"/>
      </w:tabs>
      <w:ind w:left="360" w:hanging="360" w:hangingChars="200"/>
    </w:pPr>
    <w:rPr>
      <w:sz w:val="24"/>
    </w:rPr>
  </w:style>
  <w:style w:type="paragraph" w:customStyle="1" w:styleId="64">
    <w:name w:val="Default"/>
    <w:qFormat/>
    <w:uiPriority w:val="0"/>
    <w:pPr>
      <w:widowControl w:val="0"/>
      <w:autoSpaceDE w:val="0"/>
      <w:autoSpaceDN w:val="0"/>
      <w:adjustRightInd w:val="0"/>
    </w:pPr>
    <w:rPr>
      <w:rFonts w:ascii="黑体" w:hAnsi="Calibri" w:eastAsia="黑体" w:cs="Times New Roman"/>
      <w:lang w:val="en-US" w:eastAsia="zh-CN" w:bidi="ar-SA"/>
    </w:rPr>
  </w:style>
  <w:style w:type="character" w:customStyle="1" w:styleId="65">
    <w:name w:val="NormalCharacter"/>
    <w:qFormat/>
    <w:uiPriority w:val="0"/>
    <w:rPr>
      <w:rFonts w:ascii="Times New Roman" w:hAnsi="Times New Roman" w:eastAsia="宋体" w:cs="Times New Roman"/>
      <w:kern w:val="2"/>
      <w:sz w:val="21"/>
      <w:szCs w:val="24"/>
      <w:lang w:val="en-US" w:eastAsia="zh-CN" w:bidi="ar-SA"/>
    </w:rPr>
  </w:style>
  <w:style w:type="character" w:customStyle="1" w:styleId="66">
    <w:name w:val="标题 3 Char"/>
    <w:qFormat/>
    <w:uiPriority w:val="0"/>
    <w:rPr>
      <w:b/>
      <w:bCs/>
      <w:sz w:val="24"/>
      <w:szCs w:val="24"/>
    </w:rPr>
  </w:style>
  <w:style w:type="character" w:customStyle="1" w:styleId="67">
    <w:name w:val="标题 4 Char"/>
    <w:qFormat/>
    <w:uiPriority w:val="0"/>
    <w:rPr>
      <w:rFonts w:ascii="Arial" w:hAnsi="Arial" w:eastAsia="宋体" w:cs="Times New Roman"/>
      <w:b/>
      <w:bCs/>
      <w:szCs w:val="28"/>
    </w:rPr>
  </w:style>
  <w:style w:type="character" w:customStyle="1" w:styleId="68">
    <w:name w:val="标题 5 Char"/>
    <w:qFormat/>
    <w:uiPriority w:val="0"/>
    <w:rPr>
      <w:b/>
      <w:bCs/>
      <w:kern w:val="2"/>
      <w:sz w:val="28"/>
      <w:szCs w:val="28"/>
    </w:rPr>
  </w:style>
  <w:style w:type="character" w:customStyle="1" w:styleId="69">
    <w:name w:val="标题 2 Char"/>
    <w:qFormat/>
    <w:uiPriority w:val="0"/>
    <w:rPr>
      <w:rFonts w:ascii="Cambria" w:hAnsi="Cambria" w:eastAsia="宋体" w:cs="Times New Roman"/>
      <w:b/>
      <w:bCs/>
      <w:kern w:val="2"/>
      <w:sz w:val="32"/>
      <w:szCs w:val="32"/>
    </w:rPr>
  </w:style>
  <w:style w:type="paragraph" w:customStyle="1" w:styleId="70">
    <w:name w:val="正文1"/>
    <w:basedOn w:val="71"/>
    <w:qFormat/>
    <w:uiPriority w:val="0"/>
    <w:pPr>
      <w:spacing w:line="360" w:lineRule="auto"/>
      <w:ind w:firstLine="480" w:firstLineChars="200"/>
    </w:pPr>
    <w:rPr>
      <w:sz w:val="24"/>
    </w:rPr>
  </w:style>
  <w:style w:type="paragraph" w:customStyle="1" w:styleId="71">
    <w:name w:val="正文_0"/>
    <w:next w:val="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首行缩进 211"/>
    <w:basedOn w:val="19"/>
    <w:unhideWhenUsed/>
    <w:qFormat/>
    <w:uiPriority w:val="99"/>
    <w:pPr>
      <w:ind w:firstLine="420" w:firstLineChars="200"/>
    </w:pPr>
  </w:style>
  <w:style w:type="paragraph" w:customStyle="1" w:styleId="73">
    <w:name w:val="列出段落1"/>
    <w:basedOn w:val="74"/>
    <w:qFormat/>
    <w:uiPriority w:val="0"/>
    <w:pPr>
      <w:ind w:firstLine="420" w:firstLineChars="200"/>
    </w:pPr>
  </w:style>
  <w:style w:type="paragraph" w:customStyle="1" w:styleId="74">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标题 7_0"/>
    <w:basedOn w:val="76"/>
    <w:next w:val="76"/>
    <w:unhideWhenUsed/>
    <w:qFormat/>
    <w:uiPriority w:val="9"/>
    <w:pPr>
      <w:keepNext/>
      <w:keepLines/>
      <w:adjustRightInd w:val="0"/>
      <w:spacing w:before="240" w:after="64" w:line="320" w:lineRule="atLeast"/>
      <w:jc w:val="left"/>
      <w:textAlignment w:val="baseline"/>
      <w:outlineLvl w:val="6"/>
    </w:pPr>
    <w:rPr>
      <w:b/>
      <w:bCs/>
      <w:kern w:val="0"/>
      <w:sz w:val="24"/>
    </w:rPr>
  </w:style>
  <w:style w:type="paragraph" w:customStyle="1" w:styleId="76">
    <w:name w:val="正文_37"/>
    <w:next w:val="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标题 2_37"/>
    <w:basedOn w:val="76"/>
    <w:next w:val="76"/>
    <w:unhideWhenUsed/>
    <w:qFormat/>
    <w:uiPriority w:val="9"/>
    <w:pPr>
      <w:keepNext/>
      <w:keepLines/>
      <w:spacing w:line="360" w:lineRule="auto"/>
      <w:outlineLvl w:val="1"/>
    </w:pPr>
    <w:rPr>
      <w:rFonts w:ascii="Arial" w:hAnsi="Arial"/>
      <w:b/>
      <w:bCs/>
      <w:sz w:val="24"/>
      <w:szCs w:val="32"/>
    </w:rPr>
  </w:style>
  <w:style w:type="paragraph" w:customStyle="1" w:styleId="7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Char Char1 Char Char Char Char Char1 Char Char Char Char"/>
    <w:basedOn w:val="13"/>
    <w:qFormat/>
    <w:uiPriority w:val="0"/>
    <w:rPr>
      <w:rFonts w:ascii="Tahoma" w:hAnsi="Tahoma"/>
    </w:rPr>
  </w:style>
  <w:style w:type="paragraph" w:customStyle="1" w:styleId="81">
    <w:name w:val="Char Char1 Char Char Char Char Char Char Char"/>
    <w:basedOn w:val="1"/>
    <w:qFormat/>
    <w:uiPriority w:val="0"/>
    <w:pPr>
      <w:widowControl/>
      <w:spacing w:after="160" w:line="240" w:lineRule="exact"/>
      <w:jc w:val="left"/>
    </w:pPr>
  </w:style>
  <w:style w:type="paragraph" w:customStyle="1" w:styleId="82">
    <w:name w:val="Style69"/>
    <w:basedOn w:val="1"/>
    <w:unhideWhenUsed/>
    <w:qFormat/>
    <w:uiPriority w:val="0"/>
    <w:pPr>
      <w:spacing w:line="557" w:lineRule="exact"/>
      <w:ind w:firstLine="1666"/>
    </w:pPr>
  </w:style>
  <w:style w:type="paragraph" w:customStyle="1" w:styleId="83">
    <w:name w:val="Style64"/>
    <w:basedOn w:val="1"/>
    <w:unhideWhenUsed/>
    <w:qFormat/>
    <w:uiPriority w:val="0"/>
  </w:style>
  <w:style w:type="paragraph" w:customStyle="1" w:styleId="84">
    <w:name w:val="Style46"/>
    <w:basedOn w:val="1"/>
    <w:unhideWhenUsed/>
    <w:qFormat/>
    <w:uiPriority w:val="0"/>
    <w:pPr>
      <w:spacing w:line="672" w:lineRule="exact"/>
    </w:pPr>
  </w:style>
  <w:style w:type="paragraph" w:customStyle="1" w:styleId="85">
    <w:name w:val="Style24"/>
    <w:basedOn w:val="1"/>
    <w:unhideWhenUsed/>
    <w:qFormat/>
    <w:uiPriority w:val="0"/>
  </w:style>
  <w:style w:type="paragraph" w:customStyle="1" w:styleId="86">
    <w:name w:val="Style23"/>
    <w:basedOn w:val="1"/>
    <w:unhideWhenUsed/>
    <w:qFormat/>
    <w:uiPriority w:val="0"/>
  </w:style>
  <w:style w:type="paragraph" w:customStyle="1" w:styleId="87">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88">
    <w:name w:val="标题 1 +"/>
    <w:basedOn w:val="2"/>
    <w:next w:val="1"/>
    <w:qFormat/>
    <w:uiPriority w:val="0"/>
    <w:pPr>
      <w:keepLines/>
      <w:spacing w:line="600" w:lineRule="auto"/>
    </w:pPr>
    <w:rPr>
      <w:rFonts w:eastAsia="黑体"/>
      <w:kern w:val="0"/>
      <w:sz w:val="32"/>
      <w:szCs w:val="32"/>
    </w:rPr>
  </w:style>
  <w:style w:type="paragraph" w:customStyle="1" w:styleId="89">
    <w:name w:val="Style63"/>
    <w:basedOn w:val="1"/>
    <w:unhideWhenUsed/>
    <w:qFormat/>
    <w:uiPriority w:val="0"/>
    <w:pPr>
      <w:spacing w:line="564" w:lineRule="exact"/>
      <w:ind w:firstLine="682"/>
    </w:pPr>
  </w:style>
  <w:style w:type="paragraph" w:customStyle="1" w:styleId="90">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1">
    <w:name w:val="Style10"/>
    <w:basedOn w:val="1"/>
    <w:unhideWhenUsed/>
    <w:qFormat/>
    <w:uiPriority w:val="0"/>
    <w:pPr>
      <w:spacing w:line="538" w:lineRule="exact"/>
    </w:pPr>
  </w:style>
  <w:style w:type="paragraph" w:customStyle="1" w:styleId="92">
    <w:name w:val="默认段落字体 Para Char Char Char Char Char Char Char Char Char Char Char Char Char Char Char Char Char Char Char"/>
    <w:basedOn w:val="1"/>
    <w:qFormat/>
    <w:uiPriority w:val="0"/>
  </w:style>
  <w:style w:type="paragraph" w:customStyle="1" w:styleId="93">
    <w:name w:val="Style9"/>
    <w:basedOn w:val="1"/>
    <w:unhideWhenUsed/>
    <w:qFormat/>
    <w:uiPriority w:val="0"/>
  </w:style>
  <w:style w:type="paragraph" w:customStyle="1" w:styleId="94">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5">
    <w:name w:val="Style21"/>
    <w:basedOn w:val="1"/>
    <w:unhideWhenUsed/>
    <w:qFormat/>
    <w:uiPriority w:val="0"/>
    <w:pPr>
      <w:spacing w:line="566" w:lineRule="exact"/>
      <w:ind w:firstLine="682"/>
    </w:pPr>
  </w:style>
  <w:style w:type="paragraph" w:customStyle="1" w:styleId="96">
    <w:name w:val="Style8"/>
    <w:basedOn w:val="1"/>
    <w:unhideWhenUsed/>
    <w:qFormat/>
    <w:uiPriority w:val="0"/>
    <w:pPr>
      <w:spacing w:line="566" w:lineRule="exact"/>
      <w:jc w:val="center"/>
    </w:pPr>
  </w:style>
  <w:style w:type="paragraph" w:customStyle="1" w:styleId="97">
    <w:name w:val="Style12"/>
    <w:basedOn w:val="1"/>
    <w:unhideWhenUsed/>
    <w:qFormat/>
    <w:uiPriority w:val="0"/>
    <w:pPr>
      <w:spacing w:line="564" w:lineRule="exact"/>
      <w:ind w:hanging="115"/>
    </w:pPr>
  </w:style>
  <w:style w:type="paragraph" w:customStyle="1" w:styleId="98">
    <w:name w:val="Style47"/>
    <w:basedOn w:val="1"/>
    <w:unhideWhenUsed/>
    <w:qFormat/>
    <w:uiPriority w:val="0"/>
  </w:style>
  <w:style w:type="paragraph" w:customStyle="1" w:styleId="99">
    <w:name w:val="Char Char1 Char Char Char"/>
    <w:basedOn w:val="1"/>
    <w:qFormat/>
    <w:uiPriority w:val="0"/>
    <w:rPr>
      <w:kern w:val="0"/>
      <w:sz w:val="20"/>
      <w:szCs w:val="20"/>
    </w:rPr>
  </w:style>
  <w:style w:type="paragraph" w:customStyle="1" w:styleId="100">
    <w:name w:val="Style34"/>
    <w:basedOn w:val="1"/>
    <w:unhideWhenUsed/>
    <w:qFormat/>
    <w:uiPriority w:val="0"/>
    <w:pPr>
      <w:spacing w:line="375" w:lineRule="exact"/>
    </w:pPr>
  </w:style>
  <w:style w:type="paragraph" w:customStyle="1" w:styleId="101">
    <w:name w:val="_Style 39"/>
    <w:basedOn w:val="102"/>
    <w:qFormat/>
    <w:uiPriority w:val="0"/>
  </w:style>
  <w:style w:type="paragraph" w:customStyle="1" w:styleId="102">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3">
    <w:name w:val="标题2"/>
    <w:basedOn w:val="40"/>
    <w:qFormat/>
    <w:uiPriority w:val="0"/>
    <w:pPr>
      <w:spacing w:after="240"/>
      <w:jc w:val="left"/>
    </w:pPr>
    <w:rPr>
      <w:sz w:val="30"/>
    </w:rPr>
  </w:style>
  <w:style w:type="paragraph" w:customStyle="1" w:styleId="104">
    <w:name w:val="Style50"/>
    <w:basedOn w:val="1"/>
    <w:unhideWhenUsed/>
    <w:qFormat/>
    <w:uiPriority w:val="0"/>
  </w:style>
  <w:style w:type="paragraph" w:customStyle="1" w:styleId="105">
    <w:name w:val="Style4"/>
    <w:basedOn w:val="1"/>
    <w:unhideWhenUsed/>
    <w:qFormat/>
    <w:uiPriority w:val="0"/>
  </w:style>
  <w:style w:type="paragraph" w:customStyle="1" w:styleId="106">
    <w:name w:val="Style71"/>
    <w:basedOn w:val="1"/>
    <w:unhideWhenUsed/>
    <w:qFormat/>
    <w:uiPriority w:val="0"/>
    <w:pPr>
      <w:spacing w:line="538" w:lineRule="exact"/>
      <w:ind w:firstLine="101"/>
    </w:pPr>
  </w:style>
  <w:style w:type="paragraph" w:customStyle="1" w:styleId="107">
    <w:name w:val="Char1 Char Char Char"/>
    <w:basedOn w:val="1"/>
    <w:qFormat/>
    <w:uiPriority w:val="0"/>
    <w:pPr>
      <w:widowControl/>
      <w:spacing w:after="160" w:line="240" w:lineRule="exact"/>
      <w:jc w:val="left"/>
    </w:pPr>
    <w:rPr>
      <w:kern w:val="0"/>
      <w:sz w:val="24"/>
      <w:szCs w:val="20"/>
    </w:rPr>
  </w:style>
  <w:style w:type="paragraph" w:customStyle="1" w:styleId="108">
    <w:name w:val="附录标识"/>
    <w:basedOn w:val="109"/>
    <w:qFormat/>
    <w:uiPriority w:val="0"/>
    <w:pPr>
      <w:tabs>
        <w:tab w:val="left" w:pos="360"/>
        <w:tab w:val="left" w:pos="720"/>
        <w:tab w:val="left" w:pos="6405"/>
      </w:tabs>
      <w:spacing w:after="200"/>
    </w:pPr>
    <w:rPr>
      <w:sz w:val="21"/>
    </w:rPr>
  </w:style>
  <w:style w:type="paragraph" w:customStyle="1" w:styleId="109">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Calibri" w:eastAsia="黑体" w:cs="Times New Roman"/>
      <w:sz w:val="32"/>
      <w:lang w:val="en-US" w:eastAsia="zh-CN" w:bidi="ar-SA"/>
    </w:rPr>
  </w:style>
  <w:style w:type="paragraph" w:customStyle="1" w:styleId="110">
    <w:name w:val="Char Char Char"/>
    <w:basedOn w:val="1"/>
    <w:qFormat/>
    <w:uiPriority w:val="0"/>
    <w:rPr>
      <w:rFonts w:ascii="宋体" w:hAnsi="宋体"/>
      <w:b/>
      <w:sz w:val="28"/>
      <w:szCs w:val="28"/>
    </w:rPr>
  </w:style>
  <w:style w:type="paragraph" w:customStyle="1" w:styleId="111">
    <w:name w:val="Style65"/>
    <w:basedOn w:val="1"/>
    <w:unhideWhenUsed/>
    <w:qFormat/>
    <w:uiPriority w:val="0"/>
  </w:style>
  <w:style w:type="paragraph" w:customStyle="1" w:styleId="112">
    <w:name w:val="Style52"/>
    <w:basedOn w:val="1"/>
    <w:unhideWhenUsed/>
    <w:qFormat/>
    <w:uiPriority w:val="0"/>
    <w:pPr>
      <w:spacing w:line="682" w:lineRule="exact"/>
      <w:ind w:firstLine="557"/>
    </w:pPr>
  </w:style>
  <w:style w:type="paragraph" w:customStyle="1" w:styleId="113">
    <w:name w:val="Style80"/>
    <w:basedOn w:val="1"/>
    <w:unhideWhenUsed/>
    <w:qFormat/>
    <w:uiPriority w:val="0"/>
  </w:style>
  <w:style w:type="paragraph" w:customStyle="1" w:styleId="11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15">
    <w:name w:val="Style62"/>
    <w:basedOn w:val="1"/>
    <w:unhideWhenUsed/>
    <w:qFormat/>
    <w:uiPriority w:val="0"/>
  </w:style>
  <w:style w:type="paragraph" w:customStyle="1" w:styleId="116">
    <w:name w:val="Style36"/>
    <w:basedOn w:val="1"/>
    <w:unhideWhenUsed/>
    <w:qFormat/>
    <w:uiPriority w:val="0"/>
  </w:style>
  <w:style w:type="paragraph" w:customStyle="1" w:styleId="117">
    <w:name w:val="Char1 Char Char Char 字元 Char Char 字元 Char 字元 Char1 Char Char Char"/>
    <w:basedOn w:val="1"/>
    <w:qFormat/>
    <w:uiPriority w:val="0"/>
    <w:rPr>
      <w:szCs w:val="20"/>
    </w:rPr>
  </w:style>
  <w:style w:type="paragraph" w:customStyle="1" w:styleId="118">
    <w:name w:val="Style5"/>
    <w:basedOn w:val="1"/>
    <w:unhideWhenUsed/>
    <w:qFormat/>
    <w:uiPriority w:val="0"/>
  </w:style>
  <w:style w:type="paragraph" w:customStyle="1" w:styleId="119">
    <w:name w:val="Char1 Char Char Char Char Char Char Char Char Char"/>
    <w:basedOn w:val="1"/>
    <w:qFormat/>
    <w:uiPriority w:val="0"/>
    <w:rPr>
      <w:szCs w:val="20"/>
    </w:rPr>
  </w:style>
  <w:style w:type="paragraph" w:customStyle="1" w:styleId="120">
    <w:name w:val="表正文"/>
    <w:qFormat/>
    <w:uiPriority w:val="0"/>
    <w:pPr>
      <w:widowControl w:val="0"/>
      <w:ind w:left="840" w:leftChars="350"/>
      <w:jc w:val="both"/>
      <w:outlineLvl w:val="0"/>
    </w:pPr>
    <w:rPr>
      <w:rFonts w:ascii="宋体" w:hAnsi="Calibri" w:eastAsia="宋体" w:cs="Times New Roman"/>
      <w:b/>
      <w:sz w:val="24"/>
      <w:lang w:val="en-US" w:eastAsia="zh-CN" w:bidi="ar-SA"/>
    </w:rPr>
  </w:style>
  <w:style w:type="paragraph" w:customStyle="1" w:styleId="121">
    <w:name w:val="列出段落11"/>
    <w:basedOn w:val="1"/>
    <w:qFormat/>
    <w:uiPriority w:val="99"/>
    <w:pPr>
      <w:ind w:firstLine="420" w:firstLineChars="200"/>
    </w:pPr>
  </w:style>
  <w:style w:type="paragraph" w:customStyle="1" w:styleId="122">
    <w:name w:val="Style73"/>
    <w:basedOn w:val="1"/>
    <w:unhideWhenUsed/>
    <w:qFormat/>
    <w:uiPriority w:val="0"/>
    <w:pPr>
      <w:spacing w:line="538" w:lineRule="exact"/>
      <w:ind w:firstLine="533"/>
    </w:pPr>
  </w:style>
  <w:style w:type="paragraph" w:customStyle="1" w:styleId="123">
    <w:name w:val="Style26"/>
    <w:basedOn w:val="1"/>
    <w:unhideWhenUsed/>
    <w:qFormat/>
    <w:uiPriority w:val="0"/>
  </w:style>
  <w:style w:type="paragraph" w:customStyle="1" w:styleId="124">
    <w:name w:val="Style56"/>
    <w:basedOn w:val="1"/>
    <w:unhideWhenUsed/>
    <w:qFormat/>
    <w:uiPriority w:val="0"/>
  </w:style>
  <w:style w:type="paragraph" w:customStyle="1" w:styleId="125">
    <w:name w:val="表格内容"/>
    <w:basedOn w:val="17"/>
    <w:qFormat/>
    <w:uiPriority w:val="0"/>
    <w:pPr>
      <w:suppressLineNumbers/>
      <w:suppressAutoHyphens/>
      <w:jc w:val="left"/>
    </w:pPr>
    <w:rPr>
      <w:rFonts w:cs="Tahoma"/>
      <w:kern w:val="0"/>
      <w:sz w:val="24"/>
    </w:rPr>
  </w:style>
  <w:style w:type="paragraph" w:customStyle="1" w:styleId="126">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27">
    <w:name w:val="Style78"/>
    <w:basedOn w:val="1"/>
    <w:unhideWhenUsed/>
    <w:qFormat/>
    <w:uiPriority w:val="0"/>
  </w:style>
  <w:style w:type="paragraph" w:customStyle="1" w:styleId="128">
    <w:name w:val="Style29"/>
    <w:basedOn w:val="1"/>
    <w:unhideWhenUsed/>
    <w:qFormat/>
    <w:uiPriority w:val="0"/>
    <w:pPr>
      <w:spacing w:line="547" w:lineRule="exact"/>
      <w:ind w:firstLine="547"/>
    </w:pPr>
  </w:style>
  <w:style w:type="paragraph" w:customStyle="1" w:styleId="129">
    <w:name w:val="Style70"/>
    <w:basedOn w:val="1"/>
    <w:unhideWhenUsed/>
    <w:qFormat/>
    <w:uiPriority w:val="0"/>
    <w:pPr>
      <w:spacing w:line="549" w:lineRule="exact"/>
      <w:ind w:firstLine="686"/>
    </w:pPr>
  </w:style>
  <w:style w:type="paragraph" w:customStyle="1" w:styleId="130">
    <w:name w:val="Style27"/>
    <w:basedOn w:val="1"/>
    <w:unhideWhenUsed/>
    <w:qFormat/>
    <w:uiPriority w:val="0"/>
  </w:style>
  <w:style w:type="paragraph" w:customStyle="1" w:styleId="131">
    <w:name w:val="Style45"/>
    <w:basedOn w:val="1"/>
    <w:unhideWhenUsed/>
    <w:qFormat/>
    <w:uiPriority w:val="0"/>
  </w:style>
  <w:style w:type="paragraph" w:customStyle="1" w:styleId="132">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3">
    <w:name w:val="Style16"/>
    <w:basedOn w:val="1"/>
    <w:unhideWhenUsed/>
    <w:qFormat/>
    <w:uiPriority w:val="0"/>
    <w:pPr>
      <w:jc w:val="right"/>
    </w:pPr>
  </w:style>
  <w:style w:type="paragraph" w:customStyle="1" w:styleId="134">
    <w:name w:val="Style11"/>
    <w:basedOn w:val="1"/>
    <w:unhideWhenUsed/>
    <w:qFormat/>
    <w:uiPriority w:val="0"/>
    <w:pPr>
      <w:spacing w:line="559" w:lineRule="exact"/>
      <w:ind w:firstLine="590"/>
    </w:pPr>
  </w:style>
  <w:style w:type="paragraph" w:customStyle="1" w:styleId="135">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36">
    <w:name w:val="Style59"/>
    <w:basedOn w:val="1"/>
    <w:unhideWhenUsed/>
    <w:qFormat/>
    <w:uiPriority w:val="0"/>
  </w:style>
  <w:style w:type="paragraph" w:customStyle="1" w:styleId="137">
    <w:name w:val="p16"/>
    <w:basedOn w:val="1"/>
    <w:qFormat/>
    <w:uiPriority w:val="0"/>
    <w:pPr>
      <w:widowControl/>
      <w:jc w:val="left"/>
    </w:pPr>
    <w:rPr>
      <w:kern w:val="0"/>
      <w:szCs w:val="21"/>
    </w:rPr>
  </w:style>
  <w:style w:type="paragraph" w:customStyle="1" w:styleId="138">
    <w:name w:val="Style81"/>
    <w:basedOn w:val="1"/>
    <w:unhideWhenUsed/>
    <w:qFormat/>
    <w:uiPriority w:val="0"/>
    <w:pPr>
      <w:spacing w:line="547" w:lineRule="exact"/>
    </w:pPr>
  </w:style>
  <w:style w:type="paragraph" w:customStyle="1" w:styleId="139">
    <w:name w:val="NO3"/>
    <w:basedOn w:val="1"/>
    <w:qFormat/>
    <w:uiPriority w:val="0"/>
    <w:pPr>
      <w:tabs>
        <w:tab w:val="left" w:pos="907"/>
      </w:tabs>
      <w:spacing w:line="360" w:lineRule="auto"/>
    </w:pPr>
    <w:rPr>
      <w:rFonts w:ascii="宋体" w:hAnsi="宋体"/>
      <w:sz w:val="24"/>
    </w:rPr>
  </w:style>
  <w:style w:type="paragraph" w:customStyle="1" w:styleId="140">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41">
    <w:name w:val="修订1"/>
    <w:qFormat/>
    <w:uiPriority w:val="0"/>
    <w:rPr>
      <w:rFonts w:ascii="Calibri" w:hAnsi="Calibri" w:eastAsia="宋体" w:cs="Times New Roman"/>
      <w:kern w:val="2"/>
      <w:sz w:val="21"/>
      <w:szCs w:val="24"/>
      <w:lang w:val="en-US" w:eastAsia="zh-CN" w:bidi="ar-SA"/>
    </w:rPr>
  </w:style>
  <w:style w:type="paragraph" w:customStyle="1" w:styleId="142">
    <w:name w:val="Style68"/>
    <w:basedOn w:val="1"/>
    <w:unhideWhenUsed/>
    <w:qFormat/>
    <w:uiPriority w:val="0"/>
    <w:pPr>
      <w:spacing w:line="547" w:lineRule="exact"/>
    </w:pPr>
  </w:style>
  <w:style w:type="paragraph" w:customStyle="1" w:styleId="143">
    <w:name w:val="Style41"/>
    <w:basedOn w:val="1"/>
    <w:unhideWhenUsed/>
    <w:qFormat/>
    <w:uiPriority w:val="0"/>
    <w:pPr>
      <w:spacing w:line="542" w:lineRule="exact"/>
      <w:ind w:firstLine="125"/>
    </w:pPr>
  </w:style>
  <w:style w:type="paragraph" w:customStyle="1" w:styleId="144">
    <w:name w:val="1 Char Char Char Char"/>
    <w:basedOn w:val="1"/>
    <w:qFormat/>
    <w:uiPriority w:val="0"/>
  </w:style>
  <w:style w:type="paragraph" w:customStyle="1" w:styleId="145">
    <w:name w:val="Style28"/>
    <w:basedOn w:val="1"/>
    <w:unhideWhenUsed/>
    <w:qFormat/>
    <w:uiPriority w:val="0"/>
    <w:pPr>
      <w:spacing w:line="552" w:lineRule="exact"/>
      <w:ind w:firstLine="547"/>
    </w:pPr>
  </w:style>
  <w:style w:type="paragraph" w:customStyle="1" w:styleId="146">
    <w:name w:val="列出段落2"/>
    <w:basedOn w:val="1"/>
    <w:qFormat/>
    <w:uiPriority w:val="0"/>
    <w:pPr>
      <w:ind w:firstLine="420" w:firstLineChars="200"/>
    </w:pPr>
    <w:rPr>
      <w:szCs w:val="22"/>
    </w:rPr>
  </w:style>
  <w:style w:type="paragraph" w:customStyle="1" w:styleId="147">
    <w:name w:val="Style53"/>
    <w:basedOn w:val="1"/>
    <w:unhideWhenUsed/>
    <w:qFormat/>
    <w:uiPriority w:val="0"/>
    <w:pPr>
      <w:spacing w:line="533" w:lineRule="exact"/>
      <w:ind w:firstLine="581"/>
    </w:pPr>
  </w:style>
  <w:style w:type="paragraph" w:customStyle="1" w:styleId="148">
    <w:name w:val="样式1"/>
    <w:basedOn w:val="1"/>
    <w:link w:val="290"/>
    <w:qFormat/>
    <w:uiPriority w:val="0"/>
    <w:pPr>
      <w:tabs>
        <w:tab w:val="left" w:pos="360"/>
      </w:tabs>
      <w:adjustRightInd w:val="0"/>
      <w:ind w:left="360" w:hanging="360"/>
      <w:textAlignment w:val="baseline"/>
    </w:pPr>
    <w:rPr>
      <w:rFonts w:ascii="宋体" w:hAnsi="宋体"/>
      <w:kern w:val="0"/>
      <w:szCs w:val="21"/>
    </w:rPr>
  </w:style>
  <w:style w:type="paragraph" w:customStyle="1" w:styleId="14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50">
    <w:name w:val="Style48"/>
    <w:basedOn w:val="1"/>
    <w:unhideWhenUsed/>
    <w:qFormat/>
    <w:uiPriority w:val="0"/>
    <w:pPr>
      <w:spacing w:line="542" w:lineRule="exact"/>
      <w:jc w:val="right"/>
    </w:pPr>
  </w:style>
  <w:style w:type="paragraph" w:customStyle="1" w:styleId="151">
    <w:name w:val="列出段落3"/>
    <w:basedOn w:val="1"/>
    <w:qFormat/>
    <w:uiPriority w:val="0"/>
    <w:pPr>
      <w:ind w:firstLine="420" w:firstLineChars="200"/>
    </w:pPr>
    <w:rPr>
      <w:rFonts w:cs="Calibri"/>
      <w:szCs w:val="21"/>
    </w:rPr>
  </w:style>
  <w:style w:type="paragraph" w:customStyle="1" w:styleId="152">
    <w:name w:val="Style74"/>
    <w:basedOn w:val="1"/>
    <w:unhideWhenUsed/>
    <w:qFormat/>
    <w:uiPriority w:val="0"/>
    <w:pPr>
      <w:spacing w:line="437" w:lineRule="exact"/>
    </w:pPr>
  </w:style>
  <w:style w:type="paragraph" w:customStyle="1" w:styleId="15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5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55">
    <w:name w:val="Style15"/>
    <w:basedOn w:val="1"/>
    <w:unhideWhenUsed/>
    <w:qFormat/>
    <w:uiPriority w:val="0"/>
    <w:pPr>
      <w:spacing w:line="557" w:lineRule="exact"/>
      <w:ind w:firstLine="672"/>
    </w:pPr>
  </w:style>
  <w:style w:type="paragraph" w:customStyle="1" w:styleId="156">
    <w:name w:val="Style77"/>
    <w:basedOn w:val="1"/>
    <w:unhideWhenUsed/>
    <w:qFormat/>
    <w:uiPriority w:val="0"/>
  </w:style>
  <w:style w:type="paragraph" w:customStyle="1" w:styleId="157">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58">
    <w:name w:val="Style13"/>
    <w:basedOn w:val="1"/>
    <w:unhideWhenUsed/>
    <w:qFormat/>
    <w:uiPriority w:val="0"/>
  </w:style>
  <w:style w:type="paragraph" w:customStyle="1" w:styleId="159">
    <w:name w:val="Style44"/>
    <w:basedOn w:val="1"/>
    <w:unhideWhenUsed/>
    <w:qFormat/>
    <w:uiPriority w:val="0"/>
  </w:style>
  <w:style w:type="paragraph" w:customStyle="1" w:styleId="160">
    <w:name w:val="1"/>
    <w:basedOn w:val="1"/>
    <w:qFormat/>
    <w:uiPriority w:val="0"/>
    <w:pPr>
      <w:spacing w:after="156" w:afterLines="50" w:line="360" w:lineRule="auto"/>
    </w:pPr>
    <w:rPr>
      <w:rFonts w:ascii="宋体" w:hAnsi="宋体"/>
      <w:b/>
      <w:sz w:val="30"/>
      <w:szCs w:val="21"/>
    </w:rPr>
  </w:style>
  <w:style w:type="paragraph" w:customStyle="1" w:styleId="161">
    <w:name w:val="Style60"/>
    <w:basedOn w:val="1"/>
    <w:unhideWhenUsed/>
    <w:qFormat/>
    <w:uiPriority w:val="0"/>
    <w:pPr>
      <w:spacing w:line="566" w:lineRule="exact"/>
    </w:pPr>
  </w:style>
  <w:style w:type="paragraph" w:customStyle="1" w:styleId="16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63">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4">
    <w:name w:val="Style61"/>
    <w:basedOn w:val="1"/>
    <w:unhideWhenUsed/>
    <w:qFormat/>
    <w:uiPriority w:val="0"/>
  </w:style>
  <w:style w:type="paragraph" w:customStyle="1" w:styleId="165">
    <w:name w:val="无间距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6">
    <w:name w:val="Style54"/>
    <w:basedOn w:val="1"/>
    <w:unhideWhenUsed/>
    <w:qFormat/>
    <w:uiPriority w:val="0"/>
  </w:style>
  <w:style w:type="paragraph" w:customStyle="1" w:styleId="167">
    <w:name w:val="p0"/>
    <w:basedOn w:val="1"/>
    <w:link w:val="259"/>
    <w:qFormat/>
    <w:uiPriority w:val="0"/>
    <w:pPr>
      <w:widowControl/>
    </w:pPr>
    <w:rPr>
      <w:kern w:val="0"/>
      <w:szCs w:val="21"/>
    </w:rPr>
  </w:style>
  <w:style w:type="paragraph" w:customStyle="1" w:styleId="168">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69">
    <w:name w:val="Style76"/>
    <w:basedOn w:val="1"/>
    <w:unhideWhenUsed/>
    <w:qFormat/>
    <w:uiPriority w:val="0"/>
  </w:style>
  <w:style w:type="paragraph" w:customStyle="1" w:styleId="170">
    <w:name w:val="Style67"/>
    <w:basedOn w:val="1"/>
    <w:unhideWhenUsed/>
    <w:qFormat/>
    <w:uiPriority w:val="0"/>
    <w:pPr>
      <w:spacing w:line="566" w:lineRule="exact"/>
      <w:ind w:firstLine="552"/>
    </w:pPr>
  </w:style>
  <w:style w:type="paragraph" w:customStyle="1" w:styleId="171">
    <w:name w:val="Style42"/>
    <w:basedOn w:val="1"/>
    <w:unhideWhenUsed/>
    <w:qFormat/>
    <w:uiPriority w:val="0"/>
    <w:pPr>
      <w:spacing w:line="542" w:lineRule="exact"/>
      <w:ind w:firstLine="547"/>
    </w:pPr>
  </w:style>
  <w:style w:type="paragraph" w:customStyle="1" w:styleId="172">
    <w:name w:val="Style72"/>
    <w:basedOn w:val="1"/>
    <w:unhideWhenUsed/>
    <w:qFormat/>
    <w:uiPriority w:val="0"/>
  </w:style>
  <w:style w:type="paragraph" w:customStyle="1" w:styleId="173">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174">
    <w:name w:val="Style58"/>
    <w:basedOn w:val="1"/>
    <w:unhideWhenUsed/>
    <w:qFormat/>
    <w:uiPriority w:val="0"/>
    <w:pPr>
      <w:spacing w:line="413" w:lineRule="exact"/>
    </w:pPr>
  </w:style>
  <w:style w:type="character" w:customStyle="1" w:styleId="175">
    <w:name w:val="批注主题 字符"/>
    <w:link w:val="41"/>
    <w:qFormat/>
    <w:uiPriority w:val="0"/>
    <w:rPr>
      <w:rFonts w:eastAsia="宋体"/>
      <w:b/>
      <w:bCs/>
      <w:kern w:val="2"/>
      <w:sz w:val="21"/>
      <w:szCs w:val="24"/>
      <w:lang w:val="en-US" w:eastAsia="zh-CN" w:bidi="ar-SA"/>
    </w:rPr>
  </w:style>
  <w:style w:type="character" w:customStyle="1" w:styleId="176">
    <w:name w:val="Char Char6"/>
    <w:qFormat/>
    <w:uiPriority w:val="0"/>
    <w:rPr>
      <w:rFonts w:ascii="Arial" w:hAnsi="Arial" w:eastAsia="黑体"/>
      <w:sz w:val="24"/>
      <w:szCs w:val="24"/>
      <w:lang w:val="en-US" w:eastAsia="zh-CN" w:bidi="ar-SA"/>
    </w:rPr>
  </w:style>
  <w:style w:type="character" w:customStyle="1" w:styleId="177">
    <w:name w:val="标题 4 字符"/>
    <w:link w:val="5"/>
    <w:qFormat/>
    <w:uiPriority w:val="0"/>
    <w:rPr>
      <w:rFonts w:ascii="Arial" w:hAnsi="Arial" w:eastAsia="黑体"/>
      <w:b/>
      <w:bCs/>
      <w:kern w:val="2"/>
      <w:sz w:val="28"/>
      <w:szCs w:val="28"/>
      <w:lang w:val="en-US" w:eastAsia="zh-CN" w:bidi="ar-SA"/>
    </w:rPr>
  </w:style>
  <w:style w:type="character" w:customStyle="1" w:styleId="178">
    <w:name w:val="Font Style134"/>
    <w:unhideWhenUsed/>
    <w:qFormat/>
    <w:uiPriority w:val="0"/>
    <w:rPr>
      <w:rFonts w:hint="eastAsia" w:ascii="宋体" w:hAnsi="宋体" w:eastAsia="宋体"/>
      <w:spacing w:val="20"/>
      <w:sz w:val="22"/>
    </w:rPr>
  </w:style>
  <w:style w:type="character" w:customStyle="1" w:styleId="179">
    <w:name w:val="desc"/>
    <w:qFormat/>
    <w:uiPriority w:val="0"/>
    <w:rPr>
      <w:rFonts w:ascii="Times New Roman" w:hAnsi="Times New Roman" w:eastAsia="宋体"/>
      <w:color w:val="000000"/>
      <w:sz w:val="18"/>
      <w:szCs w:val="18"/>
    </w:rPr>
  </w:style>
  <w:style w:type="character" w:customStyle="1" w:styleId="180">
    <w:name w:val="plus"/>
    <w:qFormat/>
    <w:uiPriority w:val="0"/>
    <w:rPr>
      <w:rFonts w:ascii="Times New Roman" w:hAnsi="Times New Roman" w:eastAsia="宋体"/>
      <w:b/>
      <w:vanish/>
      <w:color w:val="1F8DEF"/>
      <w:sz w:val="24"/>
      <w:szCs w:val="24"/>
    </w:rPr>
  </w:style>
  <w:style w:type="character" w:customStyle="1" w:styleId="181">
    <w:name w:val="标题 8 字符"/>
    <w:link w:val="9"/>
    <w:qFormat/>
    <w:uiPriority w:val="0"/>
    <w:rPr>
      <w:rFonts w:ascii="Arial" w:hAnsi="Arial" w:eastAsia="黑体"/>
      <w:sz w:val="24"/>
      <w:szCs w:val="24"/>
      <w:lang w:val="en-US" w:eastAsia="zh-CN" w:bidi="ar-SA"/>
    </w:rPr>
  </w:style>
  <w:style w:type="character" w:customStyle="1" w:styleId="182">
    <w:name w:val="标题 5 字符"/>
    <w:link w:val="6"/>
    <w:qFormat/>
    <w:uiPriority w:val="0"/>
    <w:rPr>
      <w:rFonts w:eastAsia="宋体"/>
      <w:b/>
      <w:bCs/>
      <w:sz w:val="28"/>
      <w:szCs w:val="28"/>
      <w:lang w:val="en-US" w:eastAsia="zh-CN" w:bidi="ar-SA"/>
    </w:rPr>
  </w:style>
  <w:style w:type="character" w:customStyle="1" w:styleId="183">
    <w:name w:val="Font Style104"/>
    <w:unhideWhenUsed/>
    <w:qFormat/>
    <w:uiPriority w:val="0"/>
    <w:rPr>
      <w:rFonts w:hint="eastAsia" w:ascii="宋体" w:hAnsi="宋体" w:eastAsia="宋体"/>
      <w:spacing w:val="30"/>
      <w:sz w:val="18"/>
    </w:rPr>
  </w:style>
  <w:style w:type="character" w:customStyle="1" w:styleId="184">
    <w:name w:val="morelink-item"/>
    <w:qFormat/>
    <w:uiPriority w:val="0"/>
    <w:rPr>
      <w:rFonts w:ascii="Times New Roman" w:hAnsi="Times New Roman" w:eastAsia="宋体"/>
    </w:rPr>
  </w:style>
  <w:style w:type="character" w:customStyle="1" w:styleId="185">
    <w:name w:val="批注文字 Char Char"/>
    <w:qFormat/>
    <w:uiPriority w:val="0"/>
    <w:rPr>
      <w:kern w:val="2"/>
      <w:sz w:val="21"/>
      <w:szCs w:val="24"/>
      <w:lang w:bidi="ar-SA"/>
    </w:rPr>
  </w:style>
  <w:style w:type="character" w:customStyle="1" w:styleId="186">
    <w:name w:val="批注框文本 Char"/>
    <w:qFormat/>
    <w:uiPriority w:val="0"/>
    <w:rPr>
      <w:kern w:val="2"/>
      <w:sz w:val="18"/>
      <w:szCs w:val="18"/>
    </w:rPr>
  </w:style>
  <w:style w:type="character" w:customStyle="1" w:styleId="187">
    <w:name w:val="标题 9 Char"/>
    <w:qFormat/>
    <w:uiPriority w:val="0"/>
    <w:rPr>
      <w:rFonts w:ascii="Arial" w:hAnsi="Arial" w:eastAsia="黑体"/>
      <w:sz w:val="21"/>
      <w:szCs w:val="21"/>
    </w:rPr>
  </w:style>
  <w:style w:type="character" w:customStyle="1" w:styleId="188">
    <w:name w:val="日期 Char"/>
    <w:qFormat/>
    <w:uiPriority w:val="0"/>
    <w:rPr>
      <w:kern w:val="2"/>
      <w:sz w:val="21"/>
      <w:szCs w:val="24"/>
    </w:rPr>
  </w:style>
  <w:style w:type="character" w:customStyle="1" w:styleId="189">
    <w:name w:val="Font Style133"/>
    <w:unhideWhenUsed/>
    <w:qFormat/>
    <w:uiPriority w:val="0"/>
    <w:rPr>
      <w:rFonts w:hint="eastAsia" w:ascii="宋体" w:hAnsi="宋体" w:eastAsia="宋体"/>
      <w:spacing w:val="30"/>
      <w:sz w:val="24"/>
    </w:rPr>
  </w:style>
  <w:style w:type="character" w:customStyle="1" w:styleId="190">
    <w:name w:val="Font Style124"/>
    <w:unhideWhenUsed/>
    <w:qFormat/>
    <w:uiPriority w:val="0"/>
    <w:rPr>
      <w:rFonts w:hint="eastAsia" w:ascii="宋体" w:hAnsi="宋体" w:eastAsia="宋体"/>
      <w:spacing w:val="30"/>
      <w:sz w:val="24"/>
    </w:rPr>
  </w:style>
  <w:style w:type="character" w:customStyle="1" w:styleId="191">
    <w:name w:val="标题 7 Char"/>
    <w:qFormat/>
    <w:uiPriority w:val="0"/>
    <w:rPr>
      <w:b/>
      <w:bCs/>
      <w:sz w:val="24"/>
      <w:szCs w:val="24"/>
    </w:rPr>
  </w:style>
  <w:style w:type="character" w:customStyle="1" w:styleId="192">
    <w:name w:val="bds_more9"/>
    <w:qFormat/>
    <w:uiPriority w:val="0"/>
    <w:rPr>
      <w:rFonts w:ascii="Times New Roman" w:hAnsi="Times New Roman" w:eastAsia="宋体"/>
    </w:rPr>
  </w:style>
  <w:style w:type="character" w:customStyle="1" w:styleId="193">
    <w:name w:val="Font Style121"/>
    <w:unhideWhenUsed/>
    <w:qFormat/>
    <w:uiPriority w:val="0"/>
    <w:rPr>
      <w:rFonts w:hint="eastAsia" w:ascii="宋体" w:hAnsi="宋体" w:eastAsia="宋体"/>
      <w:spacing w:val="-10"/>
      <w:sz w:val="30"/>
    </w:rPr>
  </w:style>
  <w:style w:type="character" w:customStyle="1" w:styleId="194">
    <w:name w:val="Font Style127"/>
    <w:unhideWhenUsed/>
    <w:qFormat/>
    <w:uiPriority w:val="0"/>
    <w:rPr>
      <w:rFonts w:hint="eastAsia" w:ascii="Times New Roman" w:hAnsi="Times New Roman" w:eastAsia="Times New Roman"/>
      <w:sz w:val="20"/>
    </w:rPr>
  </w:style>
  <w:style w:type="character" w:customStyle="1" w:styleId="195">
    <w:name w:val="polysemyred"/>
    <w:qFormat/>
    <w:uiPriority w:val="0"/>
    <w:rPr>
      <w:rFonts w:ascii="Times New Roman" w:hAnsi="Times New Roman" w:eastAsia="宋体"/>
      <w:color w:val="FF6666"/>
      <w:sz w:val="18"/>
      <w:szCs w:val="18"/>
    </w:rPr>
  </w:style>
  <w:style w:type="character" w:customStyle="1" w:styleId="196">
    <w:name w:val="页眉 Char"/>
    <w:qFormat/>
    <w:uiPriority w:val="0"/>
    <w:rPr>
      <w:kern w:val="2"/>
      <w:sz w:val="18"/>
      <w:szCs w:val="18"/>
    </w:rPr>
  </w:style>
  <w:style w:type="character" w:customStyle="1" w:styleId="197">
    <w:name w:val="标题 4 Char Char"/>
    <w:qFormat/>
    <w:uiPriority w:val="0"/>
    <w:rPr>
      <w:rFonts w:ascii="Arial" w:hAnsi="Arial" w:eastAsia="宋体"/>
      <w:b/>
      <w:bCs/>
      <w:kern w:val="2"/>
      <w:sz w:val="21"/>
      <w:szCs w:val="28"/>
      <w:lang w:val="en-US" w:eastAsia="zh-CN" w:bidi="ar-SA"/>
    </w:rPr>
  </w:style>
  <w:style w:type="character" w:customStyle="1" w:styleId="198">
    <w:name w:val="Char Char16"/>
    <w:qFormat/>
    <w:uiPriority w:val="0"/>
    <w:rPr>
      <w:rFonts w:ascii="宋体" w:hAnsi="Times New Roman" w:eastAsia="宋体"/>
      <w:b/>
      <w:sz w:val="24"/>
      <w:lang w:val="en-US" w:eastAsia="zh-CN" w:bidi="ar-SA"/>
    </w:rPr>
  </w:style>
  <w:style w:type="character" w:customStyle="1" w:styleId="199">
    <w:name w:val="fontstrikethrough"/>
    <w:basedOn w:val="46"/>
    <w:qFormat/>
    <w:uiPriority w:val="0"/>
    <w:rPr>
      <w:strike/>
    </w:rPr>
  </w:style>
  <w:style w:type="character" w:customStyle="1" w:styleId="200">
    <w:name w:val="polysemyexp"/>
    <w:qFormat/>
    <w:uiPriority w:val="0"/>
    <w:rPr>
      <w:rFonts w:ascii="Times New Roman" w:hAnsi="Times New Roman" w:eastAsia="宋体"/>
      <w:color w:val="AAAAAA"/>
      <w:sz w:val="18"/>
      <w:szCs w:val="18"/>
    </w:rPr>
  </w:style>
  <w:style w:type="character" w:customStyle="1" w:styleId="201">
    <w:name w:val="Font Style123"/>
    <w:unhideWhenUsed/>
    <w:qFormat/>
    <w:uiPriority w:val="0"/>
    <w:rPr>
      <w:rFonts w:hint="eastAsia" w:ascii="宋体" w:hAnsi="宋体" w:eastAsia="宋体"/>
      <w:b/>
      <w:sz w:val="32"/>
    </w:rPr>
  </w:style>
  <w:style w:type="character" w:customStyle="1" w:styleId="202">
    <w:name w:val="sort"/>
    <w:qFormat/>
    <w:uiPriority w:val="0"/>
    <w:rPr>
      <w:rFonts w:ascii="Times New Roman" w:hAnsi="Times New Roman" w:eastAsia="宋体"/>
      <w:color w:val="FFFFFF"/>
      <w:bdr w:val="single" w:color="auto" w:sz="24" w:space="0"/>
    </w:rPr>
  </w:style>
  <w:style w:type="character" w:customStyle="1" w:styleId="203">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204">
    <w:name w:val="Font Style86"/>
    <w:unhideWhenUsed/>
    <w:qFormat/>
    <w:uiPriority w:val="0"/>
    <w:rPr>
      <w:rFonts w:hint="eastAsia" w:ascii="黑体" w:hAnsi="黑体" w:eastAsia="黑体"/>
      <w:spacing w:val="10"/>
      <w:sz w:val="30"/>
    </w:rPr>
  </w:style>
  <w:style w:type="character" w:customStyle="1" w:styleId="205">
    <w:name w:val="日期 字符"/>
    <w:link w:val="25"/>
    <w:qFormat/>
    <w:uiPriority w:val="0"/>
    <w:rPr>
      <w:rFonts w:eastAsia="宋体"/>
      <w:kern w:val="2"/>
      <w:sz w:val="24"/>
      <w:lang w:val="en-US" w:eastAsia="zh-CN" w:bidi="ar-SA"/>
    </w:rPr>
  </w:style>
  <w:style w:type="character" w:customStyle="1" w:styleId="206">
    <w:name w:val="正文文本缩进 字符"/>
    <w:link w:val="19"/>
    <w:qFormat/>
    <w:uiPriority w:val="0"/>
    <w:rPr>
      <w:rFonts w:eastAsia="宋体"/>
      <w:kern w:val="2"/>
      <w:sz w:val="21"/>
      <w:szCs w:val="24"/>
      <w:lang w:val="en-US" w:eastAsia="zh-CN" w:bidi="ar-SA"/>
    </w:rPr>
  </w:style>
  <w:style w:type="character" w:customStyle="1" w:styleId="207">
    <w:name w:val="Font Style115"/>
    <w:unhideWhenUsed/>
    <w:qFormat/>
    <w:uiPriority w:val="0"/>
    <w:rPr>
      <w:rFonts w:hint="eastAsia" w:ascii="Times New Roman" w:hAnsi="Times New Roman" w:eastAsia="Times New Roman"/>
      <w:sz w:val="16"/>
    </w:rPr>
  </w:style>
  <w:style w:type="character" w:customStyle="1" w:styleId="208">
    <w:name w:val="页眉 字符"/>
    <w:link w:val="29"/>
    <w:qFormat/>
    <w:uiPriority w:val="0"/>
    <w:rPr>
      <w:rFonts w:eastAsia="宋体"/>
      <w:kern w:val="2"/>
      <w:sz w:val="18"/>
      <w:szCs w:val="18"/>
      <w:lang w:val="en-US" w:eastAsia="zh-CN" w:bidi="ar-SA"/>
    </w:rPr>
  </w:style>
  <w:style w:type="character" w:customStyle="1" w:styleId="209">
    <w:name w:val="Char Char17"/>
    <w:qFormat/>
    <w:uiPriority w:val="0"/>
    <w:rPr>
      <w:rFonts w:ascii="宋体" w:hAnsi="Times New Roman" w:eastAsia="宋体"/>
      <w:b/>
      <w:sz w:val="28"/>
      <w:lang w:val="en-US" w:eastAsia="zh-CN" w:bidi="ar-SA"/>
    </w:rPr>
  </w:style>
  <w:style w:type="character" w:customStyle="1" w:styleId="210">
    <w:name w:val="content_2"/>
    <w:basedOn w:val="46"/>
    <w:qFormat/>
    <w:uiPriority w:val="0"/>
    <w:rPr>
      <w:sz w:val="19"/>
      <w:szCs w:val="19"/>
    </w:rPr>
  </w:style>
  <w:style w:type="character" w:customStyle="1" w:styleId="211">
    <w:name w:val="Font Style116"/>
    <w:unhideWhenUsed/>
    <w:qFormat/>
    <w:uiPriority w:val="0"/>
    <w:rPr>
      <w:rFonts w:hint="eastAsia" w:ascii="宋体" w:hAnsi="宋体" w:eastAsia="宋体"/>
      <w:spacing w:val="-20"/>
      <w:sz w:val="24"/>
    </w:rPr>
  </w:style>
  <w:style w:type="character" w:customStyle="1" w:styleId="212">
    <w:name w:val="标题 Char"/>
    <w:qFormat/>
    <w:uiPriority w:val="0"/>
    <w:rPr>
      <w:rFonts w:ascii="Cambria" w:hAnsi="Cambria"/>
      <w:b/>
      <w:kern w:val="2"/>
      <w:sz w:val="32"/>
      <w:szCs w:val="24"/>
    </w:rPr>
  </w:style>
  <w:style w:type="character" w:customStyle="1" w:styleId="213">
    <w:name w:val="批注主题 Char"/>
    <w:qFormat/>
    <w:uiPriority w:val="0"/>
    <w:rPr>
      <w:b/>
      <w:bCs/>
      <w:kern w:val="2"/>
      <w:sz w:val="21"/>
      <w:szCs w:val="24"/>
    </w:rPr>
  </w:style>
  <w:style w:type="character" w:customStyle="1" w:styleId="214">
    <w:name w:val="sort1"/>
    <w:qFormat/>
    <w:uiPriority w:val="0"/>
    <w:rPr>
      <w:rFonts w:ascii="Times New Roman" w:hAnsi="Times New Roman" w:eastAsia="宋体"/>
    </w:rPr>
  </w:style>
  <w:style w:type="character" w:customStyle="1" w:styleId="215">
    <w:name w:val="Font Style131"/>
    <w:unhideWhenUsed/>
    <w:qFormat/>
    <w:uiPriority w:val="0"/>
    <w:rPr>
      <w:rFonts w:hint="eastAsia" w:ascii="Times New Roman" w:hAnsi="Times New Roman" w:eastAsia="Times New Roman"/>
      <w:sz w:val="18"/>
    </w:rPr>
  </w:style>
  <w:style w:type="character" w:customStyle="1" w:styleId="216">
    <w:name w:val="标题 2 字符"/>
    <w:link w:val="3"/>
    <w:qFormat/>
    <w:uiPriority w:val="0"/>
    <w:rPr>
      <w:rFonts w:ascii="Arial" w:hAnsi="Arial" w:eastAsia="宋体"/>
      <w:b/>
      <w:bCs/>
      <w:kern w:val="2"/>
      <w:sz w:val="24"/>
      <w:szCs w:val="32"/>
      <w:lang w:val="en-US" w:eastAsia="zh-CN" w:bidi="ar-SA"/>
    </w:rPr>
  </w:style>
  <w:style w:type="character" w:customStyle="1" w:styleId="217">
    <w:name w:val="标题 Char1"/>
    <w:qFormat/>
    <w:uiPriority w:val="0"/>
    <w:rPr>
      <w:rFonts w:ascii="Cambria" w:hAnsi="Cambria" w:eastAsia="宋体" w:cs="Times New Roman"/>
      <w:b/>
      <w:bCs/>
      <w:sz w:val="32"/>
      <w:szCs w:val="32"/>
    </w:rPr>
  </w:style>
  <w:style w:type="character" w:customStyle="1" w:styleId="218">
    <w:name w:val="正文文本缩进 3 Char"/>
    <w:qFormat/>
    <w:uiPriority w:val="0"/>
    <w:rPr>
      <w:rFonts w:ascii="宋体" w:hAnsi="Microsoft Sans Serif"/>
      <w:color w:val="000000"/>
      <w:sz w:val="24"/>
    </w:rPr>
  </w:style>
  <w:style w:type="character" w:customStyle="1" w:styleId="219">
    <w:name w:val="Font Style122"/>
    <w:unhideWhenUsed/>
    <w:qFormat/>
    <w:uiPriority w:val="0"/>
    <w:rPr>
      <w:rFonts w:hint="eastAsia" w:ascii="宋体" w:hAnsi="宋体" w:eastAsia="宋体"/>
      <w:spacing w:val="20"/>
      <w:sz w:val="24"/>
    </w:rPr>
  </w:style>
  <w:style w:type="character" w:customStyle="1" w:styleId="220">
    <w:name w:val="标题 6 Char"/>
    <w:qFormat/>
    <w:uiPriority w:val="0"/>
    <w:rPr>
      <w:rFonts w:ascii="Arial" w:hAnsi="Arial" w:eastAsia="黑体"/>
      <w:b/>
      <w:bCs/>
      <w:sz w:val="24"/>
      <w:szCs w:val="24"/>
    </w:rPr>
  </w:style>
  <w:style w:type="character" w:customStyle="1" w:styleId="221">
    <w:name w:val="Font Style119"/>
    <w:unhideWhenUsed/>
    <w:qFormat/>
    <w:uiPriority w:val="0"/>
    <w:rPr>
      <w:rFonts w:hint="eastAsia" w:ascii="宋体" w:hAnsi="宋体" w:eastAsia="宋体"/>
      <w:sz w:val="24"/>
    </w:rPr>
  </w:style>
  <w:style w:type="character" w:customStyle="1" w:styleId="222">
    <w:name w:val="sidecatalog-dot1"/>
    <w:qFormat/>
    <w:uiPriority w:val="0"/>
    <w:rPr>
      <w:rFonts w:ascii="Times New Roman" w:hAnsi="Times New Roman" w:eastAsia="宋体"/>
    </w:rPr>
  </w:style>
  <w:style w:type="character" w:customStyle="1" w:styleId="223">
    <w:name w:val="bds_more8"/>
    <w:qFormat/>
    <w:uiPriority w:val="0"/>
    <w:rPr>
      <w:rFonts w:ascii="Times New Roman" w:hAnsi="Times New Roman" w:eastAsia="宋体"/>
    </w:rPr>
  </w:style>
  <w:style w:type="character" w:customStyle="1" w:styleId="224">
    <w:name w:val="bds_more6"/>
    <w:qFormat/>
    <w:uiPriority w:val="0"/>
    <w:rPr>
      <w:rFonts w:hint="eastAsia" w:ascii="宋体" w:hAnsi="宋体" w:eastAsia="宋体" w:cs="宋体"/>
    </w:rPr>
  </w:style>
  <w:style w:type="character" w:customStyle="1" w:styleId="225">
    <w:name w:val="Char Char15"/>
    <w:qFormat/>
    <w:uiPriority w:val="0"/>
    <w:rPr>
      <w:b/>
      <w:bCs/>
      <w:sz w:val="24"/>
      <w:szCs w:val="24"/>
    </w:rPr>
  </w:style>
  <w:style w:type="character" w:customStyle="1" w:styleId="226">
    <w:name w:val="批注文字 Char"/>
    <w:qFormat/>
    <w:uiPriority w:val="0"/>
    <w:rPr>
      <w:kern w:val="2"/>
      <w:sz w:val="21"/>
      <w:szCs w:val="24"/>
    </w:rPr>
  </w:style>
  <w:style w:type="character" w:customStyle="1" w:styleId="227">
    <w:name w:val="标题 1 字符"/>
    <w:link w:val="2"/>
    <w:qFormat/>
    <w:uiPriority w:val="0"/>
    <w:rPr>
      <w:rFonts w:eastAsia="宋体"/>
      <w:b/>
      <w:bCs/>
      <w:kern w:val="2"/>
      <w:sz w:val="24"/>
      <w:lang w:val="en-US" w:eastAsia="zh-CN" w:bidi="ar-SA"/>
    </w:rPr>
  </w:style>
  <w:style w:type="character" w:customStyle="1" w:styleId="228">
    <w:name w:val="批注文字 字符"/>
    <w:link w:val="14"/>
    <w:qFormat/>
    <w:uiPriority w:val="0"/>
    <w:rPr>
      <w:rFonts w:eastAsia="宋体"/>
      <w:kern w:val="2"/>
      <w:sz w:val="21"/>
      <w:szCs w:val="24"/>
      <w:lang w:val="en-US" w:eastAsia="zh-CN" w:bidi="ar-SA"/>
    </w:rPr>
  </w:style>
  <w:style w:type="character" w:customStyle="1" w:styleId="229">
    <w:name w:val="Font Style128"/>
    <w:unhideWhenUsed/>
    <w:qFormat/>
    <w:uiPriority w:val="0"/>
    <w:rPr>
      <w:rFonts w:hint="eastAsia" w:ascii="Times New Roman" w:hAnsi="Times New Roman" w:eastAsia="Times New Roman"/>
      <w:sz w:val="16"/>
    </w:rPr>
  </w:style>
  <w:style w:type="character" w:customStyle="1" w:styleId="230">
    <w:name w:val="bds_more7"/>
    <w:qFormat/>
    <w:uiPriority w:val="0"/>
    <w:rPr>
      <w:rFonts w:ascii="Times New Roman" w:hAnsi="Times New Roman" w:eastAsia="宋体"/>
    </w:rPr>
  </w:style>
  <w:style w:type="character" w:customStyle="1" w:styleId="231">
    <w:name w:val="sidecatalog-index2"/>
    <w:qFormat/>
    <w:uiPriority w:val="0"/>
    <w:rPr>
      <w:rFonts w:ascii="Arial" w:hAnsi="Arial" w:eastAsia="Arial" w:cs="Arial"/>
      <w:color w:val="999999"/>
      <w:sz w:val="21"/>
      <w:szCs w:val="21"/>
    </w:rPr>
  </w:style>
  <w:style w:type="character" w:customStyle="1" w:styleId="232">
    <w:name w:val="标题 9 字符"/>
    <w:link w:val="10"/>
    <w:qFormat/>
    <w:uiPriority w:val="0"/>
    <w:rPr>
      <w:rFonts w:ascii="Arial" w:hAnsi="Arial" w:eastAsia="黑体"/>
      <w:sz w:val="21"/>
      <w:szCs w:val="21"/>
      <w:lang w:val="en-US" w:eastAsia="zh-CN" w:bidi="ar-SA"/>
    </w:rPr>
  </w:style>
  <w:style w:type="character" w:customStyle="1" w:styleId="233">
    <w:name w:val="批注框文本 字符"/>
    <w:link w:val="27"/>
    <w:semiHidden/>
    <w:qFormat/>
    <w:locked/>
    <w:uiPriority w:val="0"/>
    <w:rPr>
      <w:rFonts w:ascii="Calibri" w:hAnsi="Calibri" w:eastAsia="宋体"/>
      <w:kern w:val="2"/>
      <w:sz w:val="18"/>
      <w:szCs w:val="18"/>
      <w:lang w:val="en-US" w:eastAsia="zh-CN" w:bidi="ar-SA"/>
    </w:rPr>
  </w:style>
  <w:style w:type="character" w:customStyle="1" w:styleId="234">
    <w:name w:val="Font Style94"/>
    <w:unhideWhenUsed/>
    <w:qFormat/>
    <w:uiPriority w:val="0"/>
    <w:rPr>
      <w:rFonts w:hint="eastAsia" w:ascii="Times New Roman" w:hAnsi="Times New Roman" w:eastAsia="Times New Roman"/>
      <w:sz w:val="28"/>
    </w:rPr>
  </w:style>
  <w:style w:type="character" w:customStyle="1" w:styleId="235">
    <w:name w:val="标题 6 字符"/>
    <w:link w:val="7"/>
    <w:qFormat/>
    <w:uiPriority w:val="0"/>
    <w:rPr>
      <w:rFonts w:ascii="Arial" w:hAnsi="Arial" w:eastAsia="黑体"/>
      <w:b/>
      <w:bCs/>
      <w:sz w:val="24"/>
      <w:szCs w:val="24"/>
      <w:lang w:val="en-US" w:eastAsia="zh-CN" w:bidi="ar-SA"/>
    </w:rPr>
  </w:style>
  <w:style w:type="character" w:customStyle="1" w:styleId="236">
    <w:name w:val="bds_more10"/>
    <w:qFormat/>
    <w:uiPriority w:val="0"/>
    <w:rPr>
      <w:rFonts w:ascii="Times New Roman" w:hAnsi="Times New Roman" w:eastAsia="宋体"/>
    </w:rPr>
  </w:style>
  <w:style w:type="character" w:customStyle="1" w:styleId="237">
    <w:name w:val="Font Style126"/>
    <w:unhideWhenUsed/>
    <w:qFormat/>
    <w:uiPriority w:val="0"/>
    <w:rPr>
      <w:rFonts w:hint="eastAsia" w:ascii="宋体" w:hAnsi="宋体" w:eastAsia="宋体"/>
      <w:b/>
      <w:spacing w:val="-30"/>
      <w:sz w:val="28"/>
    </w:rPr>
  </w:style>
  <w:style w:type="character" w:customStyle="1" w:styleId="238">
    <w:name w:val="Font Style125"/>
    <w:unhideWhenUsed/>
    <w:qFormat/>
    <w:uiPriority w:val="0"/>
    <w:rPr>
      <w:rFonts w:hint="eastAsia" w:ascii="宋体" w:hAnsi="宋体" w:eastAsia="宋体"/>
      <w:b/>
      <w:sz w:val="26"/>
    </w:rPr>
  </w:style>
  <w:style w:type="character" w:customStyle="1" w:styleId="239">
    <w:name w:val="bds_nopic"/>
    <w:qFormat/>
    <w:uiPriority w:val="0"/>
    <w:rPr>
      <w:rFonts w:ascii="Times New Roman" w:hAnsi="Times New Roman" w:eastAsia="宋体"/>
    </w:rPr>
  </w:style>
  <w:style w:type="character" w:customStyle="1" w:styleId="240">
    <w:name w:val="sidecatalog-index1"/>
    <w:qFormat/>
    <w:uiPriority w:val="0"/>
    <w:rPr>
      <w:rFonts w:ascii="Arial" w:hAnsi="Arial" w:eastAsia="宋体" w:cs="Arial"/>
      <w:b/>
      <w:color w:val="999999"/>
      <w:sz w:val="21"/>
      <w:szCs w:val="21"/>
    </w:rPr>
  </w:style>
  <w:style w:type="character" w:customStyle="1" w:styleId="241">
    <w:name w:val="页脚 Char"/>
    <w:qFormat/>
    <w:uiPriority w:val="0"/>
    <w:rPr>
      <w:kern w:val="2"/>
      <w:sz w:val="18"/>
      <w:szCs w:val="18"/>
    </w:rPr>
  </w:style>
  <w:style w:type="character" w:customStyle="1" w:styleId="242">
    <w:name w:val="Font Style117"/>
    <w:unhideWhenUsed/>
    <w:qFormat/>
    <w:uiPriority w:val="0"/>
    <w:rPr>
      <w:rFonts w:hint="eastAsia" w:ascii="宋体" w:hAnsi="宋体" w:eastAsia="宋体"/>
      <w:spacing w:val="20"/>
      <w:sz w:val="24"/>
    </w:rPr>
  </w:style>
  <w:style w:type="character" w:customStyle="1" w:styleId="243">
    <w:name w:val="bds_nopic2"/>
    <w:qFormat/>
    <w:uiPriority w:val="0"/>
    <w:rPr>
      <w:rFonts w:ascii="Times New Roman" w:hAnsi="Times New Roman" w:eastAsia="宋体"/>
    </w:rPr>
  </w:style>
  <w:style w:type="character" w:customStyle="1" w:styleId="244">
    <w:name w:val="Char Char14"/>
    <w:qFormat/>
    <w:uiPriority w:val="0"/>
    <w:rPr>
      <w:rFonts w:ascii="Arial" w:hAnsi="Arial" w:eastAsia="黑体"/>
      <w:b/>
      <w:bCs/>
      <w:sz w:val="28"/>
      <w:szCs w:val="28"/>
      <w:lang w:val="en-US" w:eastAsia="zh-CN" w:bidi="ar-SA"/>
    </w:rPr>
  </w:style>
  <w:style w:type="character" w:customStyle="1" w:styleId="245">
    <w:name w:val="Font Style90"/>
    <w:unhideWhenUsed/>
    <w:qFormat/>
    <w:uiPriority w:val="0"/>
    <w:rPr>
      <w:rFonts w:hint="eastAsia" w:ascii="宋体" w:hAnsi="宋体" w:eastAsia="宋体"/>
      <w:b/>
      <w:spacing w:val="-20"/>
      <w:sz w:val="40"/>
    </w:rPr>
  </w:style>
  <w:style w:type="character" w:customStyle="1" w:styleId="246">
    <w:name w:val="bds_nopic1"/>
    <w:qFormat/>
    <w:uiPriority w:val="0"/>
    <w:rPr>
      <w:rFonts w:ascii="Times New Roman" w:hAnsi="Times New Roman" w:eastAsia="宋体"/>
    </w:rPr>
  </w:style>
  <w:style w:type="character" w:customStyle="1" w:styleId="247">
    <w:name w:val="Font Style105"/>
    <w:unhideWhenUsed/>
    <w:qFormat/>
    <w:uiPriority w:val="0"/>
    <w:rPr>
      <w:rFonts w:hint="eastAsia" w:ascii="Times New Roman" w:hAnsi="Times New Roman" w:eastAsia="Times New Roman"/>
      <w:w w:val="60"/>
      <w:sz w:val="26"/>
    </w:rPr>
  </w:style>
  <w:style w:type="character" w:customStyle="1" w:styleId="248">
    <w:name w:val="样式2 Char Char"/>
    <w:qFormat/>
    <w:uiPriority w:val="0"/>
    <w:rPr>
      <w:rFonts w:eastAsia="宋体"/>
      <w:kern w:val="2"/>
      <w:sz w:val="18"/>
      <w:szCs w:val="18"/>
      <w:lang w:val="en-US" w:eastAsia="zh-CN" w:bidi="ar-SA"/>
    </w:rPr>
  </w:style>
  <w:style w:type="character" w:customStyle="1" w:styleId="249">
    <w:name w:val="页脚 字符"/>
    <w:link w:val="28"/>
    <w:qFormat/>
    <w:uiPriority w:val="0"/>
    <w:rPr>
      <w:rFonts w:eastAsia="宋体"/>
      <w:kern w:val="2"/>
      <w:sz w:val="18"/>
      <w:szCs w:val="18"/>
      <w:lang w:val="en-US" w:eastAsia="zh-CN" w:bidi="ar-SA"/>
    </w:rPr>
  </w:style>
  <w:style w:type="character" w:customStyle="1" w:styleId="250">
    <w:name w:val="纯文本 Char2"/>
    <w:qFormat/>
    <w:uiPriority w:val="0"/>
    <w:rPr>
      <w:rFonts w:ascii="宋体" w:hAnsi="Courier New" w:eastAsia="宋体"/>
      <w:kern w:val="2"/>
      <w:sz w:val="21"/>
      <w:szCs w:val="21"/>
      <w:lang w:val="en-US" w:eastAsia="zh-CN" w:bidi="ar-SA"/>
    </w:rPr>
  </w:style>
  <w:style w:type="character" w:customStyle="1" w:styleId="251">
    <w:name w:val="正文文本缩进 3 字符"/>
    <w:link w:val="33"/>
    <w:qFormat/>
    <w:uiPriority w:val="0"/>
    <w:rPr>
      <w:rFonts w:eastAsia="宋体"/>
      <w:kern w:val="2"/>
      <w:sz w:val="16"/>
      <w:szCs w:val="16"/>
      <w:lang w:val="en-US" w:eastAsia="zh-CN" w:bidi="ar-SA"/>
    </w:rPr>
  </w:style>
  <w:style w:type="character" w:customStyle="1" w:styleId="252">
    <w:name w:val="标题 7 字符"/>
    <w:link w:val="8"/>
    <w:qFormat/>
    <w:uiPriority w:val="0"/>
    <w:rPr>
      <w:rFonts w:eastAsia="宋体"/>
      <w:b/>
      <w:bCs/>
      <w:sz w:val="24"/>
      <w:szCs w:val="24"/>
      <w:lang w:val="en-US" w:eastAsia="zh-CN" w:bidi="ar-SA"/>
    </w:rPr>
  </w:style>
  <w:style w:type="character" w:customStyle="1" w:styleId="253">
    <w:name w:val="纯文本 字符"/>
    <w:link w:val="23"/>
    <w:semiHidden/>
    <w:qFormat/>
    <w:locked/>
    <w:uiPriority w:val="0"/>
    <w:rPr>
      <w:rFonts w:ascii="宋体" w:hAnsi="Courier New" w:eastAsia="宋体" w:cs="Courier New"/>
      <w:kern w:val="2"/>
      <w:sz w:val="21"/>
      <w:szCs w:val="21"/>
      <w:lang w:val="en-US" w:eastAsia="zh-CN" w:bidi="ar-SA"/>
    </w:rPr>
  </w:style>
  <w:style w:type="character" w:customStyle="1" w:styleId="254">
    <w:name w:val="标题 8 Char"/>
    <w:qFormat/>
    <w:uiPriority w:val="0"/>
    <w:rPr>
      <w:rFonts w:ascii="Arial" w:hAnsi="Arial" w:eastAsia="黑体"/>
      <w:sz w:val="24"/>
      <w:szCs w:val="24"/>
    </w:rPr>
  </w:style>
  <w:style w:type="character" w:customStyle="1" w:styleId="255">
    <w:name w:val="sidecatalog-dot"/>
    <w:qFormat/>
    <w:uiPriority w:val="0"/>
    <w:rPr>
      <w:rFonts w:ascii="Times New Roman" w:hAnsi="Times New Roman" w:eastAsia="宋体"/>
    </w:rPr>
  </w:style>
  <w:style w:type="character" w:customStyle="1" w:styleId="256">
    <w:name w:val="p0 Char Char"/>
    <w:qFormat/>
    <w:uiPriority w:val="0"/>
    <w:rPr>
      <w:rFonts w:eastAsia="宋体"/>
      <w:kern w:val="2"/>
      <w:sz w:val="21"/>
      <w:szCs w:val="21"/>
      <w:lang w:val="en-US" w:eastAsia="zh-CN" w:bidi="ar-SA"/>
    </w:rPr>
  </w:style>
  <w:style w:type="character" w:customStyle="1" w:styleId="257">
    <w:name w:val="lemmatitleh12"/>
    <w:qFormat/>
    <w:uiPriority w:val="0"/>
    <w:rPr>
      <w:rFonts w:ascii="Times New Roman" w:hAnsi="Times New Roman" w:eastAsia="宋体"/>
    </w:rPr>
  </w:style>
  <w:style w:type="character" w:customStyle="1" w:styleId="258">
    <w:name w:val="fontborder"/>
    <w:basedOn w:val="46"/>
    <w:qFormat/>
    <w:uiPriority w:val="0"/>
    <w:rPr>
      <w:bdr w:val="single" w:color="000000" w:sz="6" w:space="0"/>
    </w:rPr>
  </w:style>
  <w:style w:type="character" w:customStyle="1" w:styleId="259">
    <w:name w:val="p0 Char"/>
    <w:link w:val="167"/>
    <w:qFormat/>
    <w:uiPriority w:val="0"/>
    <w:rPr>
      <w:rFonts w:eastAsia="宋体"/>
      <w:sz w:val="21"/>
      <w:szCs w:val="21"/>
      <w:lang w:val="en-US" w:eastAsia="zh-CN" w:bidi="ar-SA"/>
    </w:rPr>
  </w:style>
  <w:style w:type="paragraph" w:customStyle="1" w:styleId="260">
    <w:name w:val="Normal_0_0_0"/>
    <w:qFormat/>
    <w:uiPriority w:val="0"/>
    <w:rPr>
      <w:rFonts w:ascii="Times New Roman" w:hAnsi="Times New Roman" w:eastAsia="Times New Roman" w:cs="Times New Roman"/>
      <w:sz w:val="24"/>
      <w:szCs w:val="24"/>
      <w:lang w:val="en-US" w:eastAsia="zh-CN" w:bidi="ar-SA"/>
    </w:rPr>
  </w:style>
  <w:style w:type="paragraph" w:customStyle="1" w:styleId="261">
    <w:name w:val="Normal_0_1"/>
    <w:qFormat/>
    <w:uiPriority w:val="0"/>
    <w:rPr>
      <w:rFonts w:ascii="Times New Roman" w:hAnsi="Times New Roman" w:eastAsia="Times New Roman" w:cs="Times New Roman"/>
      <w:sz w:val="24"/>
      <w:szCs w:val="24"/>
      <w:lang w:val="en-US" w:eastAsia="zh-CN" w:bidi="ar-SA"/>
    </w:rPr>
  </w:style>
  <w:style w:type="paragraph" w:customStyle="1" w:styleId="262">
    <w:name w:val="Normal_0_2"/>
    <w:qFormat/>
    <w:uiPriority w:val="0"/>
    <w:rPr>
      <w:rFonts w:ascii="Times New Roman" w:hAnsi="Times New Roman" w:eastAsia="Times New Roman" w:cs="Times New Roman"/>
      <w:sz w:val="24"/>
      <w:szCs w:val="24"/>
      <w:lang w:val="en-US" w:eastAsia="zh-CN" w:bidi="ar-SA"/>
    </w:rPr>
  </w:style>
  <w:style w:type="paragraph" w:customStyle="1" w:styleId="263">
    <w:name w:val="无间隔1"/>
    <w:basedOn w:val="12"/>
    <w:next w:val="12"/>
    <w:qFormat/>
    <w:uiPriority w:val="1"/>
    <w:pPr>
      <w:spacing w:line="360" w:lineRule="auto"/>
      <w:ind w:firstLine="200"/>
    </w:pPr>
  </w:style>
  <w:style w:type="paragraph" w:customStyle="1" w:styleId="264">
    <w:name w:val="列表段落1"/>
    <w:basedOn w:val="1"/>
    <w:qFormat/>
    <w:uiPriority w:val="99"/>
    <w:pPr>
      <w:ind w:firstLine="420" w:firstLineChars="200"/>
    </w:pPr>
  </w:style>
  <w:style w:type="character" w:customStyle="1" w:styleId="265">
    <w:name w:val="font11"/>
    <w:basedOn w:val="46"/>
    <w:qFormat/>
    <w:uiPriority w:val="0"/>
    <w:rPr>
      <w:rFonts w:hint="eastAsia" w:ascii="宋体" w:hAnsi="宋体" w:eastAsia="宋体" w:cs="宋体"/>
      <w:color w:val="000000"/>
      <w:sz w:val="24"/>
      <w:szCs w:val="24"/>
      <w:u w:val="none"/>
    </w:rPr>
  </w:style>
  <w:style w:type="character" w:customStyle="1" w:styleId="266">
    <w:name w:val="font31"/>
    <w:basedOn w:val="46"/>
    <w:qFormat/>
    <w:uiPriority w:val="0"/>
    <w:rPr>
      <w:rFonts w:hint="eastAsia" w:ascii="宋体" w:hAnsi="宋体" w:eastAsia="宋体" w:cs="宋体"/>
      <w:color w:val="000000"/>
      <w:sz w:val="22"/>
      <w:szCs w:val="22"/>
      <w:u w:val="none"/>
    </w:rPr>
  </w:style>
  <w:style w:type="character" w:customStyle="1" w:styleId="267">
    <w:name w:val="font01"/>
    <w:basedOn w:val="46"/>
    <w:qFormat/>
    <w:uiPriority w:val="0"/>
    <w:rPr>
      <w:rFonts w:hint="eastAsia" w:ascii="宋体" w:hAnsi="宋体" w:eastAsia="宋体" w:cs="宋体"/>
      <w:color w:val="000000"/>
      <w:sz w:val="20"/>
      <w:szCs w:val="20"/>
      <w:u w:val="none"/>
    </w:rPr>
  </w:style>
  <w:style w:type="character" w:customStyle="1" w:styleId="268">
    <w:name w:val="font21"/>
    <w:basedOn w:val="46"/>
    <w:qFormat/>
    <w:uiPriority w:val="0"/>
    <w:rPr>
      <w:rFonts w:hint="default" w:ascii="Times New Roman" w:hAnsi="Times New Roman" w:cs="Times New Roman"/>
      <w:color w:val="000000"/>
      <w:sz w:val="20"/>
      <w:szCs w:val="20"/>
      <w:u w:val="none"/>
    </w:rPr>
  </w:style>
  <w:style w:type="paragraph" w:customStyle="1" w:styleId="269">
    <w:name w:val="Other|1"/>
    <w:basedOn w:val="1"/>
    <w:qFormat/>
    <w:uiPriority w:val="0"/>
    <w:pPr>
      <w:spacing w:line="468" w:lineRule="auto"/>
      <w:ind w:firstLine="360"/>
    </w:pPr>
    <w:rPr>
      <w:rFonts w:ascii="宋体" w:hAnsi="宋体" w:cs="宋体"/>
      <w:sz w:val="22"/>
      <w:szCs w:val="22"/>
      <w:lang w:val="zh-TW" w:eastAsia="zh-TW" w:bidi="zh-TW"/>
    </w:rPr>
  </w:style>
  <w:style w:type="paragraph" w:customStyle="1" w:styleId="270">
    <w:name w:val="Normal_1"/>
    <w:qFormat/>
    <w:uiPriority w:val="0"/>
    <w:rPr>
      <w:rFonts w:ascii="Calibri" w:hAnsi="Calibri" w:eastAsia="宋体" w:cs="Times New Roman"/>
      <w:sz w:val="24"/>
      <w:szCs w:val="24"/>
      <w:lang w:val="en-US" w:eastAsia="zh-CN" w:bidi="ar-SA"/>
    </w:rPr>
  </w:style>
  <w:style w:type="paragraph" w:customStyle="1" w:styleId="271">
    <w:name w:val="列表段落2"/>
    <w:basedOn w:val="1"/>
    <w:qFormat/>
    <w:uiPriority w:val="99"/>
    <w:pPr>
      <w:ind w:firstLine="420" w:firstLineChars="200"/>
    </w:pPr>
  </w:style>
  <w:style w:type="paragraph" w:customStyle="1" w:styleId="272">
    <w:name w:val="Normal_8"/>
    <w:qFormat/>
    <w:uiPriority w:val="0"/>
    <w:rPr>
      <w:rFonts w:ascii="Times New Roman" w:hAnsi="Times New Roman" w:eastAsia="Times New Roman" w:cs="Times New Roman"/>
      <w:sz w:val="24"/>
      <w:szCs w:val="24"/>
      <w:lang w:val="en-US" w:eastAsia="zh-CN" w:bidi="ar-SA"/>
    </w:rPr>
  </w:style>
  <w:style w:type="table" w:customStyle="1" w:styleId="273">
    <w:name w:val="网格型1"/>
    <w:basedOn w:val="44"/>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74">
    <w:name w:val="Table Paragraph"/>
    <w:basedOn w:val="1"/>
    <w:unhideWhenUsed/>
    <w:qFormat/>
    <w:uiPriority w:val="1"/>
    <w:rPr>
      <w:sz w:val="24"/>
    </w:rPr>
  </w:style>
  <w:style w:type="paragraph" w:customStyle="1" w:styleId="275">
    <w:name w:val="Normal_0"/>
    <w:unhideWhenUsed/>
    <w:qFormat/>
    <w:uiPriority w:val="0"/>
    <w:rPr>
      <w:rFonts w:ascii="Times New Roman" w:hAnsi="Times New Roman" w:eastAsia="Times New Roman" w:cs="Times New Roman"/>
      <w:sz w:val="24"/>
      <w:lang w:val="en-US" w:eastAsia="zh-CN" w:bidi="ar-SA"/>
    </w:rPr>
  </w:style>
  <w:style w:type="character" w:customStyle="1" w:styleId="276">
    <w:name w:val="l-btn-left"/>
    <w:basedOn w:val="46"/>
    <w:qFormat/>
    <w:uiPriority w:val="0"/>
  </w:style>
  <w:style w:type="character" w:customStyle="1" w:styleId="277">
    <w:name w:val="l-btn-left1"/>
    <w:basedOn w:val="46"/>
    <w:qFormat/>
    <w:uiPriority w:val="0"/>
  </w:style>
  <w:style w:type="character" w:customStyle="1" w:styleId="278">
    <w:name w:val="l-btn-left2"/>
    <w:basedOn w:val="46"/>
    <w:qFormat/>
    <w:uiPriority w:val="0"/>
  </w:style>
  <w:style w:type="character" w:customStyle="1" w:styleId="279">
    <w:name w:val="l-btn-left3"/>
    <w:basedOn w:val="46"/>
    <w:qFormat/>
    <w:uiPriority w:val="0"/>
  </w:style>
  <w:style w:type="character" w:customStyle="1" w:styleId="280">
    <w:name w:val="l-btn-text"/>
    <w:basedOn w:val="46"/>
    <w:qFormat/>
    <w:uiPriority w:val="0"/>
    <w:rPr>
      <w:sz w:val="18"/>
      <w:szCs w:val="18"/>
      <w:vertAlign w:val="baseline"/>
    </w:rPr>
  </w:style>
  <w:style w:type="character" w:customStyle="1" w:styleId="281">
    <w:name w:val="l-btn-icon-left"/>
    <w:basedOn w:val="46"/>
    <w:qFormat/>
    <w:uiPriority w:val="0"/>
  </w:style>
  <w:style w:type="character" w:customStyle="1" w:styleId="282">
    <w:name w:val="l-btn-icon-right"/>
    <w:basedOn w:val="46"/>
    <w:qFormat/>
    <w:uiPriority w:val="0"/>
  </w:style>
  <w:style w:type="character" w:customStyle="1" w:styleId="283">
    <w:name w:val="l-btn-empty"/>
    <w:basedOn w:val="46"/>
    <w:qFormat/>
    <w:uiPriority w:val="0"/>
  </w:style>
  <w:style w:type="character" w:customStyle="1" w:styleId="284">
    <w:name w:val="l-btn-left4"/>
    <w:basedOn w:val="46"/>
    <w:qFormat/>
    <w:uiPriority w:val="0"/>
  </w:style>
  <w:style w:type="character" w:customStyle="1" w:styleId="285">
    <w:name w:val="l-btn-left5"/>
    <w:basedOn w:val="46"/>
    <w:qFormat/>
    <w:uiPriority w:val="0"/>
  </w:style>
  <w:style w:type="paragraph" w:customStyle="1" w:styleId="286">
    <w:name w:val="Revision"/>
    <w:hidden/>
    <w:unhideWhenUsed/>
    <w:qFormat/>
    <w:uiPriority w:val="99"/>
    <w:rPr>
      <w:rFonts w:ascii="Calibri" w:hAnsi="Calibri" w:eastAsia="宋体" w:cs="Times New Roman"/>
      <w:kern w:val="2"/>
      <w:sz w:val="21"/>
      <w:szCs w:val="24"/>
      <w:lang w:val="en-US" w:eastAsia="zh-CN" w:bidi="ar-SA"/>
    </w:rPr>
  </w:style>
  <w:style w:type="paragraph" w:styleId="287">
    <w:name w:val="List Paragraph"/>
    <w:basedOn w:val="1"/>
    <w:unhideWhenUsed/>
    <w:qFormat/>
    <w:uiPriority w:val="99"/>
    <w:pPr>
      <w:ind w:firstLine="420" w:firstLineChars="200"/>
    </w:pPr>
  </w:style>
  <w:style w:type="paragraph" w:customStyle="1" w:styleId="288">
    <w:name w:val="首行缩进"/>
    <w:qFormat/>
    <w:uiPriority w:val="0"/>
    <w:pPr>
      <w:widowControl w:val="0"/>
      <w:ind w:firstLine="480" w:firstLineChars="200"/>
      <w:jc w:val="both"/>
    </w:pPr>
    <w:rPr>
      <w:rFonts w:ascii="Times New Roman" w:hAnsi="Times New Roman" w:eastAsia="宋体" w:cs="Times New Roman"/>
      <w:kern w:val="2"/>
      <w:sz w:val="21"/>
      <w:szCs w:val="24"/>
      <w:lang w:val="zh-CN" w:eastAsia="zh-CN" w:bidi="ar-SA"/>
    </w:rPr>
  </w:style>
  <w:style w:type="paragraph" w:customStyle="1" w:styleId="289">
    <w:name w:val="Normal_19"/>
    <w:qFormat/>
    <w:uiPriority w:val="0"/>
    <w:pPr>
      <w:widowControl w:val="0"/>
      <w:jc w:val="both"/>
    </w:pPr>
    <w:rPr>
      <w:rFonts w:ascii="Calibri" w:hAnsi="Calibri" w:eastAsia="宋体" w:cs="Times New Roman"/>
      <w:lang w:val="en-US" w:eastAsia="zh-CN" w:bidi="ar-SA"/>
    </w:rPr>
  </w:style>
  <w:style w:type="character" w:customStyle="1" w:styleId="290">
    <w:name w:val="样式1 Char"/>
    <w:link w:val="148"/>
    <w:qFormat/>
    <w:uiPriority w:val="0"/>
    <w:rPr>
      <w:rFonts w:ascii="宋体" w:hAnsi="宋体"/>
      <w:kern w:val="0"/>
      <w:szCs w:val="21"/>
    </w:rPr>
  </w:style>
  <w:style w:type="paragraph" w:customStyle="1" w:styleId="291">
    <w:name w:val="科润达1"/>
    <w:qFormat/>
    <w:uiPriority w:val="0"/>
    <w:pPr>
      <w:widowControl w:val="0"/>
      <w:spacing w:line="540" w:lineRule="exact"/>
      <w:ind w:firstLine="560" w:firstLineChars="200"/>
      <w:jc w:val="both"/>
    </w:pPr>
    <w:rPr>
      <w:rFonts w:hint="eastAsia" w:ascii="仿宋" w:hAnsi="仿宋" w:eastAsia="仿宋" w:cs="仿宋"/>
      <w:kern w:val="2"/>
      <w:sz w:val="28"/>
      <w:szCs w:val="28"/>
      <w:lang w:val="en-US" w:eastAsia="zh-CN" w:bidi="ar-SA"/>
    </w:rPr>
  </w:style>
  <w:style w:type="paragraph" w:customStyle="1" w:styleId="292">
    <w:name w:val="NormalIndent"/>
    <w:qFormat/>
    <w:uiPriority w:val="7"/>
    <w:pPr>
      <w:widowControl w:val="0"/>
      <w:ind w:firstLine="420"/>
      <w:jc w:val="left"/>
    </w:pPr>
    <w:rPr>
      <w:rFonts w:ascii="Calibri" w:hAnsi="Calibri" w:eastAsia="微软雅黑" w:cs="Calibri"/>
      <w:color w:val="000000"/>
      <w:sz w:val="20"/>
      <w:szCs w:val="20"/>
      <w:lang w:val="en-US" w:eastAsia="zh-CN" w:bidi="ar-SA"/>
    </w:rPr>
  </w:style>
  <w:style w:type="paragraph" w:customStyle="1" w:styleId="293">
    <w:name w:val="BodyText1I2"/>
    <w:qFormat/>
    <w:uiPriority w:val="6"/>
    <w:pPr>
      <w:widowControl w:val="0"/>
      <w:spacing w:after="312" w:line="360" w:lineRule="auto"/>
      <w:ind w:left="200" w:firstLine="210"/>
      <w:jc w:val="left"/>
    </w:pPr>
    <w:rPr>
      <w:rFonts w:ascii="Calibri" w:hAnsi="Calibri" w:eastAsia="宋体" w:cs="Calibri"/>
      <w:color w:val="000000"/>
      <w:kern w:val="0"/>
      <w:sz w:val="24"/>
      <w:szCs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d457fc83-d79a-4604-aa7f-611f4efd9132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6D58659B</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6b4e78fd-0338-413b-b686-ac1eb2f2feec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6D58659B</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c287f86b-dd10-44c1-bde1-d14df7d70b5b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355E72A6</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37758b73-2a7c-4f6d-94a7-bc7dc6592d65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355E72A6</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de36d462-c5f2-4064-8819-5569197d7904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283ABEA5</paraID>
      <start xmlns="http://schemas.wps.cn/vas-ai-hub/contract-review">24</start>
      <end xmlns="http://schemas.wps.cn/vas-ai-hub/contract-review">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33c8a404-c69e-48f0-8094-f47b98502760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283ABEA5</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51320212-3534-4817-9405-1d84876f3660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8807EA1</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02b3d8a1-4c9e-402a-8604-1784c38892cf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8807EA1</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7807545b-64b1-4440-9920-3d12c0ea7fc4</errorID>
      <errorWord xmlns="http://schemas.wps.cn/vas-ai-hub/contract-review">《政府采购法》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《中华人民共和国政府采购法》</item>
      </candidateList>
      <explain xmlns="http://schemas.wps.cn/vas-ai-hub/contract-review"/>
      <paraID xmlns="http://schemas.wps.cn/vas-ai-hub/contract-review">2242AA78</paraID>
      <start xmlns="http://schemas.wps.cn/vas-ai-hub/contract-review">52</start>
      <end xmlns="http://schemas.wps.cn/vas-ai-hub/contract-review">59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0b73469d-37e1-449b-b930-5884348d4a40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768668F0</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2b448ff9-e256-4efa-aa3f-ca3c374ddeb1</errorID>
      <errorWord xmlns="http://schemas.wps.cn/vas-ai-hub/contract-review">日至2026年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日起至2026年</item>
      </candidateList>
      <explain xmlns="http://schemas.wps.cn/vas-ai-hub/contract-review"/>
      <paraID xmlns="http://schemas.wps.cn/vas-ai-hub/contract-review">12787696</paraID>
      <start xmlns="http://schemas.wps.cn/vas-ai-hub/contract-review">21</start>
      <end xmlns="http://schemas.wps.cn/vas-ai-hub/contract-review">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9a54b169-d11d-43da-a5aa-9cc75ab6cbe8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12787696</paraID>
      <start xmlns="http://schemas.wps.cn/vas-ai-hub/contract-review">148</start>
      <end xmlns="http://schemas.wps.cn/vas-ai-hub/contract-review">149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8c88a0ee-5a65-42fa-8fe6-e9c7c04b4fff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6F557844</paraID>
      <start xmlns="http://schemas.wps.cn/vas-ai-hub/contract-review">56</start>
      <end xmlns="http://schemas.wps.cn/vas-ai-hub/contract-review">57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f8a7a3a7-244f-42c8-9ed3-86057edba45f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6F557844</paraID>
      <start xmlns="http://schemas.wps.cn/vas-ai-hub/contract-review">61</start>
      <end xmlns="http://schemas.wps.cn/vas-ai-hub/contract-review">62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46354f2a-5cbb-43ec-bebc-b8a49c27505e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227D4FD1</paraID>
      <start xmlns="http://schemas.wps.cn/vas-ai-hub/contract-review">52</start>
      <end xmlns="http://schemas.wps.cn/vas-ai-hub/contract-review">53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e6ed0cd2-6f8e-4be9-bfa5-08dbed68ac01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227D4FD1</paraID>
      <start xmlns="http://schemas.wps.cn/vas-ai-hub/contract-review">57</start>
      <end xmlns="http://schemas.wps.cn/vas-ai-hub/contract-review">58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ecf386fc-3175-4e1b-8d96-8a9aabad3564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265EFD79</paraID>
      <start xmlns="http://schemas.wps.cn/vas-ai-hub/contract-review">97</start>
      <end xmlns="http://schemas.wps.cn/vas-ai-hub/contract-review">98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ee718ffc-a6e4-4933-8d61-a0e492968e16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265EFD79</paraID>
      <start xmlns="http://schemas.wps.cn/vas-ai-hub/contract-review">110</start>
      <end xmlns="http://schemas.wps.cn/vas-ai-hub/contract-review">111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b8821962-bad4-4aa1-8528-30c573c87917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54B85F51</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4efcaaa3-0d2b-49a3-a659-2ca0da8fc7fd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54B85F51</paraID>
      <start xmlns="http://schemas.wps.cn/vas-ai-hub/contract-review">23</start>
      <end xmlns="http://schemas.wps.cn/vas-ai-hub/contract-review">24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42c2325d-bed6-4260-a377-531a89017417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6FF13D3B</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84919739-872e-481c-b175-d65ca0090a25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6FF13D3B</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42e7ff51-1796-4e2f-8281-12620d465abc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5BDBB29C</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b3c7a4bf-be93-412c-ad18-136a39186e68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5BDBB29C</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cd67bef3-f86b-47d2-9223-f3c5e0656f28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35C00643</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40dbecfc-8047-46ed-9943-185c4407ca32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6CC080F4</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c9b39203-958b-4773-93e4-40f47d0f9171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6CC080F4</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845debd1-7ffc-477d-b848-e5a8a80a9db6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47D46D60</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80318b04-1501-47f1-8771-13bce5479e76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47D46D60</paraID>
      <start xmlns="http://schemas.wps.cn/vas-ai-hub/contract-review">26</start>
      <end xmlns="http://schemas.wps.cn/vas-ai-hub/contract-review">27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a0f9e9b9-e9c0-4781-9e94-ce8ec533cf9f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3E92DAF1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af970cab-8038-4e33-87eb-8f9b2fdff6f3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2F22F8AB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9c977b68-cfef-451f-abd2-00ddc39c4df2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22511EED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4a51235b-05d8-4e8a-8cad-3de0923bb324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D437051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0196749a-2f47-4a6c-ac40-3670b1fd6d3e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584264BD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874bc553-8348-4299-8bb5-34e68dc836a2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252E88B7</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569e4dfc-e375-48b0-a115-71057b30468a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252E88B7</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b99dd241-cd16-4ba6-b135-390fdbbfd874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23F79428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035b6b02-1b2a-42fd-92b7-9527bd606da4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2825E489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7bf9b8c9-a3ff-429b-81ec-a10e6a1b22e8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6EB672AA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77467da4-cfaa-4128-bf66-a68d90b4b7b1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2A39E88B</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03ef1505-6c17-40b9-8cf8-4ee8d95a8c38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6436F721</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50555b16-4a38-42db-af1b-ac1159eeeae8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6436F721</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9d1f23fd-29d3-4fe4-9925-d00f9391b56e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3CC27E23</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a38786da-4015-47a5-bbb9-3171e3fae1fc</errorID>
      <errorWord xmlns="http://schemas.wps.cn/vas-ai-hub/contract-review">4%-8%</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4%—8%</item>
      </candidateList>
      <explain xmlns="http://schemas.wps.cn/vas-ai-hub/contract-review">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3CC27E23</paraID>
      <start xmlns="http://schemas.wps.cn/vas-ai-hub/contract-review">45</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a6b4aca9-2328-46c5-ae94-29f521d22607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558CCCD0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ef56929c-38a6-4862-b147-445c1f7b0d71</errorID>
      <errorWord xmlns="http://schemas.wps.cn/vas-ai-hub/contract-review">4%-8%</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4%—8%</item>
      </candidateList>
      <explain xmlns="http://schemas.wps.cn/vas-ai-hub/contract-review">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558CCCD0</paraID>
      <start xmlns="http://schemas.wps.cn/vas-ai-hub/contract-review">41</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a2fb23f8-4171-4edb-b0c4-119a2bbeff96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4EBB71E8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6ab080ba-4199-4000-8607-14e9dc71be09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65CD140D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62dbca94-1c83-4604-9fa9-86b071549e79</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
      <paraID xmlns="http://schemas.wps.cn/vas-ai-hub/contract-review">3B798DE6</paraID>
      <start xmlns="http://schemas.wps.cn/vas-ai-hub/contract-review">8</start>
      <end xmlns="http://schemas.wps.cn/vas-ai-hub/contract-review">10</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0b775503-7b61-4b58-aec0-940be651f732</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
      <paraID xmlns="http://schemas.wps.cn/vas-ai-hub/contract-review">32DDD14C</paraID>
      <start xmlns="http://schemas.wps.cn/vas-ai-hub/contract-review">15</start>
      <end xmlns="http://schemas.wps.cn/vas-ai-hub/contract-review">17</end>
      <status xmlns="http://schemas.wps.cn/vas-ai-hub/contract-review">modified</status>
      <modifiedWord xmlns="http://schemas.wps.cn/vas-ai-hub/contract-review">登录</modifiedWord>
      <trackRevisions xmlns="http://schemas.wps.cn/vas-ai-hub/contract-review">false</trackRevisions>
    </reviewItem>
    <reviewItem xmlns="http://schemas.wps.cn/vas-ai-hub/contract-review">
      <errorID xmlns="http://schemas.wps.cn/vas-ai-hub/contract-review">d35ae2ec-a85d-4351-9c2d-5c20b1cab2e7</errorID>
      <errorWord xmlns="http://schemas.wps.cn/vas-ai-hub/contract-review">日至2026年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日起至2026年</item>
      </candidateList>
      <explain xmlns="http://schemas.wps.cn/vas-ai-hub/contract-review"/>
      <paraID xmlns="http://schemas.wps.cn/vas-ai-hub/contract-review">2DFEAE3C</paraID>
      <start xmlns="http://schemas.wps.cn/vas-ai-hub/contract-review">12</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aa734fbd-a02f-431a-9212-71687862cab4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68B07765</paraID>
      <start xmlns="http://schemas.wps.cn/vas-ai-hub/contract-review">26</start>
      <end xmlns="http://schemas.wps.cn/vas-ai-hub/contract-review">27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80f58792-9a0a-4638-a8fd-ef2f25f3d5fd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68B07765</paraID>
      <start xmlns="http://schemas.wps.cn/vas-ai-hub/contract-review">37</start>
      <end xmlns="http://schemas.wps.cn/vas-ai-hub/contract-review">38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a2823440-aed0-4506-b8d5-74b834501708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18F83B00</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1d9c5d3c-ee1c-45f5-a7f3-d5d403803877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18F83B00</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0667ea74-516a-4df6-a57c-ae1160843415</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43D22152</paraID>
      <start xmlns="http://schemas.wps.cn/vas-ai-hub/contract-review">2</start>
      <end xmlns="http://schemas.wps.cn/vas-ai-hub/contract-review">3</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1fc7b438-e0cd-4f82-b0db-14410a4cb646</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43D22152</paraID>
      <start xmlns="http://schemas.wps.cn/vas-ai-hub/contract-review">9</start>
      <end xmlns="http://schemas.wps.cn/vas-ai-hub/contract-review">10</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5f6d5e63-e3e7-4ecb-9b12-e1779e91bc8e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1BBF6365</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6f64c792-3129-4e40-8c11-80929cf9a15e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1BBF6365</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7e2f429d-5af2-44ea-8ea3-97bdca4741e0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1BBF6365</paraID>
      <start xmlns="http://schemas.wps.cn/vas-ai-hub/contract-review">42</start>
      <end xmlns="http://schemas.wps.cn/vas-ai-hub/contract-review">43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62ee07fb-9078-472f-9149-1e14a4920723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7C85EB44</paraID>
      <start xmlns="http://schemas.wps.cn/vas-ai-hub/contract-review">9</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dc564188-5a45-43a8-a14c-8480f34d4fec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1DDBB294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6649acad-f7c0-4872-ba61-1d49172d9aed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2F00A04B</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d2c80a8e-4fec-457e-8f17-61606edaa36c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12C90F51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e679975b-2eae-430f-8b24-99ccadc7ae3b</errorID>
      <errorWord xmlns="http://schemas.wps.cn/vas-ai-hub/contract-review">处</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次</item>
      </candidateList>
      <explain xmlns="http://schemas.wps.cn/vas-ai-hub/contract-review">请检查“处”是否为量词使用错误，建议修改为“次”。</explain>
      <paraID xmlns="http://schemas.wps.cn/vas-ai-hub/contract-review">36385D58</paraID>
      <start xmlns="http://schemas.wps.cn/vas-ai-hub/contract-review">1</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e6cd8eb7-ea70-471e-8543-8f750ee310ed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639583A5</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d699c104-4754-44ed-93fc-1798d84a482a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639583A5</paraID>
      <start xmlns="http://schemas.wps.cn/vas-ai-hub/contract-review">42</start>
      <end xmlns="http://schemas.wps.cn/vas-ai-hub/contract-review">43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d55ad64d-baf2-48be-bf19-b54dabfaf054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639583A5</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403040dd-1af6-407d-a29f-c2f8daeb2389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4DF22DC3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648a6089-ec0b-4bda-974a-6d2a3a109bb4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A8A4166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72134649-231b-4a56-8a61-67bda4b02fea</errorID>
      <errorWord xmlns="http://schemas.wps.cn/vas-ai-hub/contract-review">[2002]1980号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〔2002〕1980号</item>
      </candidateList>
      <explain xmlns="http://schemas.wps.cn/vas-ai-hub/contract-review">发文字号格式错误。</explain>
      <paraID xmlns="http://schemas.wps.cn/vas-ai-hub/contract-review">5031C6AC</paraID>
      <start xmlns="http://schemas.wps.cn/vas-ai-hub/contract-review">16</start>
      <end xmlns="http://schemas.wps.cn/vas-ai-hub/contract-review">27</end>
      <status xmlns="http://schemas.wps.cn/vas-ai-hub/contract-review">modified</status>
      <modifiedWord xmlns="http://schemas.wps.cn/vas-ai-hub/contract-review">〔2002〕1980号</modifiedWord>
      <trackRevisions xmlns="http://schemas.wps.cn/vas-ai-hub/contract-review">false</trackRevisions>
    </reviewItem>
    <reviewItem xmlns="http://schemas.wps.cn/vas-ai-hub/contract-review">
      <errorID xmlns="http://schemas.wps.cn/vas-ai-hub/contract-review">6b00fd4c-f914-4f3f-b022-255c0868af9f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6AED53FF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f111781d-839d-46e0-9ec0-f3bdd223a5a3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205016B1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a876ab13-be9f-49a1-b126-ed2dc4dd7122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602F908A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a4058a5e-56f5-4031-9c83-5655751c9c1e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34DD728D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69a78940-728d-4bd7-8849-c796d6f29415</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39D83CDE</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e87bd64d-bd8b-486d-850c-42d06af99d09</errorID>
      <errorWord xmlns="http://schemas.wps.cn/vas-ai-hub/contract-review">签定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item>
      </candidateList>
      <explain xmlns="http://schemas.wps.cn/vas-ai-hub/contract-review">存在发音相同字词的误用。</explain>
      <paraID xmlns="http://schemas.wps.cn/vas-ai-hub/contract-review">718C149C</paraID>
      <start xmlns="http://schemas.wps.cn/vas-ai-hub/contract-review">48</start>
      <end xmlns="http://schemas.wps.cn/vas-ai-hub/contract-review">50</end>
      <status xmlns="http://schemas.wps.cn/vas-ai-hub/contract-review">modified</status>
      <modifiedWord xmlns="http://schemas.wps.cn/vas-ai-hub/contract-review">签订</modifiedWord>
      <trackRevisions xmlns="http://schemas.wps.cn/vas-ai-hub/contract-review">false</trackRevisions>
    </reviewItem>
    <reviewItem xmlns="http://schemas.wps.cn/vas-ai-hub/contract-review">
      <errorID xmlns="http://schemas.wps.cn/vas-ai-hub/contract-review">33f8b65c-a71b-4afd-af81-2150e200ef26</errorID>
      <errorWord xmlns="http://schemas.wps.cn/vas-ai-hub/contract-review">《            政府采购合同》（以下简称主合同）</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            政府采购合同》（以下简称“主合同”）</item>
      </candidateList>
      <explain xmlns="http://schemas.wps.cn/vas-ai-hub/contract-review">疑似政策文件、法律法规名称等书写不规范，请注意检查。</explain>
      <paraID xmlns="http://schemas.wps.cn/vas-ai-hub/contract-review">718C149C</paraID>
      <start xmlns="http://schemas.wps.cn/vas-ai-hub/contract-review">65</start>
      <end xmlns="http://schemas.wps.cn/vas-ai-hub/contract-review">94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7b903b26-5615-40e2-92ba-24438cc2f35b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741685DF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44c435a2-4fc3-408a-b3b3-0d98a0890fdf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2CBBD8AD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8f9fa53d-5fad-4cb5-9433-832813b56bfa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599271DA</paraID>
      <start xmlns="http://schemas.wps.cn/vas-ai-hub/contract-review">0</start>
      <end xmlns="http://schemas.wps.cn/vas-ai-hub/contract-review">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748e91a7-a528-4e71-bb44-3bc9398e0bda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599271DA</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80d83c10-6ec1-43a0-a49b-95d3493d4cbe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599271DA</paraID>
      <start xmlns="http://schemas.wps.cn/vas-ai-hub/contract-review">53</start>
      <end xmlns="http://schemas.wps.cn/vas-ai-hub/contract-review">54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26443ca1-550c-4f5e-bf1a-805ab879851c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65DE89B1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9d37b80d-2a89-4e79-a11b-e39b8f8151f4</errorID>
      <errorWord xmlns="http://schemas.wps.cn/vas-ai-hub/contract-review">的帐号</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的账号</item>
      </candidateList>
      <explain xmlns="http://schemas.wps.cn/vas-ai-hub/contract-review">词汇[的帐号]为不规范表述或旧称，其规范书面表述为[的账号]。</explain>
      <paraID xmlns="http://schemas.wps.cn/vas-ai-hub/contract-review">65DE89B1</paraID>
      <start xmlns="http://schemas.wps.cn/vas-ai-hub/contract-review">60</start>
      <end xmlns="http://schemas.wps.cn/vas-ai-hub/contract-review">63</end>
      <status xmlns="http://schemas.wps.cn/vas-ai-hub/contract-review">modified</status>
      <modifiedWord xmlns="http://schemas.wps.cn/vas-ai-hub/contract-review">的账号</modifiedWord>
      <trackRevisions xmlns="http://schemas.wps.cn/vas-ai-hub/contract-review">false</trackRevisions>
    </reviewItem>
    <reviewItem xmlns="http://schemas.wps.cn/vas-ai-hub/contract-review">
      <errorID xmlns="http://schemas.wps.cn/vas-ai-hub/contract-review">fde320ab-2cd1-4580-850f-c2c64b0c40ec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72D13001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25553073-8ee2-432b-904f-d09a445c78c4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11D7E680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774b79be-b477-40c5-9427-d5c25bb86543</errorID>
      <errorWord xmlns="http://schemas.wps.cn/vas-ai-hub/contract-review">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格之</item>
      </candidateList>
      <explain xmlns="http://schemas.wps.cn/vas-ai-hub/contract-review"/>
      <paraID xmlns="http://schemas.wps.cn/vas-ai-hub/contract-review">11D7E680</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d4135b67-c2ac-49df-a2b5-945686da5a65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DE5BE44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9a745938-dfc9-4636-9c59-5ff744f23ec9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2A11643D</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b75f4235-82ff-46f7-9627-93a182a869b8</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2A11643D</paraID>
      <start xmlns="http://schemas.wps.cn/vas-ai-hub/contract-review">24</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cd148836-8803-4faa-b1b1-7904ea13e4c3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6AA82981</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37556904-7968-4009-a1a5-d135a322ced3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6D5E7869</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54337375-9a80-4c1c-9dc8-aa13d1c7c2c0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42CD9C04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4a860196-1859-4178-ad04-7fff052eaf02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71AEAA5F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b24b873c-88d7-4dfa-a9f7-3f0d4e736c1e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17474EB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0effb68e-d593-437f-a9ec-d96e29c2ddd7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5FC70A10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1a9708ed-9889-48c8-85c5-542afa9a3d23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4F4C5BAF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ab5ac1d0-43e0-4c34-ae07-3d01d8962060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4D7671AA</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199564c7-d205-4d57-b44f-b6f55b2ed2bc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6808D281</paraID>
      <start xmlns="http://schemas.wps.cn/vas-ai-hub/contract-review">48</start>
      <end xmlns="http://schemas.wps.cn/vas-ai-hub/contract-review">49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5bdcd9af-e1b7-410a-a887-67cad901cb91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6754F4AA</paraID>
      <start xmlns="http://schemas.wps.cn/vas-ai-hub/contract-review">59</start>
      <end xmlns="http://schemas.wps.cn/vas-ai-hub/contract-review">60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c87fd9b7-b3e7-42b4-921a-1d9499a76dcd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292B3161</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cc87ec16-9272-4594-9ccc-055ea1620576</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7BE5ED00</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64d69453-38a5-45e7-9401-b6dd5577dc98</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9AB45A1</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52bc79a9-2461-4dc1-bbdd-48ab8ccee156</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48D9B3C4</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5a124b0f-e265-4e7b-bf3c-8a596cf826d7</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79FA3BCC</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44e24e8e-d8de-4d6d-bc1f-ab89fdc881be</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472CBBF5</paraID>
      <start xmlns="http://schemas.wps.cn/vas-ai-hub/contract-review">58</start>
      <end xmlns="http://schemas.wps.cn/vas-ai-hub/contract-review">60</end>
      <status xmlns="http://schemas.wps.cn/vas-ai-hub/contract-review">modified</status>
      <modifiedWord xmlns="http://schemas.wps.cn/vas-ai-hub/contract-review">噪声</modifiedWord>
      <trackRevisions xmlns="http://schemas.wps.cn/vas-ai-hub/contract-review">false</trackRevisions>
    </reviewItem>
    <reviewItem xmlns="http://schemas.wps.cn/vas-ai-hub/contract-review">
      <errorID xmlns="http://schemas.wps.cn/vas-ai-hub/contract-review">4fd8307b-3105-4ece-bef3-f8d8b9e1c264</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A5120F3</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dd176a39-1b6f-4a16-9ea9-a397b48a8457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6065CF48</paraID>
      <start xmlns="http://schemas.wps.cn/vas-ai-hub/contract-review">147</start>
      <end xmlns="http://schemas.wps.cn/vas-ai-hub/contract-review">148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22faf0cb-01ca-45a5-bc9d-71d0fc6efaf9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21A03375</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962c7e3e-7ab0-40be-a63a-e7f89fb7d658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21A03375</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cc489ba2-c9d9-491c-9f3a-702d3034c561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73835D94</paraID>
      <start xmlns="http://schemas.wps.cn/vas-ai-hub/contract-review">51</start>
      <end xmlns="http://schemas.wps.cn/vas-ai-hub/contract-review">52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9dad4faf-c84a-47d3-93c3-2ae28c6b4bb3</errorID>
      <errorWord xmlns="http://schemas.wps.cn/vas-ai-hub/contract-review">[2013]189号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〔2013〕189号</item>
      </candidateList>
      <explain xmlns="http://schemas.wps.cn/vas-ai-hub/contract-review">发文字号格式错误。</explain>
      <paraID xmlns="http://schemas.wps.cn/vas-ai-hub/contract-review">73835D94</paraID>
      <start xmlns="http://schemas.wps.cn/vas-ai-hub/contract-review">54</start>
      <end xmlns="http://schemas.wps.cn/vas-ai-hub/contract-review">64</end>
      <status xmlns="http://schemas.wps.cn/vas-ai-hub/contract-review">modified</status>
      <modifiedWord xmlns="http://schemas.wps.cn/vas-ai-hub/contract-review">〔2013〕189号</modifiedWord>
      <trackRevisions xmlns="http://schemas.wps.cn/vas-ai-hub/contract-review">false</trackRevisions>
    </reviewItem>
    <reviewItem xmlns="http://schemas.wps.cn/vas-ai-hub/contract-review">
      <errorID xmlns="http://schemas.wps.cn/vas-ai-hub/contract-review">a95b3c0f-120c-4c72-84f1-4371ed271041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73835D94</paraID>
      <start xmlns="http://schemas.wps.cn/vas-ai-hub/contract-review">64</start>
      <end xmlns="http://schemas.wps.cn/vas-ai-hub/contract-review">65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dd593bd7-2814-4844-92fb-a631e8eebfaa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402E863F</paraID>
      <start xmlns="http://schemas.wps.cn/vas-ai-hub/contract-review">58</start>
      <end xmlns="http://schemas.wps.cn/vas-ai-hub/contract-review">59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648d9e37-6865-4e3d-a0f8-5e955db07705</errorID>
      <errorWord xmlns="http://schemas.wps.cn/vas-ai-hub/contract-review">[2013]189号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〔2013〕189号</item>
      </candidateList>
      <explain xmlns="http://schemas.wps.cn/vas-ai-hub/contract-review">发文字号格式错误。</explain>
      <paraID xmlns="http://schemas.wps.cn/vas-ai-hub/contract-review">402E863F</paraID>
      <start xmlns="http://schemas.wps.cn/vas-ai-hub/contract-review">61</start>
      <end xmlns="http://schemas.wps.cn/vas-ai-hub/contract-review">71</end>
      <status xmlns="http://schemas.wps.cn/vas-ai-hub/contract-review">modified</status>
      <modifiedWord xmlns="http://schemas.wps.cn/vas-ai-hub/contract-review">〔2013〕189号</modifiedWord>
      <trackRevisions xmlns="http://schemas.wps.cn/vas-ai-hub/contract-review">false</trackRevisions>
    </reviewItem>
    <reviewItem xmlns="http://schemas.wps.cn/vas-ai-hub/contract-review">
      <errorID xmlns="http://schemas.wps.cn/vas-ai-hub/contract-review">29458dcb-494a-4146-9518-fff213be42b1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402E863F</paraID>
      <start xmlns="http://schemas.wps.cn/vas-ai-hub/contract-review">71</start>
      <end xmlns="http://schemas.wps.cn/vas-ai-hub/contract-review">72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5d33da00-fd89-4477-80b9-420bd3277a17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10F0356C</paraID>
      <start xmlns="http://schemas.wps.cn/vas-ai-hub/contract-review">42</start>
      <end xmlns="http://schemas.wps.cn/vas-ai-hub/contract-review">43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d1bd98b9-8e59-4556-9db7-5008a25d9aa0</errorID>
      <errorWord xmlns="http://schemas.wps.cn/vas-ai-hub/contract-review">[2013]189号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〔2013〕189号</item>
      </candidateList>
      <explain xmlns="http://schemas.wps.cn/vas-ai-hub/contract-review">发文字号格式错误。</explain>
      <paraID xmlns="http://schemas.wps.cn/vas-ai-hub/contract-review">10F0356C</paraID>
      <start xmlns="http://schemas.wps.cn/vas-ai-hub/contract-review">45</start>
      <end xmlns="http://schemas.wps.cn/vas-ai-hub/contract-review">55</end>
      <status xmlns="http://schemas.wps.cn/vas-ai-hub/contract-review">modified</status>
      <modifiedWord xmlns="http://schemas.wps.cn/vas-ai-hub/contract-review">〔2013〕189号</modifiedWord>
      <trackRevisions xmlns="http://schemas.wps.cn/vas-ai-hub/contract-review">false</trackRevisions>
    </reviewItem>
    <reviewItem xmlns="http://schemas.wps.cn/vas-ai-hub/contract-review">
      <errorID xmlns="http://schemas.wps.cn/vas-ai-hub/contract-review">9f721706-6611-479d-ba3e-237262a90cb1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10F0356C</paraID>
      <start xmlns="http://schemas.wps.cn/vas-ai-hub/contract-review">55</start>
      <end xmlns="http://schemas.wps.cn/vas-ai-hub/contract-review">56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415dcf0c-67b3-4f04-992d-956eda1ebbb6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63D0858E</paraID>
      <start xmlns="http://schemas.wps.cn/vas-ai-hub/contract-review">85</start>
      <end xmlns="http://schemas.wps.cn/vas-ai-hub/contract-review">86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8bcbec9f-071f-4749-be0c-f2159f9cfea1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63D0858E</paraID>
      <start xmlns="http://schemas.wps.cn/vas-ai-hub/contract-review">97</start>
      <end xmlns="http://schemas.wps.cn/vas-ai-hub/contract-review">98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aeddfabf-9151-421e-a16b-98d12e680dc4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10B5F863</paraID>
      <start xmlns="http://schemas.wps.cn/vas-ai-hub/contract-review">61</start>
      <end xmlns="http://schemas.wps.cn/vas-ai-hub/contract-review">62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291c2466-1b63-4edd-8f69-f20cf159c20e</errorID>
      <errorWord xmlns="http://schemas.wps.cn/vas-ai-hub/contract-review">[2007]119号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〔2007〕119号</item>
      </candidateList>
      <explain xmlns="http://schemas.wps.cn/vas-ai-hub/contract-review">发文字号格式错误。</explain>
      <paraID xmlns="http://schemas.wps.cn/vas-ai-hub/contract-review">10B5F863</paraID>
      <start xmlns="http://schemas.wps.cn/vas-ai-hub/contract-review">64</start>
      <end xmlns="http://schemas.wps.cn/vas-ai-hub/contract-review">74</end>
      <status xmlns="http://schemas.wps.cn/vas-ai-hub/contract-review">modified</status>
      <modifiedWord xmlns="http://schemas.wps.cn/vas-ai-hub/contract-review">〔2007〕119号</modifiedWord>
      <trackRevisions xmlns="http://schemas.wps.cn/vas-ai-hub/contract-review">false</trackRevisions>
    </reviewItem>
    <reviewItem xmlns="http://schemas.wps.cn/vas-ai-hub/contract-review">
      <errorID xmlns="http://schemas.wps.cn/vas-ai-hub/contract-review">09cec99d-235a-4372-8001-a6432c48342e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10B5F863</paraID>
      <start xmlns="http://schemas.wps.cn/vas-ai-hub/contract-review">74</start>
      <end xmlns="http://schemas.wps.cn/vas-ai-hub/contract-review">75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718b5e16-cbda-4505-ab3f-8baa8c62e4a0</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12DF9CEC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13c6e30c-9e05-4b61-923a-faac02c82aeb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45D26CC2</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8779883a-718d-448b-92ac-be7786d100ea</errorID>
      <errorWord xmlns="http://schemas.wps.cn/vas-ai-hub/contract-review">勘察现场</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勘查现场</item>
      </candidateList>
      <explain xmlns="http://schemas.wps.cn/vas-ai-hub/contract-review">词汇[勘察现场]为不规范表述或旧称，其规范书面表述为[勘查现场]。</explain>
      <paraID xmlns="http://schemas.wps.cn/vas-ai-hub/contract-review">5D684EFF</paraID>
      <start xmlns="http://schemas.wps.cn/vas-ai-hub/contract-review">3</start>
      <end xmlns="http://schemas.wps.cn/vas-ai-hub/contract-review">7</end>
      <status xmlns="http://schemas.wps.cn/vas-ai-hub/contract-review">modified</status>
      <modifiedWord xmlns="http://schemas.wps.cn/vas-ai-hub/contract-review">勘查现场</modifiedWord>
      <trackRevisions xmlns="http://schemas.wps.cn/vas-ai-hub/contract-review">false</trackRevisions>
    </reviewItem>
    <reviewItem xmlns="http://schemas.wps.cn/vas-ai-hub/contract-review">
      <errorID xmlns="http://schemas.wps.cn/vas-ai-hub/contract-review">b1321ea0-4261-4b1e-8867-72fd657bad34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76EC5C77</paraID>
      <start xmlns="http://schemas.wps.cn/vas-ai-hub/contract-review">102</start>
      <end xmlns="http://schemas.wps.cn/vas-ai-hub/contract-review">103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75e5fc62-c1ac-41f4-8d3b-85ca85b7e4f5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76EC5C77</paraID>
      <start xmlns="http://schemas.wps.cn/vas-ai-hub/contract-review">114</start>
      <end xmlns="http://schemas.wps.cn/vas-ai-hub/contract-review">115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257a229f-2d65-433d-9e89-74971572731b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76EC5C77</paraID>
      <start xmlns="http://schemas.wps.cn/vas-ai-hub/contract-review">155</start>
      <end xmlns="http://schemas.wps.cn/vas-ai-hub/contract-review">157</end>
      <status xmlns="http://schemas.wps.cn/vas-ai-hub/contract-review">modified</status>
      <modifiedWord xmlns="http://schemas.wps.cn/vas-ai-hub/contract-review">，在</modifiedWord>
      <trackRevisions xmlns="http://schemas.wps.cn/vas-ai-hub/contract-review">false</trackRevisions>
    </reviewItem>
    <reviewItem xmlns="http://schemas.wps.cn/vas-ai-hub/contract-review">
      <errorID xmlns="http://schemas.wps.cn/vas-ai-hub/contract-review">9bd9ad0e-4a74-4f7d-b624-3e2123ac03f1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1832C843</paraID>
      <start xmlns="http://schemas.wps.cn/vas-ai-hub/contract-review">19</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e32d6845-ddd6-46d0-8a43-f9c25abe0efa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1832C843</paraID>
      <start xmlns="http://schemas.wps.cn/vas-ai-hub/contract-review">46</start>
      <end xmlns="http://schemas.wps.cn/vas-ai-hub/contract-review">47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3e83f289-3ce4-4775-a6d5-9abe8d288534</errorID>
      <errorWord xmlns="http://schemas.wps.cn/vas-ai-hub/contract-review">中并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item>
      </candidateList>
      <explain xmlns="http://schemas.wps.cn/vas-ai-hub/contract-review"/>
      <paraID xmlns="http://schemas.wps.cn/vas-ai-hub/contract-review">1832C843</paraID>
      <start xmlns="http://schemas.wps.cn/vas-ai-hub/contract-review">61</start>
      <end xmlns="http://schemas.wps.cn/vas-ai-hub/contract-review">62</end>
      <status xmlns="http://schemas.wps.cn/vas-ai-hub/contract-review">modified</status>
      <modifiedWord xmlns="http://schemas.wps.cn/vas-ai-hub/contract-review">中</modifiedWord>
      <trackRevisions xmlns="http://schemas.wps.cn/vas-ai-hub/contract-review">false</trackRevisions>
    </reviewItem>
    <reviewItem xmlns="http://schemas.wps.cn/vas-ai-hub/contract-review">
      <errorID xmlns="http://schemas.wps.cn/vas-ai-hub/contract-review">c2b47d3e-9215-4fc6-a348-033004223fa0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1832C843</paraID>
      <start xmlns="http://schemas.wps.cn/vas-ai-hub/contract-review">71</start>
      <end xmlns="http://schemas.wps.cn/vas-ai-hub/contract-review">72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34feec84-7469-4776-89fd-dffaddb6c0a5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1832C843</paraID>
      <start xmlns="http://schemas.wps.cn/vas-ai-hub/contract-review">94</start>
      <end xmlns="http://schemas.wps.cn/vas-ai-hub/contract-review">96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d9e19cc8-e0fe-45b5-bae2-df63ba7743d7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3C0FC67F</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7f331356-bc6c-441b-afb2-83a7c4f4a00d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
      <paraID xmlns="http://schemas.wps.cn/vas-ai-hub/contract-review">   9CEDF</paraID>
      <start xmlns="http://schemas.wps.cn/vas-ai-hub/contract-review">30</start>
      <end xmlns="http://schemas.wps.cn/vas-ai-hub/contract-review">32</end>
      <status xmlns="http://schemas.wps.cn/vas-ai-hub/contract-review">modified</status>
      <modifiedWord xmlns="http://schemas.wps.cn/vas-ai-hub/contract-review">，作</modifiedWord>
      <trackRevisions xmlns="http://schemas.wps.cn/vas-ai-hub/contract-review">false</trackRevisions>
    </reviewItem>
    <reviewItem xmlns="http://schemas.wps.cn/vas-ai-hub/contract-review">
      <errorID xmlns="http://schemas.wps.cn/vas-ai-hub/contract-review">822cf18c-e8bd-4385-9f36-f6cb2b82b588</errorID>
      <errorWord xmlns="http://schemas.wps.cn/vas-ai-hub/contract-review">其它语言</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其他语言</item>
      </candidateList>
      <explain xmlns="http://schemas.wps.cn/vas-ai-hub/contract-review">词汇[其它语言]为不规范表述或旧称，其规范书面表述为[其他语言]。</explain>
      <paraID xmlns="http://schemas.wps.cn/vas-ai-hub/contract-review">5D531B42</paraID>
      <start xmlns="http://schemas.wps.cn/vas-ai-hub/contract-review">60</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61bcbf27-b994-4e3e-b727-105eef89a9dd</errorID>
      <errorWord xmlns="http://schemas.wps.cn/vas-ai-hub/contract-review">《政府采购法》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《中华人民共和国政府采购法》</item>
      </candidateList>
      <explain xmlns="http://schemas.wps.cn/vas-ai-hub/contract-review"/>
      <paraID xmlns="http://schemas.wps.cn/vas-ai-hub/contract-review">7C1450CA</paraID>
      <start xmlns="http://schemas.wps.cn/vas-ai-hub/contract-review">6</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7e6f56bc-4b54-4dbf-825e-a4014e55d639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5A3F4D40</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fe7d38a8-5dda-4268-ba03-319e79739b80</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697C4AB0</paraID>
      <start xmlns="http://schemas.wps.cn/vas-ai-hub/contract-review">49</start>
      <end xmlns="http://schemas.wps.cn/vas-ai-hub/contract-review">50</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a0db0a0c-a4b7-49bd-99d0-e787f9b785a2</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697C4AB0</paraID>
      <start xmlns="http://schemas.wps.cn/vas-ai-hub/contract-review">56</start>
      <end xmlns="http://schemas.wps.cn/vas-ai-hub/contract-review">57</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0fa18b31-673c-44a5-89f5-ab61645dc7ef</errorID>
      <errorWord xmlns="http://schemas.wps.cn/vas-ai-hub/contract-review">18．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5FE3F05</paraID>
      <start xmlns="http://schemas.wps.cn/vas-ai-hub/contract-review">0</start>
      <end xmlns="http://schemas.wps.cn/vas-ai-hub/contract-review">3</end>
      <status xmlns="http://schemas.wps.cn/vas-ai-hub/contract-review">modified</status>
      <modifiedWord xmlns="http://schemas.wps.cn/vas-ai-hub/contract-review">18.</modifiedWord>
      <trackRevisions xmlns="http://schemas.wps.cn/vas-ai-hub/contract-review">false</trackRevisions>
    </reviewItem>
    <reviewItem xmlns="http://schemas.wps.cn/vas-ai-hub/contract-review">
      <errorID xmlns="http://schemas.wps.cn/vas-ai-hub/contract-review">3a007559-af60-4e76-b162-5b9f3703293c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67687013</paraID>
      <start xmlns="http://schemas.wps.cn/vas-ai-hub/contract-review">95</start>
      <end xmlns="http://schemas.wps.cn/vas-ai-hub/contract-review">96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9c649039-828d-4377-9f71-576c1b623088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67687013</paraID>
      <start xmlns="http://schemas.wps.cn/vas-ai-hub/contract-review">109</start>
      <end xmlns="http://schemas.wps.cn/vas-ai-hub/contract-review">110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cca7fff8-59b4-42ea-bb78-b878cca27bd6</errorID>
      <errorWord xmlns="http://schemas.wps.cn/vas-ai-hub/contract-review">签定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item>
      </candidateList>
      <explain xmlns="http://schemas.wps.cn/vas-ai-hub/contract-review"/>
      <paraID xmlns="http://schemas.wps.cn/vas-ai-hub/contract-review">290006A4</paraID>
      <start xmlns="http://schemas.wps.cn/vas-ai-hub/contract-review">45</start>
      <end xmlns="http://schemas.wps.cn/vas-ai-hub/contract-review">47</end>
      <status xmlns="http://schemas.wps.cn/vas-ai-hub/contract-review">modified</status>
      <modifiedWord xmlns="http://schemas.wps.cn/vas-ai-hub/contract-review">签订</modifiedWord>
      <trackRevisions xmlns="http://schemas.wps.cn/vas-ai-hub/contract-review">false</trackRevisions>
    </reviewItem>
    <reviewItem xmlns="http://schemas.wps.cn/vas-ai-hub/contract-review">
      <errorID xmlns="http://schemas.wps.cn/vas-ai-hub/contract-review">8f4f17a8-d8c5-4289-a336-2eb0d5eaaa8d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6B7DEF65</paraID>
      <start xmlns="http://schemas.wps.cn/vas-ai-hub/contract-review">0</start>
      <end xmlns="http://schemas.wps.cn/vas-ai-hub/contract-review">3</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077ebf4c-cf8d-4869-a2d4-280f2796f458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62CC63A5</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ec5071a8-cc77-4edc-ae50-0e6e96c19b24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62CC63A5</paraID>
      <start xmlns="http://schemas.wps.cn/vas-ai-hub/contract-review">53</start>
      <end xmlns="http://schemas.wps.cn/vas-ai-hub/contract-review">54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09384241-d476-49f0-8cb5-8cea3272cb79</errorID>
      <errorWord xmlns="http://schemas.wps.cn/vas-ai-hub/contract-review">退色</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褪色</item>
      </candidateList>
      <explain xmlns="http://schemas.wps.cn/vas-ai-hub/contract-review">词汇[退色]为不规范表述或旧称，其规范书面表述为[褪色]。</explain>
      <paraID xmlns="http://schemas.wps.cn/vas-ai-hub/contract-review">62CC63A5</paraID>
      <start xmlns="http://schemas.wps.cn/vas-ai-hub/contract-review">66</start>
      <end xmlns="http://schemas.wps.cn/vas-ai-hub/contract-review">68</end>
      <status xmlns="http://schemas.wps.cn/vas-ai-hub/contract-review">modified</status>
      <modifiedWord xmlns="http://schemas.wps.cn/vas-ai-hub/contract-review">褪色</modifiedWord>
      <trackRevisions xmlns="http://schemas.wps.cn/vas-ai-hub/contract-review">false</trackRevisions>
    </reviewItem>
    <reviewItem xmlns="http://schemas.wps.cn/vas-ai-hub/contract-review">
      <errorID xmlns="http://schemas.wps.cn/vas-ai-hub/contract-review">f2bc61d7-b63f-40dc-b825-3e6454815b03</errorID>
      <errorWord xmlns="http://schemas.wps.cn/vas-ai-hub/contract-review">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处加</item>
      </candidateList>
      <explain xmlns="http://schemas.wps.cn/vas-ai-hub/contract-review"/>
      <paraID xmlns="http://schemas.wps.cn/vas-ai-hub/contract-review">1E2615C9</paraID>
      <start xmlns="http://schemas.wps.cn/vas-ai-hub/contract-review">26</start>
      <end xmlns="http://schemas.wps.cn/vas-ai-hub/contract-review">28</end>
      <status xmlns="http://schemas.wps.cn/vas-ai-hub/contract-review">modified</status>
      <modifiedWord xmlns="http://schemas.wps.cn/vas-ai-hub/contract-review">处加</modifiedWord>
      <trackRevisions xmlns="http://schemas.wps.cn/vas-ai-hub/contract-review">false</trackRevisions>
    </reviewItem>
    <reviewItem xmlns="http://schemas.wps.cn/vas-ai-hub/contract-review">
      <errorID xmlns="http://schemas.wps.cn/vas-ai-hub/contract-review">aefd6772-3ea9-4d1b-aafe-bcb1d4968360</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66897B7D</paraID>
      <start xmlns="http://schemas.wps.cn/vas-ai-hub/contract-review">54</start>
      <end xmlns="http://schemas.wps.cn/vas-ai-hub/contract-review">55</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bac5b627-ffa7-48aa-943a-4e845bb0bc9a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5C303275</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13e563a7-499f-4bb8-9c82-1494fb073ef8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5C303275</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56fdcf5e-b362-4525-b753-4fec6bf7a7fd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5C303275</paraID>
      <start xmlns="http://schemas.wps.cn/vas-ai-hub/contract-review">38</start>
      <end xmlns="http://schemas.wps.cn/vas-ai-hub/contract-review">39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bc3d0265-00ea-4992-b766-ff5b4269bb36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374069B8</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25bf4b0e-077a-4bc5-a4af-6ce66221f23a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374069B8</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9fa6e3a6-e60f-4ccb-ae95-c813d9e75125</errorID>
      <errorWord xmlns="http://schemas.wps.cn/vas-ai-hub/contract-review">不满足、或不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不满足或不</item>
      </candidateList>
      <explain xmlns="http://schemas.wps.cn/vas-ai-hub/contract-review"/>
      <paraID xmlns="http://schemas.wps.cn/vas-ai-hub/contract-review">374069B8</paraID>
      <start xmlns="http://schemas.wps.cn/vas-ai-hub/contract-review">64</start>
      <end xmlns="http://schemas.wps.cn/vas-ai-hub/contract-review">69</end>
      <status xmlns="http://schemas.wps.cn/vas-ai-hub/contract-review">modified</status>
      <modifiedWord xmlns="http://schemas.wps.cn/vas-ai-hub/contract-review">不满足或不</modifiedWord>
      <trackRevisions xmlns="http://schemas.wps.cn/vas-ai-hub/contract-review">false</trackRevisions>
    </reviewItem>
    <reviewItem xmlns="http://schemas.wps.cn/vas-ai-hub/contract-review">
      <errorID xmlns="http://schemas.wps.cn/vas-ai-hub/contract-review">a7c33788-c961-4d13-9375-b67121e4d52e</errorID>
      <errorWord xmlns="http://schemas.wps.cn/vas-ai-hub/contract-review">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属于</item>
      </candidateList>
      <explain xmlns="http://schemas.wps.cn/vas-ai-hub/contract-review"/>
      <paraID xmlns="http://schemas.wps.cn/vas-ai-hub/contract-review">68E46E61</paraID>
      <start xmlns="http://schemas.wps.cn/vas-ai-hub/contract-review">32</start>
      <end xmlns="http://schemas.wps.cn/vas-ai-hub/contract-review">34</end>
      <status xmlns="http://schemas.wps.cn/vas-ai-hub/contract-review">modified</status>
      <modifiedWord xmlns="http://schemas.wps.cn/vas-ai-hub/contract-review">属于</modifiedWord>
      <trackRevisions xmlns="http://schemas.wps.cn/vas-ai-hub/contract-review">false</trackRevisions>
    </reviewItem>
    <reviewItem xmlns="http://schemas.wps.cn/vas-ai-hub/contract-review">
      <errorID xmlns="http://schemas.wps.cn/vas-ai-hub/contract-review">928f543f-37e5-4833-9e59-bdfea5a4ceef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67A21591</paraID>
      <start xmlns="http://schemas.wps.cn/vas-ai-hub/contract-review">101</start>
      <end xmlns="http://schemas.wps.cn/vas-ai-hub/contract-review">102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29e9d3cf-e7cb-495f-9733-c1865c74eb62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67A21591</paraID>
      <start xmlns="http://schemas.wps.cn/vas-ai-hub/contract-review">124</start>
      <end xmlns="http://schemas.wps.cn/vas-ai-hub/contract-review">125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ad66c045-62a5-4bc4-b98d-6992a78b4ef2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75980237</paraID>
      <start xmlns="http://schemas.wps.cn/vas-ai-hub/contract-review">38</start>
      <end xmlns="http://schemas.wps.cn/vas-ai-hub/contract-review">39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7564032f-92a8-49e9-a3e5-f9adac75bdad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75980237</paraID>
      <start xmlns="http://schemas.wps.cn/vas-ai-hub/contract-review">55</start>
      <end xmlns="http://schemas.wps.cn/vas-ai-hub/contract-review">56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e8450c7d-f132-4fa2-9a9f-9f00d2bfdebe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452C6DA1</paraID>
      <start xmlns="http://schemas.wps.cn/vas-ai-hub/contract-review">130</start>
      <end xmlns="http://schemas.wps.cn/vas-ai-hub/contract-review">131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e93664cb-8ce3-4850-8bd7-bb0673b16fa1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452C6DA1</paraID>
      <start xmlns="http://schemas.wps.cn/vas-ai-hub/contract-review">143</start>
      <end xmlns="http://schemas.wps.cn/vas-ai-hub/contract-review">144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5374580d-bc55-47ef-9239-fecdecb51264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7B421CBA</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b7f508ef-d405-4445-9e6c-863e8460163b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7B421CBA</paraID>
      <start xmlns="http://schemas.wps.cn/vas-ai-hub/contract-review">38</start>
      <end xmlns="http://schemas.wps.cn/vas-ai-hub/contract-review">39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3ce30972-e38e-4bd4-8431-09eda36c6563</errorID>
      <errorWord xmlns="http://schemas.wps.cn/vas-ai-hub/contract-review">35．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EDBE4CF</paraID>
      <start xmlns="http://schemas.wps.cn/vas-ai-hub/contract-review">0</start>
      <end xmlns="http://schemas.wps.cn/vas-ai-hub/contract-review">3</end>
      <status xmlns="http://schemas.wps.cn/vas-ai-hub/contract-review">modified</status>
      <modifiedWord xmlns="http://schemas.wps.cn/vas-ai-hub/contract-review">35.</modifiedWord>
      <trackRevisions xmlns="http://schemas.wps.cn/vas-ai-hub/contract-review">false</trackRevisions>
    </reviewItem>
    <reviewItem xmlns="http://schemas.wps.cn/vas-ai-hub/contract-review">
      <errorID xmlns="http://schemas.wps.cn/vas-ai-hub/contract-review">ccb96e5f-da1d-44b3-92fd-3428297ec8cb</errorID>
      <errorWord xmlns="http://schemas.wps.cn/vas-ai-hub/contract-review">联合体中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联合体</item>
      </candidateList>
      <explain xmlns="http://schemas.wps.cn/vas-ai-hub/contract-review"/>
      <paraID xmlns="http://schemas.wps.cn/vas-ai-hub/contract-review">622F9202</paraID>
      <start xmlns="http://schemas.wps.cn/vas-ai-hub/contract-review">74</start>
      <end xmlns="http://schemas.wps.cn/vas-ai-hub/contract-review">77</end>
      <status xmlns="http://schemas.wps.cn/vas-ai-hub/contract-review">modified</status>
      <modifiedWord xmlns="http://schemas.wps.cn/vas-ai-hub/contract-review">联合体</modifiedWord>
      <trackRevisions xmlns="http://schemas.wps.cn/vas-ai-hub/contract-review">false</trackRevisions>
    </reviewItem>
    <reviewItem xmlns="http://schemas.wps.cn/vas-ai-hub/contract-review">
      <errorID xmlns="http://schemas.wps.cn/vas-ai-hub/contract-review">022fad68-d2c4-4e78-b138-e9d1cd23a5bc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222F3559</paraID>
      <start xmlns="http://schemas.wps.cn/vas-ai-hub/contract-review">13</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32f1a16a-0027-4488-8ef6-15163962a1d0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57DFF30D</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90ed4aa1-59ae-4c6f-a517-1f9d87651725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51A013D4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fe7aa941-fb19-4af7-91e8-d125fc6e67b4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79402F79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4e619472-7c74-4b73-8da0-454732c6b724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70D74961</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5cd0a544-388d-43ef-b779-9be813ff1573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67F78BE0</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66a9f824-fa17-4af6-8b06-2a628d55f290</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3FEEBE</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3834f748-07ce-488b-8a9b-00b0863d4a0b</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5C857608</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142405a0-d502-40fe-b3c5-d3efec6e73d7</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130AA4FB</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0c6582bc-dd4c-4314-b677-463080e7a102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31C232C2</paraID>
      <start xmlns="http://schemas.wps.cn/vas-ai-hub/contract-review">0</start>
      <end xmlns="http://schemas.wps.cn/vas-ai-hub/contract-review">3</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294422de-a786-4479-a5f9-2dd80ba9aa98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1846E09C</paraID>
      <start xmlns="http://schemas.wps.cn/vas-ai-hub/contract-review">0</start>
      <end xmlns="http://schemas.wps.cn/vas-ai-hub/contract-review">3</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c9dc113e-115d-4c00-9fc2-e0cb57647854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753F719B</paraID>
      <start xmlns="http://schemas.wps.cn/vas-ai-hub/contract-review">0</start>
      <end xmlns="http://schemas.wps.cn/vas-ai-hub/contract-review">3</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8fbbbb4c-0b95-440b-931d-c555a179314c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58BA4C5B</paraID>
      <start xmlns="http://schemas.wps.cn/vas-ai-hub/contract-review">0</start>
      <end xmlns="http://schemas.wps.cn/vas-ai-hub/contract-review">3</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b01f1d9d-8b47-413e-a8ea-79758a130f20</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3EEA6E50</paraID>
      <start xmlns="http://schemas.wps.cn/vas-ai-hub/contract-review">0</start>
      <end xmlns="http://schemas.wps.cn/vas-ai-hub/contract-review">3</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b0c6556c-d0e5-4323-8f34-3a57c181cb1a</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3FEEB929</paraID>
      <start xmlns="http://schemas.wps.cn/vas-ai-hub/contract-review">0</start>
      <end xmlns="http://schemas.wps.cn/vas-ai-hub/contract-review">3</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67f5d5b2-e701-4baf-ba9a-c59ded44ba5d</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1084B227</paraID>
      <start xmlns="http://schemas.wps.cn/vas-ai-hub/contract-review">0</start>
      <end xmlns="http://schemas.wps.cn/vas-ai-hub/contract-review">3</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f03ab704-a50d-49a3-ad60-14df789e404f</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556D9DE4</paraID>
      <start xmlns="http://schemas.wps.cn/vas-ai-hub/contract-review">0</start>
      <end xmlns="http://schemas.wps.cn/vas-ai-hub/contract-review">3</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0c305f48-b9ff-4db3-adb1-012a2e3b9a5b</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48A81231</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53cc8649-74f2-4deb-8f66-8187f3faa3f2</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6EB9DA47</paraID>
      <start xmlns="http://schemas.wps.cn/vas-ai-hub/contract-review">0</start>
      <end xmlns="http://schemas.wps.cn/vas-ai-hub/contract-review">3</end>
      <status xmlns="http://schemas.wps.cn/vas-ai-hub/contract-review">modified</status>
      <modifiedWord xmlns="http://schemas.wps.cn/vas-ai-hub/contract-review">11.</modifiedWord>
      <trackRevisions xmlns="http://schemas.wps.cn/vas-ai-hub/contract-review">false</trackRevisions>
    </reviewItem>
    <reviewItem xmlns="http://schemas.wps.cn/vas-ai-hub/contract-review">
      <errorID xmlns="http://schemas.wps.cn/vas-ai-hub/contract-review">c1b7d57d-3d7e-4a92-8d7c-2ecbfba523e6</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7B86693B</paraID>
      <start xmlns="http://schemas.wps.cn/vas-ai-hub/contract-review">0</start>
      <end xmlns="http://schemas.wps.cn/vas-ai-hub/contract-review">3</end>
      <status xmlns="http://schemas.wps.cn/vas-ai-hub/contract-review">modified</status>
      <modifiedWord xmlns="http://schemas.wps.cn/vas-ai-hub/contract-review">12.</modifiedWord>
      <trackRevisions xmlns="http://schemas.wps.cn/vas-ai-hub/contract-review">false</trackRevisions>
    </reviewItem>
    <reviewItem xmlns="http://schemas.wps.cn/vas-ai-hub/contract-review">
      <errorID xmlns="http://schemas.wps.cn/vas-ai-hub/contract-review">4030219c-ef36-466d-bf0e-0d5b0d14e2e8</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4E402A8E</paraID>
      <start xmlns="http://schemas.wps.cn/vas-ai-hub/contract-review">0</start>
      <end xmlns="http://schemas.wps.cn/vas-ai-hub/contract-review">3</end>
      <status xmlns="http://schemas.wps.cn/vas-ai-hub/contract-review">modified</status>
      <modifiedWord xmlns="http://schemas.wps.cn/vas-ai-hub/contract-review">13.</modifiedWord>
      <trackRevisions xmlns="http://schemas.wps.cn/vas-ai-hub/contract-review">false</trackRevisions>
    </reviewItem>
    <reviewItem xmlns="http://schemas.wps.cn/vas-ai-hub/contract-review">
      <errorID xmlns="http://schemas.wps.cn/vas-ai-hub/contract-review">5a7f4dea-c13e-47e1-af92-a35e30cf92da</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1FA77769</paraID>
      <start xmlns="http://schemas.wps.cn/vas-ai-hub/contract-review">0</start>
      <end xmlns="http://schemas.wps.cn/vas-ai-hub/contract-review">3</end>
      <status xmlns="http://schemas.wps.cn/vas-ai-hub/contract-review">modified</status>
      <modifiedWord xmlns="http://schemas.wps.cn/vas-ai-hub/contract-review">14.</modifiedWord>
      <trackRevisions xmlns="http://schemas.wps.cn/vas-ai-hub/contract-review">false</trackRevisions>
    </reviewItem>
    <reviewItem xmlns="http://schemas.wps.cn/vas-ai-hub/contract-review">
      <errorID xmlns="http://schemas.wps.cn/vas-ai-hub/contract-review">c4903d39-4453-4a37-ab69-d37edb77e8ce</errorID>
      <errorWord xmlns="http://schemas.wps.cn/vas-ai-hub/contract-review">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账</item>
      </candidateList>
      <explain xmlns="http://schemas.wps.cn/vas-ai-hub/contract-review"/>
      <paraID xmlns="http://schemas.wps.cn/vas-ai-hub/contract-review">5CE3C27E</paraID>
      <start xmlns="http://schemas.wps.cn/vas-ai-hub/contract-review">2</start>
      <end xmlns="http://schemas.wps.cn/vas-ai-hub/contract-review">3</end>
      <status xmlns="http://schemas.wps.cn/vas-ai-hub/contract-review">modified</status>
      <modifiedWord xmlns="http://schemas.wps.cn/vas-ai-hub/contract-review">账</modifiedWord>
      <trackRevisions xmlns="http://schemas.wps.cn/vas-ai-hub/contract-review">false</trackRevisions>
    </reviewItem>
    <reviewItem xmlns="http://schemas.wps.cn/vas-ai-hub/contract-review">
      <errorID xmlns="http://schemas.wps.cn/vas-ai-hub/contract-review">9e32e545-ffd8-42da-a6e2-5edefc033b0c</errorID>
      <errorWord xmlns="http://schemas.wps.cn/vas-ai-hub/contract-review">送达至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送达</item>
      </candidateList>
      <explain xmlns="http://schemas.wps.cn/vas-ai-hub/contract-review"/>
      <paraID xmlns="http://schemas.wps.cn/vas-ai-hub/contract-review">70591A7A</paraID>
      <start xmlns="http://schemas.wps.cn/vas-ai-hub/contract-review">21</start>
      <end xmlns="http://schemas.wps.cn/vas-ai-hub/contract-review">23</end>
      <status xmlns="http://schemas.wps.cn/vas-ai-hub/contract-review">modified</status>
      <modifiedWord xmlns="http://schemas.wps.cn/vas-ai-hub/contract-review">送达</modifiedWord>
      <trackRevisions xmlns="http://schemas.wps.cn/vas-ai-hub/contract-review">false</trackRevisions>
    </reviewItem>
    <reviewItem xmlns="http://schemas.wps.cn/vas-ai-hub/contract-review">
      <errorID xmlns="http://schemas.wps.cn/vas-ai-hub/contract-review">e20d0e8a-40d7-4966-af4a-8aa669069a88</errorID>
      <errorWord xmlns="http://schemas.wps.cn/vas-ai-hub/contract-review">涵义</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含义</item>
      </candidateList>
      <explain xmlns="http://schemas.wps.cn/vas-ai-hub/contract-review">词汇[涵义]为不规范表述或旧称，其规范书面表述为[含义]。</explain>
      <paraID xmlns="http://schemas.wps.cn/vas-ai-hub/contract-review">71108320</paraID>
      <start xmlns="http://schemas.wps.cn/vas-ai-hub/contract-review">31</start>
      <end xmlns="http://schemas.wps.cn/vas-ai-hub/contract-review">33</end>
      <status xmlns="http://schemas.wps.cn/vas-ai-hub/contract-review">modified</status>
      <modifiedWord xmlns="http://schemas.wps.cn/vas-ai-hub/contract-review">含义</modifiedWord>
      <trackRevisions xmlns="http://schemas.wps.cn/vas-ai-hub/contract-review">false</trackRevisions>
    </reviewItem>
    <reviewItem xmlns="http://schemas.wps.cn/vas-ai-hub/contract-review">
      <errorID xmlns="http://schemas.wps.cn/vas-ai-hub/contract-review">79ece2d8-23e0-4fdb-a43e-70af5df65c66</errorID>
      <errorWord xmlns="http://schemas.wps.cn/vas-ai-hub/contract-review">涵义</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含义</item>
      </candidateList>
      <explain xmlns="http://schemas.wps.cn/vas-ai-hub/contract-review">词汇[涵义]为不规范表述或旧称，其规范书面表述为[含义]。</explain>
      <paraID xmlns="http://schemas.wps.cn/vas-ai-hub/contract-review">71108320</paraID>
      <start xmlns="http://schemas.wps.cn/vas-ai-hub/contract-review">77</start>
      <end xmlns="http://schemas.wps.cn/vas-ai-hub/contract-review">79</end>
      <status xmlns="http://schemas.wps.cn/vas-ai-hub/contract-review">modified</status>
      <modifiedWord xmlns="http://schemas.wps.cn/vas-ai-hub/contract-review">含义</modifiedWord>
      <trackRevisions xmlns="http://schemas.wps.cn/vas-ai-hub/contract-review">false</trackRevisions>
    </reviewItem>
    <reviewItem xmlns="http://schemas.wps.cn/vas-ai-hub/contract-review">
      <errorID xmlns="http://schemas.wps.cn/vas-ai-hub/contract-review">295e016c-370e-4b1b-8d7d-7c5a525cfe6f</errorID>
      <errorWord xmlns="http://schemas.wps.cn/vas-ai-hub/contract-review">古树名木的保护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古树名木保护</item>
      </candidateList>
      <explain xmlns="http://schemas.wps.cn/vas-ai-hub/contract-review">词汇“古树名木保护”在特定场景下为固定表述形式，请确认此处的“古树名木的保护”是否存在不当。</explain>
      <paraID xmlns="http://schemas.wps.cn/vas-ai-hub/contract-review">399B6793</paraID>
      <start xmlns="http://schemas.wps.cn/vas-ai-hub/contract-review">28</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0ef47653-cee6-43a4-8697-075ec6161313</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存在发音相同字词的误用。</explain>
      <paraID xmlns="http://schemas.wps.cn/vas-ai-hub/contract-review">731FE977</paraID>
      <start xmlns="http://schemas.wps.cn/vas-ai-hub/contract-review">126</start>
      <end xmlns="http://schemas.wps.cn/vas-ai-hub/contract-review">127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c3109766-b8f3-4d97-a166-0a3f402a722b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4C93F75F</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56977b6d-b8f7-482d-b86d-ad36e592210d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28880559</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3c87b525-1d31-46a3-9e01-50f865541ff7</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42E9CCC1</paraID>
      <start xmlns="http://schemas.wps.cn/vas-ai-hub/contract-review">72</start>
      <end xmlns="http://schemas.wps.cn/vas-ai-hub/contract-review">74</end>
      <status xmlns="http://schemas.wps.cn/vas-ai-hub/contract-review">modified</status>
      <modifiedWord xmlns="http://schemas.wps.cn/vas-ai-hub/contract-review">噪声</modifiedWord>
      <trackRevisions xmlns="http://schemas.wps.cn/vas-ai-hub/contract-review">false</trackRevisions>
    </reviewItem>
    <reviewItem xmlns="http://schemas.wps.cn/vas-ai-hub/contract-review">
      <errorID xmlns="http://schemas.wps.cn/vas-ai-hub/contract-review">99992cde-573e-4f7d-96ea-e817032b3ce6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39F1AAFA</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033efe05-9965-4d2f-87d0-32ab4537c846</errorID>
      <errorWord xmlns="http://schemas.wps.cn/vas-ai-hub/contract-review">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天内</item>
      </candidateList>
      <explain xmlns="http://schemas.wps.cn/vas-ai-hub/contract-review"/>
      <paraID xmlns="http://schemas.wps.cn/vas-ai-hub/contract-review">34020250</paraID>
      <start xmlns="http://schemas.wps.cn/vas-ai-hub/contract-review">81</start>
      <end xmlns="http://schemas.wps.cn/vas-ai-hub/contract-review">83</end>
      <status xmlns="http://schemas.wps.cn/vas-ai-hub/contract-review">modified</status>
      <modifiedWord xmlns="http://schemas.wps.cn/vas-ai-hub/contract-review">天内</modifiedWord>
      <trackRevisions xmlns="http://schemas.wps.cn/vas-ai-hub/contract-review">false</trackRevisions>
    </reviewItem>
    <reviewItem xmlns="http://schemas.wps.cn/vas-ai-hub/contract-review">
      <errorID xmlns="http://schemas.wps.cn/vas-ai-hub/contract-review">cef6261f-f3cf-4c7e-b3df-d468a79f8bd4</errorID>
      <errorWord xmlns="http://schemas.wps.cn/vas-ai-hub/contract-review">任何的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任何</item>
      </candidateList>
      <explain xmlns="http://schemas.wps.cn/vas-ai-hub/contract-review"/>
      <paraID xmlns="http://schemas.wps.cn/vas-ai-hub/contract-review">6557B6B3</paraID>
      <start xmlns="http://schemas.wps.cn/vas-ai-hub/contract-review">65</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9f3bae8c-82f8-41e2-a86a-a710524970d3</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
      <paraID xmlns="http://schemas.wps.cn/vas-ai-hub/contract-review">45D07F76</paraID>
      <start xmlns="http://schemas.wps.cn/vas-ai-hub/contract-review">3</start>
      <end xmlns="http://schemas.wps.cn/vas-ai-hub/contract-review">5</end>
      <status xmlns="http://schemas.wps.cn/vas-ai-hub/contract-review">modified</status>
      <modifiedWord xmlns="http://schemas.wps.cn/vas-ai-hub/contract-review">进入</modifiedWord>
      <trackRevisions xmlns="http://schemas.wps.cn/vas-ai-hub/contract-review">false</trackRevisions>
    </reviewItem>
    <reviewItem xmlns="http://schemas.wps.cn/vas-ai-hub/contract-review">
      <errorID xmlns="http://schemas.wps.cn/vas-ai-hub/contract-review">b859ef58-7053-410e-97f6-798355900813</errorID>
      <errorWord xmlns="http://schemas.wps.cn/vas-ai-hub/contract-review">告之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告知</item>
      </candidateList>
      <explain xmlns="http://schemas.wps.cn/vas-ai-hub/contract-review"/>
      <paraID xmlns="http://schemas.wps.cn/vas-ai-hub/contract-review"> 789907B</paraID>
      <start xmlns="http://schemas.wps.cn/vas-ai-hub/contract-review">104</start>
      <end xmlns="http://schemas.wps.cn/vas-ai-hub/contract-review">106</end>
      <status xmlns="http://schemas.wps.cn/vas-ai-hub/contract-review">modified</status>
      <modifiedWord xmlns="http://schemas.wps.cn/vas-ai-hub/contract-review">告知</modifiedWord>
      <trackRevisions xmlns="http://schemas.wps.cn/vas-ai-hub/contract-review">false</trackRevisions>
    </reviewItem>
    <reviewItem xmlns="http://schemas.wps.cn/vas-ai-hub/contract-review">
      <errorID xmlns="http://schemas.wps.cn/vas-ai-hub/contract-review">ecb85b39-9a95-4892-9977-f8c4b332a07e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31BCB47C</paraID>
      <start xmlns="http://schemas.wps.cn/vas-ai-hub/contract-review">63</start>
      <end xmlns="http://schemas.wps.cn/vas-ai-hub/contract-review">64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28f9ce19-bd0f-49ed-9451-f06c2e96fbef</errorID>
      <errorWord xmlns="http://schemas.wps.cn/vas-ai-hub/contract-review">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款中</item>
      </candidateList>
      <explain xmlns="http://schemas.wps.cn/vas-ai-hub/contract-review"/>
      <paraID xmlns="http://schemas.wps.cn/vas-ai-hub/contract-review">28A91B15</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b211ffa2-f4b2-46fc-97ab-094838c0eaab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3B4220B2</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215051ac-0ea1-44ec-b87e-c2d50958c51b</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3D66D5AC</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5c4f5850-d41e-4f3d-a11e-d2da6ffa5099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5D2535A0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8aaac601-5ff0-42e7-9b22-c8375f84cf8f</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）项</item>
      </candidateList>
      <explain xmlns="http://schemas.wps.cn/vas-ai-hub/contract-review"/>
      <paraID xmlns="http://schemas.wps.cn/vas-ai-hub/contract-review">587D5403</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38154cc6-8e13-4fea-9263-b40c1b407bca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1C92C499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bee5e3cd-8e8f-4f2b-8fe0-3495fd6d8fa1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620604BB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2048f855-d5bc-4962-a5ce-583d72974037</errorID>
      <errorWord xmlns="http://schemas.wps.cn/vas-ai-hub/contract-review">）施工现场内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）施工现场</item>
      </candidateList>
      <explain xmlns="http://schemas.wps.cn/vas-ai-hub/contract-review"/>
      <paraID xmlns="http://schemas.wps.cn/vas-ai-hub/contract-review">6291D902</paraID>
      <start xmlns="http://schemas.wps.cn/vas-ai-hub/contract-review">2</start>
      <end xmlns="http://schemas.wps.cn/vas-ai-hub/contract-review">7</end>
      <status xmlns="http://schemas.wps.cn/vas-ai-hub/contract-review">modified</status>
      <modifiedWord xmlns="http://schemas.wps.cn/vas-ai-hub/contract-review">）施工现场</modifiedWord>
      <trackRevisions xmlns="http://schemas.wps.cn/vas-ai-hub/contract-review">false</trackRevisions>
    </reviewItem>
    <reviewItem xmlns="http://schemas.wps.cn/vas-ai-hub/contract-review">
      <errorID xmlns="http://schemas.wps.cn/vas-ai-hub/contract-review">c75902c2-bb49-4ad7-83ce-ae4a1e6a01e5</errorID>
      <errorWord xmlns="http://schemas.wps.cn/vas-ai-hub/contract-review">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款中</item>
      </candidateList>
      <explain xmlns="http://schemas.wps.cn/vas-ai-hub/contract-review"/>
      <paraID xmlns="http://schemas.wps.cn/vas-ai-hub/contract-review">7D7650CD</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491ea47a-2a00-4a3d-9965-ed12127a7863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7D7650CD</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21cf7874-cb0d-4549-86a4-384ce41791a4</errorID>
      <errorWord xmlns="http://schemas.wps.cn/vas-ai-hub/contract-review">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限内</item>
      </candidateList>
      <explain xmlns="http://schemas.wps.cn/vas-ai-hub/contract-review"/>
      <paraID xmlns="http://schemas.wps.cn/vas-ai-hub/contract-review"> 9288574</paraID>
      <start xmlns="http://schemas.wps.cn/vas-ai-hub/contract-review">24</start>
      <end xmlns="http://schemas.wps.cn/vas-ai-hub/contract-review">26</end>
      <status xmlns="http://schemas.wps.cn/vas-ai-hub/contract-review">modified</status>
      <modifiedWord xmlns="http://schemas.wps.cn/vas-ai-hub/contract-review">限内</modifiedWord>
      <trackRevisions xmlns="http://schemas.wps.cn/vas-ai-hub/contract-review">false</trackRevisions>
    </reviewItem>
    <reviewItem xmlns="http://schemas.wps.cn/vas-ai-hub/contract-review">
      <errorID xmlns="http://schemas.wps.cn/vas-ai-hub/contract-review">85312a77-5a56-46f2-936d-4d21abdf404e</errorID>
      <errorWord xmlns="http://schemas.wps.cn/vas-ai-hub/contract-review">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款中</item>
      </candidateList>
      <explain xmlns="http://schemas.wps.cn/vas-ai-hub/contract-review"/>
      <paraID xmlns="http://schemas.wps.cn/vas-ai-hub/contract-review">38D13277</paraID>
      <start xmlns="http://schemas.wps.cn/vas-ai-hub/contract-review">181</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a0837d91-047e-415f-a6ab-2d96e16a4224</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7D2F9945</paraID>
      <start xmlns="http://schemas.wps.cn/vas-ai-hub/contract-review">41</start>
      <end xmlns="http://schemas.wps.cn/vas-ai-hub/contract-review">43</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ae510387-9c06-4331-bd7a-52748eaa9766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2EA52CFF</paraID>
      <start xmlns="http://schemas.wps.cn/vas-ai-hub/contract-review">58</start>
      <end xmlns="http://schemas.wps.cn/vas-ai-hub/contract-review">59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32c82caa-215d-45f5-87dc-9af794b39161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1F64AFAD</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f2d1aaca-9a1c-4b4a-bb37-3cface291e4a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4830E5F6</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b5cb991c-7740-4738-955c-dec9ebc269f1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1A630C65</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a6d39ea2-2d14-4bfa-a729-e4be23762479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6E1FDF39</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e042d4e7-8f99-4ab2-aa57-087e24e25627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75417DA3</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28a530fb-340b-4e43-af49-91fe4742b082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E37DC4</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c394fe20-634b-4c5d-a5f9-d7ea972e240b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16D63995</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9109d6a9-a97c-48d5-ab6b-e8a21d0487ae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3347D819</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ce844c26-1f96-42b7-87cf-9b14c3d174aa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1B0230C</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c7fa68ba-2686-4e46-bd0a-bcbf3a8390ad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34885191</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2ac4296a-9db7-4996-9fa3-db6c06717f1b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67F0FC9</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d4da1ccd-a879-4eaa-b89a-9c82fdc65338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31697A97</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23286129-d022-47b0-a857-e54c9036a3e3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6C8F49D5</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4f535ff9-55d8-4857-920c-e8e457d97224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5E547301</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de4553fc-f61c-498c-8c03-1c9535363205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7EA7C0A0</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213132d5-c659-4999-aea3-3d714886d1fb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6811FC2A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28f8fdb7-8e87-42c8-a782-6f0eaf2d6302</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757CBCE9</paraID>
      <start xmlns="http://schemas.wps.cn/vas-ai-hub/contract-review">16</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fd1fdccb-af38-4e3a-8b49-4f86821468b2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757CBCE9</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6d2bd03c-0911-48fe-a91d-d776a83bc8b2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5DC0B5E4</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a631782e-890b-4e82-b951-029bc7e93e22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5DC0B5E4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5b399dd0-8341-4fca-a1d4-6151859a6f0c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5DC0B5E4</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a953c3ca-9f55-4fc0-b6e1-71a63916c8cc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5060BF10</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d41af3d4-e6fa-4012-bf34-e2c48d96e3c3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5060BF10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b2d5b53a-8d01-420f-bfe5-b21bbfb4904f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5060BF10</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48070735-18a4-40d0-94a5-5c51a703e1e0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2DD08164</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71b75ade-a071-4279-b288-7238e3937d20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2DD08164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31082861-b7c3-479f-9995-a22c7d0dec34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2DD08164</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20229208-b08f-4ccf-ac6e-e3e28cbea62f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7FA5ABD2</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c41d1948-aab3-4f6a-aafa-c4dd8795e7bb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20C31FB3</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9dd201e1-291f-43fe-9610-d35496e634b0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12261332</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47af9920-d4e1-41bc-8808-e064a4e53fca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25BD738B</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c5c35b50-4e85-4403-8fa2-1fee62e46f8a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1744DF72</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669b71b4-9dea-4131-85df-946ea26df5d0</errorID>
      <errorWord xmlns="http://schemas.wps.cn/vas-ai-hub/contract-review">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意见</item>
      </candidateList>
      <explain xmlns="http://schemas.wps.cn/vas-ai-hub/contract-review"/>
      <paraID xmlns="http://schemas.wps.cn/vas-ai-hub/contract-review">3FFF9D13</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23b4cb38-67be-4cca-8076-9e0296741a3b</errorID>
      <errorWord xmlns="http://schemas.wps.cn/vas-ai-hub/contract-review">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意见</item>
      </candidateList>
      <explain xmlns="http://schemas.wps.cn/vas-ai-hub/contract-review"/>
      <paraID xmlns="http://schemas.wps.cn/vas-ai-hub/contract-review">114A7437</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846d5b77-ea37-4cce-9938-6e3550525a21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72E9ADD</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b70b690c-d1a4-4f4e-8577-3166c0061c75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AED15DF</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41783e38-9286-4e38-9ad0-78fe00ff677c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9ECDAA2</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41461915-0908-48a3-aa7a-b3a085d0bcce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67A7FF4D</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f2115598-cfe8-4c79-aa4a-a7b90d2eed2b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5D012F6B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50bf254d-8cdb-4c53-8ce0-a139577cabb0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5D012F6B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b40b28f3-84e7-4a76-9c07-c2acc925d3a8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5D012F6B</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a0c61311-3905-4d92-b525-215547478869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14322512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83e9dce6-2b69-41e9-82e8-f136b03c0377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14322512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505a9259-dff2-46f8-8c5d-ce3992c81c21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14322512</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7f6141f7-a5f1-4268-b511-3d041eec489d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FBC9445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036b5397-c54b-49fb-9039-680a43a9fb48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FBC9445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61c8751e-82c1-46f5-9172-6f7a600ee07b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FBC9445</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0d46ff4f-b2cd-4d74-bcea-3d0314cc215a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59F4648D</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8ae8414b-6083-4e08-a102-73f8e50b9643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253629D6</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54c3183c-326c-4a95-b66d-a00a192147d5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65718185</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a111f983-cfc4-4b43-9907-9237a857044d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5AD5586</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2c3d7fad-58ec-4550-97a0-123414617c71</errorID>
      <errorWord xmlns="http://schemas.wps.cn/vas-ai-hub/contract-review">变更的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变更</item>
      </candidateList>
      <explain xmlns="http://schemas.wps.cn/vas-ai-hub/contract-review"/>
      <paraID xmlns="http://schemas.wps.cn/vas-ai-hub/contract-review"> 5488EDD</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f88dc59b-3512-44cb-acc7-fef8c3d80065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346C4BAA</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3cc6bc42-908d-42b5-8540-cfd6664096eb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110BEC80</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60e0675c-b837-4b3b-8bba-37de34eb6dfb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5015C8E4</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46679f12-5583-4189-8927-f1c4689a3d98</errorID>
      <errorWord xmlns="http://schemas.wps.cn/vas-ai-hub/contract-review">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通知</item>
      </candidateList>
      <explain xmlns="http://schemas.wps.cn/vas-ai-hub/contract-review"/>
      <paraID xmlns="http://schemas.wps.cn/vas-ai-hub/contract-review">43225B5A</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efc0e21e-1c9f-43fd-b818-2f463a70b670</errorID>
      <errorWord xmlns="http://schemas.wps.cn/vas-ai-hub/contract-review">成员的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成员</item>
      </candidateList>
      <explain xmlns="http://schemas.wps.cn/vas-ai-hub/contract-review"/>
      <paraID xmlns="http://schemas.wps.cn/vas-ai-hub/contract-review">14B4A810</paraID>
      <start xmlns="http://schemas.wps.cn/vas-ai-hub/contract-review">6</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02037046-2321-4d02-96db-b2ac8ed70d39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70F5395F</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6e593165-81be-456a-ba75-41201f7e32c5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70F5395F</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bc5ce259-82d0-4cf1-8035-5574aca4a842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639D0B5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004b843b-7bbd-49cd-bba5-2303e34ecb1a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73599135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f41ab3e5-07b3-437d-8861-44dac6906ca1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7AE0A280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b4a81d08-ab4f-408f-832f-53ba3f9313c4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48180D00</paraID>
      <start xmlns="http://schemas.wps.cn/vas-ai-hub/contract-review">26</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64e88642-5c73-4900-9fd0-2e36575aab7f</errorID>
      <errorWord xmlns="http://schemas.wps.cn/vas-ai-hub/contract-review">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价格</item>
      </candidateList>
      <explain xmlns="http://schemas.wps.cn/vas-ai-hub/contract-review"/>
      <paraID xmlns="http://schemas.wps.cn/vas-ai-hub/contract-review">4ABEF8E9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06e291cb-c0f6-472b-8876-3cde2cdb83a5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3C9E3457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b761a5fe-9fe4-4190-a456-b3ec7bf3d0f1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2D237D21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c7865dd9-4260-4a7d-8a2e-450791d594f7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2D237D21</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a012a7a8-4451-4648-a4c3-89042a5e99c4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2D237D21</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5fd0fe40-95e5-445c-b4bb-4e4540e7c699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7E80B132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b05d22a5-d362-42a0-9108-ee5985f16e4e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DED4A8C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18684286-6e1b-4abf-a695-5ace310a33e6</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175E8CF1</paraID>
      <start xmlns="http://schemas.wps.cn/vas-ai-hub/contract-review">60</start>
      <end xmlns="http://schemas.wps.cn/vas-ai-hub/contract-review">62</end>
      <status xmlns="http://schemas.wps.cn/vas-ai-hub/contract-review">modified</status>
      <modifiedWord xmlns="http://schemas.wps.cn/vas-ai-hub/contract-review">噪声</modifiedWord>
      <trackRevisions xmlns="http://schemas.wps.cn/vas-ai-hub/contract-review">false</trackRevisions>
    </reviewItem>
    <reviewItem xmlns="http://schemas.wps.cn/vas-ai-hub/contract-review">
      <errorID xmlns="http://schemas.wps.cn/vas-ai-hub/contract-review">ae11a300-4f33-4f68-87c9-ec09629dd8eb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2D7176E6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ffb9c57d-f4d1-492a-b052-a3fa37f12e04</errorID>
      <errorWord xmlns="http://schemas.wps.cn/vas-ai-hub/contract-review">[2000]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〔2000〕</item>
      </candidateList>
      <explain xmlns="http://schemas.wps.cn/vas-ai-hub/contract-review"/>
      <paraID xmlns="http://schemas.wps.cn/vas-ai-hub/contract-review">3B47A61B</paraID>
      <start xmlns="http://schemas.wps.cn/vas-ai-hub/contract-review">5</start>
      <end xmlns="http://schemas.wps.cn/vas-ai-hub/contract-review">11</end>
      <status xmlns="http://schemas.wps.cn/vas-ai-hub/contract-review">modified</status>
      <modifiedWord xmlns="http://schemas.wps.cn/vas-ai-hub/contract-review">〔2000〕</modifiedWord>
      <trackRevisions xmlns="http://schemas.wps.cn/vas-ai-hub/contract-review">false</trackRevisions>
    </reviewItem>
    <reviewItem xmlns="http://schemas.wps.cn/vas-ai-hub/contract-review">
      <errorID xmlns="http://schemas.wps.cn/vas-ai-hub/contract-review">353ab3ca-9cbe-4d06-bf54-0404182d7f26</errorID>
      <errorWord xmlns="http://schemas.wps.cn/vas-ai-hub/contract-review">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年第</item>
      </candidateList>
      <explain xmlns="http://schemas.wps.cn/vas-ai-hub/contract-review"/>
      <paraID xmlns="http://schemas.wps.cn/vas-ai-hub/contract-review">3B47A61B</paraID>
      <start xmlns="http://schemas.wps.cn/vas-ai-hub/contract-review">11</start>
      <end xmlns="http://schemas.wps.cn/vas-ai-hub/contract-review">13</end>
      <status xmlns="http://schemas.wps.cn/vas-ai-hub/contract-review">modified</status>
      <modifiedWord xmlns="http://schemas.wps.cn/vas-ai-hub/contract-review">年第</modifiedWord>
      <trackRevisions xmlns="http://schemas.wps.cn/vas-ai-hub/contract-review">false</trackRevisions>
    </reviewItem>
    <reviewItem xmlns="http://schemas.wps.cn/vas-ai-hub/contract-review">
      <errorID xmlns="http://schemas.wps.cn/vas-ai-hub/contract-review">854dbd37-3245-4a95-8330-4891f4c9dd60</errorID>
      <errorWord xmlns="http://schemas.wps.cn/vas-ai-hub/contract-review">建筑工程质量管理条例</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建设工程质量管理条例</item>
      </candidateList>
      <explain xmlns="http://schemas.wps.cn/vas-ai-hub/contract-review">当前法律法规未收录或尚未生效，注意核查是否正确。</explain>
      <paraID xmlns="http://schemas.wps.cn/vas-ai-hub/contract-review">3B47A61B</paraID>
      <start xmlns="http://schemas.wps.cn/vas-ai-hub/contract-review">19</start>
      <end xmlns="http://schemas.wps.cn/vas-ai-hub/contract-review">29</end>
      <status xmlns="http://schemas.wps.cn/vas-ai-hub/contract-review">modified</status>
      <modifiedWord xmlns="http://schemas.wps.cn/vas-ai-hub/contract-review">建设工程质量管理条例</modifiedWord>
      <trackRevisions xmlns="http://schemas.wps.cn/vas-ai-hub/contract-review">false</trackRevisions>
    </reviewItem>
    <reviewItem xmlns="http://schemas.wps.cn/vas-ai-hub/contract-review">
      <errorID xmlns="http://schemas.wps.cn/vas-ai-hub/contract-review">83d6190d-4563-4313-858a-101d8eddf731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5E90442A</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338b8348-5596-440f-8ee8-49a795a98225</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2AEF083D</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392189e2-96f0-4357-ac1b-a6210f2ab66c</errorID>
      <errorWord xmlns="http://schemas.wps.cn/vas-ai-hub/contract-review">设施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设置</item>
      </candidateList>
      <explain xmlns="http://schemas.wps.cn/vas-ai-hub/contract-review">存在发音相近字词的误用。</explain>
      <paraID xmlns="http://schemas.wps.cn/vas-ai-hub/contract-review">2AEF083D</paraID>
      <start xmlns="http://schemas.wps.cn/vas-ai-hub/contract-review">53</start>
      <end xmlns="http://schemas.wps.cn/vas-ai-hub/contract-review">55</end>
      <status xmlns="http://schemas.wps.cn/vas-ai-hub/contract-review">modified</status>
      <modifiedWord xmlns="http://schemas.wps.cn/vas-ai-hub/contract-review">设置</modifiedWord>
      <trackRevisions xmlns="http://schemas.wps.cn/vas-ai-hub/contract-review">false</trackRevisions>
    </reviewItem>
    <reviewItem xmlns="http://schemas.wps.cn/vas-ai-hub/contract-review">
      <errorID xmlns="http://schemas.wps.cn/vas-ai-hub/contract-review">89de7c92-e2ba-424e-856f-f97b0e78127e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50775386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07b9a19a-249c-4c5b-bb40-f6ab9e4df20c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5AC7130F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c6e3bbc8-368b-4bce-98a1-8ee0d2eb7f67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5AC7130F</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3160d12b-0302-45ff-9a3a-9ff5e85bb2d0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5AC7130F</paraID>
      <start xmlns="http://schemas.wps.cn/vas-ai-hub/contract-review">42</start>
      <end xmlns="http://schemas.wps.cn/vas-ai-hub/contract-review">43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ce19829d-9acd-4c91-ba06-7ac53cd5b6e8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636B6604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736138f7-16ed-49a4-af2c-40d8dabed648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636B6604</paraID>
      <start xmlns="http://schemas.wps.cn/vas-ai-hub/contract-review">31</start>
      <end xmlns="http://schemas.wps.cn/vas-ai-hub/contract-review">32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8de892a6-76c8-43ad-a639-6f6c4973a886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16BF4B2</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eef5fce6-590c-4a7b-8b56-7d2b3c863448</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211FDD0D</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0847291f-6340-41d8-ab73-d160b79a0e40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31220C5F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a5d2f4be-86b4-4dea-b4df-56c97ad4ee39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D36FAFB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fa13d985-ae5b-471b-85cd-928b4017ae63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9DDB416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583bb0b9-19d2-4708-a912-a49b419a7f0c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18944762</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bec92bc4-9ce6-46c0-a9c7-661cc5686cea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18944762</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75159f3d-365f-40ce-9db1-624f4329892c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18944762</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fe9cc79c-5a35-4097-966b-e1d5d1022221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7104291B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9951c2c4-05d4-4a2f-a268-abd6d30a9046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5A55EAB1</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9a2e6b91-e87b-482b-9722-3e3690567cfd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3C480C71</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ef2d3214-e11e-44fe-ab8a-fcd0f2917feb</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260131B4</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809bfe35-3e4b-4841-81ca-2429b46316c6</errorID>
      <errorWord xmlns="http://schemas.wps.cn/vas-ai-hub/contract-review">政府采购政策产品</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政府采购绿色产品</item>
      </candidateList>
      <explain xmlns="http://schemas.wps.cn/vas-ai-hub/contract-review">词汇“政府采购绿色产品”在特定场景下为固定表述形式，请确认此处的“政府采购政策产品”是否存在不当。</explain>
      <paraID xmlns="http://schemas.wps.cn/vas-ai-hub/contract-review">22684291</paraID>
      <start xmlns="http://schemas.wps.cn/vas-ai-hub/contract-review">4</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50dc0712-b560-4b15-a107-e2ca8e03ea92</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730607B8</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93998d45-00eb-459c-818a-9fa2b461a4ed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4F53BC93</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067aace0-cda0-4775-8497-96c10add4bd1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4F53BC93</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5e66f2dd-d8db-4ce4-b99a-15ae7e31baa6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5E77B7ED</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b4c8957d-a682-43df-8ed0-e86e11a1683a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5E77B7ED</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bb503964-d63d-4e5a-a3e2-86a2adf255a6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2C8A5945</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4c717b40-09fe-40ba-b561-22f90d0b923c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2C8A5945</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8beb5809-c157-4a70-a00e-06e2f4eca9b5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27E2B86F</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e173c663-215f-4d8a-be2d-5debc73a496b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27E2B86F</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195ddf79-c1fb-437e-b481-659d007b4391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13F8D6CD</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7046eefe-cb5d-4801-b514-b3f65d9f2f36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13F8D6CD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10141971-329a-4d5a-9917-66624f51dac0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6DF02867</paraID>
      <start xmlns="http://schemas.wps.cn/vas-ai-hub/contract-review">102</start>
      <end xmlns="http://schemas.wps.cn/vas-ai-hub/contract-review">103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ece267a3-f7fb-4696-92d1-cbe0b66284af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6DF02867</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cb9790f1-8f2a-482a-8706-abe55bb8c819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6DF02867</paraID>
      <start xmlns="http://schemas.wps.cn/vas-ai-hub/contract-review">161</start>
      <end xmlns="http://schemas.wps.cn/vas-ai-hub/contract-review">162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1152cfd8-5591-43b1-ab32-0f825ca3510b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6DF02867</paraID>
      <start xmlns="http://schemas.wps.cn/vas-ai-hub/contract-review">163</start>
      <end xmlns="http://schemas.wps.cn/vas-ai-hub/contract-review">164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e08ec447-5430-4a4f-b7d7-130e82672233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6DF02867</paraID>
      <start xmlns="http://schemas.wps.cn/vas-ai-hub/contract-review">181</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5660e21a-834b-4b6a-a809-95d416ecb508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6DF02867</paraID>
      <start xmlns="http://schemas.wps.cn/vas-ai-hub/contract-review">183</start>
      <end xmlns="http://schemas.wps.cn/vas-ai-hub/contract-review">184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060c35c4-a27b-451f-a0c1-3cd8c7531d4f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52A6007D</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d005b5b4-33b3-431f-80b6-66d62322b56a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52A6007D</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69971858-0d6d-44e7-b9b0-b6c334205c22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9AB7367</paraID>
      <start xmlns="http://schemas.wps.cn/vas-ai-hub/contract-review">97</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101c3615-1ce5-4acc-b62b-28be1af95a2e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7ED87821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413e3d73-bb70-4cba-b390-b4504b4cf2aa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7ED87821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af3e376f-3410-43fd-85e4-42e306c2b1fb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3F3C1EF0</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a1b91a02-779d-4d1b-98ad-b82065f88eae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3F3C1EF0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16ea024f-c915-43a2-9519-254a6df368b4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156E1CFD</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667740ee-f441-45ba-8255-4e6cd79b8895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156E1CFD</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65aa7c5a-e521-4da3-a421-59aeeec570e8</errorID>
      <errorWord xmlns="http://schemas.wps.cn/vas-ai-hub/contract-review">个</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candidateList>
      <explain xmlns="http://schemas.wps.cn/vas-ai-hub/contract-review"/>
      <paraID xmlns="http://schemas.wps.cn/vas-ai-hub/contract-review">45D308EB</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1c3f170a-24b6-4925-89fe-16cc078f6399</errorID>
      <errorWord xmlns="http://schemas.wps.cn/vas-ai-hub/contract-review">出现其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出现</item>
      </candidateList>
      <explain xmlns="http://schemas.wps.cn/vas-ai-hub/contract-review"/>
      <paraID xmlns="http://schemas.wps.cn/vas-ai-hub/contract-review">15249C9B</paraID>
      <start xmlns="http://schemas.wps.cn/vas-ai-hub/contract-review">45</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4b35a8e8-2916-43f9-9457-3e6adba23107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1AA2E886</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f8f62d46-5ec5-47ac-81c7-2e21f3474278</errorID>
      <errorWord xmlns="http://schemas.wps.cn/vas-ai-hub/contract-review">及帐号</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及账号</item>
      </candidateList>
      <explain xmlns="http://schemas.wps.cn/vas-ai-hub/contract-review">词汇[及帐号]为不规范表述或旧称，其规范书面表述为[及账号]。</explain>
      <paraID xmlns="http://schemas.wps.cn/vas-ai-hub/contract-review">364835EF</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92888032-cf63-41cb-a50e-069cb223b1a2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4D4F1FF4</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fa499153-b976-4a76-a3f9-9dc670dfcf13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4D4F1FF4</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760ec6d1-6f52-4120-97eb-01e4b062fd53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5D37BEB6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78690ebd-2b04-4c04-8b48-809d391deeb9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2BE848D3</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671d8a8f-7cbb-48d0-8cea-56482ea42c70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109216A4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5d0bc836-2e14-464a-995f-58ced7131fa6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38D83B97</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55fc0441-e3ae-4e7b-9380-9eb8eb83acc0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137D52E2</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499f8957-16f3-412a-ad52-5367ef33c1a4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2C45A00C</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fdc029e5-2f83-49e3-a362-b1cfaa87ebd2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2C45A00C</paraID>
      <start xmlns="http://schemas.wps.cn/vas-ai-hub/contract-review">68</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d553ac23-eeef-4ca8-a962-98c6c5f1d8cc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2C45A00C</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c385aaa5-d744-4233-a81c-aea9ce3bfdb5</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466C17B7</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9999ac2c-33b7-4e3b-8a2f-58c359aecea5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72A4AA1B</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c3d70ca7-6f6f-4e59-8788-d372e1b3d302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72A4AA1B</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305f7281-2f06-45ef-b810-dfdc9a225734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26580F7D</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e16d1e0c-a488-4487-82f1-73599a62b487</errorID>
      <errorWord xmlns="http://schemas.wps.cn/vas-ai-hub/contract-review">政府采购政策产品</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政府采购绿色产品</item>
      </candidateList>
      <explain xmlns="http://schemas.wps.cn/vas-ai-hub/contract-review">词汇“政府采购绿色产品”在特定场景下为固定表述形式，请确认此处的“政府采购政策产品”是否存在不当。</explain>
      <paraID xmlns="http://schemas.wps.cn/vas-ai-hub/contract-review">2004F696</paraID>
      <start xmlns="http://schemas.wps.cn/vas-ai-hub/contract-review">5</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cb854eea-8941-4c51-9a26-f59159ba26ac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6D8C5DB4</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438aa40b-3ab3-4278-856d-41f8e8dd6602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15908220</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a4f6b1ed-1e5f-428d-a41c-6d5dc1ac92d1</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1C598218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a785bcb4-7a9f-4336-b651-72568d88f8b2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1C598218</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91dcedd3-150d-48e9-a38c-b24929c4aa40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5D11CCF7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27b2f574-196c-4558-aa71-7050acf3dce8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376BB81</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aab53def-fa47-41c2-9059-4abb286a4402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376BB81</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82f34db8-1956-4ecf-a809-22b5b9dc5140</errorID>
      <errorWord xmlns="http://schemas.wps.cn/vas-ai-hub/contract-review">〔2017〕 141号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〔2017〕141号</item>
      </candidateList>
      <explain xmlns="http://schemas.wps.cn/vas-ai-hub/contract-review">发文字号格式错误。</explain>
      <paraID xmlns="http://schemas.wps.cn/vas-ai-hub/contract-review">45C7D442</paraID>
      <start xmlns="http://schemas.wps.cn/vas-ai-hub/contract-review">49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50226424-701c-4ffd-92e2-9cb7610f0720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4EC8A97B</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01cb6028-c18f-4bc2-b603-24b7bbb05f3e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5C467CEA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3e83e8-0ae6-48a4-8660-64b0cc456d74}">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75</Pages>
  <Words>25692</Words>
  <Characters>26923</Characters>
  <Lines>494</Lines>
  <Paragraphs>1824</Paragraphs>
  <TotalTime>38</TotalTime>
  <ScaleCrop>false</ScaleCrop>
  <LinksUpToDate>false</LinksUpToDate>
  <CharactersWithSpaces>28168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2022-06-20T15:32:00Z</dcterms:created>
  <dc:creator>admin</dc:creator>
  <cp:lastModifiedBy>Administrator</cp:lastModifiedBy>
  <cp:lastPrinted>2023-11-07T02:09:00Z</cp:lastPrinted>
  <dcterms:modified xsi:type="dcterms:W3CDTF">2026-08-24T07:36:23Z</dcterms:modified>
  <dc:title>附件十一</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3A1A1803D8D34D99934C650769524500_13</vt:lpwstr>
  </property>
  <property fmtid="{D5CDD505-2E9C-101B-9397-08002B2CF9AE}" pid="4" name="KSOTemplateDocerSaveRecord">
    <vt:lpwstr>eyJoZGlkIjoiMDU2M2U0MTc0NDIzODZmYjViMmQ4ZjczOTcwMDBmNmIiLCJ1c2VySWQiOiI1MDk5NjM2OTQifQ==</vt:lpwstr>
  </property>
</Properties>
</file>