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F122B">
      <w:pPr>
        <w:widowControl w:val="0"/>
        <w:autoSpaceDE w:val="0"/>
        <w:autoSpaceDN w:val="0"/>
        <w:bidi w:val="0"/>
        <w:spacing w:before="0" w:after="0" w:line="240" w:lineRule="auto"/>
        <w:ind w:left="0" w:right="420"/>
        <w:jc w:val="center"/>
        <w:outlineLvl w:val="0"/>
        <w:rPr>
          <w:rFonts w:hint="eastAsia" w:ascii="宋体" w:hAnsi="宋体" w:eastAsia="黑体" w:cs="宋体"/>
          <w:b/>
          <w:bCs/>
          <w:sz w:val="32"/>
          <w:szCs w:val="84"/>
          <w:lang w:val="zh-CN" w:eastAsia="zh-CN" w:bidi="zh-CN"/>
        </w:rPr>
      </w:pPr>
      <w:bookmarkStart w:id="0" w:name="_Toc32116"/>
      <w:bookmarkStart w:id="1" w:name="_Toc26518"/>
      <w:r>
        <w:rPr>
          <w:rFonts w:hint="eastAsia" w:ascii="宋体" w:hAnsi="宋体" w:eastAsia="黑体" w:cs="宋体"/>
          <w:b/>
          <w:bCs/>
          <w:sz w:val="32"/>
          <w:szCs w:val="84"/>
          <w:lang w:val="zh-CN" w:eastAsia="zh-CN" w:bidi="zh-CN"/>
        </w:rPr>
        <w:t>采购需求</w:t>
      </w:r>
      <w:bookmarkEnd w:id="0"/>
      <w:bookmarkEnd w:id="1"/>
    </w:p>
    <w:p w14:paraId="513291A5">
      <w:pPr>
        <w:widowControl w:val="0"/>
        <w:numPr>
          <w:ilvl w:val="1"/>
          <w:numId w:val="0"/>
        </w:numPr>
        <w:tabs>
          <w:tab w:val="left" w:pos="0"/>
        </w:tabs>
        <w:autoSpaceDE w:val="0"/>
        <w:autoSpaceDN w:val="0"/>
        <w:adjustRightInd w:val="0"/>
        <w:snapToGrid w:val="0"/>
        <w:spacing w:before="240" w:beforeLines="100" w:after="120" w:afterLines="50" w:line="288" w:lineRule="auto"/>
        <w:ind w:left="0" w:right="0"/>
        <w:jc w:val="center"/>
        <w:outlineLvl w:val="1"/>
        <w:rPr>
          <w:rFonts w:ascii="黑体" w:hAnsi="黑体" w:eastAsia="黑体" w:cs="Times New Roman"/>
          <w:b/>
          <w:bCs/>
          <w:color w:val="auto"/>
          <w:kern w:val="2"/>
          <w:sz w:val="21"/>
          <w:szCs w:val="21"/>
          <w:lang w:val="en-US" w:bidi="ar-SA"/>
        </w:rPr>
      </w:pPr>
      <w:bookmarkStart w:id="2" w:name="_Toc14885"/>
      <w:r>
        <w:rPr>
          <w:rFonts w:hint="eastAsia" w:ascii="黑体" w:hAnsi="黑体" w:eastAsia="黑体" w:cs="Times New Roman"/>
          <w:b/>
          <w:bCs/>
          <w:color w:val="auto"/>
          <w:kern w:val="2"/>
          <w:sz w:val="30"/>
          <w:szCs w:val="32"/>
          <w:lang w:val="en-US" w:eastAsia="zh-CN" w:bidi="ar-SA"/>
        </w:rPr>
        <w:t>第一节  采购清单一览表</w:t>
      </w:r>
      <w:bookmarkEnd w:id="2"/>
    </w:p>
    <w:tbl>
      <w:tblPr>
        <w:tblStyle w:val="4"/>
        <w:tblW w:w="9709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556"/>
        <w:gridCol w:w="2392"/>
        <w:gridCol w:w="840"/>
        <w:gridCol w:w="1230"/>
        <w:gridCol w:w="1320"/>
        <w:gridCol w:w="822"/>
        <w:gridCol w:w="810"/>
      </w:tblGrid>
      <w:tr w14:paraId="2ADEBBA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739" w:type="dxa"/>
            <w:tcBorders>
              <w:tl2br w:val="nil"/>
              <w:tr2bl w:val="nil"/>
            </w:tcBorders>
            <w:noWrap/>
            <w:vAlign w:val="center"/>
          </w:tcPr>
          <w:p w14:paraId="0D5AA469">
            <w:pPr>
              <w:widowControl w:val="0"/>
              <w:autoSpaceDE w:val="0"/>
              <w:autoSpaceDN w:val="0"/>
              <w:spacing w:before="0" w:after="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包号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noWrap/>
            <w:vAlign w:val="center"/>
          </w:tcPr>
          <w:p w14:paraId="5CFF1E9D">
            <w:pPr>
              <w:widowControl w:val="0"/>
              <w:autoSpaceDE w:val="0"/>
              <w:autoSpaceDN w:val="0"/>
              <w:spacing w:before="0" w:after="48" w:afterLines="2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品目分类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noWrap/>
            <w:vAlign w:val="center"/>
          </w:tcPr>
          <w:p w14:paraId="22FFF5F1">
            <w:pPr>
              <w:widowControl w:val="0"/>
              <w:autoSpaceDE w:val="0"/>
              <w:autoSpaceDN w:val="0"/>
              <w:spacing w:before="0" w:after="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标的名称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/>
            <w:vAlign w:val="center"/>
          </w:tcPr>
          <w:p w14:paraId="12AD76D1">
            <w:pPr>
              <w:widowControl w:val="0"/>
              <w:autoSpaceDE w:val="0"/>
              <w:autoSpaceDN w:val="0"/>
              <w:spacing w:before="0" w:after="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vAlign w:val="center"/>
          </w:tcPr>
          <w:p w14:paraId="4EE707F4">
            <w:pPr>
              <w:widowControl w:val="0"/>
              <w:autoSpaceDE w:val="0"/>
              <w:autoSpaceDN w:val="0"/>
              <w:spacing w:before="0" w:after="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单价（元）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4E0A6">
            <w:pPr>
              <w:widowControl/>
              <w:autoSpaceDE/>
              <w:autoSpaceDN/>
              <w:adjustRightInd w:val="0"/>
              <w:snapToGrid w:val="0"/>
              <w:spacing w:before="0" w:after="48" w:afterLines="20" w:line="400" w:lineRule="exact"/>
              <w:ind w:left="0" w:right="0"/>
              <w:jc w:val="center"/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bidi="ar-SA"/>
              </w:rPr>
              <w:t>预算金额（元）</w:t>
            </w:r>
          </w:p>
        </w:tc>
        <w:tc>
          <w:tcPr>
            <w:tcW w:w="8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F4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00" w:lineRule="exact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lang w:val="en-US" w:bidi="ar-SA"/>
              </w:rPr>
              <w:t>进口/国产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D9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00" w:lineRule="exact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lang w:val="en-US" w:bidi="ar-SA"/>
              </w:rPr>
              <w:t>核心</w:t>
            </w:r>
          </w:p>
          <w:p w14:paraId="7AC87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00" w:lineRule="exact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1"/>
                <w:szCs w:val="21"/>
                <w:lang w:val="en-US" w:bidi="ar-SA"/>
              </w:rPr>
              <w:t>产品</w:t>
            </w:r>
          </w:p>
        </w:tc>
      </w:tr>
      <w:tr w14:paraId="2A75290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9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9721378">
            <w:pPr>
              <w:widowControl w:val="0"/>
              <w:autoSpaceDE w:val="0"/>
              <w:autoSpaceDN w:val="0"/>
              <w:spacing w:before="0" w:after="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zh-CN" w:bidi="ar-SA"/>
              </w:rPr>
              <w:t>包1</w:t>
            </w:r>
          </w:p>
        </w:tc>
        <w:tc>
          <w:tcPr>
            <w:tcW w:w="15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653F14F">
            <w:pPr>
              <w:widowControl/>
              <w:autoSpaceDE w:val="0"/>
              <w:autoSpaceDN w:val="0"/>
              <w:spacing w:before="0" w:after="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en-US" w:bidi="ar-SA"/>
              </w:rPr>
              <w:t>A02329900-其他医疗设备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76406">
            <w:p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en-US" w:bidi="ar-SA"/>
              </w:rPr>
              <w:t>血液透析滤过机（</w:t>
            </w: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双</w:t>
            </w: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en-US" w:bidi="ar-SA"/>
              </w:rPr>
              <w:t>泵）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/>
            <w:vAlign w:val="center"/>
          </w:tcPr>
          <w:p w14:paraId="7014ACD7"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1台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vAlign w:val="center"/>
          </w:tcPr>
          <w:p w14:paraId="6EC81B02"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170000.00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C9C79">
            <w:pPr>
              <w:widowControl w:val="0"/>
              <w:autoSpaceDE w:val="0"/>
              <w:autoSpaceDN w:val="0"/>
              <w:adjustRightInd w:val="0"/>
              <w:snapToGrid w:val="0"/>
              <w:spacing w:before="0" w:after="48" w:afterLines="20" w:line="400" w:lineRule="exact"/>
              <w:ind w:left="0" w:right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170000.00</w:t>
            </w:r>
          </w:p>
        </w:tc>
        <w:tc>
          <w:tcPr>
            <w:tcW w:w="8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82C2B">
            <w:p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国产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967DF">
            <w:p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" w:char="00FE"/>
            </w:r>
          </w:p>
        </w:tc>
      </w:tr>
      <w:tr w14:paraId="0A3C75B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3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D226269">
            <w:pPr>
              <w:widowControl w:val="0"/>
              <w:autoSpaceDE w:val="0"/>
              <w:autoSpaceDN w:val="0"/>
              <w:spacing w:before="0" w:after="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5AEED70">
            <w:pPr>
              <w:widowControl/>
              <w:autoSpaceDE w:val="0"/>
              <w:autoSpaceDN w:val="0"/>
              <w:spacing w:before="0" w:after="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23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2CA3B">
            <w:p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en-US" w:bidi="ar-SA"/>
              </w:rPr>
              <w:t>血液透析机（单泵）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/>
            <w:vAlign w:val="center"/>
          </w:tcPr>
          <w:p w14:paraId="1A81F3A4"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2台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vAlign w:val="center"/>
          </w:tcPr>
          <w:p w14:paraId="24168859"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80000.00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1896C">
            <w:pPr>
              <w:autoSpaceDE/>
              <w:autoSpaceDN/>
              <w:spacing w:before="0" w:after="48" w:afterLines="20" w:line="288" w:lineRule="auto"/>
              <w:ind w:left="0" w:right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160000.00</w:t>
            </w:r>
          </w:p>
        </w:tc>
        <w:tc>
          <w:tcPr>
            <w:tcW w:w="8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CE6F8">
            <w:p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国产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4E46E">
            <w:p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" w:char="00A8"/>
            </w:r>
          </w:p>
        </w:tc>
      </w:tr>
      <w:tr w14:paraId="7888C4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29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AD8114F">
            <w:pPr>
              <w:widowControl/>
              <w:autoSpaceDE w:val="0"/>
              <w:autoSpaceDN w:val="0"/>
              <w:spacing w:before="0" w:after="0" w:line="360" w:lineRule="auto"/>
              <w:ind w:left="0" w:right="0"/>
              <w:jc w:val="center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lang w:val="en-US" w:eastAsia="zh-CN" w:bidi="ar-SA"/>
              </w:rPr>
              <w:t>合计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16D20">
            <w:pPr>
              <w:widowControl w:val="0"/>
              <w:autoSpaceDE/>
              <w:autoSpaceDN/>
              <w:spacing w:before="85" w:after="0" w:line="209" w:lineRule="auto"/>
              <w:ind w:left="0" w:right="0"/>
              <w:jc w:val="center"/>
              <w:rPr>
                <w:rFonts w:hint="eastAsia" w:ascii="新宋体" w:hAnsi="新宋体" w:eastAsia="新宋体" w:cs="新宋体"/>
                <w:i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en-US" w:bidi="ar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/>
            <w:vAlign w:val="center"/>
          </w:tcPr>
          <w:p w14:paraId="724FC6C6"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3台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vAlign w:val="center"/>
          </w:tcPr>
          <w:p w14:paraId="772B9FD8"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center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0DB5E">
            <w:pPr>
              <w:autoSpaceDE/>
              <w:autoSpaceDN/>
              <w:spacing w:before="0" w:after="48" w:afterLines="20" w:line="288" w:lineRule="auto"/>
              <w:ind w:left="0" w:right="0"/>
              <w:jc w:val="center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330000.00</w:t>
            </w:r>
          </w:p>
        </w:tc>
        <w:tc>
          <w:tcPr>
            <w:tcW w:w="822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979AE8A"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BD9D462"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新宋体" w:hAnsi="新宋体" w:eastAsia="新宋体" w:cs="新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</w:tbl>
    <w:p w14:paraId="500B15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iCs/>
          <w:color w:val="auto"/>
          <w:kern w:val="0"/>
          <w:sz w:val="32"/>
          <w:szCs w:val="32"/>
          <w:lang w:val="en-US" w:eastAsia="zh-CN" w:bidi="ar-SA"/>
        </w:rPr>
      </w:pPr>
      <w:bookmarkStart w:id="3" w:name="_GoBack"/>
      <w:bookmarkEnd w:id="3"/>
    </w:p>
    <w:p w14:paraId="6A2EE893">
      <w:pPr>
        <w:widowControl w:val="0"/>
        <w:numPr>
          <w:ilvl w:val="1"/>
          <w:numId w:val="0"/>
        </w:numPr>
        <w:tabs>
          <w:tab w:val="left" w:pos="0"/>
        </w:tabs>
        <w:autoSpaceDE w:val="0"/>
        <w:autoSpaceDN w:val="0"/>
        <w:adjustRightInd w:val="0"/>
        <w:snapToGrid w:val="0"/>
        <w:spacing w:before="240" w:beforeLines="100" w:after="120" w:afterLines="50" w:line="288" w:lineRule="auto"/>
        <w:ind w:left="0" w:right="0"/>
        <w:jc w:val="center"/>
        <w:outlineLvl w:val="1"/>
        <w:rPr>
          <w:rFonts w:hint="eastAsia" w:ascii="仿宋" w:hAnsi="仿宋" w:eastAsia="仿宋" w:cs="仿宋"/>
          <w:b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color w:val="auto"/>
          <w:kern w:val="2"/>
          <w:sz w:val="30"/>
          <w:szCs w:val="32"/>
          <w:lang w:val="en-US" w:eastAsia="zh-CN" w:bidi="ar-SA"/>
        </w:rPr>
        <w:t>第二节 技术要求</w:t>
      </w:r>
    </w:p>
    <w:p w14:paraId="460CE791">
      <w:pPr>
        <w:autoSpaceDE/>
        <w:autoSpaceDN/>
        <w:spacing w:before="0" w:after="0" w:line="240" w:lineRule="auto"/>
        <w:ind w:left="0" w:right="0" w:firstLine="0" w:firstLineChars="0"/>
        <w:jc w:val="center"/>
        <w:rPr>
          <w:rFonts w:hint="eastAsia" w:ascii="新宋体" w:hAnsi="新宋体" w:eastAsia="新宋体" w:cs="新宋体"/>
          <w:b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color w:val="auto"/>
          <w:kern w:val="2"/>
          <w:sz w:val="28"/>
          <w:szCs w:val="28"/>
          <w:lang w:val="en-US" w:eastAsia="zh-CN" w:bidi="ar-SA"/>
        </w:rPr>
        <w:t>一、血液透析滤过机（双泵）技术参数</w:t>
      </w:r>
    </w:p>
    <w:p w14:paraId="26526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</w:p>
    <w:p w14:paraId="077DE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1.配置血泵、置换液泵，适用于血液透析、在线血液透析滤过（ONLINE HDF）、单纯超滤等；</w:t>
      </w:r>
    </w:p>
    <w:p w14:paraId="636F7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2.输入功率：≤1.8KVA（提供检验报告检验数据证明）；</w:t>
      </w:r>
    </w:p>
    <w:p w14:paraId="2A115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3.设备使用年限：≥10年（提供说明书或铭牌证明）；</w:t>
      </w:r>
    </w:p>
    <w:p w14:paraId="04371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4.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具备360°可视报警指示灯，至少具备四种颜色区分不同级别报警状态，报警指示应覆盖设备主要操作视角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52F09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5.≥15英寸触摸液晶显示器，治疗参数均可在主界面一键设定；</w:t>
      </w:r>
    </w:p>
    <w:p w14:paraId="46975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6.个性化透析：具备超滤曲线、钠浓度曲线，≥8种钠浓度和超滤曲线选择和一键设置功能，并可根据患者实际治疗状况进行钠浓度和超滤曲线参数修改；</w:t>
      </w:r>
    </w:p>
    <w:p w14:paraId="718EF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7.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采用密闭式超滤脱水控制系统，超滤精度误差≤±1%，具备低超滤速率模式（可设定超滤速率≤100ml/h）；如采用平衡腔技术，单腔容积≤80ml；或其他经临床验证的等效超滤控制技术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0EC4D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8.在网电源供电中断的情况下，使用血泵连续工作不小于30min，并且血路系统继续保持工作状态；</w:t>
      </w:r>
    </w:p>
    <w:p w14:paraId="336C1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9.自动化学消毒/热消毒，消毒、脱钙、冲洗功能，消毒脱钙一键完成，消毒完成后机器自动关机；</w:t>
      </w:r>
    </w:p>
    <w:p w14:paraId="1526C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10.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透析器自动预冲功能：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具备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一键启动预冲程序，预冲参数包括预冲时间、预冲脱水量可设定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44589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11.具有独立于反馈控制系统的防护措施，在浓缩液的浓 度超过设定值的±1.0mS/cm 后，设备应停止反馈控制，并激 活听觉和视觉报警信号，并阻止透析液流向透析器（或滤过器），阻止置换液流进血液；</w:t>
      </w:r>
    </w:p>
    <w:p w14:paraId="56A2C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12.具有肝素注入监测功能：具有肝素泵防护功能，当负荷/速率、流量/体积、预期未使用肝素泵时，有报警/提示，有防护措施防止注射剂安装不当；</w:t>
      </w:r>
    </w:p>
    <w:p w14:paraId="0FBD8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13.定时器功能：设定时间到进行声光提醒功能；</w:t>
      </w:r>
    </w:p>
    <w:p w14:paraId="41A55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14.待机模式：在透析准备完成后，等待病人到来前可一键选择待机模式，机器将暂停吸取浓缩液；</w:t>
      </w:r>
    </w:p>
    <w:p w14:paraId="35D1C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15.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具备治疗中断功能：支持治疗过程中安全下机或更换患者，可快速暂停体外循环并维持血路管路与透析器状态，便于治疗中途上下机操作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19649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16.排液功能：一键式排液功能，下机时自动排除血路管和透析器中的废液。</w:t>
      </w:r>
    </w:p>
    <w:p w14:paraId="6464F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17.自动消毒清洗程序能有效防止机器管道内钙和蛋白沉积，无需采用次氯酸钠除蛋白；</w:t>
      </w:r>
    </w:p>
    <w:p w14:paraId="65C5B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18.具有进水或进液的除气功能；</w:t>
      </w:r>
    </w:p>
    <w:p w14:paraId="68DED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19.废液系统应能防止使用过的废液从排出口流向透析器；</w:t>
      </w:r>
    </w:p>
    <w:p w14:paraId="615B3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20.历史记录查看模式，从机器开机第一次使用开始，任何报警记录、治疗模式及消毒方式均可查看；</w:t>
      </w:r>
    </w:p>
    <w:p w14:paraId="5F1DA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21.在线式置换液功能；</w:t>
      </w:r>
    </w:p>
    <w:p w14:paraId="545F3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22.标配血压监测、B干粉桶透析；</w:t>
      </w:r>
    </w:p>
    <w:p w14:paraId="40C17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23.动脉压：-380mmHg≤动脉压监测显示范围≤+400mmHg；静脉压：-180≤静脉压监测显示范围≤+600mmHg；跨膜压：-180≤跨膜压监测显示范围≤+600mmHg；</w:t>
      </w:r>
    </w:p>
    <w:p w14:paraId="638E2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24.血泵流量范围：血流量 5～600ml/min；肝素泵流量范围：0～10ml/h，误差范围≤2%（提供检验报告数据证明)；</w:t>
      </w:r>
    </w:p>
    <w:p w14:paraId="7EC7A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25.透析液流量范围：标称范围内可调（300～800ml/min）；</w:t>
      </w:r>
    </w:p>
    <w:p w14:paraId="4B0E4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26.透析液温度：显示范围0～42℃，控制范围33～40℃ ；</w:t>
      </w:r>
    </w:p>
    <w:p w14:paraId="326CE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27.置换液：置换液流量 10ml/min≤置换液流量≤300ml/min；</w:t>
      </w:r>
    </w:p>
    <w:p w14:paraId="6042A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28.透析液电导：电导率显示范围0mS/cm～20mS/cm，分辨率0.1mS/cm；控制范围12.0mS/cm～16.0mS/cm；</w:t>
      </w:r>
    </w:p>
    <w:p w14:paraId="218E9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29.热消毒温度：加热腔出水口温度＞85摄氏度，具有热消毒异常监测功能，具有热消毒程序完整性检测功能；</w:t>
      </w:r>
    </w:p>
    <w:p w14:paraId="298B7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30.脱水范围：0～4000ml/h；</w:t>
      </w:r>
    </w:p>
    <w:p w14:paraId="79D73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漏血监测：设备具有漏血防护系统，在最大规定透析液流量、超滤流量下，漏血速率的最大报警限值为≤0.35mL/min(血液的HCT为32%）；</w:t>
      </w:r>
    </w:p>
    <w:p w14:paraId="6E61A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31.气泡监测（双重保护）：静脉回路出现的大气泡报警限值为50μL，出现连续微气泡的报警限值为1ml/min；</w:t>
      </w:r>
    </w:p>
    <w:p w14:paraId="3C14A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b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32.血压测量：成人脉搏监测范围40bpm～195bpm，分辨率1bpm，血压测量范围40mmHg～280mmHg；</w:t>
      </w:r>
    </w:p>
    <w:p w14:paraId="5090ABA6">
      <w:pPr>
        <w:autoSpaceDE/>
        <w:autoSpaceDN/>
        <w:spacing w:before="0" w:after="0" w:line="240" w:lineRule="auto"/>
        <w:ind w:left="0" w:right="0"/>
        <w:jc w:val="center"/>
        <w:rPr>
          <w:rFonts w:hint="eastAsia" w:ascii="新宋体" w:hAnsi="新宋体" w:eastAsia="新宋体" w:cs="新宋体"/>
          <w:b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二</w:t>
      </w:r>
      <w:r>
        <w:rPr>
          <w:rFonts w:hint="eastAsia" w:ascii="新宋体" w:hAnsi="新宋体" w:eastAsia="新宋体" w:cs="新宋体"/>
          <w:b/>
          <w:color w:val="auto"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ascii="新宋体" w:hAnsi="新宋体" w:eastAsia="新宋体" w:cs="新宋体"/>
          <w:b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血液透析机（单泵）技术参数</w:t>
      </w:r>
    </w:p>
    <w:p w14:paraId="3A232EE7">
      <w:pPr>
        <w:autoSpaceDE/>
        <w:autoSpaceDN/>
        <w:spacing w:before="0" w:after="0" w:line="240" w:lineRule="auto"/>
        <w:ind w:left="0" w:right="0"/>
        <w:jc w:val="both"/>
        <w:rPr>
          <w:rFonts w:hint="eastAsia" w:ascii="新宋体" w:hAnsi="新宋体" w:eastAsia="新宋体" w:cs="新宋体"/>
          <w:color w:val="auto"/>
          <w:kern w:val="2"/>
          <w:sz w:val="21"/>
          <w:szCs w:val="24"/>
          <w:highlight w:val="none"/>
          <w:lang w:val="en-US" w:eastAsia="zh-CN" w:bidi="ar-SA"/>
        </w:rPr>
      </w:pPr>
    </w:p>
    <w:p w14:paraId="692AD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</w:p>
    <w:p w14:paraId="4ECE8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1.输入功率：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≤2.5KVA（提供检验报告检验数据证明）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6A581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2.设备使用年限：≥10年（提供说明书或铭牌证明）；</w:t>
      </w:r>
    </w:p>
    <w:p w14:paraId="15CF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3.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具备360°可视报警指示灯系统，至少具备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四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种颜色区分不同级别报警状态，确保操作者从不同角度均可清晰识别报警信息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00274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4.血泵≥2个（含备用泵1个），二个泵可以切换使用可以互相更换，能兼容大小管径血路管道；</w:t>
      </w:r>
    </w:p>
    <w:p w14:paraId="04AF5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5.≥15英寸液晶显示器，具备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触摸操作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，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治疗参数可在主界面直接设定，无需进入多级子菜单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7286E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6.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采用密闭式容量平衡腔超滤脱水控制系统，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提供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超滤精度监测功能，确保超滤误差符合行业标准要求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，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如≤1%，支持低超滤速率模式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67C54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7.在网电源供电中断的情况下，使用血泵连续工作不小于30min，并且血路系统继续保持工作 ；</w:t>
      </w:r>
    </w:p>
    <w:p w14:paraId="7D01A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8.自动化学消毒/热消毒，消毒、脱钙、冲洗功能，消毒脱钙一键完成，消毒完成后机器自动关机；</w:t>
      </w:r>
    </w:p>
    <w:p w14:paraId="0581D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9.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备透析器自动预冲功能，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具备一键预冲，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支持预冲时间、预冲脱水量参数预设和调整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4A6B1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11.具有电导率防护功能：配置一个独立于控制系统的电导率测量装置；对防护系统的电导率测量装置的有效性进行检测；具备防止透析液浓缩物放错的措施；具有独立于反馈控制系统的防护措施，在浓缩液的浓 度超过设定值的±1.0mS/cm 后，设备应停止反馈控制，并激活听觉和视觉报警信号，并阻止透析液流向透析器（或滤过器）；</w:t>
      </w:r>
    </w:p>
    <w:p w14:paraId="468C4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12.具有肝素注入监测功能：具有肝素泵防护功能，当负荷/速率、流量/体积、预期未使用肝素泵时，有报警/提示，有防护措施防止注射器安装不当；</w:t>
      </w:r>
    </w:p>
    <w:p w14:paraId="6DD30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13.定时器功能：设定时间到进行声光提醒功能；</w:t>
      </w:r>
    </w:p>
    <w:p w14:paraId="611C6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14.待机模式：在透析准备完成后，等待病人到来前可一键选择待机模式，机器将暂停吸取浓缩液；</w:t>
      </w:r>
    </w:p>
    <w:p w14:paraId="04FFC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15.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具备治疗暂停/离线功能，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提供一键离线功能，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支持治疗过程中安全上下机操作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；</w:t>
      </w:r>
    </w:p>
    <w:p w14:paraId="7B847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16.排液功能：一键式排液功能，下机时自动排除血路管和透析器中的废液；</w:t>
      </w:r>
    </w:p>
    <w:p w14:paraId="16531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17.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bidi="ar-SA"/>
        </w:rPr>
        <w:t>自动消毒清洗程序应能有效清除机器管道内钙和蛋白沉积，确保消毒效果符合行业标</w:t>
      </w: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，无需采用次氯酸钠除蛋白；</w:t>
      </w:r>
    </w:p>
    <w:p w14:paraId="1AB7E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18.具有进水或进液的除气功能；</w:t>
      </w:r>
    </w:p>
    <w:p w14:paraId="3713B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19.废液系统应能防止使用过的废液从排出口流向透析器；</w:t>
      </w:r>
    </w:p>
    <w:p w14:paraId="3FFF6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20.历史记录查看模式，从机器开机第一次使用开始，任何报警记录、治疗模式及消毒方式均可查看；</w:t>
      </w:r>
    </w:p>
    <w:p w14:paraId="3E46E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21.动脉压：-380mmHg≤动脉压监测显示范围≤+400mmHg；静脉压：-180≤静脉压监测显示范围≤+600mmHg；跨膜压：-180≤跨膜压监测显示范围≤+600mmHg；</w:t>
      </w:r>
    </w:p>
    <w:p w14:paraId="78569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22.血泵流量范围：血流量 5～600ml/min；肝素泵流量范围：0～10ml/h，误差范围≤2%（提供检验报告数据证明)；</w:t>
      </w:r>
    </w:p>
    <w:p w14:paraId="75158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23.透析液流量范围：标称范围内可调（300～800ml/min）；</w:t>
      </w:r>
    </w:p>
    <w:p w14:paraId="4D820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24.透析液温度：显示范围0～42℃，控制范围33～40℃ ；</w:t>
      </w:r>
    </w:p>
    <w:p w14:paraId="57E66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25.透析液电导：电导率显示范围0mS/cm～20mS/cm，分辨率0.1mS/cm；控制范围12.0mS/cm～16.0mS/cm；</w:t>
      </w:r>
    </w:p>
    <w:p w14:paraId="24389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26.热消毒温度：加热腔出水口温度＞85摄氏度，具有热消毒异常监测功能，具有热消毒程序完整性检测功能；</w:t>
      </w:r>
    </w:p>
    <w:p w14:paraId="5B3D7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27.脱水范围：0～4000ml/h；</w:t>
      </w:r>
    </w:p>
    <w:p w14:paraId="1CCB9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28.漏血监测：设备具有漏血防护系统，在最大规定透析液流量、超滤流量下，漏血速率的最大报警限值为≤0.35mL/min(血液的HCT为32%）；</w:t>
      </w:r>
    </w:p>
    <w:p w14:paraId="4BC3D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auto"/>
        <w:rPr>
          <w:rFonts w:hint="eastAsia" w:ascii="新宋体" w:hAnsi="新宋体" w:eastAsia="新宋体" w:cs="新宋体"/>
          <w:color w:val="auto"/>
          <w:kern w:val="2"/>
          <w:sz w:val="24"/>
          <w:szCs w:val="32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4"/>
          <w:szCs w:val="32"/>
          <w:highlight w:val="none"/>
          <w:lang w:val="en-US" w:eastAsia="zh-CN" w:bidi="ar-SA"/>
        </w:rPr>
        <w:t>29.气泡监测（双重保护）：静脉回路出现的大气泡报警限值为50μL，出现连续微气泡的报警限值为1ml/min。</w:t>
      </w:r>
    </w:p>
    <w:p w14:paraId="102B1036">
      <w:pPr>
        <w:widowControl w:val="0"/>
        <w:autoSpaceDE w:val="0"/>
        <w:autoSpaceDN w:val="0"/>
        <w:adjustRightInd w:val="0"/>
        <w:rPr>
          <w:rFonts w:hint="eastAsia" w:ascii="新宋体" w:hAnsi="新宋体" w:eastAsia="新宋体" w:cs="新宋体"/>
          <w:b/>
          <w:bCs/>
          <w:color w:val="auto"/>
          <w:kern w:val="2"/>
          <w:sz w:val="30"/>
          <w:szCs w:val="32"/>
          <w:lang w:val="en-US" w:eastAsia="zh-CN" w:bidi="ar-SA"/>
        </w:rPr>
      </w:pPr>
    </w:p>
    <w:p w14:paraId="0502E054">
      <w:pPr>
        <w:widowControl w:val="0"/>
        <w:numPr>
          <w:ilvl w:val="1"/>
          <w:numId w:val="0"/>
        </w:numPr>
        <w:tabs>
          <w:tab w:val="left" w:pos="0"/>
        </w:tabs>
        <w:autoSpaceDE w:val="0"/>
        <w:autoSpaceDN w:val="0"/>
        <w:adjustRightInd w:val="0"/>
        <w:snapToGrid w:val="0"/>
        <w:spacing w:before="240" w:beforeLines="100" w:after="120" w:afterLines="50" w:line="288" w:lineRule="auto"/>
        <w:ind w:left="0" w:right="0"/>
        <w:jc w:val="center"/>
        <w:outlineLvl w:val="1"/>
        <w:rPr>
          <w:rFonts w:hint="eastAsia" w:ascii="黑体" w:hAnsi="黑体" w:eastAsia="黑体" w:cs="Times New Roman"/>
          <w:b/>
          <w:bCs/>
          <w:color w:val="auto"/>
          <w:kern w:val="2"/>
          <w:sz w:val="30"/>
          <w:szCs w:val="32"/>
          <w:lang w:val="zh-CN" w:eastAsia="zh-CN" w:bidi="ar-SA"/>
        </w:rPr>
      </w:pPr>
      <w:r>
        <w:rPr>
          <w:rFonts w:hint="eastAsia" w:ascii="黑体" w:hAnsi="黑体" w:eastAsia="黑体" w:cs="Times New Roman"/>
          <w:b/>
          <w:bCs/>
          <w:color w:val="auto"/>
          <w:kern w:val="2"/>
          <w:sz w:val="30"/>
          <w:szCs w:val="32"/>
          <w:lang w:val="en-US" w:eastAsia="zh-CN" w:bidi="ar-SA"/>
        </w:rPr>
        <w:t>第三节 商务要求</w:t>
      </w:r>
    </w:p>
    <w:p w14:paraId="2FB47DA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</w:p>
    <w:p w14:paraId="169F5DE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一、交付时间、地点及付款方式</w:t>
      </w:r>
    </w:p>
    <w:p w14:paraId="7572452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1、合同履约期限：合同签订后15天内完成交货、安装、调试验收。</w:t>
      </w:r>
    </w:p>
    <w:p w14:paraId="73129F1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2、交付地点：采购人指定地点。</w:t>
      </w:r>
    </w:p>
    <w:p w14:paraId="3F63113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3、交付方式：接采购人通知后组织发货，按期到货并完成安装调试。</w:t>
      </w:r>
    </w:p>
    <w:p w14:paraId="31648AC8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4、付款方式：项目整体验收合格后支付合同总金额95%；剩余5%款项设备验收合格5年后一次性无息付清。</w:t>
      </w:r>
    </w:p>
    <w:p w14:paraId="380061C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二、安装调试与验收</w:t>
      </w:r>
    </w:p>
    <w:p w14:paraId="429EAC6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1、中标人须充分了解现场安装条件，指导采购人做好场地配套条件准备，保障设备满足安装运行环境。</w:t>
      </w:r>
    </w:p>
    <w:p w14:paraId="112F360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2、现场条件具备后，接采购人通知，中标人须派遣技术人员5日内到达现场，在采购人在场情况下开箱清点、完成安装调试，全部相关费用包含在投标总价内。逾期未到场，采购人可自行开箱安装；开箱发现缺货、损坏、故障等问题，全部责任由中标人承担。</w:t>
      </w:r>
    </w:p>
    <w:p w14:paraId="58632635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3、验收签字前设备出现质量问题，中标人须无条件更换。验收完成前设备损毁、运输安装过程发生人身及财产损害，全部由中标人承担责任。</w:t>
      </w:r>
    </w:p>
    <w:p w14:paraId="601EA59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4、验收按照国家/行业标准、厂方技术规范及合同要求执行。中标人须提供完整设备技术资料，响应文件中提供详细验收方案。</w:t>
      </w:r>
    </w:p>
    <w:p w14:paraId="0A5EA3D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三、质量保证及质保期</w:t>
      </w:r>
    </w:p>
    <w:p w14:paraId="60437CB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整机质保5年，质保期自项目最终验收合格签字之日起计算。质保期内因故障停机连续超过3个工作日，每超出1个停机工作日，顺延4日保修期。质保期内免费维修、更换故障部件；质保期满仅收取备品备件成本费；每次维修须提交维修记录。</w:t>
      </w:r>
    </w:p>
    <w:p w14:paraId="1245F3C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2、所有货物须为全新未使用正品，来源合法；设备型号、参数须与合同、随机资料保持一致。</w:t>
      </w:r>
    </w:p>
    <w:p w14:paraId="1F1A28F5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四、备品备件及技术资料</w:t>
      </w:r>
    </w:p>
    <w:p w14:paraId="5BABF25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1、中标人须随设备免费提供全套中文技术资料（费用含在投标报价）：</w:t>
      </w:r>
    </w:p>
    <w:p w14:paraId="7D2C14C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2、设备安装图纸、操作维护手册、故障代码表；</w:t>
      </w:r>
    </w:p>
    <w:p w14:paraId="7972B4D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3、出厂合格证、出厂检验报告；</w:t>
      </w:r>
    </w:p>
    <w:p w14:paraId="15B72175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4、易损件、零部件、备品备件清单及报价；</w:t>
      </w:r>
    </w:p>
    <w:p w14:paraId="338C897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6、软件备份光盘（如有）。</w:t>
      </w:r>
    </w:p>
    <w:p w14:paraId="296A095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五、人员培训</w:t>
      </w:r>
    </w:p>
    <w:p w14:paraId="689B0DA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1、中标人在项目现场开展实操培训，直至采购人人员能够熟练操作设备、处理简单故障，培训费用包含在投标总价。</w:t>
      </w:r>
    </w:p>
    <w:p w14:paraId="1488361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2、响应文件须提供完整培训计划。</w:t>
      </w:r>
    </w:p>
    <w:p w14:paraId="29EBF13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六、售后服务</w:t>
      </w:r>
    </w:p>
    <w:p w14:paraId="485AE6E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1、质保期售后服务由设备制造商提供，响应文件写明售后单位名称、地址、联系电话；售后单位信息发生变更须及时书面告知采购人。</w:t>
      </w:r>
    </w:p>
    <w:p w14:paraId="667048D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2、质保期内设备故障免费维修、免费更换主要部件（含工时、材料费）。 </w:t>
      </w:r>
    </w:p>
    <w:p w14:paraId="6C4EAAE2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3、保障设备货源，设备整体年开机率≥95%；出现紧急故障，48小时内完成故障设备更换。</w:t>
      </w:r>
    </w:p>
    <w:p w14:paraId="6E3C326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4、质保期提供7×24小时电话、邮件技术支持；一般故障2小时响应处置，重大故障12小时到场处置，特别重大故障24小时处置到位。</w:t>
      </w:r>
    </w:p>
    <w:p w14:paraId="764B0CC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 xml:space="preserve">5、提供定期巡检、终身维护服务；响应文件提供完整售后服务方案。 </w:t>
      </w:r>
    </w:p>
    <w:p w14:paraId="494CF3D9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6、质保期内提供产品免费升级服务，提供终身技术维护。</w:t>
      </w:r>
    </w:p>
    <w:p w14:paraId="3AC96F5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七、包装、运输及保险</w:t>
      </w:r>
    </w:p>
    <w:p w14:paraId="38C59B7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1、货物按国家标准包装，满足长途运输、防潮、防震、防锈要求；包装不当造成损坏丢失，由中标人承担责任。</w:t>
      </w:r>
    </w:p>
    <w:p w14:paraId="41E49A3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2、每个包装箱附带装箱单、质量合格证明。</w:t>
      </w:r>
    </w:p>
    <w:p w14:paraId="5B769C8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3、中标人负责货物运输，运输、保险全部费用计入投标总价。</w:t>
      </w:r>
    </w:p>
    <w:p w14:paraId="1A8FBBC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八、履约验收</w:t>
      </w:r>
    </w:p>
    <w:p w14:paraId="2B8D937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1、涉及计量、防护类设备，中标人负责完成使用前、质保到期的强制计量/防护检测，承担全部检测整改费用，检测必须达到国家相关标准。</w:t>
      </w:r>
    </w:p>
    <w:p w14:paraId="19AA455D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2、采购人组织履约验收，技术复杂项目可邀请第三方检测机构参与，全部验收相关费用由中标人承担。中标人须完整配合履约验收工作。</w:t>
      </w:r>
    </w:p>
    <w:p w14:paraId="491E8C3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九、其他要求</w:t>
      </w:r>
    </w:p>
    <w:p w14:paraId="0869F6C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1、采购人提供基础安装场地；投标总价包含设备安装、调试等全部相关费用，采购人不再额外付费。</w:t>
      </w:r>
    </w:p>
    <w:p w14:paraId="65373EFB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2、投标人自行承担现场踏勘产生的全部费用与安全责任。</w:t>
      </w:r>
    </w:p>
    <w:p w14:paraId="07EADE4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2" w:firstLineChars="200"/>
        <w:jc w:val="both"/>
        <w:textAlignment w:val="center"/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24"/>
          <w:szCs w:val="24"/>
          <w:highlight w:val="none"/>
          <w:lang w:val="en-US" w:eastAsia="zh-CN" w:bidi="ar"/>
        </w:rPr>
        <w:t>十、违约责任</w:t>
      </w:r>
    </w:p>
    <w:p w14:paraId="2E69FA25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1、因中标人供货、安装、设备质量问题，造成项目延误、无法正常使用，中标人承担相应责任，采购人有权追索损失赔偿。</w:t>
      </w:r>
    </w:p>
    <w:p w14:paraId="20F0553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2、设备存在制造质量缺陷，按要求召回或更换；验收合格后前三个月内设备二次出现质量问题，须整机更换；投标时须提供制造商盖章承诺函。</w:t>
      </w:r>
    </w:p>
    <w:p w14:paraId="722A26C8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both"/>
        <w:textAlignment w:val="center"/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eastAsia" w:ascii="新宋体" w:hAnsi="新宋体" w:eastAsia="新宋体" w:cs="新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"/>
        </w:rPr>
        <w:t>3、除不可抗力外，逾期交货，每逾期一日按该批货物中标价0.5%计收违约金，违约金最高不超过该批货物合同价15%；逾期仍不能交货，采购人有权解除合同，中标人退还已付全部款项，并按不能交货部分价款的15%支付违约金。</w:t>
      </w:r>
    </w:p>
    <w:p w14:paraId="6DFC1BB0">
      <w:pPr>
        <w:autoSpaceDE/>
        <w:autoSpaceDN/>
        <w:spacing w:before="0" w:after="0" w:line="240" w:lineRule="auto"/>
        <w:ind w:left="0" w:right="0"/>
        <w:jc w:val="both"/>
        <w:rPr>
          <w:rFonts w:hint="eastAsia" w:ascii="仿宋" w:hAnsi="仿宋" w:eastAsia="仿宋" w:cs="仿宋"/>
          <w:kern w:val="2"/>
          <w:sz w:val="21"/>
          <w:szCs w:val="24"/>
          <w:lang w:val="en-US" w:bidi="ar-SA"/>
        </w:rPr>
      </w:pPr>
    </w:p>
    <w:p w14:paraId="50E0857C">
      <w:pPr>
        <w:autoSpaceDE/>
        <w:autoSpaceDN/>
        <w:spacing w:before="0" w:after="0" w:line="240" w:lineRule="auto"/>
        <w:ind w:left="0" w:right="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bidi="ar-SA"/>
        </w:rPr>
      </w:pPr>
    </w:p>
    <w:p w14:paraId="50B45254">
      <w:pPr>
        <w:autoSpaceDE/>
        <w:autoSpaceDN/>
        <w:spacing w:before="0" w:after="0" w:line="240" w:lineRule="auto"/>
        <w:ind w:left="0" w:right="0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bidi="ar-SA"/>
        </w:rPr>
      </w:pPr>
    </w:p>
    <w:p w14:paraId="2E273406">
      <w:pPr>
        <w:autoSpaceDE/>
        <w:autoSpaceDN/>
        <w:spacing w:before="0" w:after="0" w:line="240" w:lineRule="auto"/>
        <w:ind w:left="0" w:right="0"/>
        <w:jc w:val="both"/>
        <w:rPr>
          <w:rFonts w:ascii="Times New Roman" w:hAnsi="Times New Roman" w:eastAsia="宋体" w:cs="Times New Roman"/>
          <w:kern w:val="2"/>
          <w:sz w:val="21"/>
          <w:szCs w:val="24"/>
          <w:lang w:val="en-US" w:bidi="ar-SA"/>
        </w:rPr>
      </w:pPr>
    </w:p>
    <w:p w14:paraId="2DEB62F2">
      <w:pPr>
        <w:widowControl w:val="0"/>
        <w:autoSpaceDE w:val="0"/>
        <w:autoSpaceDN w:val="0"/>
        <w:bidi w:val="0"/>
        <w:spacing w:before="0" w:after="0" w:line="240" w:lineRule="auto"/>
        <w:ind w:left="0" w:right="420"/>
        <w:jc w:val="center"/>
        <w:outlineLvl w:val="0"/>
        <w:rPr>
          <w:rFonts w:hint="eastAsia" w:ascii="宋体" w:hAnsi="宋体" w:eastAsia="黑体" w:cs="宋体"/>
          <w:b/>
          <w:bCs/>
          <w:sz w:val="32"/>
          <w:szCs w:val="84"/>
          <w:lang w:val="zh-CN" w:eastAsia="zh-CN" w:bidi="zh-CN"/>
        </w:rPr>
      </w:pPr>
    </w:p>
    <w:p w14:paraId="19C5EA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27EB3"/>
    <w:rsid w:val="2F72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_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2026-10-21T01:36:00Z</dcterms:created>
  <dc:creator>Administrator</dc:creator>
  <cp:lastModifiedBy>Administrator</cp:lastModifiedBy>
  <dcterms:modified xsi:type="dcterms:W3CDTF">2026-10-21T01:37:02Z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4BC09194BEB942DFB2E8802CF000D7F1_11</vt:lpwstr>
  </property>
  <property fmtid="{D5CDD505-2E9C-101B-9397-08002B2CF9AE}" pid="4" name="KSOTemplateDocerSaveRecord">
    <vt:lpwstr>eyJoZGlkIjoiOWJkNmZlZjkyZTU4YTA3YzJjYjIyNzZjNTZiMTY1NjMiLCJ1c2VySWQiOiIyNzgxNjMwIn0=</vt:lpwstr>
  </property>
</Properties>
</file>