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C1C5D">
      <w:pPr>
        <w:keepNext w:val="0"/>
        <w:keepLines w:val="0"/>
        <w:pageBreakBefore w:val="0"/>
        <w:widowControl w:val="0"/>
        <w:kinsoku/>
        <w:overflowPunct/>
        <w:bidi w:val="0"/>
        <w:textAlignment w:val="auto"/>
        <w:rPr>
          <w:rFonts w:hint="eastAsia" w:ascii="宋体" w:hAnsi="宋体" w:eastAsia="宋体" w:cs="宋体"/>
          <w:b/>
          <w:bCs/>
          <w:color w:val="auto"/>
          <w:sz w:val="84"/>
          <w:szCs w:val="84"/>
          <w:highlight w:val="none"/>
          <w:lang w:val="en-US" w:eastAsia="zh-CN"/>
        </w:rPr>
      </w:pPr>
      <w:r>
        <w:rPr>
          <w:rFonts w:hint="eastAsia" w:ascii="宋体" w:hAnsi="宋体" w:eastAsia="宋体" w:cs="宋体"/>
          <w:color w:val="auto"/>
          <w:sz w:val="32"/>
          <w:szCs w:val="32"/>
          <w:highlight w:val="none"/>
        </w:rPr>
        <w:drawing>
          <wp:inline distT="0" distB="0" distL="114300" distR="114300">
            <wp:extent cx="1211580" cy="1443355"/>
            <wp:effectExtent l="0" t="0" r="7620" b="4445"/>
            <wp:docPr id="11" name="图片 1" descr="704ae1e65eae2ceb28cd65e03dcb7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704ae1e65eae2ceb28cd65e03dcb72a"/>
                    <pic:cNvPicPr>
                      <a:picLocks noChangeAspect="1"/>
                    </pic:cNvPicPr>
                  </pic:nvPicPr>
                  <pic:blipFill>
                    <a:blip r:embed="rId15"/>
                    <a:stretch>
                      <a:fillRect/>
                    </a:stretch>
                  </pic:blipFill>
                  <pic:spPr>
                    <a:xfrm>
                      <a:off x="0" y="0"/>
                      <a:ext cx="1211580" cy="1443355"/>
                    </a:xfrm>
                    <a:prstGeom prst="rect">
                      <a:avLst/>
                    </a:prstGeom>
                    <a:noFill/>
                    <a:ln>
                      <a:noFill/>
                    </a:ln>
                  </pic:spPr>
                </pic:pic>
              </a:graphicData>
            </a:graphic>
          </wp:inline>
        </w:drawing>
      </w:r>
    </w:p>
    <w:p w14:paraId="566C111F">
      <w:pPr>
        <w:pStyle w:val="13"/>
        <w:keepNext w:val="0"/>
        <w:keepLines w:val="0"/>
        <w:pageBreakBefore w:val="0"/>
        <w:widowControl w:val="0"/>
        <w:kinsoku/>
        <w:overflowPunct/>
        <w:bidi w:val="0"/>
        <w:jc w:val="center"/>
        <w:textAlignment w:val="auto"/>
        <w:rPr>
          <w:rFonts w:hint="eastAsia" w:ascii="宋体" w:hAnsi="宋体" w:eastAsia="宋体" w:cs="宋体"/>
          <w:b/>
          <w:bCs/>
          <w:color w:val="auto"/>
          <w:sz w:val="84"/>
          <w:szCs w:val="84"/>
          <w:highlight w:val="none"/>
        </w:rPr>
      </w:pPr>
    </w:p>
    <w:p w14:paraId="5DC8ABB0">
      <w:pPr>
        <w:pStyle w:val="13"/>
        <w:keepNext w:val="0"/>
        <w:keepLines w:val="0"/>
        <w:pageBreakBefore w:val="0"/>
        <w:widowControl w:val="0"/>
        <w:kinsoku/>
        <w:overflowPunct/>
        <w:bidi w:val="0"/>
        <w:jc w:val="center"/>
        <w:textAlignment w:val="auto"/>
        <w:rPr>
          <w:rFonts w:hint="eastAsia" w:ascii="宋体" w:hAnsi="宋体" w:eastAsia="宋体" w:cs="宋体"/>
          <w:b/>
          <w:bCs/>
          <w:color w:val="auto"/>
          <w:sz w:val="84"/>
          <w:szCs w:val="84"/>
          <w:highlight w:val="none"/>
          <w:lang w:val="en-US" w:eastAsia="zh-CN"/>
        </w:rPr>
      </w:pPr>
      <w:r>
        <w:rPr>
          <w:rFonts w:hint="eastAsia" w:ascii="宋体" w:hAnsi="宋体" w:eastAsia="宋体" w:cs="宋体"/>
          <w:b/>
          <w:bCs/>
          <w:color w:val="auto"/>
          <w:sz w:val="84"/>
          <w:szCs w:val="84"/>
          <w:highlight w:val="none"/>
        </w:rPr>
        <w:t>政府采购</w:t>
      </w:r>
      <w:r>
        <w:rPr>
          <w:rFonts w:hint="eastAsia" w:ascii="宋体" w:hAnsi="宋体" w:eastAsia="宋体" w:cs="宋体"/>
          <w:b/>
          <w:bCs/>
          <w:color w:val="auto"/>
          <w:sz w:val="84"/>
          <w:szCs w:val="84"/>
          <w:highlight w:val="none"/>
          <w:lang w:val="en-US" w:eastAsia="zh-CN"/>
        </w:rPr>
        <w:t xml:space="preserve">  </w:t>
      </w:r>
    </w:p>
    <w:p w14:paraId="1766D9BB">
      <w:pPr>
        <w:pStyle w:val="13"/>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sz w:val="84"/>
          <w:szCs w:val="84"/>
          <w:highlight w:val="none"/>
          <w:lang w:val="en-US" w:eastAsia="zh-CN"/>
        </w:rPr>
      </w:pPr>
      <w:r>
        <w:rPr>
          <w:rFonts w:hint="eastAsia" w:ascii="宋体" w:hAnsi="宋体" w:eastAsia="宋体" w:cs="宋体"/>
          <w:b/>
          <w:bCs/>
          <w:color w:val="auto"/>
          <w:sz w:val="84"/>
          <w:szCs w:val="84"/>
          <w:highlight w:val="none"/>
        </w:rPr>
        <w:t>竞争性磋商文件</w:t>
      </w:r>
      <w:r>
        <w:rPr>
          <w:rFonts w:hint="eastAsia" w:ascii="宋体" w:hAnsi="宋体" w:eastAsia="宋体" w:cs="宋体"/>
          <w:b/>
          <w:bCs/>
          <w:color w:val="auto"/>
          <w:sz w:val="84"/>
          <w:szCs w:val="84"/>
          <w:highlight w:val="none"/>
          <w:lang w:val="en-US" w:eastAsia="zh-CN"/>
        </w:rPr>
        <w:t xml:space="preserve">  </w:t>
      </w:r>
    </w:p>
    <w:p w14:paraId="4A59FDD7">
      <w:pPr>
        <w:keepNext w:val="0"/>
        <w:keepLines w:val="0"/>
        <w:pageBreakBefore w:val="0"/>
        <w:widowControl w:val="0"/>
        <w:kinsoku/>
        <w:overflowPunct/>
        <w:bidi w:val="0"/>
        <w:spacing w:line="360" w:lineRule="auto"/>
        <w:textAlignment w:val="auto"/>
        <w:rPr>
          <w:rFonts w:hint="eastAsia" w:ascii="宋体" w:hAnsi="宋体" w:eastAsia="宋体" w:cs="宋体"/>
          <w:color w:val="auto"/>
          <w:kern w:val="0"/>
          <w:sz w:val="30"/>
          <w:szCs w:val="30"/>
          <w:highlight w:val="none"/>
        </w:rPr>
      </w:pPr>
    </w:p>
    <w:p w14:paraId="3AFCB764">
      <w:pPr>
        <w:keepNext w:val="0"/>
        <w:keepLines w:val="0"/>
        <w:pageBreakBefore w:val="0"/>
        <w:widowControl w:val="0"/>
        <w:kinsoku/>
        <w:overflowPunct/>
        <w:bidi w:val="0"/>
        <w:spacing w:line="600" w:lineRule="auto"/>
        <w:ind w:left="2449" w:leftChars="142" w:hanging="2108" w:hangingChars="700"/>
        <w:jc w:val="left"/>
        <w:textAlignment w:val="auto"/>
        <w:rPr>
          <w:rFonts w:hint="eastAsia" w:ascii="宋体" w:hAnsi="宋体" w:eastAsia="宋体" w:cs="宋体"/>
          <w:b/>
          <w:bCs/>
          <w:color w:val="auto"/>
          <w:kern w:val="0"/>
          <w:sz w:val="30"/>
          <w:szCs w:val="30"/>
          <w:highlight w:val="none"/>
          <w:u w:val="single"/>
          <w:lang w:val="en-US"/>
        </w:rPr>
      </w:pPr>
      <w:r>
        <w:rPr>
          <w:rFonts w:hint="eastAsia" w:ascii="宋体" w:hAnsi="宋体" w:eastAsia="宋体" w:cs="宋体"/>
          <w:b/>
          <w:bCs/>
          <w:color w:val="auto"/>
          <w:kern w:val="0"/>
          <w:sz w:val="30"/>
          <w:szCs w:val="30"/>
          <w:highlight w:val="none"/>
        </w:rPr>
        <w:t>采购项目名称：</w:t>
      </w:r>
      <w:r>
        <w:rPr>
          <w:rFonts w:hint="eastAsia" w:ascii="宋体" w:hAnsi="宋体" w:cs="宋体"/>
          <w:b/>
          <w:bCs/>
          <w:color w:val="auto"/>
          <w:kern w:val="0"/>
          <w:sz w:val="30"/>
          <w:szCs w:val="30"/>
          <w:highlight w:val="none"/>
          <w:u w:val="single"/>
          <w:lang w:eastAsia="zh-CN"/>
        </w:rPr>
        <w:t>古丈县古阳镇柑子坪村通组公路硬化项目</w:t>
      </w:r>
      <w:r>
        <w:rPr>
          <w:rFonts w:hint="eastAsia" w:ascii="宋体" w:hAnsi="宋体" w:eastAsia="宋体" w:cs="宋体"/>
          <w:b/>
          <w:bCs/>
          <w:color w:val="auto"/>
          <w:kern w:val="0"/>
          <w:sz w:val="30"/>
          <w:szCs w:val="30"/>
          <w:highlight w:val="none"/>
          <w:u w:val="single"/>
          <w:lang w:val="en-US" w:eastAsia="zh-CN"/>
        </w:rPr>
        <w:t xml:space="preserve">                                             </w:t>
      </w:r>
    </w:p>
    <w:p w14:paraId="2F385F46">
      <w:pPr>
        <w:keepNext w:val="0"/>
        <w:keepLines w:val="0"/>
        <w:pageBreakBefore w:val="0"/>
        <w:widowControl w:val="0"/>
        <w:kinsoku/>
        <w:overflowPunct/>
        <w:bidi w:val="0"/>
        <w:spacing w:line="600" w:lineRule="auto"/>
        <w:ind w:left="2450" w:leftChars="150" w:hanging="2090" w:hangingChars="694"/>
        <w:textAlignment w:val="auto"/>
        <w:rPr>
          <w:rFonts w:hint="eastAsia" w:ascii="宋体" w:hAnsi="宋体" w:eastAsia="宋体" w:cs="宋体"/>
          <w:b/>
          <w:bCs/>
          <w:color w:val="auto"/>
          <w:sz w:val="30"/>
          <w:szCs w:val="30"/>
          <w:highlight w:val="none"/>
          <w:u w:val="single"/>
          <w:lang w:val="en-US" w:eastAsia="zh-CN"/>
        </w:rPr>
      </w:pPr>
      <w:r>
        <w:rPr>
          <w:rFonts w:hint="eastAsia" w:ascii="宋体" w:hAnsi="宋体" w:eastAsia="宋体" w:cs="宋体"/>
          <w:b/>
          <w:bCs/>
          <w:color w:val="auto"/>
          <w:kern w:val="0"/>
          <w:sz w:val="30"/>
          <w:szCs w:val="30"/>
          <w:highlight w:val="none"/>
        </w:rPr>
        <w:t>采   购   人：</w:t>
      </w:r>
      <w:r>
        <w:rPr>
          <w:rFonts w:hint="eastAsia" w:ascii="宋体" w:hAnsi="宋体" w:cs="宋体"/>
          <w:b/>
          <w:bCs/>
          <w:color w:val="auto"/>
          <w:kern w:val="0"/>
          <w:sz w:val="30"/>
          <w:szCs w:val="30"/>
          <w:highlight w:val="none"/>
          <w:u w:val="single"/>
          <w:lang w:eastAsia="zh-CN"/>
        </w:rPr>
        <w:t>古丈县古阳镇人民政府</w:t>
      </w:r>
      <w:r>
        <w:rPr>
          <w:rFonts w:hint="eastAsia" w:ascii="宋体" w:hAnsi="宋体" w:eastAsia="宋体" w:cs="宋体"/>
          <w:b/>
          <w:bCs/>
          <w:color w:val="auto"/>
          <w:kern w:val="0"/>
          <w:sz w:val="30"/>
          <w:szCs w:val="30"/>
          <w:highlight w:val="none"/>
          <w:u w:val="single"/>
          <w:lang w:eastAsia="zh-CN"/>
        </w:rPr>
        <w:t xml:space="preserve"> </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u w:val="single"/>
          <w:lang w:val="en-US" w:eastAsia="zh-CN"/>
        </w:rPr>
        <w:t xml:space="preserve">                  </w:t>
      </w:r>
    </w:p>
    <w:p w14:paraId="58717F00">
      <w:pPr>
        <w:keepNext w:val="0"/>
        <w:keepLines w:val="0"/>
        <w:pageBreakBefore w:val="0"/>
        <w:widowControl w:val="0"/>
        <w:kinsoku/>
        <w:overflowPunct/>
        <w:bidi w:val="0"/>
        <w:spacing w:line="600" w:lineRule="auto"/>
        <w:ind w:left="2450" w:leftChars="150" w:hanging="2090" w:hangingChars="694"/>
        <w:textAlignment w:val="auto"/>
        <w:rPr>
          <w:rFonts w:hint="eastAsia" w:ascii="宋体" w:hAnsi="宋体" w:eastAsia="宋体" w:cs="宋体"/>
          <w:b/>
          <w:bCs/>
          <w:color w:val="auto"/>
          <w:sz w:val="30"/>
          <w:szCs w:val="30"/>
          <w:highlight w:val="none"/>
          <w:u w:val="single"/>
          <w:lang w:val="en-US" w:eastAsia="zh-CN"/>
        </w:rPr>
      </w:pPr>
      <w:r>
        <w:rPr>
          <w:rFonts w:hint="eastAsia" w:ascii="宋体" w:hAnsi="宋体" w:eastAsia="宋体" w:cs="宋体"/>
          <w:b/>
          <w:bCs/>
          <w:color w:val="auto"/>
          <w:kern w:val="0"/>
          <w:sz w:val="30"/>
          <w:szCs w:val="30"/>
          <w:highlight w:val="none"/>
          <w:lang w:eastAsia="zh-CN"/>
        </w:rPr>
        <w:t>政府采购编号：</w:t>
      </w:r>
      <w:r>
        <w:rPr>
          <w:rFonts w:hint="eastAsia" w:ascii="宋体" w:hAnsi="宋体" w:eastAsia="宋体" w:cs="宋体"/>
          <w:b/>
          <w:bCs/>
          <w:color w:val="auto"/>
          <w:kern w:val="0"/>
          <w:sz w:val="30"/>
          <w:szCs w:val="30"/>
          <w:highlight w:val="none"/>
          <w:u w:val="single"/>
          <w:lang w:val="en-US" w:eastAsia="zh-CN"/>
        </w:rPr>
        <w:t>（2026）433126000002-1</w:t>
      </w:r>
      <w:r>
        <w:rPr>
          <w:rFonts w:hint="eastAsia" w:ascii="宋体" w:hAnsi="宋体" w:eastAsia="宋体" w:cs="宋体"/>
          <w:b/>
          <w:bCs/>
          <w:color w:val="auto"/>
          <w:sz w:val="30"/>
          <w:szCs w:val="30"/>
          <w:highlight w:val="none"/>
          <w:u w:val="single"/>
        </w:rPr>
        <w:t xml:space="preserve">          </w:t>
      </w:r>
      <w:r>
        <w:rPr>
          <w:rFonts w:hint="eastAsia" w:ascii="宋体" w:hAnsi="宋体" w:cs="宋体"/>
          <w:b/>
          <w:bCs/>
          <w:color w:val="auto"/>
          <w:sz w:val="30"/>
          <w:szCs w:val="30"/>
          <w:highlight w:val="none"/>
          <w:u w:val="single"/>
          <w:lang w:val="en-US" w:eastAsia="zh-CN"/>
        </w:rPr>
        <w:t xml:space="preserve">          </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u w:val="single"/>
          <w:lang w:val="en-US" w:eastAsia="zh-CN"/>
        </w:rPr>
        <w:t xml:space="preserve"> </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u w:val="single"/>
          <w:lang w:val="en-US" w:eastAsia="zh-CN"/>
        </w:rPr>
        <w:t xml:space="preserve">                     </w:t>
      </w:r>
    </w:p>
    <w:p w14:paraId="25E658A6">
      <w:pPr>
        <w:keepNext w:val="0"/>
        <w:keepLines w:val="0"/>
        <w:pageBreakBefore w:val="0"/>
        <w:widowControl w:val="0"/>
        <w:kinsoku/>
        <w:overflowPunct/>
        <w:bidi w:val="0"/>
        <w:spacing w:line="600" w:lineRule="auto"/>
        <w:ind w:left="2450" w:leftChars="150" w:hanging="2090" w:hangingChars="694"/>
        <w:textAlignment w:val="auto"/>
        <w:rPr>
          <w:rFonts w:hint="eastAsia" w:ascii="宋体" w:hAnsi="宋体" w:eastAsia="宋体" w:cs="宋体"/>
          <w:b/>
          <w:bCs/>
          <w:color w:val="auto"/>
          <w:sz w:val="30"/>
          <w:szCs w:val="30"/>
          <w:highlight w:val="none"/>
          <w:u w:val="single"/>
          <w:lang w:val="en-US" w:eastAsia="zh-CN"/>
        </w:rPr>
      </w:pPr>
      <w:r>
        <w:rPr>
          <w:rFonts w:hint="eastAsia" w:ascii="宋体" w:hAnsi="宋体" w:eastAsia="宋体" w:cs="宋体"/>
          <w:b/>
          <w:bCs/>
          <w:color w:val="auto"/>
          <w:kern w:val="0"/>
          <w:sz w:val="30"/>
          <w:szCs w:val="30"/>
          <w:highlight w:val="none"/>
          <w:lang w:eastAsia="zh-CN"/>
        </w:rPr>
        <w:t>采购代理编号</w:t>
      </w:r>
      <w:r>
        <w:rPr>
          <w:rFonts w:hint="eastAsia" w:ascii="宋体" w:hAnsi="宋体" w:eastAsia="宋体" w:cs="宋体"/>
          <w:b/>
          <w:bCs/>
          <w:color w:val="auto"/>
          <w:kern w:val="0"/>
          <w:sz w:val="30"/>
          <w:szCs w:val="30"/>
          <w:highlight w:val="none"/>
        </w:rPr>
        <w:t>：</w:t>
      </w:r>
      <w:r>
        <w:rPr>
          <w:rFonts w:hint="eastAsia" w:ascii="宋体" w:hAnsi="宋体" w:cs="宋体"/>
          <w:b/>
          <w:bCs/>
          <w:color w:val="auto"/>
          <w:sz w:val="30"/>
          <w:szCs w:val="30"/>
          <w:highlight w:val="none"/>
          <w:u w:val="single"/>
          <w:lang w:eastAsia="zh-CN"/>
        </w:rPr>
        <w:t>广信磋商【2026】第052号</w:t>
      </w:r>
      <w:r>
        <w:rPr>
          <w:rFonts w:hint="eastAsia" w:ascii="宋体" w:hAnsi="宋体" w:eastAsia="宋体" w:cs="宋体"/>
          <w:b/>
          <w:bCs/>
          <w:color w:val="auto"/>
          <w:sz w:val="30"/>
          <w:szCs w:val="30"/>
          <w:highlight w:val="none"/>
          <w:u w:val="single"/>
          <w:lang w:eastAsia="zh-CN"/>
        </w:rPr>
        <w:t xml:space="preserve">  </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u w:val="single"/>
          <w:lang w:val="en-US" w:eastAsia="zh-CN"/>
        </w:rPr>
        <w:t xml:space="preserve">          </w:t>
      </w:r>
    </w:p>
    <w:p w14:paraId="5B8B21CF">
      <w:pPr>
        <w:keepNext w:val="0"/>
        <w:keepLines w:val="0"/>
        <w:pageBreakBefore w:val="0"/>
        <w:widowControl w:val="0"/>
        <w:kinsoku/>
        <w:overflowPunct/>
        <w:bidi w:val="0"/>
        <w:spacing w:line="600" w:lineRule="auto"/>
        <w:ind w:firstLine="301" w:firstLineChars="100"/>
        <w:textAlignment w:val="auto"/>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kern w:val="0"/>
          <w:sz w:val="30"/>
          <w:szCs w:val="30"/>
          <w:highlight w:val="none"/>
          <w:lang w:val="en-US" w:eastAsia="zh-CN"/>
        </w:rPr>
        <w:t>采购代理机构</w:t>
      </w:r>
      <w:r>
        <w:rPr>
          <w:rFonts w:hint="eastAsia" w:ascii="宋体" w:hAnsi="宋体" w:eastAsia="宋体" w:cs="宋体"/>
          <w:b/>
          <w:bCs/>
          <w:color w:val="auto"/>
          <w:kern w:val="0"/>
          <w:sz w:val="30"/>
          <w:szCs w:val="30"/>
          <w:highlight w:val="none"/>
        </w:rPr>
        <w:t>：</w:t>
      </w:r>
      <w:r>
        <w:rPr>
          <w:rFonts w:hint="eastAsia" w:ascii="宋体" w:hAnsi="宋体" w:eastAsia="宋体" w:cs="宋体"/>
          <w:b/>
          <w:bCs/>
          <w:color w:val="auto"/>
          <w:sz w:val="30"/>
          <w:szCs w:val="30"/>
          <w:highlight w:val="none"/>
          <w:u w:val="single"/>
          <w:lang w:eastAsia="zh-CN"/>
        </w:rPr>
        <w:t>湘西自治州广信招标代理有限公司</w:t>
      </w: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u w:val="single"/>
          <w:lang w:val="en-US" w:eastAsia="zh-CN"/>
        </w:rPr>
        <w:t xml:space="preserve">          </w:t>
      </w:r>
    </w:p>
    <w:p w14:paraId="741621EB">
      <w:pPr>
        <w:pStyle w:val="13"/>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 xml:space="preserve">  </w:t>
      </w:r>
    </w:p>
    <w:p w14:paraId="705F6639">
      <w:pPr>
        <w:pStyle w:val="13"/>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spacing w:val="160"/>
          <w:sz w:val="40"/>
          <w:szCs w:val="40"/>
          <w:highlight w:val="none"/>
          <w:lang w:eastAsia="zh-CN"/>
        </w:rPr>
      </w:pPr>
      <w:r>
        <w:rPr>
          <w:rFonts w:hint="eastAsia" w:ascii="宋体" w:hAnsi="宋体" w:eastAsia="宋体" w:cs="宋体"/>
          <w:b/>
          <w:bCs/>
          <w:color w:val="auto"/>
          <w:sz w:val="30"/>
          <w:szCs w:val="30"/>
          <w:highlight w:val="none"/>
          <w:lang w:eastAsia="zh-CN"/>
        </w:rPr>
        <w:t>二〇二</w:t>
      </w:r>
      <w:r>
        <w:rPr>
          <w:rFonts w:hint="eastAsia" w:ascii="宋体" w:hAnsi="宋体" w:eastAsia="宋体" w:cs="宋体"/>
          <w:b/>
          <w:bCs/>
          <w:color w:val="auto"/>
          <w:sz w:val="30"/>
          <w:szCs w:val="30"/>
          <w:highlight w:val="none"/>
          <w:lang w:val="en-US" w:eastAsia="zh-CN"/>
        </w:rPr>
        <w:t>六</w:t>
      </w:r>
      <w:r>
        <w:rPr>
          <w:rFonts w:hint="eastAsia" w:ascii="宋体" w:hAnsi="宋体" w:eastAsia="宋体" w:cs="宋体"/>
          <w:b/>
          <w:bCs/>
          <w:color w:val="auto"/>
          <w:sz w:val="30"/>
          <w:szCs w:val="30"/>
          <w:highlight w:val="none"/>
          <w:lang w:eastAsia="zh-CN"/>
        </w:rPr>
        <w:t>年</w:t>
      </w:r>
      <w:r>
        <w:rPr>
          <w:rFonts w:hint="eastAsia" w:ascii="宋体" w:hAnsi="宋体" w:eastAsia="宋体" w:cs="宋体"/>
          <w:b/>
          <w:bCs/>
          <w:color w:val="auto"/>
          <w:sz w:val="30"/>
          <w:szCs w:val="30"/>
          <w:highlight w:val="none"/>
          <w:lang w:val="en-US" w:eastAsia="zh-CN"/>
        </w:rPr>
        <w:t>七</w:t>
      </w:r>
      <w:r>
        <w:rPr>
          <w:rFonts w:hint="eastAsia" w:ascii="宋体" w:hAnsi="宋体" w:eastAsia="宋体" w:cs="宋体"/>
          <w:b/>
          <w:bCs/>
          <w:color w:val="auto"/>
          <w:sz w:val="30"/>
          <w:szCs w:val="30"/>
          <w:highlight w:val="none"/>
          <w:lang w:eastAsia="zh-CN"/>
        </w:rPr>
        <w:t>月</w:t>
      </w:r>
    </w:p>
    <w:p w14:paraId="00E6F88E">
      <w:pPr>
        <w:pStyle w:val="13"/>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spacing w:val="160"/>
          <w:sz w:val="36"/>
          <w:szCs w:val="36"/>
          <w:highlight w:val="none"/>
        </w:rPr>
        <w:sectPr>
          <w:headerReference r:id="rId3" w:type="default"/>
          <w:footerReference r:id="rId4" w:type="default"/>
          <w:pgSz w:w="11906" w:h="16838"/>
          <w:pgMar w:top="1440" w:right="1080" w:bottom="1440" w:left="1080" w:header="851" w:footer="992" w:gutter="0"/>
          <w:cols w:space="720" w:num="1"/>
          <w:docGrid w:type="lines" w:linePitch="312" w:charSpace="0"/>
        </w:sectPr>
      </w:pPr>
    </w:p>
    <w:p w14:paraId="5D9048D9">
      <w:pPr>
        <w:pStyle w:val="13"/>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spacing w:val="160"/>
          <w:sz w:val="36"/>
          <w:szCs w:val="36"/>
          <w:highlight w:val="none"/>
        </w:rPr>
      </w:pPr>
      <w:r>
        <w:rPr>
          <w:rFonts w:hint="eastAsia" w:ascii="宋体" w:hAnsi="宋体" w:eastAsia="宋体" w:cs="宋体"/>
          <w:b/>
          <w:bCs/>
          <w:color w:val="auto"/>
          <w:spacing w:val="160"/>
          <w:sz w:val="36"/>
          <w:szCs w:val="36"/>
          <w:highlight w:val="none"/>
        </w:rPr>
        <w:t>目录</w:t>
      </w:r>
    </w:p>
    <w:p w14:paraId="4921B890">
      <w:pPr>
        <w:pStyle w:val="16"/>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TOC \o "1-3" \h \u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_Toc23895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第一章 竞争性磋商</w:t>
      </w:r>
      <w:r>
        <w:rPr>
          <w:rFonts w:hint="eastAsia" w:asciiTheme="minorEastAsia" w:hAnsiTheme="minorEastAsia" w:eastAsiaTheme="minorEastAsia" w:cstheme="minorEastAsia"/>
          <w:color w:val="auto"/>
          <w:highlight w:val="none"/>
          <w:lang w:val="en-US" w:eastAsia="zh-CN"/>
        </w:rPr>
        <w:t>邀请</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_Toc23895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5310F01">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_Toc482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eastAsia="zh-CN"/>
        </w:rPr>
        <w:t xml:space="preserve">一、 </w:t>
      </w:r>
      <w:r>
        <w:rPr>
          <w:rFonts w:hint="eastAsia" w:asciiTheme="minorEastAsia" w:hAnsiTheme="minorEastAsia" w:eastAsiaTheme="minorEastAsia" w:cstheme="minorEastAsia"/>
          <w:bCs/>
          <w:color w:val="auto"/>
          <w:szCs w:val="24"/>
          <w:highlight w:val="none"/>
        </w:rPr>
        <w:t>采购项目基本情况</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_Toc482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2CF298CB">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_Toc8073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val="en-US" w:eastAsia="zh-CN"/>
        </w:rPr>
        <w:t xml:space="preserve">二、 </w:t>
      </w:r>
      <w:r>
        <w:rPr>
          <w:rFonts w:hint="eastAsia" w:asciiTheme="minorEastAsia" w:hAnsiTheme="minorEastAsia" w:eastAsiaTheme="minorEastAsia" w:cstheme="minorEastAsia"/>
          <w:bCs/>
          <w:color w:val="auto"/>
          <w:szCs w:val="24"/>
          <w:highlight w:val="none"/>
        </w:rPr>
        <w:t>采购需求</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_Toc8073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367F5F5F">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_Toc16238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eastAsia="zh-CN"/>
        </w:rPr>
        <w:t xml:space="preserve">三、 </w:t>
      </w:r>
      <w:r>
        <w:rPr>
          <w:rFonts w:hint="eastAsia" w:asciiTheme="minorEastAsia" w:hAnsiTheme="minorEastAsia" w:eastAsiaTheme="minorEastAsia" w:cstheme="minorEastAsia"/>
          <w:bCs/>
          <w:color w:val="auto"/>
          <w:szCs w:val="24"/>
          <w:highlight w:val="none"/>
          <w:lang w:val="en-US" w:eastAsia="zh-CN"/>
        </w:rPr>
        <w:t>投标人</w:t>
      </w:r>
      <w:r>
        <w:rPr>
          <w:rFonts w:hint="eastAsia" w:asciiTheme="minorEastAsia" w:hAnsiTheme="minorEastAsia" w:eastAsiaTheme="minorEastAsia" w:cstheme="minorEastAsia"/>
          <w:bCs/>
          <w:color w:val="auto"/>
          <w:szCs w:val="24"/>
          <w:highlight w:val="none"/>
        </w:rPr>
        <w:t>的资格要求</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_Toc16238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2</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4DF0B16">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_Toc25887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val="en-US" w:eastAsia="zh-CN"/>
        </w:rPr>
        <w:t xml:space="preserve">四、 </w:t>
      </w:r>
      <w:r>
        <w:rPr>
          <w:rFonts w:hint="eastAsia" w:asciiTheme="minorEastAsia" w:hAnsiTheme="minorEastAsia" w:eastAsiaTheme="minorEastAsia" w:cstheme="minorEastAsia"/>
          <w:bCs/>
          <w:color w:val="auto"/>
          <w:szCs w:val="24"/>
          <w:highlight w:val="none"/>
          <w:lang w:val="en-US" w:eastAsia="zh-CN"/>
        </w:rPr>
        <w:t>获取磋商文件的时间、地点及方式</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_Toc25887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3</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0A1DE2A">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_Toc21536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val="en-US" w:eastAsia="zh-CN"/>
        </w:rPr>
        <w:t xml:space="preserve">五、 </w:t>
      </w:r>
      <w:r>
        <w:rPr>
          <w:rFonts w:hint="eastAsia" w:asciiTheme="minorEastAsia" w:hAnsiTheme="minorEastAsia" w:eastAsiaTheme="minorEastAsia" w:cstheme="minorEastAsia"/>
          <w:bCs/>
          <w:color w:val="auto"/>
          <w:szCs w:val="24"/>
          <w:highlight w:val="none"/>
          <w:lang w:val="en-US" w:eastAsia="zh-CN"/>
        </w:rPr>
        <w:t>投标截止时间、开标时间及地点</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_Toc21536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3</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35C45709">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_Toc22094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val="en-US" w:eastAsia="zh-CN"/>
        </w:rPr>
        <w:t xml:space="preserve">六、 </w:t>
      </w:r>
      <w:r>
        <w:rPr>
          <w:rFonts w:hint="eastAsia" w:asciiTheme="minorEastAsia" w:hAnsiTheme="minorEastAsia" w:eastAsiaTheme="minorEastAsia" w:cstheme="minorEastAsia"/>
          <w:bCs/>
          <w:color w:val="auto"/>
          <w:szCs w:val="24"/>
          <w:highlight w:val="none"/>
          <w:lang w:val="en-US" w:eastAsia="zh-CN"/>
        </w:rPr>
        <w:t>公告期限</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_Toc22094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4</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156FCF2">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_Toc21474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val="en-US" w:eastAsia="zh-CN"/>
        </w:rPr>
        <w:t xml:space="preserve">七、 </w:t>
      </w:r>
      <w:r>
        <w:rPr>
          <w:rFonts w:hint="eastAsia" w:asciiTheme="minorEastAsia" w:hAnsiTheme="minorEastAsia" w:eastAsiaTheme="minorEastAsia" w:cstheme="minorEastAsia"/>
          <w:bCs/>
          <w:color w:val="auto"/>
          <w:szCs w:val="24"/>
          <w:highlight w:val="none"/>
          <w:lang w:val="en-US" w:eastAsia="zh-CN"/>
        </w:rPr>
        <w:t>其他补充事宜</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_Toc21474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4</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7858F400">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_Toc14781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val="en-US" w:eastAsia="zh-CN"/>
        </w:rPr>
        <w:t xml:space="preserve">八、 </w:t>
      </w:r>
      <w:r>
        <w:rPr>
          <w:rFonts w:hint="eastAsia" w:asciiTheme="minorEastAsia" w:hAnsiTheme="minorEastAsia" w:eastAsiaTheme="minorEastAsia" w:cstheme="minorEastAsia"/>
          <w:bCs/>
          <w:color w:val="auto"/>
          <w:szCs w:val="24"/>
          <w:highlight w:val="none"/>
          <w:lang w:val="en-US" w:eastAsia="zh-CN"/>
        </w:rPr>
        <w:t>询问及质疑</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_Toc14781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5</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13282440">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_Toc27546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val="en-US" w:eastAsia="zh-CN"/>
        </w:rPr>
        <w:t xml:space="preserve">九、 </w:t>
      </w:r>
      <w:r>
        <w:rPr>
          <w:rFonts w:hint="eastAsia" w:asciiTheme="minorEastAsia" w:hAnsiTheme="minorEastAsia" w:eastAsiaTheme="minorEastAsia" w:cstheme="minorEastAsia"/>
          <w:bCs/>
          <w:color w:val="auto"/>
          <w:szCs w:val="24"/>
          <w:highlight w:val="none"/>
          <w:lang w:val="en-US" w:eastAsia="zh-CN"/>
        </w:rPr>
        <w:t>采购项目联系人姓名和电话</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_Toc27546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5</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4FE2C35D">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_Toc28201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bCs/>
          <w:color w:val="auto"/>
          <w:szCs w:val="24"/>
          <w:lang w:val="en-US" w:eastAsia="zh-CN"/>
        </w:rPr>
        <w:t xml:space="preserve">十、 </w:t>
      </w:r>
      <w:r>
        <w:rPr>
          <w:rFonts w:hint="eastAsia" w:asciiTheme="minorEastAsia" w:hAnsiTheme="minorEastAsia" w:eastAsiaTheme="minorEastAsia" w:cstheme="minorEastAsia"/>
          <w:bCs/>
          <w:color w:val="auto"/>
          <w:szCs w:val="24"/>
          <w:highlight w:val="none"/>
          <w:lang w:val="en-US" w:eastAsia="zh-CN"/>
        </w:rPr>
        <w:t>采购人、采购代理机构的名称、地址和联系方法</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_Toc28201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5</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BB31E29">
      <w:pPr>
        <w:pStyle w:val="16"/>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_Toc5817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第二章 磋商须知</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_Toc5817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3EF6F0FD">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_Toc25156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磋商须知前附表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_Toc25156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89B5C6B">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_Toc28197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rPr>
        <w:t>一、说明</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_Toc28197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4899F1B8">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_Toc1130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rPr>
        <w:t>二、磋商文件</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_Toc1130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9</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ED3FD0B">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_Toc17299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rPr>
        <w:t>三、响应文件的编写</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_Toc17299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10</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87BFEC9">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_Toc12577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rPr>
        <w:t>四、响应文件的递交</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_Toc12577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10</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BF08313">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_Toc5258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rPr>
        <w:t>五、响应文件的磋商与评审</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_Toc5258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10</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0D76501F">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_Toc7811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rPr>
        <w:t>六、成交结果信息公布与授予合同</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_Toc7811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11</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8FFEA11">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_Toc31400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附页1：湖南省政府采购支持小企业融资合作银行及联系人名单</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_Toc31400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12</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1C2DAE74">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_Toc29694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附页2：湖南省政府采购信用担保试点工作的信用担保机构名单</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_Toc29694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12</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7126286D">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_Toc10973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附页3：政府采购履约担保函</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_Toc10973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13</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10852DCA">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_Toc30991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附页4：资格性检查表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_Toc30991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15</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9DDB065">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_Toc25530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附页5：符合性检查表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_Toc25530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18</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56B7390">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_Toc23270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附页6：澄清、说明、补正事项记要表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_Toc23270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19</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EF78AE2">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_Toc27402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附页7：评标方法及标准</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_Toc27402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20</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4A3DCDAE">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_Toc18451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磋商须知正文</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_Toc18451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25</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4534F06F">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_Toc32072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一、说明</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_Toc32072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25</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131216F">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_Toc23210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二、磋商文件</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_Toc23210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28</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07E943E7">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_Toc26033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三、响应文件</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_Toc26033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29</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2FB951A4">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_Toc19588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四、响应文件的递交</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_Toc19588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33</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32C6197B">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_Toc27653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五、响应文件的磋商与评审</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_Toc27653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33</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EC522EA">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_Toc3716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六、成交结果信息公布与授予合同</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_Toc3716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38</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2FD6E3B">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_Toc27956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七、其他规定</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_Toc27956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39</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21CDADF1">
      <w:pPr>
        <w:pStyle w:val="16"/>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_Toc25354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highlight w:val="none"/>
        </w:rPr>
        <w:t>第三章  政府采购合同格式</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_Toc25354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40</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29118946">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_Toc24200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第一部分合同协议书</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_Toc24200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40</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13CD87B">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_Toc23803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第二部分</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通用合同条款（略）</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_Toc23803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43</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F4C2A60">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_Toc14094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工程质量保修书</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_Toc14094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44</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17607C17">
      <w:pPr>
        <w:pStyle w:val="16"/>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_Toc28676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第四章 采购需求</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_Toc28676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46</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1E3ED0FB">
      <w:pPr>
        <w:pStyle w:val="16"/>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_Toc22853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第五章 响应文件组成</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_Toc22853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50</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7302B927">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_Toc25606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一、供应商资格声明(格式)</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_Toc25606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52</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7B4B60C6">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_Toc10086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eastAsia="zh-CN"/>
        </w:rPr>
        <w:t>二、</w:t>
      </w:r>
      <w:r>
        <w:rPr>
          <w:rFonts w:hint="eastAsia" w:asciiTheme="minorEastAsia" w:hAnsiTheme="minorEastAsia" w:eastAsiaTheme="minorEastAsia" w:cstheme="minorEastAsia"/>
          <w:color w:val="auto"/>
          <w:highlight w:val="none"/>
        </w:rPr>
        <w:t>法定代表人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单位负责人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身份证明</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_Toc10086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58</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6997972">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_Toc19660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eastAsia="zh-CN"/>
        </w:rPr>
        <w:t>三、法定代表人（单位负责人）授权委托书</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_Toc19660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59</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2E71FE96">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_Toc32444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eastAsia="zh-CN"/>
        </w:rPr>
        <w:t>四</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磋商</w:t>
      </w:r>
      <w:r>
        <w:rPr>
          <w:rFonts w:hint="eastAsia" w:asciiTheme="minorEastAsia" w:hAnsiTheme="minorEastAsia" w:eastAsiaTheme="minorEastAsia" w:cstheme="minorEastAsia"/>
          <w:color w:val="auto"/>
          <w:highlight w:val="none"/>
        </w:rPr>
        <w:t>响应声明</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_Toc32444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60</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0760060D">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_Toc28788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8"/>
          <w:highlight w:val="none"/>
          <w:lang w:eastAsia="zh-CN"/>
        </w:rPr>
        <w:t>五、采购需求响应</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_Toc28788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61</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4E007371">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_Toc31459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eastAsia="zh-CN"/>
        </w:rPr>
        <w:t>六</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施工及技术方案</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_Toc31459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62</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7EFEC368">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_Toc6716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附件6-2：拟任项目经理简历表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_Toc6716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64</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203EBA0B">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_Toc10224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附件6-3：项目经理在建情况及到岗履职承诺书</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_Toc10224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65</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87780CC">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_Toc1163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eastAsia="zh-CN"/>
        </w:rPr>
        <w:t>七、</w:t>
      </w:r>
      <w:r>
        <w:rPr>
          <w:rFonts w:hint="eastAsia" w:asciiTheme="minorEastAsia" w:hAnsiTheme="minorEastAsia" w:eastAsiaTheme="minorEastAsia" w:cstheme="minorEastAsia"/>
          <w:color w:val="auto"/>
          <w:highlight w:val="none"/>
        </w:rPr>
        <w:t>不拖欠民工工资承诺书</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_Toc1163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66</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7AF15F6">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_Toc17091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8"/>
          <w:highlight w:val="none"/>
          <w:lang w:eastAsia="zh-CN"/>
        </w:rPr>
        <w:t>八、</w:t>
      </w:r>
      <w:r>
        <w:rPr>
          <w:rFonts w:hint="eastAsia" w:asciiTheme="minorEastAsia" w:hAnsiTheme="minorEastAsia" w:eastAsiaTheme="minorEastAsia" w:cstheme="minorEastAsia"/>
          <w:color w:val="auto"/>
          <w:szCs w:val="28"/>
          <w:highlight w:val="none"/>
        </w:rPr>
        <w:t>合同条款偏离表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_Toc17091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67</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40B17F64">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_Toc7281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val="en-US" w:eastAsia="zh-CN"/>
        </w:rPr>
        <w:t>九、采购需求偏离表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_Toc7281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68</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42F7C89C">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_Toc24859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val="en-US" w:eastAsia="zh-CN"/>
        </w:rPr>
        <w:t>十、报价一览表及报价文件</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_Toc24859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69</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05E4B8ED">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_Toc12784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附件10-1 报价一览表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_Toc12784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69</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027AEF4B">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_Toc26407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附件10-2 工程量清单及分项报价表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_Toc26407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70</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1B6362C8">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_Toc974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val="en-US" w:eastAsia="zh-CN"/>
        </w:rPr>
        <w:t>十一、享受政府采购政策优惠的证明资料</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_Toc974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71</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FAC7447">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_Toc7840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附件11-1 中小企业声明函</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_Toc7840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71</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6129DEB6">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_Toc19143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附件11-2 残疾人福利性单位声明函</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_Toc19143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73</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51693847">
      <w:pPr>
        <w:pStyle w:val="12"/>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_Toc9137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szCs w:val="24"/>
          <w:lang w:val="en-US" w:eastAsia="zh-CN"/>
        </w:rPr>
        <w:t>附件11-3 监狱企业证明资料</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_Toc9137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74</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01950D2F">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_Toc18244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eastAsia="zh-CN"/>
        </w:rPr>
        <w:t>十</w:t>
      </w:r>
      <w:r>
        <w:rPr>
          <w:rFonts w:hint="eastAsia" w:asciiTheme="minorEastAsia" w:hAnsiTheme="minorEastAsia" w:eastAsiaTheme="minorEastAsia" w:cstheme="minorEastAsia"/>
          <w:color w:val="auto"/>
          <w:highlight w:val="none"/>
          <w:lang w:val="en-US" w:eastAsia="zh-CN"/>
        </w:rPr>
        <w:t>二</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投标人认为需要提供的其它资料</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_Toc18244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75</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4E5F50D4">
      <w:pPr>
        <w:pStyle w:val="18"/>
        <w:tabs>
          <w:tab w:val="right" w:leader="dot" w:pos="9746"/>
        </w:tabs>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_Toc15937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lang w:val="en-US" w:eastAsia="zh-CN"/>
        </w:rPr>
        <w:t>十三</w:t>
      </w:r>
      <w:r>
        <w:rPr>
          <w:rFonts w:hint="eastAsia" w:asciiTheme="minorEastAsia" w:hAnsiTheme="minorEastAsia" w:eastAsiaTheme="minorEastAsia" w:cstheme="minorEastAsia"/>
          <w:color w:val="auto"/>
          <w:highlight w:val="none"/>
          <w:lang w:eastAsia="zh-CN"/>
        </w:rPr>
        <w:t>、最后报价</w:t>
      </w:r>
      <w:r>
        <w:rPr>
          <w:rFonts w:hint="eastAsia" w:asciiTheme="minorEastAsia" w:hAnsiTheme="minorEastAsia" w:eastAsiaTheme="minorEastAsia" w:cstheme="minorEastAsia"/>
          <w:color w:val="auto"/>
          <w:highlight w:val="none"/>
          <w:lang w:val="en-US" w:eastAsia="zh-CN"/>
        </w:rPr>
        <w:t>表</w:t>
      </w:r>
      <w:r>
        <w:rPr>
          <w:rFonts w:hint="eastAsia" w:asciiTheme="minorEastAsia" w:hAnsiTheme="minorEastAsia" w:eastAsiaTheme="minorEastAsia" w:cstheme="minorEastAsia"/>
          <w:color w:val="auto"/>
        </w:rPr>
        <w:tab/>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PAGEREF _Toc15937 \h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rPr>
        <w:t>76</w:t>
      </w:r>
      <w:r>
        <w:rPr>
          <w:rFonts w:hint="eastAsia" w:asciiTheme="minorEastAsia" w:hAnsiTheme="minorEastAsia" w:eastAsiaTheme="minorEastAsia" w:cstheme="minorEastAsia"/>
          <w:color w:val="auto"/>
        </w:rPr>
        <w:fldChar w:fldCharType="end"/>
      </w:r>
      <w:r>
        <w:rPr>
          <w:rFonts w:hint="eastAsia" w:asciiTheme="minorEastAsia" w:hAnsiTheme="minorEastAsia" w:eastAsiaTheme="minorEastAsia" w:cstheme="minorEastAsia"/>
          <w:color w:val="auto"/>
          <w:szCs w:val="24"/>
          <w:highlight w:val="none"/>
        </w:rPr>
        <w:fldChar w:fldCharType="end"/>
      </w:r>
    </w:p>
    <w:p w14:paraId="7E6686E3">
      <w:pPr>
        <w:pStyle w:val="18"/>
        <w:keepNext w:val="0"/>
        <w:keepLines w:val="0"/>
        <w:pageBreakBefore w:val="0"/>
        <w:widowControl w:val="0"/>
        <w:tabs>
          <w:tab w:val="right" w:leader="dot" w:pos="9746"/>
        </w:tabs>
        <w:kinsoku/>
        <w:wordWrap/>
        <w:overflowPunct/>
        <w:topLinePunct w:val="0"/>
        <w:autoSpaceDE/>
        <w:autoSpaceDN/>
        <w:bidi w:val="0"/>
        <w:adjustRightInd/>
        <w:snapToGrid/>
        <w:spacing w:line="408" w:lineRule="auto"/>
        <w:ind w:left="0" w:leftChars="0" w:firstLine="0" w:firstLineChars="0"/>
        <w:textAlignment w:val="auto"/>
        <w:rPr>
          <w:rFonts w:hint="eastAsia" w:ascii="宋体" w:hAnsi="宋体" w:eastAsia="宋体" w:cs="宋体"/>
          <w:color w:val="auto"/>
          <w:sz w:val="24"/>
          <w:szCs w:val="24"/>
          <w:highlight w:val="none"/>
        </w:rPr>
        <w:sectPr>
          <w:footerReference r:id="rId5" w:type="default"/>
          <w:pgSz w:w="11906" w:h="16838"/>
          <w:pgMar w:top="1440" w:right="1080" w:bottom="1440" w:left="1080" w:header="851" w:footer="992" w:gutter="0"/>
          <w:pgNumType w:start="1"/>
          <w:cols w:space="720" w:num="1"/>
          <w:docGrid w:type="lines" w:linePitch="312" w:charSpace="0"/>
        </w:sectPr>
      </w:pPr>
      <w:r>
        <w:rPr>
          <w:rFonts w:hint="eastAsia" w:asciiTheme="minorEastAsia" w:hAnsiTheme="minorEastAsia" w:eastAsiaTheme="minorEastAsia" w:cstheme="minorEastAsia"/>
          <w:color w:val="auto"/>
          <w:szCs w:val="24"/>
          <w:highlight w:val="none"/>
        </w:rPr>
        <w:fldChar w:fldCharType="end"/>
      </w:r>
    </w:p>
    <w:p w14:paraId="58F91CF8">
      <w:pPr>
        <w:pStyle w:val="2"/>
        <w:pageBreakBefore w:val="0"/>
        <w:widowControl w:val="0"/>
        <w:kinsoku/>
        <w:wordWrap/>
        <w:overflowPunct/>
        <w:topLinePunct w:val="0"/>
        <w:autoSpaceDE/>
        <w:autoSpaceDN/>
        <w:bidi w:val="0"/>
        <w:spacing w:before="0" w:after="0"/>
        <w:textAlignment w:val="auto"/>
        <w:rPr>
          <w:rFonts w:hint="eastAsia" w:ascii="宋体" w:hAnsi="宋体" w:eastAsia="宋体" w:cs="宋体"/>
          <w:color w:val="auto"/>
          <w:highlight w:val="none"/>
          <w:lang w:eastAsia="zh-CN"/>
        </w:rPr>
      </w:pPr>
      <w:bookmarkStart w:id="0" w:name="_Toc23895"/>
      <w:bookmarkStart w:id="1" w:name="_Toc2039"/>
      <w:r>
        <w:rPr>
          <w:rFonts w:hint="eastAsia" w:ascii="宋体" w:hAnsi="宋体" w:eastAsia="宋体" w:cs="宋体"/>
          <w:color w:val="auto"/>
          <w:highlight w:val="none"/>
        </w:rPr>
        <w:t>第一章 竞争性磋商</w:t>
      </w:r>
      <w:r>
        <w:rPr>
          <w:rFonts w:hint="eastAsia" w:ascii="宋体" w:hAnsi="宋体" w:eastAsia="宋体" w:cs="宋体"/>
          <w:color w:val="auto"/>
          <w:highlight w:val="none"/>
          <w:lang w:val="en-US" w:eastAsia="zh-CN"/>
        </w:rPr>
        <w:t>邀请</w:t>
      </w:r>
      <w:bookmarkEnd w:id="0"/>
      <w:bookmarkEnd w:id="1"/>
    </w:p>
    <w:p w14:paraId="637FECA0">
      <w:pPr>
        <w:pBdr>
          <w:top w:val="single" w:color="auto" w:sz="4" w:space="0"/>
          <w:left w:val="single" w:color="auto" w:sz="4" w:space="0"/>
          <w:bottom w:val="single" w:color="auto" w:sz="4" w:space="0"/>
          <w:right w:val="single" w:color="auto" w:sz="4" w:space="0"/>
        </w:pBdr>
        <w:adjustRightInd w:val="0"/>
        <w:spacing w:line="360" w:lineRule="auto"/>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rPr>
        <w:t>提示：</w:t>
      </w:r>
    </w:p>
    <w:p w14:paraId="3E20FA65">
      <w:pPr>
        <w:pBdr>
          <w:top w:val="single" w:color="auto" w:sz="4" w:space="0"/>
          <w:left w:val="single" w:color="auto" w:sz="4" w:space="0"/>
          <w:bottom w:val="single" w:color="auto" w:sz="4" w:space="0"/>
          <w:right w:val="single" w:color="auto" w:sz="4" w:space="0"/>
        </w:pBdr>
        <w:wordWrap w:val="0"/>
        <w:adjustRightIn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u w:val="single"/>
          <w:lang w:val="en-US" w:eastAsia="zh-CN"/>
        </w:rPr>
        <w:t>古丈县古阳镇柑子坪村通组公路硬化项目</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潜在投标人应在《</w:t>
      </w:r>
      <w:r>
        <w:rPr>
          <w:rFonts w:hint="eastAsia" w:ascii="宋体" w:hAnsi="宋体" w:cs="宋体"/>
          <w:color w:val="auto"/>
          <w:sz w:val="24"/>
          <w:highlight w:val="none"/>
          <w:lang w:eastAsia="zh-CN"/>
        </w:rPr>
        <w:t>湘西州公共资源交易服务平台</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https://xiangxi.hnsggzy.com/#/sy</w:t>
      </w:r>
      <w:r>
        <w:rPr>
          <w:rFonts w:hint="eastAsia" w:ascii="宋体" w:hAnsi="宋体" w:eastAsia="宋体" w:cs="宋体"/>
          <w:color w:val="auto"/>
          <w:sz w:val="24"/>
          <w:highlight w:val="none"/>
        </w:rPr>
        <w:t>）获取电子</w:t>
      </w:r>
      <w:r>
        <w:rPr>
          <w:rFonts w:hint="eastAsia" w:ascii="宋体" w:hAnsi="宋体" w:eastAsia="宋体" w:cs="宋体"/>
          <w:color w:val="auto"/>
          <w:sz w:val="24"/>
          <w:highlight w:val="none"/>
          <w:lang w:val="en-US" w:eastAsia="zh-CN"/>
        </w:rPr>
        <w:t>磋商文件</w:t>
      </w:r>
      <w:r>
        <w:rPr>
          <w:rFonts w:hint="eastAsia" w:ascii="宋体" w:hAnsi="宋体" w:eastAsia="宋体" w:cs="宋体"/>
          <w:color w:val="auto"/>
          <w:sz w:val="24"/>
          <w:highlight w:val="none"/>
        </w:rPr>
        <w:t>，</w:t>
      </w:r>
      <w:r>
        <w:rPr>
          <w:rFonts w:hint="eastAsia" w:ascii="宋体" w:hAnsi="宋体" w:eastAsia="宋体" w:cs="宋体"/>
          <w:b/>
          <w:bCs/>
          <w:color w:val="auto"/>
          <w:sz w:val="24"/>
          <w:highlight w:val="none"/>
          <w:u w:val="single"/>
          <w:lang w:val="en-US" w:eastAsia="zh-CN"/>
        </w:rPr>
        <w:t>2026</w:t>
      </w:r>
      <w:r>
        <w:rPr>
          <w:rFonts w:hint="eastAsia" w:ascii="宋体" w:hAnsi="宋体" w:eastAsia="宋体" w:cs="宋体"/>
          <w:b/>
          <w:bCs/>
          <w:color w:val="auto"/>
          <w:kern w:val="0"/>
          <w:sz w:val="24"/>
          <w:highlight w:val="none"/>
        </w:rPr>
        <w:t>年</w:t>
      </w:r>
      <w:r>
        <w:rPr>
          <w:rFonts w:hint="eastAsia" w:ascii="宋体" w:hAnsi="宋体" w:cs="宋体"/>
          <w:b/>
          <w:bCs/>
          <w:color w:val="auto"/>
          <w:kern w:val="0"/>
          <w:sz w:val="24"/>
          <w:highlight w:val="none"/>
          <w:u w:val="single"/>
          <w:lang w:val="en-US" w:eastAsia="zh-CN"/>
        </w:rPr>
        <w:t>08</w:t>
      </w:r>
      <w:r>
        <w:rPr>
          <w:rFonts w:hint="eastAsia" w:ascii="宋体" w:hAnsi="宋体" w:eastAsia="宋体" w:cs="宋体"/>
          <w:b/>
          <w:bCs/>
          <w:color w:val="auto"/>
          <w:kern w:val="0"/>
          <w:sz w:val="24"/>
          <w:highlight w:val="none"/>
          <w:u w:val="none"/>
          <w:lang w:val="en-US" w:eastAsia="zh-CN"/>
        </w:rPr>
        <w:t>月</w:t>
      </w:r>
      <w:r>
        <w:rPr>
          <w:rFonts w:hint="eastAsia" w:ascii="宋体" w:hAnsi="宋体" w:cs="宋体"/>
          <w:b/>
          <w:bCs/>
          <w:color w:val="auto"/>
          <w:kern w:val="0"/>
          <w:sz w:val="24"/>
          <w:highlight w:val="none"/>
          <w:u w:val="single"/>
          <w:lang w:val="en-US" w:eastAsia="zh-CN"/>
        </w:rPr>
        <w:t>10</w:t>
      </w:r>
      <w:r>
        <w:rPr>
          <w:rFonts w:hint="eastAsia" w:ascii="宋体" w:hAnsi="宋体" w:eastAsia="宋体" w:cs="宋体"/>
          <w:b/>
          <w:bCs/>
          <w:color w:val="auto"/>
          <w:kern w:val="0"/>
          <w:sz w:val="24"/>
          <w:highlight w:val="none"/>
          <w:u w:val="none"/>
          <w:lang w:val="en-US" w:eastAsia="zh-CN"/>
        </w:rPr>
        <w:t>日</w:t>
      </w:r>
      <w:r>
        <w:rPr>
          <w:rFonts w:hint="eastAsia" w:ascii="宋体" w:hAnsi="宋体" w:eastAsia="宋体" w:cs="宋体"/>
          <w:b/>
          <w:bCs/>
          <w:color w:val="auto"/>
          <w:kern w:val="0"/>
          <w:sz w:val="24"/>
          <w:highlight w:val="none"/>
          <w:u w:val="single"/>
          <w:lang w:val="en-US" w:eastAsia="zh-CN"/>
        </w:rPr>
        <w:t>09</w:t>
      </w:r>
      <w:r>
        <w:rPr>
          <w:rFonts w:hint="eastAsia" w:ascii="宋体" w:hAnsi="宋体" w:eastAsia="宋体" w:cs="宋体"/>
          <w:b/>
          <w:bCs/>
          <w:color w:val="auto"/>
          <w:kern w:val="0"/>
          <w:sz w:val="24"/>
          <w:highlight w:val="none"/>
        </w:rPr>
        <w:t>时</w:t>
      </w:r>
      <w:r>
        <w:rPr>
          <w:rFonts w:hint="eastAsia" w:ascii="宋体" w:hAnsi="宋体" w:eastAsia="宋体" w:cs="宋体"/>
          <w:b/>
          <w:bCs/>
          <w:color w:val="auto"/>
          <w:kern w:val="0"/>
          <w:sz w:val="24"/>
          <w:highlight w:val="none"/>
          <w:u w:val="single"/>
          <w:lang w:val="en-US" w:eastAsia="zh-CN"/>
        </w:rPr>
        <w:t>00</w:t>
      </w:r>
      <w:r>
        <w:rPr>
          <w:rFonts w:hint="eastAsia" w:ascii="宋体" w:hAnsi="宋体" w:eastAsia="宋体" w:cs="宋体"/>
          <w:b/>
          <w:bCs/>
          <w:color w:val="auto"/>
          <w:kern w:val="0"/>
          <w:sz w:val="24"/>
          <w:highlight w:val="none"/>
        </w:rPr>
        <w:t>分</w:t>
      </w:r>
      <w:r>
        <w:rPr>
          <w:rFonts w:hint="eastAsia" w:ascii="宋体" w:hAnsi="宋体" w:eastAsia="宋体" w:cs="宋体"/>
          <w:color w:val="auto"/>
          <w:sz w:val="24"/>
          <w:highlight w:val="none"/>
        </w:rPr>
        <w:t>前登录湘西州公共资源交易网上传电子</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w:t>
      </w:r>
    </w:p>
    <w:p w14:paraId="10050DA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u w:val="single"/>
          <w:lang w:val="en-US" w:eastAsia="zh-CN"/>
        </w:rPr>
        <w:t>古丈县古阳镇人民政府</w:t>
      </w:r>
      <w:r>
        <w:rPr>
          <w:rFonts w:hint="eastAsia" w:ascii="宋体" w:hAnsi="宋体" w:eastAsia="宋体" w:cs="宋体"/>
          <w:color w:val="auto"/>
          <w:sz w:val="24"/>
          <w:szCs w:val="24"/>
          <w:highlight w:val="none"/>
        </w:rPr>
        <w:t>（采购人名称）的</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bCs/>
          <w:color w:val="auto"/>
          <w:sz w:val="24"/>
          <w:highlight w:val="none"/>
          <w:u w:val="single"/>
          <w:lang w:val="en-US" w:eastAsia="zh-CN"/>
        </w:rPr>
        <w:t>古丈县古阳镇柑子坪村通组公路硬化项目</w:t>
      </w:r>
      <w:r>
        <w:rPr>
          <w:rFonts w:hint="eastAsia" w:ascii="宋体" w:hAnsi="宋体" w:eastAsia="宋体" w:cs="宋体"/>
          <w:b/>
          <w:bCs/>
          <w:color w:val="auto"/>
          <w:sz w:val="24"/>
          <w:highlight w:val="none"/>
          <w:u w:val="single"/>
          <w:lang w:val="en-US" w:eastAsia="zh-CN"/>
        </w:rPr>
        <w:t xml:space="preserve"> </w:t>
      </w:r>
      <w:r>
        <w:rPr>
          <w:rFonts w:hint="eastAsia" w:ascii="宋体" w:hAnsi="宋体" w:eastAsia="宋体" w:cs="宋体"/>
          <w:color w:val="auto"/>
          <w:sz w:val="24"/>
          <w:szCs w:val="24"/>
          <w:highlight w:val="none"/>
        </w:rPr>
        <w:t>(项目名称)进行竞争性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采购，现采用</w:t>
      </w:r>
      <w:r>
        <w:rPr>
          <w:rFonts w:hint="eastAsia" w:ascii="宋体" w:hAnsi="宋体" w:eastAsia="宋体" w:cs="宋体"/>
          <w:b w:val="0"/>
          <w:bCs w:val="0"/>
          <w:color w:val="auto"/>
          <w:sz w:val="24"/>
          <w:szCs w:val="24"/>
          <w:highlight w:val="none"/>
          <w:u w:val="none"/>
          <w:lang w:val="en-US" w:eastAsia="zh-CN"/>
        </w:rPr>
        <w:t>发布公告的</w:t>
      </w:r>
      <w:r>
        <w:rPr>
          <w:rFonts w:hint="eastAsia" w:ascii="宋体" w:hAnsi="宋体" w:eastAsia="宋体" w:cs="宋体"/>
          <w:color w:val="auto"/>
          <w:sz w:val="24"/>
          <w:szCs w:val="24"/>
          <w:highlight w:val="none"/>
        </w:rPr>
        <w:t>方式，邀请符合资格条件的供应商参与竞争性磋商</w:t>
      </w:r>
      <w:r>
        <w:rPr>
          <w:rFonts w:hint="eastAsia" w:ascii="宋体" w:hAnsi="宋体" w:eastAsia="宋体" w:cs="宋体"/>
          <w:color w:val="auto"/>
          <w:sz w:val="24"/>
          <w:szCs w:val="24"/>
          <w:highlight w:val="none"/>
          <w:lang w:val="en-US" w:eastAsia="zh-CN"/>
        </w:rPr>
        <w:t>政府</w:t>
      </w:r>
      <w:r>
        <w:rPr>
          <w:rFonts w:hint="eastAsia" w:ascii="宋体" w:hAnsi="宋体" w:eastAsia="宋体" w:cs="宋体"/>
          <w:color w:val="auto"/>
          <w:sz w:val="24"/>
          <w:szCs w:val="24"/>
          <w:highlight w:val="none"/>
        </w:rPr>
        <w:t>采购活动。</w:t>
      </w:r>
    </w:p>
    <w:p w14:paraId="39B3F61E">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u w:val="none"/>
          <w:lang w:eastAsia="zh-CN"/>
        </w:rPr>
      </w:pPr>
      <w:bookmarkStart w:id="2" w:name="_Toc22201055"/>
      <w:bookmarkStart w:id="3" w:name="_Toc26413"/>
      <w:bookmarkStart w:id="4" w:name="_Toc29798"/>
      <w:bookmarkStart w:id="5" w:name="_Toc31365"/>
      <w:bookmarkStart w:id="6" w:name="_Toc482"/>
      <w:r>
        <w:rPr>
          <w:rFonts w:hint="eastAsia" w:ascii="宋体" w:hAnsi="宋体" w:eastAsia="宋体" w:cs="宋体"/>
          <w:b/>
          <w:bCs/>
          <w:color w:val="auto"/>
          <w:sz w:val="24"/>
          <w:szCs w:val="24"/>
          <w:highlight w:val="none"/>
        </w:rPr>
        <w:t>采购项目</w:t>
      </w:r>
      <w:bookmarkEnd w:id="2"/>
      <w:r>
        <w:rPr>
          <w:rFonts w:hint="eastAsia" w:ascii="宋体" w:hAnsi="宋体" w:eastAsia="宋体" w:cs="宋体"/>
          <w:b/>
          <w:bCs/>
          <w:color w:val="auto"/>
          <w:sz w:val="24"/>
          <w:szCs w:val="24"/>
          <w:highlight w:val="none"/>
        </w:rPr>
        <w:t>基本情况</w:t>
      </w:r>
      <w:bookmarkEnd w:id="3"/>
      <w:bookmarkEnd w:id="4"/>
      <w:bookmarkEnd w:id="5"/>
      <w:bookmarkEnd w:id="6"/>
    </w:p>
    <w:p w14:paraId="78901D68">
      <w:pPr>
        <w:keepNext w:val="0"/>
        <w:keepLines w:val="0"/>
        <w:pageBreakBefore w:val="0"/>
        <w:widowControl w:val="0"/>
        <w:numPr>
          <w:ilvl w:val="0"/>
          <w:numId w:val="0"/>
        </w:numPr>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1、采购项目名称：</w:t>
      </w:r>
      <w:r>
        <w:rPr>
          <w:rFonts w:hint="eastAsia" w:ascii="宋体" w:hAnsi="宋体" w:cs="宋体"/>
          <w:color w:val="auto"/>
          <w:sz w:val="24"/>
          <w:szCs w:val="24"/>
          <w:highlight w:val="none"/>
          <w:u w:val="none"/>
          <w:lang w:val="en-US" w:eastAsia="zh-CN"/>
        </w:rPr>
        <w:t>古丈县古阳镇柑子坪村通组公路硬化项目</w:t>
      </w:r>
    </w:p>
    <w:p w14:paraId="6824FDD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2、</w:t>
      </w:r>
      <w:r>
        <w:rPr>
          <w:rFonts w:hint="eastAsia" w:ascii="宋体" w:hAnsi="宋体" w:eastAsia="宋体" w:cs="宋体"/>
          <w:color w:val="auto"/>
          <w:sz w:val="24"/>
          <w:szCs w:val="24"/>
          <w:highlight w:val="none"/>
          <w:u w:val="none"/>
          <w:lang w:eastAsia="zh-CN"/>
        </w:rPr>
        <w:t>政府采购编号：</w:t>
      </w:r>
      <w:r>
        <w:rPr>
          <w:rFonts w:hint="eastAsia" w:ascii="宋体" w:hAnsi="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eastAsia="zh-CN"/>
        </w:rPr>
        <w:t>2026</w:t>
      </w:r>
      <w:r>
        <w:rPr>
          <w:rFonts w:hint="eastAsia" w:ascii="宋体" w:hAnsi="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eastAsia="zh-CN"/>
        </w:rPr>
        <w:t>433126000002-1</w:t>
      </w:r>
    </w:p>
    <w:p w14:paraId="21CFE487">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i/>
          <w:color w:val="auto"/>
          <w:sz w:val="24"/>
          <w:szCs w:val="24"/>
          <w:highlight w:val="none"/>
          <w:u w:val="none"/>
          <w:lang w:val="en-US"/>
        </w:rPr>
      </w:pPr>
      <w:r>
        <w:rPr>
          <w:rFonts w:hint="eastAsia" w:ascii="宋体" w:hAnsi="宋体" w:eastAsia="宋体" w:cs="宋体"/>
          <w:color w:val="auto"/>
          <w:sz w:val="24"/>
          <w:szCs w:val="24"/>
          <w:highlight w:val="none"/>
          <w:u w:val="none"/>
        </w:rPr>
        <w:t>3、</w:t>
      </w:r>
      <w:r>
        <w:rPr>
          <w:rFonts w:hint="eastAsia" w:ascii="宋体" w:hAnsi="宋体" w:eastAsia="宋体" w:cs="宋体"/>
          <w:color w:val="auto"/>
          <w:sz w:val="24"/>
          <w:szCs w:val="24"/>
          <w:highlight w:val="none"/>
          <w:u w:val="none"/>
          <w:lang w:val="en-US" w:eastAsia="zh-CN"/>
        </w:rPr>
        <w:t>采购</w:t>
      </w:r>
      <w:r>
        <w:rPr>
          <w:rFonts w:hint="eastAsia" w:ascii="宋体" w:hAnsi="宋体" w:eastAsia="宋体" w:cs="宋体"/>
          <w:color w:val="auto"/>
          <w:sz w:val="24"/>
          <w:szCs w:val="24"/>
          <w:highlight w:val="none"/>
          <w:u w:val="none"/>
        </w:rPr>
        <w:t>代理编号：</w:t>
      </w:r>
      <w:r>
        <w:rPr>
          <w:rFonts w:hint="eastAsia" w:ascii="宋体" w:hAnsi="宋体" w:cs="宋体"/>
          <w:color w:val="auto"/>
          <w:sz w:val="24"/>
          <w:szCs w:val="24"/>
          <w:highlight w:val="none"/>
          <w:u w:val="none"/>
          <w:lang w:eastAsia="zh-CN"/>
        </w:rPr>
        <w:t>广信磋商【2026】第052号</w:t>
      </w:r>
    </w:p>
    <w:p w14:paraId="3F542FDC">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szCs w:val="24"/>
          <w:highlight w:val="none"/>
          <w:u w:val="none"/>
          <w:lang w:eastAsia="zh-CN"/>
        </w:rPr>
      </w:pPr>
      <w:bookmarkStart w:id="7" w:name="_Toc22201056"/>
      <w:r>
        <w:rPr>
          <w:rFonts w:hint="eastAsia" w:ascii="宋体" w:hAnsi="宋体" w:eastAsia="宋体" w:cs="宋体"/>
          <w:bCs/>
          <w:color w:val="auto"/>
          <w:sz w:val="24"/>
          <w:szCs w:val="24"/>
          <w:highlight w:val="none"/>
          <w:u w:val="none"/>
        </w:rPr>
        <w:t>4、采购项目预算：</w:t>
      </w:r>
      <w:r>
        <w:rPr>
          <w:rFonts w:hint="eastAsia" w:ascii="宋体" w:hAnsi="宋体" w:cs="宋体"/>
          <w:bCs/>
          <w:color w:val="auto"/>
          <w:sz w:val="24"/>
          <w:szCs w:val="24"/>
          <w:highlight w:val="none"/>
          <w:u w:val="none"/>
          <w:lang w:eastAsia="zh-CN"/>
        </w:rPr>
        <w:t>1499676.65元</w:t>
      </w:r>
    </w:p>
    <w:p w14:paraId="1282B12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bCs/>
          <w:color w:val="auto"/>
          <w:sz w:val="24"/>
          <w:szCs w:val="24"/>
          <w:highlight w:val="none"/>
          <w:u w:val="none"/>
        </w:rPr>
        <w:t>5、本项目</w:t>
      </w:r>
      <w:r>
        <w:rPr>
          <w:rFonts w:hint="eastAsia" w:ascii="宋体" w:hAnsi="宋体" w:eastAsia="宋体" w:cs="宋体"/>
          <w:color w:val="auto"/>
          <w:sz w:val="24"/>
          <w:szCs w:val="24"/>
          <w:highlight w:val="none"/>
          <w:u w:val="none"/>
        </w:rPr>
        <w:t>对应的中小企业划分标准所属行业：</w:t>
      </w:r>
      <w:r>
        <w:rPr>
          <w:rFonts w:hint="eastAsia" w:ascii="宋体" w:hAnsi="宋体" w:eastAsia="宋体" w:cs="宋体"/>
          <w:color w:val="auto"/>
          <w:sz w:val="24"/>
          <w:szCs w:val="24"/>
          <w:highlight w:val="none"/>
          <w:u w:val="single"/>
          <w:lang w:val="en-US" w:eastAsia="zh-CN"/>
        </w:rPr>
        <w:t xml:space="preserve"> 建筑业 </w:t>
      </w:r>
      <w:r>
        <w:rPr>
          <w:rFonts w:hint="eastAsia" w:ascii="宋体" w:hAnsi="宋体" w:eastAsia="宋体" w:cs="宋体"/>
          <w:color w:val="auto"/>
          <w:sz w:val="24"/>
          <w:szCs w:val="24"/>
          <w:highlight w:val="none"/>
          <w:u w:val="none"/>
          <w:lang w:val="en-US" w:eastAsia="zh-CN"/>
        </w:rPr>
        <w:t>。</w:t>
      </w:r>
      <w:bookmarkStart w:id="8" w:name="_Toc20026"/>
      <w:bookmarkStart w:id="9" w:name="_Toc11395"/>
      <w:bookmarkStart w:id="10" w:name="_Toc14904"/>
    </w:p>
    <w:p w14:paraId="6EA42D53">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bCs/>
          <w:color w:val="auto"/>
          <w:sz w:val="24"/>
          <w:szCs w:val="24"/>
          <w:highlight w:val="none"/>
          <w:u w:val="none"/>
          <w:lang w:val="en-US" w:eastAsia="zh-CN"/>
        </w:rPr>
        <w:t>6</w:t>
      </w:r>
      <w:r>
        <w:rPr>
          <w:rFonts w:hint="eastAsia" w:ascii="宋体" w:hAnsi="宋体" w:eastAsia="宋体" w:cs="宋体"/>
          <w:bCs/>
          <w:color w:val="auto"/>
          <w:sz w:val="24"/>
          <w:szCs w:val="24"/>
          <w:highlight w:val="none"/>
          <w:u w:val="none"/>
        </w:rPr>
        <w:t>、</w:t>
      </w:r>
      <w:r>
        <w:rPr>
          <w:rFonts w:hint="eastAsia" w:ascii="宋体" w:hAnsi="宋体" w:eastAsia="宋体" w:cs="宋体"/>
          <w:bCs/>
          <w:color w:val="auto"/>
          <w:sz w:val="24"/>
          <w:szCs w:val="24"/>
          <w:highlight w:val="none"/>
          <w:u w:val="none"/>
          <w:lang w:val="en-US" w:eastAsia="zh-CN"/>
        </w:rPr>
        <w:t>工期要求</w:t>
      </w:r>
      <w:r>
        <w:rPr>
          <w:rFonts w:hint="eastAsia" w:ascii="宋体" w:hAnsi="宋体" w:eastAsia="宋体" w:cs="宋体"/>
          <w:bCs/>
          <w:color w:val="auto"/>
          <w:sz w:val="24"/>
          <w:szCs w:val="24"/>
          <w:highlight w:val="none"/>
          <w:u w:val="none"/>
        </w:rPr>
        <w:t>：</w:t>
      </w:r>
      <w:r>
        <w:rPr>
          <w:rFonts w:hint="eastAsia" w:ascii="宋体" w:hAnsi="宋体" w:cs="宋体"/>
          <w:color w:val="auto"/>
          <w:sz w:val="24"/>
          <w:szCs w:val="24"/>
          <w:highlight w:val="none"/>
          <w:u w:val="single"/>
          <w:lang w:eastAsia="zh-CN"/>
        </w:rPr>
        <w:t>采购合同签订起45日历天工程竣工验收备案</w:t>
      </w:r>
      <w:r>
        <w:rPr>
          <w:rFonts w:hint="eastAsia" w:ascii="宋体" w:hAnsi="宋体" w:eastAsia="宋体" w:cs="宋体"/>
          <w:color w:val="auto"/>
          <w:sz w:val="24"/>
          <w:szCs w:val="24"/>
          <w:highlight w:val="none"/>
          <w:u w:val="none"/>
          <w:lang w:eastAsia="zh-CN"/>
        </w:rPr>
        <w:t>。</w:t>
      </w:r>
      <w:bookmarkEnd w:id="8"/>
      <w:bookmarkEnd w:id="9"/>
      <w:bookmarkEnd w:id="10"/>
    </w:p>
    <w:p w14:paraId="63688D05">
      <w:pPr>
        <w:keepNext w:val="0"/>
        <w:keepLines w:val="0"/>
        <w:pageBreakBefore w:val="0"/>
        <w:widowControl w:val="0"/>
        <w:kinsoku/>
        <w:wordWrap/>
        <w:overflowPunct/>
        <w:topLinePunct w:val="0"/>
        <w:bidi w:val="0"/>
        <w:adjustRightInd w:val="0"/>
        <w:snapToGrid w:val="0"/>
        <w:spacing w:line="360" w:lineRule="auto"/>
        <w:ind w:firstLine="472"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7、合同定价方式：</w:t>
      </w:r>
      <w:r>
        <w:rPr>
          <w:rFonts w:hint="eastAsia" w:ascii="宋体" w:hAnsi="宋体" w:eastAsia="宋体" w:cs="宋体"/>
          <w:color w:val="auto"/>
          <w:spacing w:val="-58"/>
          <w:sz w:val="24"/>
          <w:szCs w:val="24"/>
          <w:highlight w:val="none"/>
        </w:rPr>
        <w:t xml:space="preserve"> </w:t>
      </w:r>
      <w:r>
        <w:rPr>
          <w:rFonts w:hint="eastAsia" w:ascii="宋体" w:hAnsi="宋体" w:eastAsia="宋体" w:cs="宋体"/>
          <w:color w:val="auto"/>
          <w:spacing w:val="-2"/>
          <w:sz w:val="24"/>
          <w:szCs w:val="24"/>
          <w:highlight w:val="none"/>
        </w:rPr>
        <w:sym w:font="Wingdings" w:char="00A8"/>
      </w:r>
      <w:r>
        <w:rPr>
          <w:rFonts w:hint="eastAsia" w:ascii="宋体" w:hAnsi="宋体" w:eastAsia="宋体" w:cs="宋体"/>
          <w:color w:val="auto"/>
          <w:spacing w:val="-2"/>
          <w:sz w:val="24"/>
          <w:szCs w:val="24"/>
          <w:highlight w:val="none"/>
        </w:rPr>
        <w:t xml:space="preserve">固定总价 </w:t>
      </w:r>
      <w:r>
        <w:rPr>
          <w:rFonts w:hint="eastAsia" w:ascii="宋体" w:hAnsi="宋体" w:eastAsia="宋体" w:cs="宋体"/>
          <w:color w:val="auto"/>
          <w:spacing w:val="-2"/>
          <w:sz w:val="24"/>
          <w:szCs w:val="24"/>
          <w:highlight w:val="none"/>
        </w:rPr>
        <w:sym w:font="Wingdings" w:char="00FE"/>
      </w:r>
      <w:r>
        <w:rPr>
          <w:rFonts w:hint="eastAsia" w:ascii="宋体" w:hAnsi="宋体" w:eastAsia="宋体" w:cs="宋体"/>
          <w:color w:val="auto"/>
          <w:spacing w:val="-2"/>
          <w:sz w:val="24"/>
          <w:szCs w:val="24"/>
          <w:highlight w:val="none"/>
        </w:rPr>
        <w:t xml:space="preserve">固定单价 </w:t>
      </w:r>
      <w:r>
        <w:rPr>
          <w:rFonts w:hint="eastAsia" w:ascii="宋体" w:hAnsi="宋体" w:eastAsia="宋体" w:cs="宋体"/>
          <w:color w:val="auto"/>
          <w:spacing w:val="-2"/>
          <w:sz w:val="24"/>
          <w:szCs w:val="24"/>
          <w:highlight w:val="none"/>
        </w:rPr>
        <w:sym w:font="Wingdings" w:char="00A8"/>
      </w:r>
      <w:r>
        <w:rPr>
          <w:rFonts w:hint="eastAsia" w:ascii="宋体" w:hAnsi="宋体" w:eastAsia="宋体" w:cs="宋体"/>
          <w:color w:val="auto"/>
          <w:spacing w:val="-2"/>
          <w:sz w:val="24"/>
          <w:szCs w:val="24"/>
          <w:highlight w:val="none"/>
        </w:rPr>
        <w:t>成本补偿</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2"/>
          <w:sz w:val="24"/>
          <w:szCs w:val="24"/>
          <w:highlight w:val="none"/>
        </w:rPr>
        <w:sym w:font="Wingdings" w:char="00FE"/>
      </w:r>
      <w:r>
        <w:rPr>
          <w:rFonts w:hint="eastAsia" w:ascii="宋体" w:hAnsi="宋体" w:eastAsia="宋体" w:cs="宋体"/>
          <w:color w:val="auto"/>
          <w:spacing w:val="-2"/>
          <w:sz w:val="24"/>
          <w:szCs w:val="24"/>
          <w:highlight w:val="none"/>
        </w:rPr>
        <w:t>绩效激励</w:t>
      </w:r>
    </w:p>
    <w:p w14:paraId="76562A62">
      <w:pPr>
        <w:keepNext w:val="0"/>
        <w:keepLines w:val="0"/>
        <w:pageBreakBefore w:val="0"/>
        <w:widowControl w:val="0"/>
        <w:kinsoku/>
        <w:wordWrap/>
        <w:overflowPunct/>
        <w:topLinePunct w:val="0"/>
        <w:bidi w:val="0"/>
        <w:adjustRightInd w:val="0"/>
        <w:snapToGrid w:val="0"/>
        <w:spacing w:line="360" w:lineRule="auto"/>
        <w:ind w:firstLine="472"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8</w:t>
      </w:r>
      <w:r>
        <w:rPr>
          <w:rFonts w:hint="eastAsia" w:ascii="宋体" w:hAnsi="宋体" w:eastAsia="宋体" w:cs="宋体"/>
          <w:color w:val="auto"/>
          <w:spacing w:val="-2"/>
          <w:sz w:val="24"/>
          <w:szCs w:val="24"/>
          <w:highlight w:val="none"/>
        </w:rPr>
        <w:t>、本项目分阶段要求投标人提供以下保证：</w:t>
      </w:r>
    </w:p>
    <w:p w14:paraId="511A9815">
      <w:pPr>
        <w:keepNext w:val="0"/>
        <w:keepLines w:val="0"/>
        <w:pageBreakBefore w:val="0"/>
        <w:widowControl w:val="0"/>
        <w:kinsoku/>
        <w:wordWrap/>
        <w:overflowPunct/>
        <w:topLinePunct w:val="0"/>
        <w:bidi w:val="0"/>
        <w:adjustRightInd w:val="0"/>
        <w:snapToGrid w:val="0"/>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投标保证金：采购项目预算的</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rPr>
        <w:t>%；</w:t>
      </w:r>
    </w:p>
    <w:p w14:paraId="6FFAE83E">
      <w:pPr>
        <w:keepNext w:val="0"/>
        <w:keepLines w:val="0"/>
        <w:pageBreakBefore w:val="0"/>
        <w:widowControl w:val="0"/>
        <w:kinsoku/>
        <w:wordWrap/>
        <w:overflowPunct/>
        <w:topLinePunct w:val="0"/>
        <w:bidi w:val="0"/>
        <w:adjustRightInd w:val="0"/>
        <w:snapToGrid w:val="0"/>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履约保证金：</w:t>
      </w:r>
      <w:r>
        <w:rPr>
          <w:rFonts w:hint="eastAsia" w:ascii="宋体" w:hAnsi="宋体" w:eastAsia="宋体" w:cs="宋体"/>
          <w:color w:val="auto"/>
          <w:sz w:val="24"/>
          <w:szCs w:val="24"/>
          <w:highlight w:val="none"/>
          <w:lang w:val="en-US" w:eastAsia="zh-CN"/>
        </w:rPr>
        <w:t>合同金额</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rPr>
        <w:t>%；</w:t>
      </w:r>
    </w:p>
    <w:p w14:paraId="4434CC36">
      <w:pPr>
        <w:keepNext w:val="0"/>
        <w:keepLines w:val="0"/>
        <w:pageBreakBefore w:val="0"/>
        <w:widowControl w:val="0"/>
        <w:kinsoku/>
        <w:wordWrap/>
        <w:overflowPunct/>
        <w:topLinePunct w:val="0"/>
        <w:bidi w:val="0"/>
        <w:adjustRightInd w:val="0"/>
        <w:snapToGrid w:val="0"/>
        <w:spacing w:line="360" w:lineRule="auto"/>
        <w:ind w:firstLine="714" w:firstLineChars="300"/>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sym w:font="Wingdings" w:char="00A8"/>
      </w:r>
      <w:r>
        <w:rPr>
          <w:rFonts w:hint="eastAsia" w:ascii="宋体" w:hAnsi="宋体" w:eastAsia="宋体" w:cs="宋体"/>
          <w:color w:val="auto"/>
          <w:spacing w:val="-1"/>
          <w:sz w:val="24"/>
          <w:szCs w:val="24"/>
          <w:highlight w:val="none"/>
        </w:rPr>
        <w:t>预付款保证金：预付款的</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lang w:val="en-US" w:eastAsia="zh-CN"/>
        </w:rPr>
        <w:t xml:space="preserve"> </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lang w:val="en-US" w:eastAsia="zh-CN"/>
        </w:rPr>
        <w:t xml:space="preserve"> </w:t>
      </w:r>
      <w:r>
        <w:rPr>
          <w:rFonts w:hint="eastAsia" w:ascii="宋体" w:hAnsi="宋体" w:eastAsia="宋体" w:cs="宋体"/>
          <w:color w:val="auto"/>
          <w:spacing w:val="-1"/>
          <w:sz w:val="24"/>
          <w:szCs w:val="24"/>
          <w:highlight w:val="none"/>
        </w:rPr>
        <w:t>%；</w:t>
      </w:r>
    </w:p>
    <w:p w14:paraId="51734F30">
      <w:pPr>
        <w:keepNext w:val="0"/>
        <w:keepLines w:val="0"/>
        <w:pageBreakBefore w:val="0"/>
        <w:widowControl w:val="0"/>
        <w:kinsoku/>
        <w:wordWrap/>
        <w:overflowPunct/>
        <w:topLinePunct w:val="0"/>
        <w:bidi w:val="0"/>
        <w:adjustRightInd w:val="0"/>
        <w:snapToGrid w:val="0"/>
        <w:spacing w:line="360" w:lineRule="auto"/>
        <w:ind w:firstLine="714" w:firstLineChars="3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pacing w:val="-1"/>
          <w:sz w:val="24"/>
          <w:szCs w:val="24"/>
          <w:highlight w:val="none"/>
        </w:rPr>
        <w:sym w:font="Wingdings" w:char="00A8"/>
      </w:r>
      <w:r>
        <w:rPr>
          <w:rFonts w:hint="eastAsia" w:ascii="宋体" w:hAnsi="宋体" w:eastAsia="宋体" w:cs="宋体"/>
          <w:color w:val="auto"/>
          <w:spacing w:val="-2"/>
          <w:sz w:val="24"/>
          <w:szCs w:val="24"/>
          <w:highlight w:val="none"/>
          <w:lang w:val="en-US" w:eastAsia="zh-CN"/>
        </w:rPr>
        <w:t>农民工工资</w:t>
      </w:r>
      <w:r>
        <w:rPr>
          <w:rFonts w:hint="eastAsia" w:ascii="宋体" w:hAnsi="宋体" w:eastAsia="宋体" w:cs="宋体"/>
          <w:color w:val="auto"/>
          <w:spacing w:val="-2"/>
          <w:sz w:val="24"/>
          <w:szCs w:val="24"/>
          <w:highlight w:val="none"/>
        </w:rPr>
        <w:t>保证金：</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rPr>
        <w:t>；</w:t>
      </w:r>
    </w:p>
    <w:p w14:paraId="00ED520D">
      <w:pPr>
        <w:keepNext w:val="0"/>
        <w:keepLines w:val="0"/>
        <w:pageBreakBefore w:val="0"/>
        <w:widowControl w:val="0"/>
        <w:kinsoku/>
        <w:wordWrap/>
        <w:overflowPunct/>
        <w:topLinePunct w:val="0"/>
        <w:bidi w:val="0"/>
        <w:adjustRightInd w:val="0"/>
        <w:snapToGrid w:val="0"/>
        <w:spacing w:line="360" w:lineRule="auto"/>
        <w:ind w:firstLine="714" w:firstLineChars="3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pacing w:val="-1"/>
          <w:sz w:val="24"/>
          <w:szCs w:val="24"/>
          <w:highlight w:val="none"/>
        </w:rPr>
        <w:sym w:font="Wingdings" w:char="00FE"/>
      </w:r>
      <w:r>
        <w:rPr>
          <w:rFonts w:hint="eastAsia" w:ascii="宋体" w:hAnsi="宋体" w:eastAsia="宋体" w:cs="宋体"/>
          <w:color w:val="auto"/>
          <w:spacing w:val="-2"/>
          <w:sz w:val="24"/>
          <w:szCs w:val="24"/>
          <w:highlight w:val="none"/>
        </w:rPr>
        <w:t>质量保证金：</w:t>
      </w:r>
      <w:r>
        <w:rPr>
          <w:rFonts w:hint="eastAsia" w:ascii="宋体" w:hAnsi="宋体" w:eastAsia="宋体" w:cs="宋体"/>
          <w:color w:val="auto"/>
          <w:spacing w:val="-2"/>
          <w:sz w:val="24"/>
          <w:szCs w:val="24"/>
          <w:highlight w:val="none"/>
          <w:lang w:val="en-US" w:eastAsia="zh-CN"/>
        </w:rPr>
        <w:t>结算审核价的</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lang w:val="en-US" w:eastAsia="zh-CN"/>
        </w:rPr>
        <w:t xml:space="preserve"> </w:t>
      </w:r>
      <w:r>
        <w:rPr>
          <w:rFonts w:hint="eastAsia" w:ascii="宋体" w:hAnsi="宋体" w:cs="宋体"/>
          <w:color w:val="auto"/>
          <w:spacing w:val="-2"/>
          <w:sz w:val="24"/>
          <w:szCs w:val="24"/>
          <w:highlight w:val="none"/>
          <w:u w:val="single" w:color="auto"/>
          <w:lang w:val="en-US" w:eastAsia="zh-CN"/>
        </w:rPr>
        <w:t>3</w:t>
      </w:r>
      <w:r>
        <w:rPr>
          <w:rFonts w:hint="eastAsia" w:ascii="宋体" w:hAnsi="宋体" w:eastAsia="宋体" w:cs="宋体"/>
          <w:color w:val="auto"/>
          <w:spacing w:val="-2"/>
          <w:sz w:val="24"/>
          <w:szCs w:val="24"/>
          <w:highlight w:val="none"/>
          <w:u w:val="single" w:color="auto"/>
          <w:lang w:val="en-US" w:eastAsia="zh-CN"/>
        </w:rPr>
        <w:t xml:space="preserve"> </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rPr>
        <w:t>%。</w:t>
      </w:r>
    </w:p>
    <w:p w14:paraId="4DDBA320">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11" w:name="_Toc14841"/>
      <w:bookmarkStart w:id="12" w:name="_Toc20894"/>
      <w:bookmarkStart w:id="13" w:name="_Toc8073"/>
      <w:bookmarkStart w:id="14" w:name="_Toc13666"/>
      <w:r>
        <w:rPr>
          <w:rFonts w:hint="eastAsia" w:ascii="宋体" w:hAnsi="宋体" w:eastAsia="宋体" w:cs="宋体"/>
          <w:b/>
          <w:bCs/>
          <w:color w:val="auto"/>
          <w:sz w:val="24"/>
          <w:szCs w:val="24"/>
          <w:highlight w:val="none"/>
        </w:rPr>
        <w:t>采购需求</w:t>
      </w:r>
      <w:bookmarkEnd w:id="7"/>
      <w:bookmarkEnd w:id="11"/>
      <w:bookmarkEnd w:id="12"/>
      <w:bookmarkEnd w:id="13"/>
      <w:bookmarkEnd w:id="14"/>
    </w:p>
    <w:p w14:paraId="2AD585C6">
      <w:pPr>
        <w:keepNext w:val="0"/>
        <w:keepLines w:val="0"/>
        <w:pageBreakBefore w:val="0"/>
        <w:widowControl w:val="0"/>
        <w:kinsoku/>
        <w:wordWrap/>
        <w:overflowPunct/>
        <w:topLinePunct w:val="0"/>
        <w:bidi w:val="0"/>
        <w:adjustRightInd w:val="0"/>
        <w:snapToGrid w:val="0"/>
        <w:spacing w:line="360" w:lineRule="auto"/>
        <w:ind w:firstLine="472" w:firstLineChars="200"/>
        <w:textAlignment w:val="auto"/>
        <w:rPr>
          <w:rFonts w:hint="eastAsia" w:ascii="宋体" w:hAnsi="宋体" w:eastAsia="宋体" w:cs="宋体"/>
          <w:color w:val="auto"/>
          <w:spacing w:val="-2"/>
          <w:sz w:val="24"/>
          <w:szCs w:val="24"/>
          <w:highlight w:val="none"/>
          <w:lang w:val="en-US" w:eastAsia="zh-CN"/>
        </w:rPr>
      </w:pPr>
      <w:bookmarkStart w:id="15" w:name="_Toc3714"/>
      <w:bookmarkStart w:id="16" w:name="_Toc16114"/>
      <w:bookmarkStart w:id="17" w:name="_Toc4273"/>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rPr>
        <w:t>采购项目标的、数量及预算</w:t>
      </w:r>
      <w:bookmarkEnd w:id="15"/>
      <w:bookmarkEnd w:id="16"/>
      <w:bookmarkEnd w:id="17"/>
    </w:p>
    <w:tbl>
      <w:tblPr>
        <w:tblStyle w:val="22"/>
        <w:tblW w:w="4823" w:type="pct"/>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0"/>
        <w:gridCol w:w="1553"/>
        <w:gridCol w:w="2786"/>
      </w:tblGrid>
      <w:tr w14:paraId="457D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41" w:type="pct"/>
            <w:vAlign w:val="center"/>
          </w:tcPr>
          <w:p w14:paraId="0486F37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4"/>
                <w:szCs w:val="24"/>
                <w:highlight w:val="none"/>
              </w:rPr>
            </w:pPr>
            <w:bookmarkStart w:id="18" w:name="_Toc15317"/>
            <w:r>
              <w:rPr>
                <w:rFonts w:hint="eastAsia" w:ascii="宋体" w:hAnsi="宋体" w:eastAsia="宋体" w:cs="宋体"/>
                <w:b/>
                <w:bCs/>
                <w:color w:val="auto"/>
                <w:sz w:val="24"/>
                <w:szCs w:val="24"/>
                <w:highlight w:val="none"/>
              </w:rPr>
              <w:t>标的名称</w:t>
            </w:r>
          </w:p>
        </w:tc>
        <w:tc>
          <w:tcPr>
            <w:tcW w:w="808" w:type="pct"/>
            <w:vAlign w:val="center"/>
          </w:tcPr>
          <w:p w14:paraId="3B6C59E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数量</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项</w:t>
            </w:r>
          </w:p>
        </w:tc>
        <w:tc>
          <w:tcPr>
            <w:tcW w:w="1449" w:type="pct"/>
            <w:vAlign w:val="center"/>
          </w:tcPr>
          <w:p w14:paraId="16AF9E6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预算</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元）</w:t>
            </w:r>
          </w:p>
        </w:tc>
      </w:tr>
      <w:tr w14:paraId="30FE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2741" w:type="pct"/>
            <w:vAlign w:val="center"/>
          </w:tcPr>
          <w:p w14:paraId="0A717D4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lang w:eastAsia="zh-CN"/>
              </w:rPr>
              <w:t>古丈县古阳镇柑子坪村通组公路硬化项目</w:t>
            </w:r>
          </w:p>
        </w:tc>
        <w:tc>
          <w:tcPr>
            <w:tcW w:w="808" w:type="pct"/>
            <w:vAlign w:val="center"/>
          </w:tcPr>
          <w:p w14:paraId="0A209EB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一项</w:t>
            </w:r>
          </w:p>
        </w:tc>
        <w:tc>
          <w:tcPr>
            <w:tcW w:w="1449" w:type="pct"/>
            <w:vAlign w:val="center"/>
          </w:tcPr>
          <w:p w14:paraId="42A0AEC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bCs/>
                <w:color w:val="auto"/>
                <w:sz w:val="24"/>
                <w:szCs w:val="24"/>
                <w:highlight w:val="none"/>
                <w:u w:val="none"/>
                <w:lang w:eastAsia="zh-CN"/>
              </w:rPr>
              <w:t>1499676.65</w:t>
            </w:r>
          </w:p>
        </w:tc>
      </w:tr>
    </w:tbl>
    <w:p w14:paraId="1B66C293">
      <w:pPr>
        <w:keepNext w:val="0"/>
        <w:keepLines w:val="0"/>
        <w:pageBreakBefore w:val="0"/>
        <w:widowControl w:val="0"/>
        <w:kinsoku/>
        <w:wordWrap/>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、采购项目的主要需求及磋商可能实质性变动内容：</w:t>
      </w:r>
    </w:p>
    <w:tbl>
      <w:tblPr>
        <w:tblStyle w:val="22"/>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330"/>
        <w:gridCol w:w="6"/>
        <w:gridCol w:w="2196"/>
        <w:gridCol w:w="6"/>
        <w:gridCol w:w="2196"/>
        <w:gridCol w:w="6"/>
        <w:gridCol w:w="2206"/>
        <w:gridCol w:w="14"/>
      </w:tblGrid>
      <w:tr w14:paraId="42D70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trPr>
        <w:tc>
          <w:tcPr>
            <w:tcW w:w="1675" w:type="pct"/>
            <w:gridSpan w:val="2"/>
            <w:vMerge w:val="restart"/>
            <w:vAlign w:val="center"/>
          </w:tcPr>
          <w:p w14:paraId="6521A73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3324" w:type="pct"/>
            <w:gridSpan w:val="6"/>
            <w:tcBorders>
              <w:bottom w:val="single" w:color="auto" w:sz="4" w:space="0"/>
            </w:tcBorders>
          </w:tcPr>
          <w:p w14:paraId="5D33F62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标的主要需求</w:t>
            </w:r>
          </w:p>
        </w:tc>
      </w:tr>
      <w:tr w14:paraId="37238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1675" w:type="pct"/>
            <w:gridSpan w:val="2"/>
            <w:vMerge w:val="continue"/>
          </w:tcPr>
          <w:p w14:paraId="6FA295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p>
        </w:tc>
        <w:tc>
          <w:tcPr>
            <w:tcW w:w="1105" w:type="pct"/>
            <w:gridSpan w:val="2"/>
            <w:tcBorders>
              <w:top w:val="single" w:color="auto" w:sz="4" w:space="0"/>
              <w:right w:val="single" w:color="auto" w:sz="4" w:space="0"/>
            </w:tcBorders>
          </w:tcPr>
          <w:p w14:paraId="1F2BDF8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w:t>
            </w:r>
          </w:p>
        </w:tc>
        <w:tc>
          <w:tcPr>
            <w:tcW w:w="1105" w:type="pct"/>
            <w:gridSpan w:val="2"/>
            <w:tcBorders>
              <w:top w:val="single" w:color="auto" w:sz="4" w:space="0"/>
              <w:left w:val="single" w:color="auto" w:sz="4" w:space="0"/>
              <w:right w:val="single" w:color="auto" w:sz="4" w:space="0"/>
            </w:tcBorders>
          </w:tcPr>
          <w:p w14:paraId="6CD551B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w:t>
            </w:r>
          </w:p>
        </w:tc>
        <w:tc>
          <w:tcPr>
            <w:tcW w:w="1113" w:type="pct"/>
            <w:gridSpan w:val="2"/>
            <w:tcBorders>
              <w:top w:val="single" w:color="auto" w:sz="4" w:space="0"/>
              <w:left w:val="single" w:color="auto" w:sz="4" w:space="0"/>
            </w:tcBorders>
          </w:tcPr>
          <w:p w14:paraId="041C48F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合同条款</w:t>
            </w:r>
          </w:p>
        </w:tc>
      </w:tr>
      <w:tr w14:paraId="23E90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8" w:hRule="atLeast"/>
        </w:trPr>
        <w:tc>
          <w:tcPr>
            <w:tcW w:w="1675" w:type="pct"/>
            <w:gridSpan w:val="2"/>
            <w:tcBorders>
              <w:left w:val="single" w:color="auto" w:sz="4" w:space="0"/>
            </w:tcBorders>
            <w:vAlign w:val="center"/>
          </w:tcPr>
          <w:p w14:paraId="4CF5461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lang w:val="en-US"/>
              </w:rPr>
            </w:pPr>
            <w:r>
              <w:rPr>
                <w:rFonts w:hint="eastAsia" w:ascii="宋体" w:hAnsi="宋体" w:cs="宋体"/>
                <w:color w:val="auto"/>
                <w:sz w:val="24"/>
                <w:highlight w:val="none"/>
                <w:lang w:eastAsia="zh-CN"/>
              </w:rPr>
              <w:t>古丈县古阳镇柑子坪村通组公路硬化项目</w:t>
            </w:r>
          </w:p>
        </w:tc>
        <w:tc>
          <w:tcPr>
            <w:tcW w:w="1105" w:type="pct"/>
            <w:gridSpan w:val="2"/>
            <w:tcBorders>
              <w:right w:val="single" w:color="auto" w:sz="4" w:space="0"/>
            </w:tcBorders>
            <w:vAlign w:val="center"/>
          </w:tcPr>
          <w:p w14:paraId="3BEDE90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视磋商活动情况进行实质性变动</w:t>
            </w:r>
          </w:p>
        </w:tc>
        <w:tc>
          <w:tcPr>
            <w:tcW w:w="1105" w:type="pct"/>
            <w:gridSpan w:val="2"/>
            <w:tcBorders>
              <w:left w:val="single" w:color="auto" w:sz="4" w:space="0"/>
              <w:right w:val="single" w:color="auto" w:sz="4" w:space="0"/>
            </w:tcBorders>
            <w:vAlign w:val="center"/>
          </w:tcPr>
          <w:p w14:paraId="5D173F0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视磋商活动情况进行实质性变动</w:t>
            </w:r>
          </w:p>
        </w:tc>
        <w:tc>
          <w:tcPr>
            <w:tcW w:w="1113" w:type="pct"/>
            <w:gridSpan w:val="2"/>
            <w:tcBorders>
              <w:left w:val="single" w:color="auto" w:sz="4" w:space="0"/>
            </w:tcBorders>
            <w:vAlign w:val="center"/>
          </w:tcPr>
          <w:p w14:paraId="7E42B1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视磋商活动情况进行实质性变动</w:t>
            </w:r>
          </w:p>
        </w:tc>
      </w:tr>
      <w:tr w14:paraId="284D6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 w:type="pct"/>
          <w:trHeight w:val="672" w:hRule="atLeast"/>
        </w:trPr>
        <w:tc>
          <w:tcPr>
            <w:tcW w:w="1672" w:type="pct"/>
            <w:tcBorders>
              <w:left w:val="single" w:color="auto" w:sz="4" w:space="0"/>
            </w:tcBorders>
            <w:vAlign w:val="center"/>
          </w:tcPr>
          <w:p w14:paraId="34A24B3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项目可能实质性变动内容</w:t>
            </w:r>
          </w:p>
        </w:tc>
        <w:tc>
          <w:tcPr>
            <w:tcW w:w="1105" w:type="pct"/>
            <w:gridSpan w:val="2"/>
            <w:tcBorders>
              <w:right w:val="single" w:color="auto" w:sz="4" w:space="0"/>
            </w:tcBorders>
            <w:vAlign w:val="center"/>
          </w:tcPr>
          <w:p w14:paraId="29B194B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color w:val="auto"/>
                <w:sz w:val="24"/>
                <w:szCs w:val="24"/>
                <w:highlight w:val="none"/>
              </w:rPr>
              <w:t>否</w:t>
            </w:r>
          </w:p>
        </w:tc>
        <w:tc>
          <w:tcPr>
            <w:tcW w:w="1105" w:type="pct"/>
            <w:gridSpan w:val="2"/>
            <w:tcBorders>
              <w:left w:val="single" w:color="auto" w:sz="4" w:space="0"/>
              <w:right w:val="single" w:color="auto" w:sz="4" w:space="0"/>
            </w:tcBorders>
            <w:vAlign w:val="center"/>
          </w:tcPr>
          <w:p w14:paraId="5B56B87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color w:val="auto"/>
                <w:sz w:val="24"/>
                <w:szCs w:val="24"/>
                <w:highlight w:val="none"/>
              </w:rPr>
              <w:t>否</w:t>
            </w:r>
          </w:p>
        </w:tc>
        <w:tc>
          <w:tcPr>
            <w:tcW w:w="1110" w:type="pct"/>
            <w:gridSpan w:val="2"/>
            <w:tcBorders>
              <w:left w:val="single" w:color="auto" w:sz="4" w:space="0"/>
            </w:tcBorders>
            <w:vAlign w:val="center"/>
          </w:tcPr>
          <w:p w14:paraId="66286CF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color w:val="auto"/>
                <w:sz w:val="24"/>
                <w:szCs w:val="24"/>
                <w:highlight w:val="none"/>
              </w:rPr>
              <w:t>否</w:t>
            </w:r>
          </w:p>
        </w:tc>
      </w:tr>
      <w:bookmarkEnd w:id="18"/>
    </w:tbl>
    <w:p w14:paraId="3675D672">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eastAsia="zh-CN"/>
        </w:rPr>
      </w:pPr>
      <w:bookmarkStart w:id="19" w:name="_Toc6512"/>
      <w:bookmarkStart w:id="20" w:name="_Toc28359013"/>
      <w:bookmarkStart w:id="21" w:name="_Toc28359090"/>
      <w:bookmarkStart w:id="22" w:name="_Toc35393630"/>
      <w:bookmarkStart w:id="23" w:name="_Toc16238"/>
      <w:bookmarkStart w:id="24" w:name="_Toc20056"/>
      <w:bookmarkStart w:id="25" w:name="_Toc62225405"/>
      <w:bookmarkStart w:id="26" w:name="_Toc107997941"/>
      <w:bookmarkStart w:id="27" w:name="_Toc3710"/>
      <w:bookmarkStart w:id="28" w:name="_Toc35393799"/>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color w:val="auto"/>
          <w:sz w:val="24"/>
          <w:szCs w:val="24"/>
          <w:highlight w:val="none"/>
        </w:rPr>
        <w:t>的资格要求</w:t>
      </w:r>
      <w:bookmarkEnd w:id="19"/>
      <w:bookmarkEnd w:id="20"/>
      <w:bookmarkEnd w:id="21"/>
      <w:bookmarkEnd w:id="22"/>
      <w:bookmarkEnd w:id="23"/>
      <w:bookmarkEnd w:id="24"/>
      <w:bookmarkEnd w:id="25"/>
      <w:bookmarkEnd w:id="26"/>
      <w:bookmarkEnd w:id="27"/>
      <w:bookmarkEnd w:id="28"/>
    </w:p>
    <w:p w14:paraId="63016588">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满足《中华人民共和国政府采购法》第二十二条规定。</w:t>
      </w:r>
    </w:p>
    <w:p w14:paraId="2DD08B17">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、落实政府采购政策需满足的资格要求：</w:t>
      </w:r>
    </w:p>
    <w:p w14:paraId="282962E5">
      <w:pPr>
        <w:keepNext w:val="0"/>
        <w:keepLines w:val="0"/>
        <w:pageBreakBefore w:val="0"/>
        <w:widowControl w:val="0"/>
        <w:kinsoku/>
        <w:overflowPunct/>
        <w:bidi w:val="0"/>
        <w:adjustRightInd w:val="0"/>
        <w:snapToGrid w:val="0"/>
        <w:spacing w:line="360" w:lineRule="auto"/>
        <w:ind w:left="0" w:leftChars="0" w:right="0"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专门面向</w:t>
      </w:r>
      <w:r>
        <w:rPr>
          <w:rFonts w:hint="eastAsia" w:ascii="宋体" w:hAnsi="宋体" w:eastAsia="宋体" w:cs="宋体"/>
          <w:bCs/>
          <w:color w:val="auto"/>
          <w:sz w:val="24"/>
          <w:szCs w:val="24"/>
          <w:highlight w:val="none"/>
        </w:rPr>
        <w:t>：</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 xml:space="preserve">中小企业 </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 xml:space="preserve">小微企业 </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监狱企业</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福利性单位。</w:t>
      </w:r>
    </w:p>
    <w:p w14:paraId="4610AF45">
      <w:pPr>
        <w:keepNext w:val="0"/>
        <w:keepLines w:val="0"/>
        <w:pageBreakBefore w:val="0"/>
        <w:widowControl w:val="0"/>
        <w:kinsoku/>
        <w:overflowPunct/>
        <w:bidi w:val="0"/>
        <w:adjustRightInd w:val="0"/>
        <w:snapToGrid w:val="0"/>
        <w:spacing w:line="360" w:lineRule="auto"/>
        <w:ind w:left="0" w:leftChars="0" w:right="0" w:firstLine="720" w:firstLineChars="300"/>
        <w:textAlignment w:val="auto"/>
        <w:rPr>
          <w:rFonts w:hint="eastAsia" w:ascii="宋体" w:hAnsi="宋体" w:eastAsia="宋体" w:cs="宋体"/>
          <w:bCs/>
          <w:color w:val="auto"/>
          <w:sz w:val="24"/>
          <w:szCs w:val="24"/>
          <w:highlight w:val="none"/>
        </w:rPr>
      </w:pP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强制</w:t>
      </w:r>
      <w:r>
        <w:rPr>
          <w:rFonts w:hint="eastAsia" w:ascii="宋体" w:hAnsi="宋体" w:eastAsia="宋体" w:cs="宋体"/>
          <w:bCs/>
          <w:color w:val="auto"/>
          <w:sz w:val="24"/>
          <w:szCs w:val="24"/>
          <w:highlight w:val="none"/>
        </w:rPr>
        <w:t>分包：大型企业应将采购份额的</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%分包给中小企业。</w:t>
      </w:r>
    </w:p>
    <w:p w14:paraId="1A58C188">
      <w:pPr>
        <w:pStyle w:val="8"/>
        <w:keepNext w:val="0"/>
        <w:keepLines w:val="0"/>
        <w:pageBreakBefore w:val="0"/>
        <w:widowControl w:val="0"/>
        <w:numPr>
          <w:ilvl w:val="0"/>
          <w:numId w:val="2"/>
        </w:numPr>
        <w:kinsoku/>
        <w:overflowPunct/>
        <w:topLinePunct/>
        <w:bidi w:val="0"/>
        <w:adjustRightInd w:val="0"/>
        <w:snapToGrid w:val="0"/>
        <w:spacing w:after="0" w:line="360" w:lineRule="auto"/>
        <w:ind w:left="0" w:leftChars="0" w:righ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本项目的特定资格要求：</w:t>
      </w:r>
    </w:p>
    <w:p w14:paraId="2F312F6B">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w:t>
      </w:r>
      <w:r>
        <w:rPr>
          <w:rFonts w:hint="eastAsia" w:ascii="宋体"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具备建设行政主管部门颁发的公路工程施工总承包叁级及以上资质；具备有效的安全生产许可证；</w:t>
      </w:r>
    </w:p>
    <w:p w14:paraId="3B92C2F4">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2）拟任项目经理具备公路工程专业贰级注册建造师执业资格，具备交通运输部（或省级及以上交通运输主管部门）颁发的安全生产“三类人员”B类证书</w:t>
      </w:r>
      <w:r>
        <w:rPr>
          <w:rFonts w:hint="eastAsia" w:ascii="宋体"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在其他项目任关键岗位人员(简称</w:t>
      </w:r>
      <w:r>
        <w:rPr>
          <w:rFonts w:hint="eastAsia" w:ascii="宋体"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在建)情况：</w:t>
      </w:r>
    </w:p>
    <w:p w14:paraId="5434752C">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投标截止时，投标人应当在</w:t>
      </w:r>
      <w:r>
        <w:rPr>
          <w:rFonts w:hint="eastAsia" w:ascii="宋体" w:hAnsi="宋体" w:cs="宋体"/>
          <w:b w:val="0"/>
          <w:bCs w:val="0"/>
          <w:color w:val="auto"/>
          <w:sz w:val="24"/>
          <w:szCs w:val="24"/>
          <w:highlight w:val="none"/>
          <w:u w:val="none"/>
          <w:lang w:val="en-US" w:eastAsia="zh-CN"/>
        </w:rPr>
        <w:t>响应</w:t>
      </w:r>
      <w:r>
        <w:rPr>
          <w:rFonts w:hint="eastAsia" w:ascii="宋体" w:hAnsi="宋体" w:eastAsia="宋体" w:cs="宋体"/>
          <w:b w:val="0"/>
          <w:bCs w:val="0"/>
          <w:color w:val="auto"/>
          <w:sz w:val="24"/>
          <w:szCs w:val="24"/>
          <w:highlight w:val="none"/>
          <w:u w:val="none"/>
          <w:lang w:val="en-US" w:eastAsia="zh-CN"/>
        </w:rPr>
        <w:t>文件中如实填写项目经理在建情况，并承诺本</w:t>
      </w:r>
      <w:r>
        <w:rPr>
          <w:rFonts w:hint="eastAsia" w:ascii="宋体" w:hAnsi="宋体" w:cs="宋体"/>
          <w:b w:val="0"/>
          <w:bCs w:val="0"/>
          <w:color w:val="auto"/>
          <w:sz w:val="24"/>
          <w:szCs w:val="24"/>
          <w:highlight w:val="none"/>
          <w:u w:val="none"/>
          <w:lang w:val="en-US" w:eastAsia="zh-CN"/>
        </w:rPr>
        <w:t>采购项目成交结果</w:t>
      </w:r>
      <w:r>
        <w:rPr>
          <w:rFonts w:hint="eastAsia" w:ascii="宋体" w:hAnsi="宋体" w:eastAsia="宋体" w:cs="宋体"/>
          <w:b w:val="0"/>
          <w:bCs w:val="0"/>
          <w:color w:val="auto"/>
          <w:sz w:val="24"/>
          <w:szCs w:val="24"/>
          <w:highlight w:val="none"/>
          <w:u w:val="none"/>
          <w:lang w:val="en-US" w:eastAsia="zh-CN"/>
        </w:rPr>
        <w:t>公示期满之前，项目经理能按时到岗履职。评标期间，</w:t>
      </w:r>
      <w:r>
        <w:rPr>
          <w:rFonts w:hint="eastAsia" w:ascii="宋体" w:hAnsi="宋体" w:cs="宋体"/>
          <w:b w:val="0"/>
          <w:bCs w:val="0"/>
          <w:color w:val="auto"/>
          <w:sz w:val="24"/>
          <w:szCs w:val="24"/>
          <w:highlight w:val="none"/>
          <w:u w:val="none"/>
          <w:lang w:val="en-US" w:eastAsia="zh-CN"/>
        </w:rPr>
        <w:t>响应</w:t>
      </w:r>
      <w:r>
        <w:rPr>
          <w:rFonts w:hint="eastAsia" w:ascii="宋体" w:hAnsi="宋体" w:eastAsia="宋体" w:cs="宋体"/>
          <w:b w:val="0"/>
          <w:bCs w:val="0"/>
          <w:color w:val="auto"/>
          <w:sz w:val="24"/>
          <w:szCs w:val="24"/>
          <w:highlight w:val="none"/>
          <w:u w:val="none"/>
          <w:lang w:val="en-US" w:eastAsia="zh-CN"/>
        </w:rPr>
        <w:t>文件中没有承诺能够按时到岗履职的，评标委员会应当否决其投标。</w:t>
      </w:r>
    </w:p>
    <w:p w14:paraId="47E552B1">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本</w:t>
      </w:r>
      <w:r>
        <w:rPr>
          <w:rFonts w:hint="eastAsia" w:ascii="宋体" w:hAnsi="宋体" w:cs="宋体"/>
          <w:b w:val="0"/>
          <w:bCs w:val="0"/>
          <w:color w:val="auto"/>
          <w:sz w:val="24"/>
          <w:szCs w:val="24"/>
          <w:highlight w:val="none"/>
          <w:u w:val="none"/>
          <w:lang w:val="en-US" w:eastAsia="zh-CN"/>
        </w:rPr>
        <w:t>采购</w:t>
      </w:r>
      <w:r>
        <w:rPr>
          <w:rFonts w:hint="eastAsia" w:ascii="宋体" w:hAnsi="宋体" w:eastAsia="宋体" w:cs="宋体"/>
          <w:b w:val="0"/>
          <w:bCs w:val="0"/>
          <w:color w:val="auto"/>
          <w:sz w:val="24"/>
          <w:szCs w:val="24"/>
          <w:highlight w:val="none"/>
          <w:u w:val="none"/>
          <w:lang w:val="en-US" w:eastAsia="zh-CN"/>
        </w:rPr>
        <w:t>项目</w:t>
      </w:r>
      <w:r>
        <w:rPr>
          <w:rFonts w:hint="eastAsia" w:ascii="宋体" w:hAnsi="宋体" w:cs="宋体"/>
          <w:b w:val="0"/>
          <w:bCs w:val="0"/>
          <w:color w:val="auto"/>
          <w:sz w:val="24"/>
          <w:szCs w:val="24"/>
          <w:highlight w:val="none"/>
          <w:u w:val="none"/>
          <w:lang w:val="en-US" w:eastAsia="zh-CN"/>
        </w:rPr>
        <w:t>成交结果</w:t>
      </w:r>
      <w:r>
        <w:rPr>
          <w:rFonts w:hint="eastAsia" w:ascii="宋体" w:hAnsi="宋体" w:eastAsia="宋体" w:cs="宋体"/>
          <w:b w:val="0"/>
          <w:bCs w:val="0"/>
          <w:color w:val="auto"/>
          <w:sz w:val="24"/>
          <w:szCs w:val="24"/>
          <w:highlight w:val="none"/>
          <w:u w:val="none"/>
          <w:lang w:val="en-US" w:eastAsia="zh-CN"/>
        </w:rPr>
        <w:t>公示期满之前，项目经理不能按时到岗履职(含不能从其他项目按期撤离)的</w:t>
      </w:r>
      <w:r>
        <w:rPr>
          <w:rFonts w:hint="eastAsia" w:ascii="宋体" w:hAnsi="宋体" w:cs="宋体"/>
          <w:b w:val="0"/>
          <w:bCs w:val="0"/>
          <w:color w:val="auto"/>
          <w:sz w:val="24"/>
          <w:szCs w:val="24"/>
          <w:highlight w:val="none"/>
          <w:u w:val="none"/>
          <w:lang w:val="en-US" w:eastAsia="zh-CN"/>
        </w:rPr>
        <w:t>采购人</w:t>
      </w:r>
      <w:r>
        <w:rPr>
          <w:rFonts w:hint="eastAsia" w:ascii="宋体" w:hAnsi="宋体" w:eastAsia="宋体" w:cs="宋体"/>
          <w:b w:val="0"/>
          <w:bCs w:val="0"/>
          <w:color w:val="auto"/>
          <w:sz w:val="24"/>
          <w:szCs w:val="24"/>
          <w:highlight w:val="none"/>
          <w:u w:val="none"/>
          <w:lang w:val="en-US" w:eastAsia="zh-CN"/>
        </w:rPr>
        <w:t>应提请相关部门依法认定为失信行为，并依规进行处罚，对于取得</w:t>
      </w:r>
      <w:r>
        <w:rPr>
          <w:rFonts w:hint="eastAsia" w:ascii="宋体" w:hAnsi="宋体" w:cs="宋体"/>
          <w:b w:val="0"/>
          <w:bCs w:val="0"/>
          <w:color w:val="auto"/>
          <w:sz w:val="24"/>
          <w:szCs w:val="24"/>
          <w:highlight w:val="none"/>
          <w:u w:val="none"/>
          <w:lang w:val="en-US" w:eastAsia="zh-CN"/>
        </w:rPr>
        <w:t>成交</w:t>
      </w:r>
      <w:r>
        <w:rPr>
          <w:rFonts w:hint="eastAsia" w:ascii="宋体" w:hAnsi="宋体" w:eastAsia="宋体" w:cs="宋体"/>
          <w:b w:val="0"/>
          <w:bCs w:val="0"/>
          <w:color w:val="auto"/>
          <w:sz w:val="24"/>
          <w:szCs w:val="24"/>
          <w:highlight w:val="none"/>
          <w:u w:val="none"/>
          <w:lang w:val="en-US" w:eastAsia="zh-CN"/>
        </w:rPr>
        <w:t>资格的，还应取消其</w:t>
      </w:r>
      <w:r>
        <w:rPr>
          <w:rFonts w:hint="eastAsia" w:ascii="宋体" w:hAnsi="宋体" w:cs="宋体"/>
          <w:b w:val="0"/>
          <w:bCs w:val="0"/>
          <w:color w:val="auto"/>
          <w:sz w:val="24"/>
          <w:szCs w:val="24"/>
          <w:highlight w:val="none"/>
          <w:u w:val="none"/>
          <w:lang w:val="en-US" w:eastAsia="zh-CN"/>
        </w:rPr>
        <w:t>成交资格。</w:t>
      </w:r>
    </w:p>
    <w:p w14:paraId="547E1C0E">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4、单位负责人为同一人或者存在直接控股、管理关系的不同供应商，不得参加同一合同项下的政府采购活动。</w:t>
      </w:r>
    </w:p>
    <w:p w14:paraId="3A154567">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5、为本采购项目提供整体设计、规范编制或者项目管理、监理、检测等服务的，不得再参加此项目的其他采购活动。</w:t>
      </w:r>
    </w:p>
    <w:p w14:paraId="57B7F0BB">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6、列入失信被执行人、重大税收违法失信主体名单、政府采购严重违法失信行为记录名单的，拒绝其参与政府采购活动。</w:t>
      </w:r>
    </w:p>
    <w:p w14:paraId="3AFFAD86">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7、联合体响应。本次采购不接受 (接受或不接受)联合体响应。接受联合体投标的，联合体应当具备下列条件：</w:t>
      </w:r>
      <w:r>
        <w:rPr>
          <w:rFonts w:hint="eastAsia" w:ascii="宋体" w:hAnsi="宋体" w:eastAsia="宋体" w:cs="宋体"/>
          <w:b w:val="0"/>
          <w:bCs w:val="0"/>
          <w:color w:val="auto"/>
          <w:sz w:val="24"/>
          <w:szCs w:val="24"/>
          <w:highlight w:val="none"/>
          <w:u w:val="single"/>
          <w:lang w:val="en-US" w:eastAsia="zh-CN"/>
        </w:rPr>
        <w:t xml:space="preserve"> / </w:t>
      </w:r>
      <w:r>
        <w:rPr>
          <w:rFonts w:hint="eastAsia" w:ascii="宋体" w:hAnsi="宋体" w:eastAsia="宋体" w:cs="宋体"/>
          <w:b w:val="0"/>
          <w:bCs w:val="0"/>
          <w:color w:val="auto"/>
          <w:sz w:val="24"/>
          <w:szCs w:val="24"/>
          <w:highlight w:val="none"/>
          <w:u w:val="none"/>
          <w:lang w:val="en-US" w:eastAsia="zh-CN"/>
        </w:rPr>
        <w:t>。</w:t>
      </w:r>
    </w:p>
    <w:p w14:paraId="52DFE31F">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8、本项目为专门面向中小企业采购项目，各供应商应按政府采购促进中小企业发展相关规定及采购文件的响应文件组成中的“《中小企业声明函》”格式填写并在响应文件中提供《中小企业声明函》，否则视为无效响应。</w:t>
      </w:r>
    </w:p>
    <w:p w14:paraId="5C168065">
      <w:pPr>
        <w:adjustRightInd w:val="0"/>
        <w:snapToGrid w:val="0"/>
        <w:spacing w:line="360" w:lineRule="auto"/>
        <w:ind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9、</w:t>
      </w:r>
      <w:r>
        <w:rPr>
          <w:rFonts w:hint="eastAsia" w:ascii="宋体" w:hAnsi="宋体" w:eastAsia="宋体" w:cs="宋体"/>
          <w:b/>
          <w:bCs/>
          <w:color w:val="auto"/>
          <w:sz w:val="24"/>
          <w:highlight w:val="none"/>
          <w:lang w:eastAsia="zh-CN"/>
        </w:rPr>
        <w:t>投标人</w:t>
      </w:r>
      <w:r>
        <w:rPr>
          <w:rFonts w:hint="eastAsia" w:ascii="宋体" w:hAnsi="宋体" w:eastAsia="宋体" w:cs="宋体"/>
          <w:b/>
          <w:bCs/>
          <w:color w:val="auto"/>
          <w:sz w:val="24"/>
          <w:highlight w:val="none"/>
        </w:rPr>
        <w:t>所提供的资格证明文件</w:t>
      </w:r>
      <w:r>
        <w:rPr>
          <w:rFonts w:hint="eastAsia" w:ascii="宋体" w:hAnsi="宋体" w:eastAsia="宋体" w:cs="宋体"/>
          <w:b/>
          <w:bCs/>
          <w:color w:val="auto"/>
          <w:sz w:val="24"/>
          <w:highlight w:val="none"/>
          <w:lang w:val="en-US" w:eastAsia="zh-CN"/>
        </w:rPr>
        <w:t>需加盖投标供应商公章，证明文件</w:t>
      </w:r>
      <w:r>
        <w:rPr>
          <w:rFonts w:hint="eastAsia" w:ascii="宋体" w:hAnsi="宋体" w:eastAsia="宋体" w:cs="宋体"/>
          <w:b/>
          <w:bCs/>
          <w:color w:val="auto"/>
          <w:sz w:val="24"/>
          <w:highlight w:val="none"/>
        </w:rPr>
        <w:t>如模糊不清无法辨认导致无效投标的，由</w:t>
      </w:r>
      <w:r>
        <w:rPr>
          <w:rFonts w:hint="eastAsia" w:ascii="宋体" w:hAnsi="宋体" w:eastAsia="宋体" w:cs="宋体"/>
          <w:b/>
          <w:bCs/>
          <w:color w:val="auto"/>
          <w:sz w:val="24"/>
          <w:highlight w:val="none"/>
          <w:lang w:eastAsia="zh-CN"/>
        </w:rPr>
        <w:t>投标人</w:t>
      </w:r>
      <w:r>
        <w:rPr>
          <w:rFonts w:hint="eastAsia" w:ascii="宋体" w:hAnsi="宋体" w:eastAsia="宋体" w:cs="宋体"/>
          <w:b/>
          <w:bCs/>
          <w:color w:val="auto"/>
          <w:sz w:val="24"/>
          <w:highlight w:val="none"/>
        </w:rPr>
        <w:t>自行负责</w:t>
      </w:r>
      <w:r>
        <w:rPr>
          <w:rFonts w:hint="eastAsia" w:ascii="宋体" w:hAnsi="宋体" w:eastAsia="宋体" w:cs="宋体"/>
          <w:b/>
          <w:bCs/>
          <w:color w:val="auto"/>
          <w:sz w:val="24"/>
          <w:highlight w:val="none"/>
          <w:lang w:eastAsia="zh-CN"/>
        </w:rPr>
        <w:t>。</w:t>
      </w:r>
    </w:p>
    <w:p w14:paraId="1A512693">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29" w:name="_Toc14341"/>
      <w:bookmarkStart w:id="30" w:name="_Toc30916"/>
      <w:bookmarkStart w:id="31" w:name="_Toc22201058"/>
      <w:bookmarkStart w:id="32" w:name="_Toc25887"/>
      <w:bookmarkStart w:id="33" w:name="_Toc8274"/>
      <w:r>
        <w:rPr>
          <w:rFonts w:hint="eastAsia" w:ascii="宋体" w:hAnsi="宋体" w:eastAsia="宋体" w:cs="宋体"/>
          <w:b/>
          <w:bCs/>
          <w:color w:val="auto"/>
          <w:sz w:val="24"/>
          <w:szCs w:val="24"/>
          <w:highlight w:val="none"/>
          <w:lang w:val="en-US" w:eastAsia="zh-CN"/>
        </w:rPr>
        <w:t>获取磋商文件的时间、地点及方式</w:t>
      </w:r>
      <w:bookmarkEnd w:id="29"/>
      <w:bookmarkEnd w:id="30"/>
      <w:bookmarkEnd w:id="31"/>
      <w:bookmarkEnd w:id="32"/>
      <w:bookmarkEnd w:id="33"/>
    </w:p>
    <w:p w14:paraId="5402D704">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时间：请于</w:t>
      </w:r>
      <w:r>
        <w:rPr>
          <w:rFonts w:hint="eastAsia" w:ascii="宋体" w:hAnsi="宋体" w:eastAsia="宋体" w:cs="宋体"/>
          <w:b/>
          <w:bCs/>
          <w:color w:val="auto"/>
          <w:sz w:val="24"/>
          <w:szCs w:val="24"/>
          <w:highlight w:val="none"/>
          <w:u w:val="single"/>
          <w:lang w:val="en-US" w:eastAsia="zh-CN"/>
        </w:rPr>
        <w:t>2026</w:t>
      </w:r>
      <w:r>
        <w:rPr>
          <w:rFonts w:hint="eastAsia" w:ascii="宋体" w:hAnsi="宋体" w:eastAsia="宋体" w:cs="宋体"/>
          <w:b/>
          <w:bCs/>
          <w:color w:val="auto"/>
          <w:sz w:val="24"/>
          <w:szCs w:val="24"/>
          <w:highlight w:val="none"/>
          <w:u w:val="none"/>
        </w:rPr>
        <w:t>年</w:t>
      </w:r>
      <w:r>
        <w:rPr>
          <w:rFonts w:hint="eastAsia" w:ascii="宋体" w:hAnsi="宋体" w:cs="宋体"/>
          <w:b/>
          <w:bCs/>
          <w:color w:val="auto"/>
          <w:sz w:val="24"/>
          <w:szCs w:val="24"/>
          <w:highlight w:val="none"/>
          <w:u w:val="single"/>
          <w:lang w:val="en-US" w:eastAsia="zh-CN"/>
        </w:rPr>
        <w:t>07</w:t>
      </w:r>
      <w:r>
        <w:rPr>
          <w:rFonts w:hint="eastAsia" w:ascii="宋体" w:hAnsi="宋体" w:eastAsia="宋体" w:cs="宋体"/>
          <w:b/>
          <w:bCs/>
          <w:color w:val="auto"/>
          <w:sz w:val="24"/>
          <w:szCs w:val="24"/>
          <w:highlight w:val="none"/>
          <w:u w:val="none"/>
        </w:rPr>
        <w:t>月</w:t>
      </w:r>
      <w:r>
        <w:rPr>
          <w:rFonts w:hint="eastAsia" w:ascii="宋体" w:hAnsi="宋体" w:cs="宋体"/>
          <w:b/>
          <w:bCs/>
          <w:color w:val="auto"/>
          <w:sz w:val="24"/>
          <w:szCs w:val="24"/>
          <w:highlight w:val="none"/>
          <w:u w:val="single"/>
          <w:lang w:val="en-US" w:eastAsia="zh-CN"/>
        </w:rPr>
        <w:t>28</w:t>
      </w:r>
      <w:r>
        <w:rPr>
          <w:rFonts w:hint="eastAsia" w:ascii="宋体" w:hAnsi="宋体" w:eastAsia="宋体" w:cs="宋体"/>
          <w:b/>
          <w:bCs/>
          <w:color w:val="auto"/>
          <w:sz w:val="24"/>
          <w:szCs w:val="24"/>
          <w:highlight w:val="none"/>
          <w:u w:val="none"/>
        </w:rPr>
        <w:t>日</w:t>
      </w:r>
      <w:r>
        <w:rPr>
          <w:rFonts w:hint="eastAsia" w:ascii="宋体" w:hAnsi="宋体" w:eastAsia="宋体" w:cs="宋体"/>
          <w:b/>
          <w:bCs/>
          <w:color w:val="auto"/>
          <w:sz w:val="24"/>
          <w:szCs w:val="24"/>
          <w:highlight w:val="none"/>
          <w:u w:val="single"/>
          <w:lang w:val="en-US" w:eastAsia="zh-CN"/>
        </w:rPr>
        <w:t>08</w:t>
      </w:r>
      <w:r>
        <w:rPr>
          <w:rFonts w:hint="eastAsia" w:ascii="宋体" w:hAnsi="宋体" w:eastAsia="宋体" w:cs="宋体"/>
          <w:b/>
          <w:bCs/>
          <w:color w:val="auto"/>
          <w:sz w:val="24"/>
          <w:szCs w:val="24"/>
          <w:highlight w:val="none"/>
          <w:u w:val="none"/>
          <w:lang w:eastAsia="zh-CN"/>
        </w:rPr>
        <w:t>时</w:t>
      </w:r>
      <w:r>
        <w:rPr>
          <w:rFonts w:hint="eastAsia" w:ascii="宋体" w:hAnsi="宋体" w:eastAsia="宋体" w:cs="宋体"/>
          <w:b/>
          <w:bCs/>
          <w:color w:val="auto"/>
          <w:sz w:val="24"/>
          <w:szCs w:val="24"/>
          <w:highlight w:val="none"/>
          <w:u w:val="single"/>
          <w:lang w:val="en-US" w:eastAsia="zh-CN"/>
        </w:rPr>
        <w:t>00</w:t>
      </w:r>
      <w:r>
        <w:rPr>
          <w:rFonts w:hint="eastAsia" w:ascii="宋体" w:hAnsi="宋体" w:eastAsia="宋体" w:cs="宋体"/>
          <w:b/>
          <w:bCs/>
          <w:color w:val="auto"/>
          <w:sz w:val="24"/>
          <w:szCs w:val="24"/>
          <w:highlight w:val="none"/>
          <w:u w:val="none"/>
          <w:lang w:eastAsia="zh-CN"/>
        </w:rPr>
        <w:t>分</w:t>
      </w:r>
      <w:r>
        <w:rPr>
          <w:rFonts w:hint="eastAsia" w:ascii="宋体" w:hAnsi="宋体" w:eastAsia="宋体" w:cs="宋体"/>
          <w:b/>
          <w:bCs/>
          <w:color w:val="auto"/>
          <w:sz w:val="24"/>
          <w:szCs w:val="24"/>
          <w:highlight w:val="none"/>
          <w:u w:val="none"/>
        </w:rPr>
        <w:t>～</w:t>
      </w:r>
      <w:r>
        <w:rPr>
          <w:rFonts w:hint="eastAsia" w:ascii="宋体" w:hAnsi="宋体" w:eastAsia="宋体" w:cs="宋体"/>
          <w:b/>
          <w:bCs/>
          <w:color w:val="auto"/>
          <w:sz w:val="24"/>
          <w:szCs w:val="24"/>
          <w:highlight w:val="none"/>
          <w:u w:val="single"/>
          <w:lang w:val="en-US" w:eastAsia="zh-CN"/>
        </w:rPr>
        <w:t>2026</w:t>
      </w:r>
      <w:r>
        <w:rPr>
          <w:rFonts w:hint="eastAsia" w:ascii="宋体" w:hAnsi="宋体" w:eastAsia="宋体" w:cs="宋体"/>
          <w:b/>
          <w:bCs/>
          <w:color w:val="auto"/>
          <w:sz w:val="24"/>
          <w:szCs w:val="24"/>
          <w:highlight w:val="none"/>
          <w:u w:val="none"/>
        </w:rPr>
        <w:t>年</w:t>
      </w:r>
      <w:r>
        <w:rPr>
          <w:rFonts w:hint="eastAsia" w:ascii="宋体" w:hAnsi="宋体" w:cs="宋体"/>
          <w:b/>
          <w:bCs/>
          <w:color w:val="auto"/>
          <w:sz w:val="24"/>
          <w:szCs w:val="24"/>
          <w:highlight w:val="none"/>
          <w:u w:val="single"/>
          <w:lang w:val="en-US" w:eastAsia="zh-CN"/>
        </w:rPr>
        <w:t>08</w:t>
      </w:r>
      <w:r>
        <w:rPr>
          <w:rFonts w:hint="eastAsia" w:ascii="宋体" w:hAnsi="宋体" w:eastAsia="宋体" w:cs="宋体"/>
          <w:b/>
          <w:bCs/>
          <w:color w:val="auto"/>
          <w:sz w:val="24"/>
          <w:szCs w:val="24"/>
          <w:highlight w:val="none"/>
          <w:u w:val="none"/>
        </w:rPr>
        <w:t>月</w:t>
      </w:r>
      <w:r>
        <w:rPr>
          <w:rFonts w:hint="eastAsia" w:ascii="宋体" w:hAnsi="宋体" w:cs="宋体"/>
          <w:b/>
          <w:bCs/>
          <w:color w:val="auto"/>
          <w:sz w:val="24"/>
          <w:szCs w:val="24"/>
          <w:highlight w:val="none"/>
          <w:u w:val="single"/>
          <w:lang w:val="en-US" w:eastAsia="zh-CN"/>
        </w:rPr>
        <w:t>03</w:t>
      </w:r>
      <w:r>
        <w:rPr>
          <w:rFonts w:hint="eastAsia" w:ascii="宋体" w:hAnsi="宋体" w:eastAsia="宋体" w:cs="宋体"/>
          <w:b/>
          <w:bCs/>
          <w:color w:val="auto"/>
          <w:sz w:val="24"/>
          <w:szCs w:val="24"/>
          <w:highlight w:val="none"/>
          <w:u w:val="none"/>
        </w:rPr>
        <w:t>日</w:t>
      </w:r>
      <w:r>
        <w:rPr>
          <w:rFonts w:hint="eastAsia" w:ascii="宋体" w:hAnsi="宋体" w:eastAsia="宋体" w:cs="宋体"/>
          <w:b/>
          <w:bCs/>
          <w:color w:val="auto"/>
          <w:sz w:val="24"/>
          <w:szCs w:val="24"/>
          <w:highlight w:val="none"/>
          <w:u w:val="single"/>
          <w:lang w:val="en-US" w:eastAsia="zh-CN"/>
        </w:rPr>
        <w:t>17</w:t>
      </w:r>
      <w:r>
        <w:rPr>
          <w:rFonts w:hint="eastAsia" w:ascii="宋体" w:hAnsi="宋体" w:eastAsia="宋体" w:cs="宋体"/>
          <w:b/>
          <w:bCs/>
          <w:color w:val="auto"/>
          <w:sz w:val="24"/>
          <w:szCs w:val="24"/>
          <w:highlight w:val="none"/>
          <w:u w:val="none"/>
          <w:lang w:eastAsia="zh-CN"/>
        </w:rPr>
        <w:t>时</w:t>
      </w:r>
      <w:r>
        <w:rPr>
          <w:rFonts w:hint="eastAsia" w:ascii="宋体" w:hAnsi="宋体" w:eastAsia="宋体" w:cs="宋体"/>
          <w:b/>
          <w:bCs/>
          <w:color w:val="auto"/>
          <w:sz w:val="24"/>
          <w:szCs w:val="24"/>
          <w:highlight w:val="none"/>
          <w:u w:val="single"/>
          <w:lang w:val="en-US" w:eastAsia="zh-CN"/>
        </w:rPr>
        <w:t>00</w:t>
      </w:r>
      <w:r>
        <w:rPr>
          <w:rFonts w:hint="eastAsia" w:ascii="宋体" w:hAnsi="宋体" w:eastAsia="宋体" w:cs="宋体"/>
          <w:b/>
          <w:bCs/>
          <w:color w:val="auto"/>
          <w:sz w:val="24"/>
          <w:szCs w:val="24"/>
          <w:highlight w:val="none"/>
          <w:lang w:eastAsia="zh-CN"/>
        </w:rPr>
        <w:t>分</w:t>
      </w:r>
      <w:r>
        <w:rPr>
          <w:rFonts w:hint="eastAsia" w:ascii="宋体" w:hAnsi="宋体" w:eastAsia="宋体" w:cs="宋体"/>
          <w:color w:val="auto"/>
          <w:sz w:val="24"/>
          <w:szCs w:val="24"/>
          <w:highlight w:val="none"/>
        </w:rPr>
        <w:t>止（北京时间）</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highlight w:val="none"/>
        </w:rPr>
        <w:t>本项目实行电子交易，有意参加投标者，登陆</w:t>
      </w:r>
      <w:r>
        <w:rPr>
          <w:rFonts w:hint="eastAsia" w:ascii="宋体" w:hAnsi="宋体" w:eastAsia="宋体" w:cs="宋体"/>
          <w:color w:val="auto"/>
          <w:sz w:val="24"/>
          <w:highlight w:val="none"/>
          <w:u w:val="single"/>
        </w:rPr>
        <w:t>《</w:t>
      </w:r>
      <w:r>
        <w:rPr>
          <w:rFonts w:hint="eastAsia" w:ascii="宋体" w:hAnsi="宋体" w:cs="宋体"/>
          <w:color w:val="auto"/>
          <w:sz w:val="24"/>
          <w:highlight w:val="none"/>
          <w:u w:val="single"/>
          <w:lang w:eastAsia="zh-CN"/>
        </w:rPr>
        <w:t>湘西州公共资源交易服务平台</w:t>
      </w:r>
      <w:r>
        <w:rPr>
          <w:rFonts w:hint="eastAsia" w:ascii="宋体" w:hAnsi="宋体" w:eastAsia="宋体" w:cs="宋体"/>
          <w:color w:val="auto"/>
          <w:sz w:val="24"/>
          <w:highlight w:val="none"/>
          <w:u w:val="single"/>
        </w:rPr>
        <w:t>》（</w:t>
      </w:r>
      <w:r>
        <w:rPr>
          <w:rFonts w:hint="eastAsia" w:ascii="宋体" w:hAnsi="宋体" w:cs="宋体"/>
          <w:color w:val="auto"/>
          <w:sz w:val="24"/>
          <w:highlight w:val="none"/>
          <w:u w:val="single"/>
          <w:lang w:eastAsia="zh-CN"/>
        </w:rPr>
        <w:t>https://xiangxi.hnsggzy.com/#/sy</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rPr>
        <w:t>获取电子版</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文件。</w:t>
      </w:r>
    </w:p>
    <w:p w14:paraId="3B8477F9">
      <w:pPr>
        <w:keepNext w:val="0"/>
        <w:keepLines w:val="0"/>
        <w:pageBreakBefore w:val="0"/>
        <w:widowControl w:val="0"/>
        <w:kinsoku/>
        <w:wordWrap w:val="0"/>
        <w:overflowPunct/>
        <w:autoSpaceDE w:val="0"/>
        <w:autoSpaceDN w:val="0"/>
        <w:bidi w:val="0"/>
        <w:adjustRightInd w:val="0"/>
        <w:snapToGrid w:val="0"/>
        <w:spacing w:line="360" w:lineRule="auto"/>
        <w:ind w:right="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登陆《</w:t>
      </w:r>
      <w:r>
        <w:rPr>
          <w:rFonts w:hint="eastAsia" w:ascii="宋体" w:hAnsi="宋体" w:cs="宋体"/>
          <w:color w:val="auto"/>
          <w:sz w:val="24"/>
          <w:szCs w:val="24"/>
          <w:highlight w:val="none"/>
          <w:u w:val="single"/>
          <w:lang w:eastAsia="zh-CN"/>
        </w:rPr>
        <w:t>湘西州公共资源交易服务平台</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eastAsia="zh-CN"/>
        </w:rPr>
        <w:t>https://xiangxi.hnsggzy.com/#/sy</w:t>
      </w:r>
      <w:r>
        <w:rPr>
          <w:rFonts w:hint="eastAsia" w:ascii="宋体" w:hAnsi="宋体" w:eastAsia="宋体" w:cs="宋体"/>
          <w:color w:val="auto"/>
          <w:sz w:val="24"/>
          <w:szCs w:val="24"/>
          <w:highlight w:val="none"/>
          <w:u w:val="single"/>
        </w:rPr>
        <w:t>）→点击</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政府采购</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点击“政府采购交易系统(供应商、中介代理、采购人)”→使用“CA登录”→点击“交易乙方”→点击“采购业务-填写投标信息”菜单，进入页面→点击“操作”按钮，进入到投标信息完善详情页面：填写项目负责人，点击我要投标→点击“采购业务→采购公告及文件下载”菜单，进入页面→点击“领取”下载按钮，进入详细页面→点击“下载磋商文件”按钮，进入文件详细页面进行交易文件下载</w:t>
      </w:r>
      <w:r>
        <w:rPr>
          <w:rFonts w:hint="eastAsia" w:ascii="宋体" w:hAnsi="宋体" w:eastAsia="宋体" w:cs="宋体"/>
          <w:color w:val="auto"/>
          <w:sz w:val="24"/>
          <w:szCs w:val="24"/>
          <w:highlight w:val="none"/>
        </w:rPr>
        <w:t>。</w:t>
      </w:r>
    </w:p>
    <w:p w14:paraId="4FD55F71">
      <w:pPr>
        <w:keepNext w:val="0"/>
        <w:keepLines w:val="0"/>
        <w:pageBreakBefore w:val="0"/>
        <w:widowControl w:val="0"/>
        <w:kinsoku/>
        <w:wordWrap w:val="0"/>
        <w:overflowPunct/>
        <w:autoSpaceDE w:val="0"/>
        <w:autoSpaceDN w:val="0"/>
        <w:bidi w:val="0"/>
        <w:adjustRightInd w:val="0"/>
        <w:snapToGrid w:val="0"/>
        <w:spacing w:line="360" w:lineRule="auto"/>
        <w:ind w:right="0" w:firstLine="42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请登录</w:t>
      </w:r>
      <w:r>
        <w:rPr>
          <w:rFonts w:hint="eastAsia" w:ascii="宋体" w:hAnsi="宋体" w:cs="宋体"/>
          <w:color w:val="auto"/>
          <w:sz w:val="24"/>
          <w:szCs w:val="24"/>
          <w:highlight w:val="none"/>
          <w:lang w:eastAsia="zh-CN"/>
        </w:rPr>
        <w:t>湘西州公共资源交易服务平台https://xiangxi.hnsggzy.com/#/sy</w:t>
      </w:r>
      <w:r>
        <w:rPr>
          <w:rFonts w:hint="eastAsia" w:ascii="宋体" w:hAnsi="宋体" w:eastAsia="宋体" w:cs="宋体"/>
          <w:color w:val="auto"/>
          <w:sz w:val="24"/>
          <w:szCs w:val="24"/>
          <w:highlight w:val="none"/>
        </w:rPr>
        <w:t>，在“服务导航”菜单查看</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"http://ggzyjy.xxz.gov.cn/fwzn/004002/20180425/87e6ed32-6e52-4458-b0d4-78ae07a1c606.html" \o "《账号注册操作指南》"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《账号注册操作指南》</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并按相应要求进行办理的信息注册，方可项目报名、获取采购文件等。</w:t>
      </w:r>
    </w:p>
    <w:p w14:paraId="0CA0639B">
      <w:pPr>
        <w:pStyle w:val="19"/>
        <w:keepNext w:val="0"/>
        <w:keepLines w:val="0"/>
        <w:pageBreakBefore w:val="0"/>
        <w:widowControl w:val="0"/>
        <w:kinsoku/>
        <w:overflowPunct/>
        <w:bidi w:val="0"/>
        <w:adjustRightInd w:val="0"/>
        <w:snapToGrid w:val="0"/>
        <w:spacing w:after="0" w:line="360" w:lineRule="auto"/>
        <w:ind w:right="0" w:firstLine="42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自行在以上网站下载或查阅相关文件和资料等，恕不另行通知，如有遗漏采购代理机构概不负责。</w:t>
      </w:r>
    </w:p>
    <w:p w14:paraId="326201E6">
      <w:pPr>
        <w:pStyle w:val="8"/>
        <w:numPr>
          <w:ilvl w:val="0"/>
          <w:numId w:val="0"/>
        </w:numPr>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5、本项目为电子竞争性磋商采购项目，供应商按磋商评审小组要求时间内提交报价，每轮报价提交截止时间为磋商评审小组发出要求后不少于40分钟。</w:t>
      </w:r>
    </w:p>
    <w:p w14:paraId="20A724ED">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34" w:name="_Toc21536"/>
      <w:bookmarkStart w:id="35" w:name="_Toc8719"/>
      <w:r>
        <w:rPr>
          <w:rFonts w:hint="eastAsia" w:ascii="宋体" w:hAnsi="宋体" w:eastAsia="宋体" w:cs="宋体"/>
          <w:b/>
          <w:bCs/>
          <w:color w:val="auto"/>
          <w:sz w:val="24"/>
          <w:szCs w:val="24"/>
          <w:highlight w:val="none"/>
          <w:lang w:val="en-US" w:eastAsia="zh-CN"/>
        </w:rPr>
        <w:t>投标截止时间、开标时间及地点</w:t>
      </w:r>
      <w:bookmarkEnd w:id="34"/>
      <w:bookmarkEnd w:id="35"/>
    </w:p>
    <w:p w14:paraId="66D608D5">
      <w:pPr>
        <w:wordWrap w:val="0"/>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1、提交投标文件的截止时间：</w:t>
      </w:r>
      <w:r>
        <w:rPr>
          <w:rFonts w:hint="eastAsia" w:ascii="宋体" w:hAnsi="宋体" w:eastAsia="宋体" w:cs="宋体"/>
          <w:b/>
          <w:bCs/>
          <w:color w:val="auto"/>
          <w:sz w:val="24"/>
          <w:highlight w:val="none"/>
          <w:u w:val="single"/>
          <w:lang w:val="en-US" w:eastAsia="zh-CN"/>
        </w:rPr>
        <w:t>2026</w:t>
      </w:r>
      <w:r>
        <w:rPr>
          <w:rFonts w:hint="eastAsia" w:ascii="宋体" w:hAnsi="宋体" w:eastAsia="宋体" w:cs="宋体"/>
          <w:b/>
          <w:bCs/>
          <w:color w:val="auto"/>
          <w:sz w:val="24"/>
          <w:highlight w:val="none"/>
        </w:rPr>
        <w:t>年</w:t>
      </w:r>
      <w:r>
        <w:rPr>
          <w:rFonts w:hint="eastAsia" w:ascii="宋体" w:hAnsi="宋体" w:cs="宋体"/>
          <w:b/>
          <w:bCs/>
          <w:color w:val="auto"/>
          <w:sz w:val="24"/>
          <w:highlight w:val="none"/>
          <w:u w:val="single"/>
          <w:lang w:val="en-US" w:eastAsia="zh-CN"/>
        </w:rPr>
        <w:t>08</w:t>
      </w:r>
      <w:r>
        <w:rPr>
          <w:rFonts w:hint="eastAsia" w:ascii="宋体" w:hAnsi="宋体" w:eastAsia="宋体" w:cs="宋体"/>
          <w:b/>
          <w:bCs/>
          <w:color w:val="auto"/>
          <w:sz w:val="24"/>
          <w:highlight w:val="none"/>
          <w:u w:val="none"/>
          <w:lang w:val="en-US" w:eastAsia="zh-CN"/>
        </w:rPr>
        <w:t>月</w:t>
      </w:r>
      <w:r>
        <w:rPr>
          <w:rFonts w:hint="eastAsia" w:ascii="宋体" w:hAnsi="宋体" w:cs="宋体"/>
          <w:b/>
          <w:bCs/>
          <w:color w:val="auto"/>
          <w:sz w:val="24"/>
          <w:highlight w:val="none"/>
          <w:u w:val="single"/>
          <w:lang w:val="en-US" w:eastAsia="zh-CN"/>
        </w:rPr>
        <w:t>10</w:t>
      </w:r>
      <w:r>
        <w:rPr>
          <w:rFonts w:hint="eastAsia" w:ascii="宋体" w:hAnsi="宋体" w:eastAsia="宋体" w:cs="宋体"/>
          <w:b/>
          <w:bCs/>
          <w:color w:val="auto"/>
          <w:sz w:val="24"/>
          <w:highlight w:val="none"/>
          <w:u w:val="none"/>
          <w:lang w:val="en-US" w:eastAsia="zh-CN"/>
        </w:rPr>
        <w:t>日</w:t>
      </w:r>
      <w:r>
        <w:rPr>
          <w:rFonts w:hint="eastAsia" w:ascii="宋体" w:hAnsi="宋体" w:eastAsia="宋体" w:cs="宋体"/>
          <w:b/>
          <w:bCs/>
          <w:color w:val="auto"/>
          <w:sz w:val="24"/>
          <w:highlight w:val="none"/>
          <w:u w:val="single"/>
          <w:lang w:val="en-US" w:eastAsia="zh-CN"/>
        </w:rPr>
        <w:t>09</w:t>
      </w:r>
      <w:r>
        <w:rPr>
          <w:rFonts w:hint="eastAsia" w:ascii="宋体" w:hAnsi="宋体" w:eastAsia="宋体" w:cs="宋体"/>
          <w:b/>
          <w:bCs/>
          <w:color w:val="auto"/>
          <w:sz w:val="24"/>
          <w:highlight w:val="none"/>
        </w:rPr>
        <w:t>时</w:t>
      </w:r>
      <w:r>
        <w:rPr>
          <w:rFonts w:hint="eastAsia" w:ascii="宋体" w:hAnsi="宋体" w:eastAsia="宋体" w:cs="宋体"/>
          <w:b/>
          <w:bCs/>
          <w:color w:val="auto"/>
          <w:sz w:val="24"/>
          <w:highlight w:val="none"/>
          <w:u w:val="single"/>
          <w:lang w:val="en-US" w:eastAsia="zh-CN"/>
        </w:rPr>
        <w:t>00</w:t>
      </w:r>
      <w:r>
        <w:rPr>
          <w:rFonts w:hint="eastAsia" w:ascii="宋体" w:hAnsi="宋体" w:eastAsia="宋体" w:cs="宋体"/>
          <w:b/>
          <w:bCs/>
          <w:color w:val="auto"/>
          <w:sz w:val="24"/>
          <w:highlight w:val="none"/>
        </w:rPr>
        <w:t>分</w:t>
      </w:r>
      <w:r>
        <w:rPr>
          <w:rFonts w:hint="eastAsia" w:ascii="宋体" w:hAnsi="宋体" w:eastAsia="宋体" w:cs="宋体"/>
          <w:b w:val="0"/>
          <w:bCs w:val="0"/>
          <w:color w:val="auto"/>
          <w:sz w:val="24"/>
          <w:highlight w:val="none"/>
        </w:rPr>
        <w:t>（</w:t>
      </w:r>
      <w:r>
        <w:rPr>
          <w:rFonts w:hint="eastAsia" w:ascii="宋体" w:hAnsi="宋体" w:eastAsia="宋体" w:cs="宋体"/>
          <w:color w:val="auto"/>
          <w:sz w:val="24"/>
          <w:highlight w:val="none"/>
        </w:rPr>
        <w:t>北京时间）；</w:t>
      </w:r>
      <w:r>
        <w:rPr>
          <w:rFonts w:hint="eastAsia" w:ascii="宋体" w:hAnsi="宋体" w:eastAsia="宋体" w:cs="宋体"/>
          <w:iCs/>
          <w:color w:val="auto"/>
          <w:sz w:val="24"/>
          <w:highlight w:val="none"/>
        </w:rPr>
        <w:t>请投标人登录《</w:t>
      </w:r>
      <w:r>
        <w:rPr>
          <w:rFonts w:hint="eastAsia" w:ascii="宋体" w:hAnsi="宋体" w:cs="宋体"/>
          <w:iCs/>
          <w:color w:val="auto"/>
          <w:sz w:val="24"/>
          <w:highlight w:val="none"/>
          <w:lang w:eastAsia="zh-CN"/>
        </w:rPr>
        <w:t>湘西州公共资源交易服务平台</w:t>
      </w:r>
      <w:r>
        <w:rPr>
          <w:rFonts w:hint="eastAsia" w:ascii="宋体" w:hAnsi="宋体" w:eastAsia="宋体" w:cs="宋体"/>
          <w:iCs/>
          <w:color w:val="auto"/>
          <w:sz w:val="24"/>
          <w:highlight w:val="none"/>
        </w:rPr>
        <w:t>》</w:t>
      </w:r>
      <w:r>
        <w:rPr>
          <w:rFonts w:hint="eastAsia" w:ascii="宋体" w:hAnsi="宋体" w:eastAsia="宋体" w:cs="宋体"/>
          <w:color w:val="auto"/>
          <w:kern w:val="0"/>
          <w:sz w:val="24"/>
          <w:highlight w:val="none"/>
        </w:rPr>
        <w:t>(</w:t>
      </w:r>
      <w:r>
        <w:rPr>
          <w:rFonts w:hint="eastAsia" w:ascii="宋体" w:hAnsi="宋体" w:cs="宋体"/>
          <w:b/>
          <w:color w:val="auto"/>
          <w:kern w:val="0"/>
          <w:sz w:val="24"/>
          <w:highlight w:val="none"/>
          <w:u w:val="single"/>
          <w:lang w:eastAsia="zh-CN"/>
        </w:rPr>
        <w:t>https://xiangxi.hnsggzy.com/#/sy</w:t>
      </w:r>
      <w:r>
        <w:rPr>
          <w:rFonts w:hint="eastAsia" w:ascii="宋体" w:hAnsi="宋体" w:eastAsia="宋体" w:cs="宋体"/>
          <w:color w:val="auto"/>
          <w:kern w:val="0"/>
          <w:sz w:val="24"/>
          <w:highlight w:val="none"/>
        </w:rPr>
        <w:t>)</w:t>
      </w:r>
      <w:r>
        <w:rPr>
          <w:rFonts w:hint="eastAsia" w:ascii="宋体" w:hAnsi="宋体" w:eastAsia="宋体" w:cs="宋体"/>
          <w:iCs/>
          <w:color w:val="auto"/>
          <w:sz w:val="24"/>
          <w:highlight w:val="none"/>
        </w:rPr>
        <w:t>下载电子投标文件制作工具编制投标文件，投标人应在投标裁止时间前通过电子招标投标交易平台上传数据电文形式的电子</w:t>
      </w:r>
      <w:r>
        <w:rPr>
          <w:rFonts w:hint="eastAsia" w:ascii="宋体" w:hAnsi="宋体" w:eastAsia="宋体" w:cs="宋体"/>
          <w:iCs/>
          <w:color w:val="auto"/>
          <w:sz w:val="24"/>
          <w:highlight w:val="none"/>
          <w:lang w:val="en-US" w:eastAsia="zh-CN"/>
        </w:rPr>
        <w:t>响应</w:t>
      </w:r>
      <w:r>
        <w:rPr>
          <w:rFonts w:hint="eastAsia" w:ascii="宋体" w:hAnsi="宋体" w:eastAsia="宋体" w:cs="宋体"/>
          <w:iCs/>
          <w:color w:val="auto"/>
          <w:sz w:val="24"/>
          <w:highlight w:val="none"/>
        </w:rPr>
        <w:t>文件。逾期递交的</w:t>
      </w:r>
      <w:r>
        <w:rPr>
          <w:rFonts w:hint="eastAsia" w:ascii="宋体" w:hAnsi="宋体" w:eastAsia="宋体" w:cs="宋体"/>
          <w:iCs/>
          <w:color w:val="auto"/>
          <w:sz w:val="24"/>
          <w:highlight w:val="none"/>
          <w:lang w:val="en-US" w:eastAsia="zh-CN"/>
        </w:rPr>
        <w:t>响应</w:t>
      </w:r>
      <w:r>
        <w:rPr>
          <w:rFonts w:hint="eastAsia" w:ascii="宋体" w:hAnsi="宋体" w:eastAsia="宋体" w:cs="宋体"/>
          <w:iCs/>
          <w:color w:val="auto"/>
          <w:sz w:val="24"/>
          <w:highlight w:val="none"/>
        </w:rPr>
        <w:t>文件，电子招标投标交易平台予以拒收。</w:t>
      </w:r>
    </w:p>
    <w:p w14:paraId="22AAC569">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2、投标地点：</w:t>
      </w:r>
      <w:r>
        <w:rPr>
          <w:rFonts w:hint="eastAsia" w:ascii="宋体" w:hAnsi="宋体" w:eastAsia="宋体" w:cs="宋体"/>
          <w:iCs/>
          <w:color w:val="auto"/>
          <w:sz w:val="24"/>
          <w:highlight w:val="none"/>
          <w:u w:val="single"/>
        </w:rPr>
        <w:t>《</w:t>
      </w:r>
      <w:r>
        <w:rPr>
          <w:rFonts w:hint="eastAsia" w:ascii="宋体" w:hAnsi="宋体" w:cs="宋体"/>
          <w:iCs/>
          <w:color w:val="auto"/>
          <w:sz w:val="24"/>
          <w:highlight w:val="none"/>
          <w:u w:val="single"/>
          <w:lang w:eastAsia="zh-CN"/>
        </w:rPr>
        <w:t>湘西州公共资源交易服务平台</w:t>
      </w:r>
      <w:r>
        <w:rPr>
          <w:rFonts w:hint="eastAsia" w:ascii="宋体" w:hAnsi="宋体" w:eastAsia="宋体" w:cs="宋体"/>
          <w:iCs/>
          <w:color w:val="auto"/>
          <w:sz w:val="24"/>
          <w:highlight w:val="none"/>
          <w:u w:val="single"/>
        </w:rPr>
        <w:t>》</w:t>
      </w:r>
      <w:r>
        <w:rPr>
          <w:rFonts w:hint="eastAsia" w:ascii="宋体" w:hAnsi="宋体" w:eastAsia="宋体" w:cs="宋体"/>
          <w:color w:val="auto"/>
          <w:kern w:val="0"/>
          <w:sz w:val="24"/>
          <w:highlight w:val="none"/>
          <w:u w:val="single"/>
        </w:rPr>
        <w:t>(</w:t>
      </w:r>
      <w:r>
        <w:rPr>
          <w:rFonts w:hint="eastAsia" w:ascii="宋体" w:hAnsi="宋体" w:cs="宋体"/>
          <w:b/>
          <w:color w:val="auto"/>
          <w:kern w:val="0"/>
          <w:sz w:val="24"/>
          <w:highlight w:val="none"/>
          <w:u w:val="single"/>
          <w:lang w:eastAsia="zh-CN"/>
        </w:rPr>
        <w:t>https://xiangxi.hnsggzy.com/#/sy</w:t>
      </w:r>
      <w:r>
        <w:rPr>
          <w:rFonts w:hint="eastAsia" w:ascii="宋体" w:hAnsi="宋体" w:eastAsia="宋体" w:cs="宋体"/>
          <w:color w:val="auto"/>
          <w:kern w:val="0"/>
          <w:sz w:val="24"/>
          <w:highlight w:val="none"/>
          <w:u w:val="single"/>
        </w:rPr>
        <w:t>)</w:t>
      </w:r>
    </w:p>
    <w:p w14:paraId="1ADF9A67">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3、开标时间</w:t>
      </w:r>
      <w:r>
        <w:rPr>
          <w:rFonts w:hint="eastAsia" w:ascii="宋体" w:hAnsi="宋体" w:eastAsia="宋体" w:cs="宋体"/>
          <w:b w:val="0"/>
          <w:bCs w:val="0"/>
          <w:color w:val="auto"/>
          <w:sz w:val="24"/>
          <w:highlight w:val="none"/>
        </w:rPr>
        <w:t>：</w:t>
      </w:r>
      <w:r>
        <w:rPr>
          <w:rFonts w:hint="eastAsia" w:ascii="宋体" w:hAnsi="宋体" w:eastAsia="宋体" w:cs="宋体"/>
          <w:b/>
          <w:bCs/>
          <w:color w:val="auto"/>
          <w:sz w:val="24"/>
          <w:highlight w:val="none"/>
          <w:u w:val="single"/>
          <w:lang w:val="en-US" w:eastAsia="zh-CN"/>
        </w:rPr>
        <w:t>2026</w:t>
      </w:r>
      <w:r>
        <w:rPr>
          <w:rFonts w:hint="eastAsia" w:ascii="宋体" w:hAnsi="宋体" w:eastAsia="宋体" w:cs="宋体"/>
          <w:b/>
          <w:bCs/>
          <w:color w:val="auto"/>
          <w:sz w:val="24"/>
          <w:highlight w:val="none"/>
        </w:rPr>
        <w:t>年</w:t>
      </w:r>
      <w:r>
        <w:rPr>
          <w:rFonts w:hint="eastAsia" w:ascii="宋体" w:hAnsi="宋体" w:cs="宋体"/>
          <w:b/>
          <w:bCs/>
          <w:color w:val="auto"/>
          <w:sz w:val="24"/>
          <w:highlight w:val="none"/>
          <w:u w:val="single"/>
          <w:lang w:val="en-US" w:eastAsia="zh-CN"/>
        </w:rPr>
        <w:t>08</w:t>
      </w:r>
      <w:r>
        <w:rPr>
          <w:rFonts w:hint="eastAsia" w:ascii="宋体" w:hAnsi="宋体" w:eastAsia="宋体" w:cs="宋体"/>
          <w:b/>
          <w:bCs/>
          <w:color w:val="auto"/>
          <w:sz w:val="24"/>
          <w:highlight w:val="none"/>
          <w:u w:val="none"/>
          <w:lang w:val="en-US" w:eastAsia="zh-CN"/>
        </w:rPr>
        <w:t>月</w:t>
      </w:r>
      <w:r>
        <w:rPr>
          <w:rFonts w:hint="eastAsia" w:ascii="宋体" w:hAnsi="宋体" w:cs="宋体"/>
          <w:b/>
          <w:bCs/>
          <w:color w:val="auto"/>
          <w:sz w:val="24"/>
          <w:highlight w:val="none"/>
          <w:u w:val="single"/>
          <w:lang w:val="en-US" w:eastAsia="zh-CN"/>
        </w:rPr>
        <w:t>10</w:t>
      </w:r>
      <w:r>
        <w:rPr>
          <w:rFonts w:hint="eastAsia" w:ascii="宋体" w:hAnsi="宋体" w:eastAsia="宋体" w:cs="宋体"/>
          <w:b/>
          <w:bCs/>
          <w:color w:val="auto"/>
          <w:sz w:val="24"/>
          <w:highlight w:val="none"/>
          <w:u w:val="none"/>
          <w:lang w:val="en-US" w:eastAsia="zh-CN"/>
        </w:rPr>
        <w:t>日</w:t>
      </w:r>
      <w:r>
        <w:rPr>
          <w:rFonts w:hint="eastAsia" w:ascii="宋体" w:hAnsi="宋体" w:eastAsia="宋体" w:cs="宋体"/>
          <w:b/>
          <w:bCs/>
          <w:color w:val="auto"/>
          <w:sz w:val="24"/>
          <w:highlight w:val="none"/>
          <w:u w:val="single"/>
          <w:lang w:val="en-US" w:eastAsia="zh-CN"/>
        </w:rPr>
        <w:t>09</w:t>
      </w:r>
      <w:r>
        <w:rPr>
          <w:rFonts w:hint="eastAsia" w:ascii="宋体" w:hAnsi="宋体" w:eastAsia="宋体" w:cs="宋体"/>
          <w:b/>
          <w:bCs/>
          <w:color w:val="auto"/>
          <w:sz w:val="24"/>
          <w:highlight w:val="none"/>
        </w:rPr>
        <w:t>时</w:t>
      </w:r>
      <w:r>
        <w:rPr>
          <w:rFonts w:hint="eastAsia" w:ascii="宋体" w:hAnsi="宋体" w:eastAsia="宋体" w:cs="宋体"/>
          <w:b/>
          <w:bCs/>
          <w:color w:val="auto"/>
          <w:sz w:val="24"/>
          <w:highlight w:val="none"/>
          <w:u w:val="single"/>
          <w:lang w:val="en-US" w:eastAsia="zh-CN"/>
        </w:rPr>
        <w:t>00</w:t>
      </w:r>
      <w:r>
        <w:rPr>
          <w:rFonts w:hint="eastAsia" w:ascii="宋体" w:hAnsi="宋体" w:eastAsia="宋体" w:cs="宋体"/>
          <w:b/>
          <w:bCs/>
          <w:color w:val="auto"/>
          <w:sz w:val="24"/>
          <w:highlight w:val="none"/>
        </w:rPr>
        <w:t>分</w:t>
      </w:r>
      <w:r>
        <w:rPr>
          <w:rFonts w:hint="eastAsia" w:ascii="宋体" w:hAnsi="宋体" w:eastAsia="宋体" w:cs="宋体"/>
          <w:color w:val="auto"/>
          <w:sz w:val="24"/>
          <w:highlight w:val="none"/>
        </w:rPr>
        <w:t>（北京时间）。</w:t>
      </w:r>
    </w:p>
    <w:p w14:paraId="61DEE9D1">
      <w:pPr>
        <w:adjustRightInd w:val="0"/>
        <w:snapToGrid w:val="0"/>
        <w:spacing w:line="360" w:lineRule="auto"/>
        <w:ind w:firstLine="480" w:firstLineChars="200"/>
        <w:rPr>
          <w:rFonts w:hint="eastAsia" w:ascii="宋体" w:hAnsi="宋体" w:eastAsia="宋体" w:cs="宋体"/>
          <w:color w:val="auto"/>
          <w:kern w:val="0"/>
          <w:sz w:val="24"/>
          <w:highlight w:val="none"/>
          <w:u w:val="single"/>
        </w:rPr>
      </w:pPr>
      <w:r>
        <w:rPr>
          <w:rFonts w:hint="eastAsia" w:ascii="宋体" w:hAnsi="宋体" w:eastAsia="宋体" w:cs="宋体"/>
          <w:color w:val="auto"/>
          <w:sz w:val="24"/>
          <w:highlight w:val="none"/>
        </w:rPr>
        <w:t>4、开标地点：湘西自治州公共资源交易中心四楼</w:t>
      </w:r>
      <w:r>
        <w:rPr>
          <w:rFonts w:hint="eastAsia" w:ascii="宋体" w:hAnsi="宋体" w:cs="宋体"/>
          <w:b/>
          <w:bCs/>
          <w:color w:val="auto"/>
          <w:kern w:val="0"/>
          <w:sz w:val="24"/>
          <w:highlight w:val="none"/>
          <w:u w:val="single"/>
          <w:lang w:eastAsia="zh-CN"/>
        </w:rPr>
        <w:t>不见面开标室（九）</w:t>
      </w:r>
      <w:r>
        <w:rPr>
          <w:rFonts w:hint="eastAsia" w:ascii="宋体" w:hAnsi="宋体" w:eastAsia="宋体" w:cs="宋体"/>
          <w:color w:val="auto"/>
          <w:sz w:val="24"/>
          <w:highlight w:val="none"/>
        </w:rPr>
        <w:t>（吉首市吉凤街道州行政中心政务服务大楼）。</w:t>
      </w:r>
    </w:p>
    <w:p w14:paraId="6724512B">
      <w:pPr>
        <w:spacing w:line="360" w:lineRule="auto"/>
        <w:ind w:firstLine="420"/>
        <w:jc w:val="left"/>
        <w:rPr>
          <w:rFonts w:hint="eastAsia" w:ascii="宋体" w:hAnsi="宋体" w:eastAsia="宋体" w:cs="宋体"/>
          <w:iCs/>
          <w:color w:val="auto"/>
          <w:sz w:val="24"/>
          <w:highlight w:val="none"/>
        </w:rPr>
      </w:pPr>
      <w:r>
        <w:rPr>
          <w:rFonts w:hint="eastAsia" w:ascii="宋体" w:hAnsi="宋体" w:eastAsia="宋体" w:cs="宋体"/>
          <w:color w:val="auto"/>
          <w:kern w:val="0"/>
          <w:sz w:val="24"/>
          <w:highlight w:val="none"/>
        </w:rPr>
        <w:t>5、</w:t>
      </w:r>
      <w:r>
        <w:rPr>
          <w:rFonts w:hint="eastAsia" w:ascii="宋体" w:hAnsi="宋体" w:eastAsia="宋体" w:cs="宋体"/>
          <w:iCs/>
          <w:color w:val="auto"/>
          <w:sz w:val="24"/>
          <w:highlight w:val="none"/>
        </w:rPr>
        <w:t>电子投标文件的解密截止时间：</w:t>
      </w:r>
      <w:r>
        <w:rPr>
          <w:rFonts w:hint="eastAsia" w:ascii="宋体" w:hAnsi="宋体" w:eastAsia="宋体" w:cs="宋体"/>
          <w:b/>
          <w:bCs/>
          <w:color w:val="auto"/>
          <w:sz w:val="24"/>
          <w:highlight w:val="none"/>
        </w:rPr>
        <w:t>发起解密指令后30分钟</w:t>
      </w:r>
      <w:r>
        <w:rPr>
          <w:rFonts w:hint="eastAsia" w:ascii="宋体" w:hAnsi="宋体" w:eastAsia="宋体" w:cs="宋体"/>
          <w:iCs/>
          <w:color w:val="auto"/>
          <w:sz w:val="24"/>
          <w:highlight w:val="none"/>
        </w:rPr>
        <w:t>，请投标人确保投标文件如期解密，</w:t>
      </w:r>
      <w:r>
        <w:rPr>
          <w:rFonts w:hint="eastAsia" w:ascii="宋体" w:hAnsi="宋体" w:eastAsia="宋体" w:cs="宋体"/>
          <w:color w:val="auto"/>
          <w:sz w:val="24"/>
          <w:highlight w:val="none"/>
        </w:rPr>
        <w:t>投标文件在解密时限内未解密或解密失败，视为撤销其投标文件，开标继续进行。</w:t>
      </w:r>
    </w:p>
    <w:p w14:paraId="06C7B388">
      <w:pPr>
        <w:pStyle w:val="8"/>
        <w:ind w:firstLine="420"/>
        <w:rPr>
          <w:rFonts w:hint="eastAsia" w:ascii="宋体" w:hAnsi="宋体" w:eastAsia="宋体" w:cs="宋体"/>
          <w:color w:val="auto"/>
          <w:sz w:val="24"/>
          <w:highlight w:val="none"/>
        </w:rPr>
      </w:pPr>
      <w:r>
        <w:rPr>
          <w:rFonts w:hint="eastAsia" w:ascii="宋体" w:hAnsi="宋体" w:eastAsia="宋体" w:cs="宋体"/>
          <w:iCs/>
          <w:color w:val="auto"/>
          <w:sz w:val="24"/>
          <w:highlight w:val="none"/>
        </w:rPr>
        <w:t>6、电子投标文件总容量不得超过200M，单个节点容量不得超过50M。</w:t>
      </w:r>
    </w:p>
    <w:p w14:paraId="07A85243">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36" w:name="_Toc22094"/>
      <w:bookmarkStart w:id="37" w:name="_Toc23682"/>
      <w:bookmarkStart w:id="38" w:name="_Toc14670"/>
      <w:bookmarkStart w:id="39" w:name="_Toc22201061"/>
      <w:bookmarkStart w:id="40" w:name="_Toc3247"/>
      <w:r>
        <w:rPr>
          <w:rFonts w:hint="eastAsia" w:ascii="宋体" w:hAnsi="宋体" w:eastAsia="宋体" w:cs="宋体"/>
          <w:b/>
          <w:bCs/>
          <w:color w:val="auto"/>
          <w:sz w:val="24"/>
          <w:szCs w:val="24"/>
          <w:highlight w:val="none"/>
          <w:lang w:val="en-US" w:eastAsia="zh-CN"/>
        </w:rPr>
        <w:t>公告期限</w:t>
      </w:r>
      <w:bookmarkEnd w:id="36"/>
      <w:bookmarkEnd w:id="37"/>
    </w:p>
    <w:p w14:paraId="1798E135">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1、本招标公告在中国湖南政府采购网（www.ccgp-hunan.gov.cn）及《</w:t>
      </w:r>
      <w:r>
        <w:rPr>
          <w:rFonts w:hint="eastAsia" w:ascii="宋体" w:hAnsi="宋体" w:cs="宋体"/>
          <w:color w:val="auto"/>
          <w:sz w:val="24"/>
          <w:highlight w:val="none"/>
          <w:lang w:eastAsia="zh-CN"/>
        </w:rPr>
        <w:t>湘西州公共资源交易服务平台</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https://xiangxi.hnsggzy.com/#/sy</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发布</w:t>
      </w:r>
      <w:r>
        <w:rPr>
          <w:rFonts w:hint="eastAsia" w:ascii="宋体" w:hAnsi="宋体" w:eastAsia="宋体" w:cs="宋体"/>
          <w:color w:val="auto"/>
          <w:sz w:val="24"/>
          <w:highlight w:val="none"/>
        </w:rPr>
        <w:t>。公告期限从本招标公告发布之日起5个工作日。</w:t>
      </w:r>
    </w:p>
    <w:p w14:paraId="7CF0D09A">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2、在其他媒体发布的招标公告，公告内容以本招标公告指定媒体发布的公告为准；公告期限自本招标公告指定媒体最先发布公告之日起算。</w:t>
      </w:r>
    </w:p>
    <w:bookmarkEnd w:id="38"/>
    <w:bookmarkEnd w:id="39"/>
    <w:bookmarkEnd w:id="40"/>
    <w:p w14:paraId="408426DD">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41" w:name="_Toc9633"/>
      <w:bookmarkStart w:id="42" w:name="_Toc21474"/>
      <w:bookmarkStart w:id="43" w:name="_Toc13958"/>
      <w:bookmarkStart w:id="44" w:name="_Toc14051"/>
      <w:r>
        <w:rPr>
          <w:rFonts w:hint="eastAsia" w:ascii="宋体" w:hAnsi="宋体" w:eastAsia="宋体" w:cs="宋体"/>
          <w:b/>
          <w:bCs/>
          <w:color w:val="auto"/>
          <w:sz w:val="24"/>
          <w:szCs w:val="24"/>
          <w:highlight w:val="none"/>
          <w:lang w:val="en-US" w:eastAsia="zh-CN"/>
        </w:rPr>
        <w:t>其他补充事宜</w:t>
      </w:r>
      <w:bookmarkEnd w:id="41"/>
      <w:bookmarkEnd w:id="42"/>
    </w:p>
    <w:p w14:paraId="7AAB9EB1">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1.CA数字证书办理:</w:t>
      </w:r>
    </w:p>
    <w:p w14:paraId="2D334A0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本项目为电子招投标项目，参与投标均须使用CA数字证书登陆进行操作，具体办理流程详见《湖南省CA证书与电子签章资源共享平台》（https://casign.hnsggzy.com:7080/ca-hunanplatform/operation/main），电话咨询：4009197888。</w:t>
      </w:r>
    </w:p>
    <w:p w14:paraId="6BBEAA64">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2.注意事项：</w:t>
      </w:r>
    </w:p>
    <w:p w14:paraId="190F9C67">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2.1由于对网上招投标操作不熟悉或自身电脑、个人网络等原因导致不能在投标截止时间之前完成电子投标文件上传的，相应责任由投标人自行承担。在使用系统过程中有疑问或困难请及时进行咨询。</w:t>
      </w:r>
    </w:p>
    <w:p w14:paraId="749B0BED">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2.2如果开标时出现网络故障、技术故障等情形而影响招投标活动，采购人可采取项目延期、延长电子投标文件解密时间等相应措施，以保障招投标活动的公开、公平和公正，投标人不得对此持有异议。</w:t>
      </w:r>
    </w:p>
    <w:p w14:paraId="7E2254C2">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2.3开标注意事项：投标人自行完成电子投标文件解密，因投标人自身原因未在规定时间内完成解密或无法解密的投标文件视为撤销其投标文件，相应责任由投标人自行承担。</w:t>
      </w:r>
    </w:p>
    <w:p w14:paraId="33DA6B50">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3.询问：本项目投标过程中，电子系统使用操作遇到任何问题及时向软件公司咨询，咨询联系方式：0743-8523902。</w:t>
      </w:r>
    </w:p>
    <w:p w14:paraId="679CA45A">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45" w:name="_Toc14781"/>
      <w:bookmarkStart w:id="46" w:name="_Toc31311"/>
      <w:r>
        <w:rPr>
          <w:rFonts w:hint="eastAsia" w:ascii="宋体" w:hAnsi="宋体" w:eastAsia="宋体" w:cs="宋体"/>
          <w:b/>
          <w:bCs/>
          <w:color w:val="auto"/>
          <w:sz w:val="24"/>
          <w:szCs w:val="24"/>
          <w:highlight w:val="none"/>
          <w:lang w:val="en-US" w:eastAsia="zh-CN"/>
        </w:rPr>
        <w:t>询问及质疑</w:t>
      </w:r>
      <w:bookmarkEnd w:id="45"/>
      <w:bookmarkEnd w:id="46"/>
    </w:p>
    <w:p w14:paraId="00A393F6">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1、投标人对政府采购活动事项如有疑问的，可以向采购人、采购代理机构提出询问。采购人、采购代理机构将在3个工作日内作出答复。</w:t>
      </w:r>
    </w:p>
    <w:p w14:paraId="00880FA1">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2、投标人对电子交易平台办理CA证书、操作等如有疑问，请咨询电子交易平台服务机构。</w:t>
      </w:r>
    </w:p>
    <w:p w14:paraId="73C995E8">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3、潜在投标人认为</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或招标公告使自己的合法权益受到损害的，可以在收到</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之日或招标公告期限届满之日起7个工作日内，按《湖南省财政厅关于印发＜政府采购质疑答复和投诉处理操作规程＞的通知》(湘财购〔2019〕20号)规定，以纸质书面形式向采购人、采购代理机构提出质疑。</w:t>
      </w:r>
    </w:p>
    <w:bookmarkEnd w:id="43"/>
    <w:bookmarkEnd w:id="44"/>
    <w:p w14:paraId="6ACE0735">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47" w:name="_Toc27162"/>
      <w:bookmarkStart w:id="48" w:name="_Toc27546"/>
      <w:bookmarkStart w:id="49" w:name="_Toc24536"/>
      <w:bookmarkStart w:id="50" w:name="_Toc25650"/>
      <w:r>
        <w:rPr>
          <w:rFonts w:hint="eastAsia" w:ascii="宋体" w:hAnsi="宋体" w:eastAsia="宋体" w:cs="宋体"/>
          <w:b/>
          <w:bCs/>
          <w:color w:val="auto"/>
          <w:sz w:val="24"/>
          <w:szCs w:val="24"/>
          <w:highlight w:val="none"/>
          <w:lang w:val="en-US" w:eastAsia="zh-CN"/>
        </w:rPr>
        <w:t>采购项目联系人姓名和电话</w:t>
      </w:r>
      <w:bookmarkEnd w:id="47"/>
      <w:bookmarkEnd w:id="48"/>
      <w:bookmarkEnd w:id="49"/>
      <w:bookmarkEnd w:id="50"/>
    </w:p>
    <w:p w14:paraId="74E756A7">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eastAsia="zh-CN"/>
        </w:rPr>
      </w:pPr>
      <w:bookmarkStart w:id="51" w:name="_Toc2569"/>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联 系 人：</w:t>
      </w:r>
      <w:r>
        <w:rPr>
          <w:rFonts w:hint="eastAsia" w:ascii="宋体" w:hAnsi="宋体" w:cs="宋体"/>
          <w:color w:val="auto"/>
          <w:sz w:val="24"/>
          <w:szCs w:val="24"/>
          <w:highlight w:val="none"/>
          <w:u w:val="none"/>
          <w:lang w:eastAsia="zh-CN"/>
        </w:rPr>
        <w:t>王淑君</w:t>
      </w:r>
      <w:r>
        <w:rPr>
          <w:rFonts w:hint="eastAsia" w:ascii="宋体" w:hAnsi="宋体" w:eastAsia="宋体" w:cs="宋体"/>
          <w:color w:val="auto"/>
          <w:sz w:val="24"/>
          <w:szCs w:val="24"/>
          <w:highlight w:val="none"/>
          <w:u w:val="none"/>
          <w:lang w:eastAsia="zh-CN"/>
        </w:rPr>
        <w:t xml:space="preserve">  符君莲</w:t>
      </w:r>
    </w:p>
    <w:p w14:paraId="52E2A26A">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电    话：0743-8521508</w:t>
      </w:r>
    </w:p>
    <w:p w14:paraId="1DCB4C0E">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after="157" w:afterLines="50" w:line="360" w:lineRule="auto"/>
        <w:ind w:left="0" w:leftChars="0" w:firstLine="0" w:firstLineChars="0"/>
        <w:textAlignment w:val="auto"/>
        <w:outlineLvl w:val="1"/>
        <w:rPr>
          <w:rFonts w:hint="eastAsia" w:ascii="宋体" w:hAnsi="宋体" w:eastAsia="宋体" w:cs="宋体"/>
          <w:b/>
          <w:bCs/>
          <w:color w:val="auto"/>
          <w:sz w:val="24"/>
          <w:szCs w:val="24"/>
          <w:highlight w:val="none"/>
          <w:lang w:val="en-US" w:eastAsia="zh-CN"/>
        </w:rPr>
      </w:pPr>
      <w:bookmarkStart w:id="52" w:name="_Toc22082"/>
      <w:bookmarkStart w:id="53" w:name="_Toc28201"/>
      <w:bookmarkStart w:id="54" w:name="_Toc26992"/>
      <w:r>
        <w:rPr>
          <w:rFonts w:hint="eastAsia" w:ascii="宋体" w:hAnsi="宋体" w:eastAsia="宋体" w:cs="宋体"/>
          <w:b/>
          <w:bCs/>
          <w:color w:val="auto"/>
          <w:sz w:val="24"/>
          <w:szCs w:val="24"/>
          <w:highlight w:val="none"/>
          <w:lang w:val="en-US" w:eastAsia="zh-CN"/>
        </w:rPr>
        <w:t>采购人、采购代理机构的名称、地址和联系方法</w:t>
      </w:r>
      <w:bookmarkEnd w:id="51"/>
      <w:bookmarkEnd w:id="52"/>
      <w:bookmarkEnd w:id="53"/>
      <w:bookmarkEnd w:id="54"/>
    </w:p>
    <w:p w14:paraId="42CE61C1">
      <w:pPr>
        <w:keepNext w:val="0"/>
        <w:keepLines w:val="0"/>
        <w:pageBreakBefore w:val="0"/>
        <w:widowControl w:val="0"/>
        <w:kinsoku/>
        <w:overflowPunct/>
        <w:bidi w:val="0"/>
        <w:adjustRightInd w:val="0"/>
        <w:snapToGrid w:val="0"/>
        <w:spacing w:line="360" w:lineRule="auto"/>
        <w:ind w:left="0" w:leftChars="0" w:right="0" w:firstLine="472" w:firstLineChars="196"/>
        <w:textAlignment w:val="auto"/>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t>1</w:t>
      </w:r>
      <w:r>
        <w:rPr>
          <w:rFonts w:hint="eastAsia" w:ascii="宋体" w:hAnsi="宋体" w:eastAsia="宋体" w:cs="宋体"/>
          <w:color w:val="auto"/>
          <w:sz w:val="24"/>
          <w:szCs w:val="24"/>
          <w:highlight w:val="none"/>
          <w:u w:val="none"/>
        </w:rPr>
        <w:t>、</w:t>
      </w:r>
      <w:r>
        <w:rPr>
          <w:rFonts w:hint="eastAsia" w:ascii="宋体" w:hAnsi="宋体" w:eastAsia="宋体" w:cs="宋体"/>
          <w:b/>
          <w:bCs/>
          <w:color w:val="auto"/>
          <w:sz w:val="24"/>
          <w:szCs w:val="24"/>
          <w:highlight w:val="none"/>
          <w:u w:val="none"/>
        </w:rPr>
        <w:t>采购人信息</w:t>
      </w:r>
    </w:p>
    <w:p w14:paraId="332F1B15">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u w:val="none"/>
        </w:rPr>
        <w:t>（1）</w:t>
      </w:r>
      <w:r>
        <w:rPr>
          <w:rFonts w:hint="eastAsia" w:ascii="宋体" w:hAnsi="宋体" w:eastAsia="宋体" w:cs="宋体"/>
          <w:bCs/>
          <w:color w:val="auto"/>
          <w:sz w:val="24"/>
          <w:szCs w:val="24"/>
          <w:highlight w:val="none"/>
          <w:u w:val="none"/>
        </w:rPr>
        <w:t>名  称：</w:t>
      </w:r>
      <w:r>
        <w:rPr>
          <w:rFonts w:hint="eastAsia" w:ascii="宋体" w:hAnsi="宋体" w:cs="宋体"/>
          <w:color w:val="auto"/>
          <w:sz w:val="24"/>
          <w:szCs w:val="24"/>
          <w:highlight w:val="none"/>
          <w:u w:val="none"/>
          <w:lang w:eastAsia="zh-CN"/>
        </w:rPr>
        <w:t>古丈县古阳镇人民政府</w:t>
      </w:r>
    </w:p>
    <w:p w14:paraId="61E83FAF">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（2）地  址：</w:t>
      </w:r>
      <w:r>
        <w:rPr>
          <w:rFonts w:hint="eastAsia" w:ascii="宋体" w:hAnsi="宋体" w:cs="宋体"/>
          <w:color w:val="auto"/>
          <w:sz w:val="24"/>
          <w:szCs w:val="24"/>
          <w:highlight w:val="none"/>
          <w:u w:val="none"/>
          <w:lang w:val="en-US" w:eastAsia="zh-CN"/>
        </w:rPr>
        <w:t>古丈县古阳镇小古丈坪1号</w:t>
      </w:r>
    </w:p>
    <w:p w14:paraId="3A7370B8">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（3）联系人：</w:t>
      </w:r>
      <w:r>
        <w:rPr>
          <w:rFonts w:hint="eastAsia" w:ascii="宋体" w:hAnsi="宋体" w:cs="宋体"/>
          <w:color w:val="auto"/>
          <w:sz w:val="24"/>
          <w:szCs w:val="24"/>
          <w:highlight w:val="none"/>
          <w:u w:val="none"/>
          <w:lang w:eastAsia="zh-CN"/>
        </w:rPr>
        <w:t>宋子凡</w:t>
      </w:r>
    </w:p>
    <w:p w14:paraId="6F26CD76">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w:t>
      </w:r>
      <w:r>
        <w:rPr>
          <w:rFonts w:hint="eastAsia" w:ascii="宋体" w:hAnsi="宋体" w:cs="宋体"/>
          <w:color w:val="auto"/>
          <w:sz w:val="24"/>
          <w:szCs w:val="24"/>
          <w:highlight w:val="none"/>
          <w:u w:val="none"/>
          <w:lang w:val="en-US" w:eastAsia="zh-CN"/>
        </w:rPr>
        <w:t>4</w:t>
      </w:r>
      <w:r>
        <w:rPr>
          <w:rFonts w:hint="eastAsia" w:ascii="宋体" w:hAnsi="宋体" w:eastAsia="宋体" w:cs="宋体"/>
          <w:color w:val="auto"/>
          <w:sz w:val="24"/>
          <w:szCs w:val="24"/>
          <w:highlight w:val="none"/>
          <w:u w:val="none"/>
        </w:rPr>
        <w:t>）电  话：</w:t>
      </w:r>
      <w:r>
        <w:rPr>
          <w:rFonts w:hint="eastAsia" w:ascii="宋体" w:hAnsi="宋体" w:cs="宋体"/>
          <w:color w:val="auto"/>
          <w:sz w:val="24"/>
          <w:szCs w:val="24"/>
          <w:highlight w:val="none"/>
          <w:u w:val="none"/>
          <w:lang w:val="en-US" w:eastAsia="zh-CN"/>
        </w:rPr>
        <w:t>18797487201</w:t>
      </w:r>
    </w:p>
    <w:p w14:paraId="76C82FED">
      <w:pPr>
        <w:keepNext w:val="0"/>
        <w:keepLines w:val="0"/>
        <w:pageBreakBefore w:val="0"/>
        <w:widowControl w:val="0"/>
        <w:kinsoku/>
        <w:overflowPunct/>
        <w:bidi w:val="0"/>
        <w:adjustRightInd w:val="0"/>
        <w:snapToGrid w:val="0"/>
        <w:spacing w:line="360" w:lineRule="auto"/>
        <w:ind w:left="0" w:leftChars="0" w:right="0" w:firstLine="472" w:firstLineChars="196"/>
        <w:textAlignment w:val="auto"/>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t>2</w:t>
      </w:r>
      <w:r>
        <w:rPr>
          <w:rFonts w:hint="eastAsia" w:ascii="宋体" w:hAnsi="宋体" w:eastAsia="宋体" w:cs="宋体"/>
          <w:color w:val="auto"/>
          <w:sz w:val="24"/>
          <w:szCs w:val="24"/>
          <w:highlight w:val="none"/>
          <w:u w:val="none"/>
        </w:rPr>
        <w:t>、</w:t>
      </w:r>
      <w:r>
        <w:rPr>
          <w:rFonts w:hint="eastAsia" w:ascii="宋体" w:hAnsi="宋体" w:eastAsia="宋体" w:cs="宋体"/>
          <w:b/>
          <w:bCs/>
          <w:color w:val="auto"/>
          <w:sz w:val="24"/>
          <w:szCs w:val="24"/>
          <w:highlight w:val="none"/>
          <w:u w:val="none"/>
        </w:rPr>
        <w:t>采购代理机构信息</w:t>
      </w:r>
    </w:p>
    <w:p w14:paraId="18BC6021">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w:t>
      </w:r>
      <w:r>
        <w:rPr>
          <w:rFonts w:hint="eastAsia" w:ascii="宋体" w:hAnsi="宋体" w:eastAsia="宋体" w:cs="宋体"/>
          <w:bCs/>
          <w:color w:val="auto"/>
          <w:sz w:val="24"/>
          <w:szCs w:val="24"/>
          <w:highlight w:val="none"/>
          <w:u w:val="none"/>
        </w:rPr>
        <w:t>名  称：</w:t>
      </w:r>
      <w:r>
        <w:rPr>
          <w:rFonts w:hint="eastAsia" w:ascii="宋体" w:hAnsi="宋体" w:eastAsia="宋体" w:cs="宋体"/>
          <w:color w:val="auto"/>
          <w:sz w:val="24"/>
          <w:szCs w:val="24"/>
          <w:highlight w:val="none"/>
          <w:u w:val="none"/>
        </w:rPr>
        <w:t>湘西自治州广信招标代理有限公司</w:t>
      </w:r>
    </w:p>
    <w:p w14:paraId="0BC6F8C1">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（2）地  址：</w:t>
      </w:r>
      <w:r>
        <w:rPr>
          <w:rFonts w:hint="eastAsia" w:ascii="宋体" w:hAnsi="宋体" w:eastAsia="宋体" w:cs="宋体"/>
          <w:color w:val="auto"/>
          <w:sz w:val="24"/>
          <w:szCs w:val="24"/>
          <w:highlight w:val="none"/>
          <w:u w:val="none"/>
          <w:lang w:eastAsia="zh-CN"/>
        </w:rPr>
        <w:t>湖南省吉首市乾州办事处朝阳路6号（朝阳大厦）1栋304室</w:t>
      </w:r>
    </w:p>
    <w:p w14:paraId="0434893B">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（3）联系人：</w:t>
      </w:r>
      <w:r>
        <w:rPr>
          <w:rFonts w:hint="eastAsia" w:ascii="宋体" w:hAnsi="宋体" w:cs="宋体"/>
          <w:color w:val="auto"/>
          <w:sz w:val="24"/>
          <w:szCs w:val="24"/>
          <w:highlight w:val="none"/>
          <w:u w:val="none"/>
          <w:lang w:eastAsia="zh-CN"/>
        </w:rPr>
        <w:t>王淑君</w:t>
      </w:r>
      <w:r>
        <w:rPr>
          <w:rFonts w:hint="eastAsia" w:ascii="宋体" w:hAnsi="宋体" w:eastAsia="宋体" w:cs="宋体"/>
          <w:color w:val="auto"/>
          <w:sz w:val="24"/>
          <w:szCs w:val="24"/>
          <w:highlight w:val="none"/>
          <w:u w:val="none"/>
          <w:lang w:eastAsia="zh-CN"/>
        </w:rPr>
        <w:t xml:space="preserve">  符君莲</w:t>
      </w:r>
    </w:p>
    <w:p w14:paraId="3A5DB18E">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u w:val="none"/>
        </w:rPr>
        <w:t>（4）邮  编：</w:t>
      </w:r>
      <w:r>
        <w:rPr>
          <w:rFonts w:hint="eastAsia" w:ascii="宋体" w:hAnsi="宋体" w:eastAsia="宋体" w:cs="宋体"/>
          <w:color w:val="auto"/>
          <w:sz w:val="24"/>
          <w:szCs w:val="24"/>
          <w:highlight w:val="none"/>
          <w:u w:val="none"/>
          <w:lang w:val="en-US" w:eastAsia="zh-CN"/>
        </w:rPr>
        <w:t>416000</w:t>
      </w:r>
    </w:p>
    <w:p w14:paraId="5AF0C5BA">
      <w:pPr>
        <w:keepNext w:val="0"/>
        <w:keepLines w:val="0"/>
        <w:pageBreakBefore w:val="0"/>
        <w:widowControl w:val="0"/>
        <w:kinsoku/>
        <w:overflowPunct/>
        <w:bidi w:val="0"/>
        <w:adjustRightInd w:val="0"/>
        <w:snapToGrid w:val="0"/>
        <w:spacing w:line="360" w:lineRule="auto"/>
        <w:ind w:left="0" w:leftChars="0" w:right="0" w:firstLine="480" w:firstLineChars="200"/>
        <w:jc w:val="left"/>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（5）电  话：0743-8521508</w:t>
      </w:r>
    </w:p>
    <w:p w14:paraId="6C12355A">
      <w:pPr>
        <w:keepNext w:val="0"/>
        <w:keepLines w:val="0"/>
        <w:pageBreakBefore w:val="0"/>
        <w:widowControl w:val="0"/>
        <w:kinsoku/>
        <w:overflowPunct/>
        <w:bidi w:val="0"/>
        <w:adjustRightInd w:val="0"/>
        <w:snapToGrid w:val="0"/>
        <w:spacing w:line="360" w:lineRule="auto"/>
        <w:ind w:left="0" w:leftChars="0" w:right="0"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（6）电子邮箱：</w:t>
      </w:r>
      <w:r>
        <w:rPr>
          <w:rFonts w:hint="eastAsia" w:ascii="宋体" w:hAnsi="宋体" w:eastAsia="宋体" w:cs="宋体"/>
          <w:color w:val="auto"/>
          <w:sz w:val="24"/>
          <w:szCs w:val="24"/>
          <w:highlight w:val="none"/>
          <w:u w:val="none"/>
          <w:lang w:val="en-US" w:eastAsia="zh-CN"/>
        </w:rPr>
        <w:fldChar w:fldCharType="begin"/>
      </w:r>
      <w:r>
        <w:rPr>
          <w:rFonts w:hint="eastAsia" w:ascii="宋体" w:hAnsi="宋体" w:eastAsia="宋体" w:cs="宋体"/>
          <w:color w:val="auto"/>
          <w:sz w:val="24"/>
          <w:szCs w:val="24"/>
          <w:highlight w:val="none"/>
          <w:u w:val="none"/>
          <w:lang w:val="en-US" w:eastAsia="zh-CN"/>
        </w:rPr>
        <w:instrText xml:space="preserve"> HYPERLINK "mailto:420944850@qq.com" </w:instrText>
      </w:r>
      <w:r>
        <w:rPr>
          <w:rFonts w:hint="eastAsia" w:ascii="宋体" w:hAnsi="宋体" w:eastAsia="宋体" w:cs="宋体"/>
          <w:color w:val="auto"/>
          <w:sz w:val="24"/>
          <w:szCs w:val="24"/>
          <w:highlight w:val="none"/>
          <w:u w:val="none"/>
          <w:lang w:val="en-US" w:eastAsia="zh-CN"/>
        </w:rPr>
        <w:fldChar w:fldCharType="separate"/>
      </w:r>
      <w:r>
        <w:rPr>
          <w:rStyle w:val="27"/>
          <w:rFonts w:hint="eastAsia" w:ascii="宋体" w:hAnsi="宋体" w:eastAsia="宋体" w:cs="宋体"/>
          <w:color w:val="auto"/>
          <w:sz w:val="24"/>
          <w:szCs w:val="24"/>
          <w:highlight w:val="none"/>
          <w:u w:val="none"/>
          <w:lang w:val="en-US" w:eastAsia="zh-CN"/>
        </w:rPr>
        <w:t>420944850@qq.com</w:t>
      </w:r>
      <w:r>
        <w:rPr>
          <w:rFonts w:hint="eastAsia" w:ascii="宋体" w:hAnsi="宋体" w:eastAsia="宋体" w:cs="宋体"/>
          <w:color w:val="auto"/>
          <w:sz w:val="24"/>
          <w:szCs w:val="24"/>
          <w:highlight w:val="none"/>
          <w:u w:val="none"/>
          <w:lang w:val="en-US" w:eastAsia="zh-CN"/>
        </w:rPr>
        <w:fldChar w:fldCharType="end"/>
      </w:r>
    </w:p>
    <w:p w14:paraId="00267970">
      <w:pPr>
        <w:pStyle w:val="6"/>
        <w:jc w:val="center"/>
        <w:rPr>
          <w:rFonts w:hint="eastAsia" w:ascii="宋体" w:hAnsi="宋体" w:eastAsia="宋体" w:cs="宋体"/>
          <w:color w:val="auto"/>
          <w:highlight w:val="none"/>
          <w:lang w:val="en-US" w:eastAsia="zh-CN"/>
        </w:rPr>
        <w:sectPr>
          <w:footerReference r:id="rId6" w:type="default"/>
          <w:pgSz w:w="11906" w:h="16838"/>
          <w:pgMar w:top="1440" w:right="1080" w:bottom="1440" w:left="1080" w:header="851" w:footer="907" w:gutter="0"/>
          <w:pgNumType w:fmt="decimal" w:start="1"/>
          <w:cols w:space="720" w:num="1"/>
          <w:docGrid w:type="lines" w:linePitch="312" w:charSpace="0"/>
        </w:sectPr>
      </w:pPr>
    </w:p>
    <w:p w14:paraId="2923B3E0">
      <w:pPr>
        <w:pStyle w:val="2"/>
        <w:pageBreakBefore w:val="0"/>
        <w:widowControl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color w:val="auto"/>
          <w:highlight w:val="none"/>
        </w:rPr>
      </w:pPr>
      <w:bookmarkStart w:id="55" w:name="_Toc5817"/>
      <w:bookmarkStart w:id="56" w:name="_Toc12097"/>
      <w:r>
        <w:rPr>
          <w:rFonts w:hint="eastAsia" w:ascii="宋体" w:hAnsi="宋体" w:eastAsia="宋体" w:cs="宋体"/>
          <w:color w:val="auto"/>
          <w:highlight w:val="none"/>
        </w:rPr>
        <w:t>第二章 磋商须知</w:t>
      </w:r>
      <w:bookmarkEnd w:id="55"/>
      <w:bookmarkEnd w:id="56"/>
    </w:p>
    <w:p w14:paraId="15B57F3B">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jc w:val="left"/>
        <w:textAlignment w:val="auto"/>
        <w:rPr>
          <w:rFonts w:hint="eastAsia" w:ascii="宋体" w:hAnsi="宋体" w:eastAsia="宋体" w:cs="宋体"/>
          <w:color w:val="auto"/>
          <w:highlight w:val="none"/>
        </w:rPr>
      </w:pPr>
      <w:bookmarkStart w:id="57" w:name="_Toc25156"/>
      <w:bookmarkStart w:id="58" w:name="_Toc17012"/>
      <w:r>
        <w:rPr>
          <w:rFonts w:hint="eastAsia" w:ascii="宋体" w:hAnsi="宋体" w:eastAsia="宋体" w:cs="宋体"/>
          <w:color w:val="auto"/>
          <w:highlight w:val="none"/>
        </w:rPr>
        <w:t>磋商须知前附表</w:t>
      </w:r>
      <w:bookmarkEnd w:id="57"/>
      <w:bookmarkEnd w:id="58"/>
    </w:p>
    <w:p w14:paraId="400F8E9C">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（注：本项目采用的条款用“</w:t>
      </w:r>
      <w:r>
        <w:rPr>
          <w:rFonts w:hint="eastAsia" w:ascii="宋体" w:hAnsi="宋体" w:eastAsia="宋体" w:cs="宋体"/>
          <w:b/>
          <w:bCs/>
          <w:color w:val="auto"/>
          <w:highlight w:val="none"/>
          <w:lang w:val="en-US" w:eastAsia="zh-CN"/>
        </w:rPr>
        <w:sym w:font="Wingdings" w:char="00FE"/>
      </w:r>
      <w:r>
        <w:rPr>
          <w:rFonts w:hint="eastAsia" w:ascii="宋体" w:hAnsi="宋体" w:eastAsia="宋体" w:cs="宋体"/>
          <w:b/>
          <w:bCs/>
          <w:color w:val="auto"/>
          <w:highlight w:val="none"/>
        </w:rPr>
        <w:t>”标示）</w:t>
      </w:r>
    </w:p>
    <w:tbl>
      <w:tblPr>
        <w:tblStyle w:val="22"/>
        <w:tblW w:w="1020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45"/>
        <w:gridCol w:w="2335"/>
        <w:gridCol w:w="5826"/>
      </w:tblGrid>
      <w:tr w14:paraId="24A4D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2045" w:type="dxa"/>
            <w:tcBorders>
              <w:top w:val="double" w:color="auto" w:sz="4" w:space="0"/>
            </w:tcBorders>
            <w:vAlign w:val="center"/>
          </w:tcPr>
          <w:p w14:paraId="1FEECFF6">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2335" w:type="dxa"/>
            <w:tcBorders>
              <w:top w:val="double" w:color="auto" w:sz="4" w:space="0"/>
            </w:tcBorders>
            <w:vAlign w:val="center"/>
          </w:tcPr>
          <w:p w14:paraId="6BB79247">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条款名称</w:t>
            </w:r>
          </w:p>
        </w:tc>
        <w:tc>
          <w:tcPr>
            <w:tcW w:w="5826" w:type="dxa"/>
            <w:tcBorders>
              <w:top w:val="double" w:color="auto" w:sz="4" w:space="0"/>
            </w:tcBorders>
            <w:vAlign w:val="center"/>
          </w:tcPr>
          <w:p w14:paraId="0914B2CA">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编列内容规定</w:t>
            </w:r>
          </w:p>
        </w:tc>
      </w:tr>
      <w:tr w14:paraId="26E327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206" w:type="dxa"/>
            <w:gridSpan w:val="3"/>
            <w:vAlign w:val="center"/>
          </w:tcPr>
          <w:p w14:paraId="5EB76E6B">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59" w:name="_Toc30102"/>
            <w:bookmarkStart w:id="60" w:name="_Toc432"/>
            <w:bookmarkStart w:id="61" w:name="_Toc28197"/>
            <w:r>
              <w:rPr>
                <w:rFonts w:hint="eastAsia" w:ascii="宋体" w:hAnsi="宋体" w:eastAsia="宋体" w:cs="宋体"/>
                <w:color w:val="auto"/>
                <w:sz w:val="24"/>
                <w:szCs w:val="24"/>
                <w:highlight w:val="none"/>
              </w:rPr>
              <w:t>一、说明</w:t>
            </w:r>
            <w:bookmarkEnd w:id="59"/>
            <w:bookmarkEnd w:id="60"/>
            <w:bookmarkEnd w:id="61"/>
          </w:p>
        </w:tc>
      </w:tr>
      <w:tr w14:paraId="299573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74F2FFD9">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第二章第1.1款</w:t>
            </w:r>
          </w:p>
        </w:tc>
        <w:tc>
          <w:tcPr>
            <w:tcW w:w="2335" w:type="dxa"/>
            <w:vAlign w:val="center"/>
          </w:tcPr>
          <w:p w14:paraId="53FAB6D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w:t>
            </w:r>
          </w:p>
        </w:tc>
        <w:tc>
          <w:tcPr>
            <w:tcW w:w="5826" w:type="dxa"/>
            <w:vAlign w:val="center"/>
          </w:tcPr>
          <w:p w14:paraId="4691A7E4">
            <w:pPr>
              <w:keepNext w:val="0"/>
              <w:keepLines w:val="0"/>
              <w:pageBreakBefore w:val="0"/>
              <w:widowControl w:val="0"/>
              <w:kinsoku/>
              <w:overflowPunct/>
              <w:autoSpaceDE/>
              <w:autoSpaceDN/>
              <w:bidi w:val="0"/>
              <w:adjustRightInd w:val="0"/>
              <w:snapToGrid w:val="0"/>
              <w:spacing w:line="360" w:lineRule="auto"/>
              <w:ind w:left="1680" w:leftChars="0" w:hanging="1680" w:hangingChars="70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采购</w:t>
            </w:r>
            <w:r>
              <w:rPr>
                <w:rFonts w:hint="eastAsia" w:ascii="宋体" w:hAnsi="宋体" w:eastAsia="宋体" w:cs="宋体"/>
                <w:color w:val="auto"/>
                <w:sz w:val="24"/>
                <w:szCs w:val="24"/>
                <w:highlight w:val="none"/>
                <w:u w:val="none"/>
              </w:rPr>
              <w:t>项目名称：</w:t>
            </w:r>
            <w:r>
              <w:rPr>
                <w:rFonts w:hint="eastAsia" w:ascii="宋体" w:hAnsi="宋体" w:cs="宋体"/>
                <w:color w:val="auto"/>
                <w:sz w:val="24"/>
                <w:szCs w:val="24"/>
                <w:highlight w:val="none"/>
                <w:u w:val="none"/>
                <w:lang w:val="en-US" w:eastAsia="zh-CN"/>
              </w:rPr>
              <w:t>古丈县古阳镇柑子坪村通组公路硬化项目</w:t>
            </w:r>
          </w:p>
          <w:p w14:paraId="4EB01539">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u w:val="none"/>
                <w:lang w:eastAsia="zh-CN"/>
              </w:rPr>
              <w:t>政府采购编号：</w:t>
            </w:r>
            <w:r>
              <w:rPr>
                <w:rFonts w:hint="eastAsia" w:ascii="宋体" w:hAnsi="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eastAsia="zh-CN"/>
              </w:rPr>
              <w:t>2026</w:t>
            </w:r>
            <w:r>
              <w:rPr>
                <w:rFonts w:hint="eastAsia" w:ascii="宋体" w:hAnsi="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eastAsia="zh-CN"/>
              </w:rPr>
              <w:t>433126000002-1</w:t>
            </w:r>
          </w:p>
          <w:p w14:paraId="06C99C9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eastAsia="zh-CN"/>
              </w:rPr>
              <w:t>采购代理编号</w:t>
            </w:r>
            <w:r>
              <w:rPr>
                <w:rFonts w:hint="eastAsia" w:ascii="宋体" w:hAnsi="宋体" w:eastAsia="宋体" w:cs="宋体"/>
                <w:color w:val="auto"/>
                <w:sz w:val="24"/>
                <w:szCs w:val="24"/>
                <w:highlight w:val="none"/>
                <w:u w:val="none"/>
              </w:rPr>
              <w:t>：</w:t>
            </w:r>
            <w:r>
              <w:rPr>
                <w:rFonts w:hint="eastAsia" w:ascii="宋体" w:hAnsi="宋体" w:cs="宋体"/>
                <w:color w:val="auto"/>
                <w:sz w:val="24"/>
                <w:szCs w:val="24"/>
                <w:highlight w:val="none"/>
                <w:u w:val="none"/>
                <w:lang w:eastAsia="zh-CN"/>
              </w:rPr>
              <w:t>广信磋商【2026】第052号</w:t>
            </w:r>
          </w:p>
        </w:tc>
      </w:tr>
      <w:tr w14:paraId="764770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734BCEA3">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第二章第2.1款</w:t>
            </w:r>
          </w:p>
        </w:tc>
        <w:tc>
          <w:tcPr>
            <w:tcW w:w="2335" w:type="dxa"/>
            <w:vAlign w:val="center"/>
          </w:tcPr>
          <w:p w14:paraId="25FF481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p>
        </w:tc>
        <w:tc>
          <w:tcPr>
            <w:tcW w:w="5826" w:type="dxa"/>
            <w:vAlign w:val="center"/>
          </w:tcPr>
          <w:p w14:paraId="2008635D">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名  称：</w:t>
            </w:r>
            <w:r>
              <w:rPr>
                <w:rFonts w:hint="eastAsia" w:ascii="宋体" w:hAnsi="宋体" w:cs="宋体"/>
                <w:color w:val="auto"/>
                <w:sz w:val="24"/>
                <w:szCs w:val="24"/>
                <w:highlight w:val="none"/>
                <w:u w:val="none"/>
                <w:lang w:eastAsia="zh-CN"/>
              </w:rPr>
              <w:t>古丈县古阳镇人民政府</w:t>
            </w:r>
          </w:p>
          <w:p w14:paraId="7B57E25C">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地  址：</w:t>
            </w:r>
            <w:r>
              <w:rPr>
                <w:rFonts w:hint="eastAsia" w:ascii="宋体" w:hAnsi="宋体" w:cs="宋体"/>
                <w:color w:val="auto"/>
                <w:sz w:val="24"/>
                <w:szCs w:val="24"/>
                <w:highlight w:val="none"/>
                <w:u w:val="none"/>
                <w:lang w:val="en-US" w:eastAsia="zh-CN"/>
              </w:rPr>
              <w:t>古丈县古阳镇小古丈坪1号</w:t>
            </w:r>
          </w:p>
          <w:p w14:paraId="5F290E8B">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联系人：</w:t>
            </w:r>
            <w:r>
              <w:rPr>
                <w:rFonts w:hint="eastAsia" w:ascii="宋体" w:hAnsi="宋体" w:cs="宋体"/>
                <w:color w:val="auto"/>
                <w:sz w:val="24"/>
                <w:szCs w:val="24"/>
                <w:highlight w:val="none"/>
                <w:u w:val="none"/>
                <w:lang w:val="en-US" w:eastAsia="zh-CN"/>
              </w:rPr>
              <w:t>宋子凡</w:t>
            </w:r>
          </w:p>
          <w:p w14:paraId="5BB9A67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u w:val="none"/>
              </w:rPr>
              <w:t>电  话：</w:t>
            </w:r>
            <w:r>
              <w:rPr>
                <w:rFonts w:hint="eastAsia" w:ascii="宋体" w:hAnsi="宋体" w:cs="宋体"/>
                <w:color w:val="auto"/>
                <w:sz w:val="24"/>
                <w:szCs w:val="24"/>
                <w:highlight w:val="none"/>
                <w:u w:val="none"/>
                <w:lang w:val="en-US" w:eastAsia="zh-CN"/>
              </w:rPr>
              <w:t>18797487201</w:t>
            </w:r>
          </w:p>
        </w:tc>
      </w:tr>
      <w:tr w14:paraId="027A5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6D1DEE98">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第二章第2.2款</w:t>
            </w:r>
          </w:p>
        </w:tc>
        <w:tc>
          <w:tcPr>
            <w:tcW w:w="2335" w:type="dxa"/>
            <w:vAlign w:val="center"/>
          </w:tcPr>
          <w:p w14:paraId="5E0EB6B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w:t>
            </w:r>
          </w:p>
        </w:tc>
        <w:tc>
          <w:tcPr>
            <w:tcW w:w="5826" w:type="dxa"/>
            <w:vAlign w:val="center"/>
          </w:tcPr>
          <w:p w14:paraId="448C679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名  称：湘西自治州广信招标代理有限公司</w:t>
            </w:r>
          </w:p>
          <w:p w14:paraId="6C795E8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地  址：</w:t>
            </w:r>
            <w:r>
              <w:rPr>
                <w:rFonts w:hint="eastAsia" w:ascii="宋体" w:hAnsi="宋体" w:eastAsia="宋体" w:cs="宋体"/>
                <w:color w:val="auto"/>
                <w:sz w:val="24"/>
                <w:szCs w:val="24"/>
                <w:highlight w:val="none"/>
                <w:u w:val="none"/>
                <w:lang w:eastAsia="zh-CN"/>
              </w:rPr>
              <w:t>湖南省吉首市乾州办事处朝阳路6号（朝阳大厦）1栋304室</w:t>
            </w:r>
          </w:p>
          <w:p w14:paraId="2D4BE5E3">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电  话：0743-8521508</w:t>
            </w:r>
          </w:p>
          <w:p w14:paraId="1028AA8C">
            <w:pPr>
              <w:keepNext w:val="0"/>
              <w:keepLines w:val="0"/>
              <w:pageBreakBefore w:val="0"/>
              <w:widowControl w:val="0"/>
              <w:kinsoku/>
              <w:wordWrap w:val="0"/>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联系人：</w:t>
            </w:r>
            <w:r>
              <w:rPr>
                <w:rFonts w:hint="eastAsia" w:ascii="宋体" w:hAnsi="宋体" w:cs="宋体"/>
                <w:color w:val="auto"/>
                <w:sz w:val="24"/>
                <w:szCs w:val="24"/>
                <w:highlight w:val="none"/>
                <w:u w:val="none"/>
                <w:lang w:eastAsia="zh-CN"/>
              </w:rPr>
              <w:t>王淑君</w:t>
            </w:r>
            <w:r>
              <w:rPr>
                <w:rFonts w:hint="eastAsia" w:ascii="宋体" w:hAnsi="宋体" w:eastAsia="宋体" w:cs="宋体"/>
                <w:color w:val="auto"/>
                <w:sz w:val="24"/>
                <w:szCs w:val="24"/>
                <w:highlight w:val="none"/>
                <w:u w:val="none"/>
                <w:lang w:eastAsia="zh-CN"/>
              </w:rPr>
              <w:t xml:space="preserve">  符君莲</w:t>
            </w:r>
          </w:p>
        </w:tc>
      </w:tr>
      <w:tr w14:paraId="7A94E4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075F8DE4">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第二章第2.3款</w:t>
            </w:r>
          </w:p>
        </w:tc>
        <w:tc>
          <w:tcPr>
            <w:tcW w:w="2335" w:type="dxa"/>
            <w:vAlign w:val="center"/>
          </w:tcPr>
          <w:p w14:paraId="469A8C5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rPr>
              <w:t>邀请方式</w:t>
            </w:r>
          </w:p>
        </w:tc>
        <w:tc>
          <w:tcPr>
            <w:tcW w:w="5826" w:type="dxa"/>
            <w:vAlign w:val="center"/>
          </w:tcPr>
          <w:p w14:paraId="00DF7A9F">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发布公告</w:t>
            </w:r>
          </w:p>
          <w:p w14:paraId="5A966865">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□从省级以上财政部门建立的供应商库中随机抽取</w:t>
            </w:r>
          </w:p>
          <w:p w14:paraId="7FCF6C32">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□采购人和评审专家分别书面推荐的方式</w:t>
            </w:r>
          </w:p>
        </w:tc>
      </w:tr>
      <w:tr w14:paraId="1FF247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491B2709">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第二章第3.1款</w:t>
            </w:r>
          </w:p>
          <w:p w14:paraId="17DE6090">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p>
        </w:tc>
        <w:tc>
          <w:tcPr>
            <w:tcW w:w="2335" w:type="dxa"/>
            <w:vAlign w:val="center"/>
          </w:tcPr>
          <w:p w14:paraId="4DCEFA9F">
            <w:pPr>
              <w:keepNext w:val="0"/>
              <w:keepLines w:val="0"/>
              <w:pageBreakBefore w:val="0"/>
              <w:widowControl w:val="0"/>
              <w:kinsoku/>
              <w:wordWrap/>
              <w:overflowPunct/>
              <w:autoSpaceDE/>
              <w:autoSpaceDN/>
              <w:bidi w:val="0"/>
              <w:adjustRightInd w:val="0"/>
              <w:snapToGrid w:val="0"/>
              <w:spacing w:line="360" w:lineRule="auto"/>
              <w:ind w:left="0" w:leftChars="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eastAsia="zh-CN"/>
              </w:rPr>
              <w:t>证明文件</w:t>
            </w:r>
          </w:p>
        </w:tc>
        <w:tc>
          <w:tcPr>
            <w:tcW w:w="5826" w:type="dxa"/>
            <w:vAlign w:val="center"/>
          </w:tcPr>
          <w:p w14:paraId="6C408373">
            <w:pPr>
              <w:adjustRightInd w:val="0"/>
              <w:snapToGrid w:val="0"/>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2DE1AE1E">
            <w:pPr>
              <w:adjustRightInd w:val="0"/>
              <w:snapToGrid w:val="0"/>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2、湖南省政府采购供应商资格承诺函原件。</w:t>
            </w:r>
          </w:p>
          <w:p w14:paraId="580BE6F3">
            <w:pPr>
              <w:adjustRightInd w:val="0"/>
              <w:snapToGrid w:val="0"/>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3、供应商代表不是供应商法定代表人（单位负责人）的，应持有法定代表人（单位负责人）授权书。</w:t>
            </w:r>
          </w:p>
          <w:p w14:paraId="5A9576C1">
            <w:pPr>
              <w:widowControl w:val="0"/>
              <w:topLinePunct/>
              <w:adjustRightInd w:val="0"/>
              <w:snapToGrid w:val="0"/>
              <w:spacing w:after="0"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4、供应商信用记录。</w:t>
            </w:r>
          </w:p>
          <w:p w14:paraId="329EEA77">
            <w:pPr>
              <w:widowControl w:val="0"/>
              <w:topLinePunct/>
              <w:adjustRightInd w:val="0"/>
              <w:snapToGrid w:val="0"/>
              <w:spacing w:after="0"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5、采购项目的特定资格要求：</w:t>
            </w:r>
          </w:p>
          <w:p w14:paraId="564A1101">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1）具备建设行政主管部门颁发的公路工程施工总承包叁级及以上资质；具备有效的安全生产许可证；</w:t>
            </w:r>
          </w:p>
          <w:p w14:paraId="7673760B">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2）拟任项目经理具备公路工程专业贰级注册建造师执业资格，具备交通运输部（或省级及以上交通运输主管部门）颁发的安全生产“三类人员”B类证书，在其他项目任关键岗位人员(简称：在建)情况：</w:t>
            </w:r>
          </w:p>
          <w:p w14:paraId="4486618C">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投标截止时，投标人应当在响应文件中如实填写项目经理在建情况，并承诺本采购项目成交结果公示期满之前，项目经理能按时到岗履职。评标期间，响应文件中没有承诺能够按时到岗履职的，评标委员会应当否决其投标。</w:t>
            </w:r>
          </w:p>
          <w:p w14:paraId="34E0D9B5">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本采购项目成交结果公示期满之前，项目经理不能按时到岗履职(含不能从其他项目按期撤离)的采购人应提请相关部门依法认定为失信行为，并依规进行处罚，对于取得成交资格的，还应取消其成交资格。</w:t>
            </w:r>
          </w:p>
          <w:p w14:paraId="432776AF">
            <w:pPr>
              <w:adjustRightInd w:val="0"/>
              <w:snapToGrid w:val="0"/>
              <w:spacing w:line="360" w:lineRule="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bCs/>
                <w:color w:val="auto"/>
                <w:sz w:val="24"/>
                <w:highlight w:val="none"/>
                <w:lang w:val="en-US" w:eastAsia="zh-CN"/>
              </w:rPr>
              <w:t>注：</w:t>
            </w:r>
            <w:r>
              <w:rPr>
                <w:rFonts w:hint="eastAsia" w:ascii="宋体" w:hAnsi="宋体" w:eastAsia="宋体" w:cs="宋体"/>
                <w:b/>
                <w:bCs/>
                <w:color w:val="auto"/>
                <w:sz w:val="24"/>
                <w:highlight w:val="none"/>
                <w:lang w:eastAsia="zh-CN"/>
              </w:rPr>
              <w:t>投标人</w:t>
            </w:r>
            <w:r>
              <w:rPr>
                <w:rFonts w:hint="eastAsia" w:ascii="宋体" w:hAnsi="宋体" w:eastAsia="宋体" w:cs="宋体"/>
                <w:b/>
                <w:bCs/>
                <w:color w:val="auto"/>
                <w:sz w:val="24"/>
                <w:highlight w:val="none"/>
              </w:rPr>
              <w:t>所提供的资格证明文件</w:t>
            </w:r>
            <w:r>
              <w:rPr>
                <w:rFonts w:hint="eastAsia" w:ascii="宋体" w:hAnsi="宋体" w:eastAsia="宋体" w:cs="宋体"/>
                <w:b/>
                <w:bCs/>
                <w:color w:val="auto"/>
                <w:sz w:val="24"/>
                <w:highlight w:val="none"/>
                <w:lang w:val="en-US" w:eastAsia="zh-CN"/>
              </w:rPr>
              <w:t>需加盖投标供应商公章，证明文件</w:t>
            </w:r>
            <w:r>
              <w:rPr>
                <w:rFonts w:hint="eastAsia" w:ascii="宋体" w:hAnsi="宋体" w:eastAsia="宋体" w:cs="宋体"/>
                <w:b/>
                <w:bCs/>
                <w:color w:val="auto"/>
                <w:sz w:val="24"/>
                <w:highlight w:val="none"/>
              </w:rPr>
              <w:t>如模糊不清无法辨认导致无效投标的，由</w:t>
            </w:r>
            <w:r>
              <w:rPr>
                <w:rFonts w:hint="eastAsia" w:ascii="宋体" w:hAnsi="宋体" w:eastAsia="宋体" w:cs="宋体"/>
                <w:b/>
                <w:bCs/>
                <w:color w:val="auto"/>
                <w:sz w:val="24"/>
                <w:highlight w:val="none"/>
                <w:lang w:eastAsia="zh-CN"/>
              </w:rPr>
              <w:t>投标人</w:t>
            </w:r>
            <w:r>
              <w:rPr>
                <w:rFonts w:hint="eastAsia" w:ascii="宋体" w:hAnsi="宋体" w:eastAsia="宋体" w:cs="宋体"/>
                <w:b/>
                <w:bCs/>
                <w:color w:val="auto"/>
                <w:sz w:val="24"/>
                <w:highlight w:val="none"/>
              </w:rPr>
              <w:t>自行负责</w:t>
            </w:r>
            <w:r>
              <w:rPr>
                <w:rFonts w:hint="eastAsia" w:ascii="宋体" w:hAnsi="宋体" w:eastAsia="宋体" w:cs="宋体"/>
                <w:b/>
                <w:bCs/>
                <w:color w:val="auto"/>
                <w:sz w:val="24"/>
                <w:highlight w:val="none"/>
                <w:lang w:eastAsia="zh-CN"/>
              </w:rPr>
              <w:t>。</w:t>
            </w:r>
          </w:p>
          <w:p w14:paraId="742AC154">
            <w:pPr>
              <w:keepNext w:val="0"/>
              <w:keepLines w:val="0"/>
              <w:pageBreakBefore w:val="0"/>
              <w:widowControl w:val="0"/>
              <w:kinsoku/>
              <w:wordWrap/>
              <w:overflowPunct/>
              <w:topLinePunct w:val="0"/>
              <w:autoSpaceDE/>
              <w:autoSpaceDN/>
              <w:bidi w:val="0"/>
              <w:adjustRightInd w:val="0"/>
              <w:snapToGrid w:val="0"/>
              <w:spacing w:line="360" w:lineRule="auto"/>
              <w:ind w:left="0" w:leftChars="0"/>
              <w:jc w:val="both"/>
              <w:textAlignment w:val="auto"/>
              <w:outlineLvl w:val="9"/>
              <w:rPr>
                <w:rFonts w:hint="eastAsia" w:ascii="宋体" w:hAnsi="宋体" w:eastAsia="宋体" w:cs="宋体"/>
                <w:b/>
                <w:bCs/>
                <w:color w:val="auto"/>
                <w:kern w:val="2"/>
                <w:sz w:val="24"/>
                <w:szCs w:val="24"/>
                <w:highlight w:val="none"/>
              </w:rPr>
            </w:pPr>
          </w:p>
        </w:tc>
      </w:tr>
      <w:tr w14:paraId="741262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43F3AA26">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第二章第6.1款</w:t>
            </w:r>
          </w:p>
        </w:tc>
        <w:tc>
          <w:tcPr>
            <w:tcW w:w="2335" w:type="dxa"/>
            <w:vAlign w:val="center"/>
          </w:tcPr>
          <w:p w14:paraId="507B0401">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联合体形式</w:t>
            </w:r>
          </w:p>
        </w:tc>
        <w:tc>
          <w:tcPr>
            <w:tcW w:w="5826" w:type="dxa"/>
            <w:vAlign w:val="center"/>
          </w:tcPr>
          <w:p w14:paraId="65A94089">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不接受</w:t>
            </w:r>
          </w:p>
          <w:p w14:paraId="04EEF48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w:t>
            </w:r>
          </w:p>
        </w:tc>
      </w:tr>
      <w:tr w14:paraId="2D1E0C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30A57A56">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第二章第6.2款</w:t>
            </w:r>
          </w:p>
        </w:tc>
        <w:tc>
          <w:tcPr>
            <w:tcW w:w="2335" w:type="dxa"/>
            <w:vAlign w:val="center"/>
          </w:tcPr>
          <w:p w14:paraId="0E69EC3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对联合体各方的要求</w:t>
            </w:r>
          </w:p>
        </w:tc>
        <w:tc>
          <w:tcPr>
            <w:tcW w:w="5826" w:type="dxa"/>
            <w:vAlign w:val="center"/>
          </w:tcPr>
          <w:p w14:paraId="5EAB2E0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不接受</w:t>
            </w:r>
          </w:p>
          <w:p w14:paraId="30DCDBD1">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w:t>
            </w:r>
          </w:p>
        </w:tc>
      </w:tr>
      <w:tr w14:paraId="35DFA4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0EC304D8">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第二章第7.1款</w:t>
            </w:r>
          </w:p>
        </w:tc>
        <w:tc>
          <w:tcPr>
            <w:tcW w:w="2335" w:type="dxa"/>
            <w:vAlign w:val="center"/>
          </w:tcPr>
          <w:p w14:paraId="489D538B">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现场勘察</w:t>
            </w:r>
          </w:p>
        </w:tc>
        <w:tc>
          <w:tcPr>
            <w:tcW w:w="5826" w:type="dxa"/>
            <w:vAlign w:val="center"/>
          </w:tcPr>
          <w:p w14:paraId="195B2800">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采购人不组织</w:t>
            </w:r>
          </w:p>
          <w:p w14:paraId="5DA3196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□采购人组织，时间：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 xml:space="preserve">    </w:t>
            </w:r>
          </w:p>
        </w:tc>
      </w:tr>
      <w:tr w14:paraId="21647E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07543D6A">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第二章第8.1款</w:t>
            </w:r>
          </w:p>
        </w:tc>
        <w:tc>
          <w:tcPr>
            <w:tcW w:w="2335" w:type="dxa"/>
            <w:vAlign w:val="center"/>
          </w:tcPr>
          <w:p w14:paraId="0733EC32">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采购进口产品</w:t>
            </w:r>
          </w:p>
        </w:tc>
        <w:tc>
          <w:tcPr>
            <w:tcW w:w="5826" w:type="dxa"/>
            <w:vAlign w:val="center"/>
          </w:tcPr>
          <w:p w14:paraId="5FD5735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本项目拒绝采购进口产品</w:t>
            </w:r>
          </w:p>
          <w:p w14:paraId="79E63DB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□本项目已经财政部门审核同意购买进口产品</w:t>
            </w:r>
          </w:p>
        </w:tc>
      </w:tr>
      <w:tr w14:paraId="10FA04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57CA7B32">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第二章第9.1款</w:t>
            </w:r>
          </w:p>
        </w:tc>
        <w:tc>
          <w:tcPr>
            <w:tcW w:w="2335" w:type="dxa"/>
            <w:vAlign w:val="center"/>
          </w:tcPr>
          <w:p w14:paraId="661201FE">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政府采购强制采购：</w:t>
            </w:r>
          </w:p>
          <w:p w14:paraId="44EC22B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强制采购的节能产品</w:t>
            </w:r>
          </w:p>
        </w:tc>
        <w:tc>
          <w:tcPr>
            <w:tcW w:w="5826" w:type="dxa"/>
            <w:vAlign w:val="center"/>
          </w:tcPr>
          <w:p w14:paraId="5084A1A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否</w:t>
            </w:r>
          </w:p>
          <w:p w14:paraId="4B7CDAC2">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lang w:eastAsia="zh-CN"/>
              </w:rPr>
              <w:t>属于</w:t>
            </w:r>
            <w:r>
              <w:rPr>
                <w:rFonts w:hint="eastAsia" w:ascii="宋体" w:hAnsi="宋体" w:eastAsia="宋体" w:cs="宋体"/>
                <w:color w:val="auto"/>
                <w:sz w:val="24"/>
                <w:szCs w:val="24"/>
                <w:highlight w:val="none"/>
              </w:rPr>
              <w:t>强制采购</w:t>
            </w:r>
            <w:r>
              <w:rPr>
                <w:rFonts w:hint="eastAsia" w:ascii="宋体" w:hAnsi="宋体" w:eastAsia="宋体" w:cs="宋体"/>
                <w:color w:val="auto"/>
                <w:sz w:val="24"/>
                <w:szCs w:val="24"/>
                <w:highlight w:val="none"/>
                <w:lang w:eastAsia="zh-CN"/>
              </w:rPr>
              <w:t>品目清单范围</w:t>
            </w:r>
            <w:r>
              <w:rPr>
                <w:rFonts w:hint="eastAsia" w:ascii="宋体" w:hAnsi="宋体" w:eastAsia="宋体" w:cs="宋体"/>
                <w:color w:val="auto"/>
                <w:sz w:val="24"/>
                <w:szCs w:val="24"/>
                <w:highlight w:val="none"/>
              </w:rPr>
              <w:t>。</w:t>
            </w:r>
          </w:p>
        </w:tc>
      </w:tr>
      <w:tr w14:paraId="4ED3C1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41" w:hRule="atLeast"/>
          <w:jc w:val="center"/>
        </w:trPr>
        <w:tc>
          <w:tcPr>
            <w:tcW w:w="2045" w:type="dxa"/>
            <w:vMerge w:val="restart"/>
            <w:vAlign w:val="center"/>
          </w:tcPr>
          <w:p w14:paraId="3603604F">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第二章第9.2款</w:t>
            </w:r>
          </w:p>
        </w:tc>
        <w:tc>
          <w:tcPr>
            <w:tcW w:w="2335" w:type="dxa"/>
            <w:vAlign w:val="center"/>
          </w:tcPr>
          <w:p w14:paraId="5F54F4DD">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政府采购优先采购：</w:t>
            </w:r>
          </w:p>
          <w:p w14:paraId="68298EA0">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非强制采购的节能产品、环境标志产品</w:t>
            </w:r>
          </w:p>
        </w:tc>
        <w:tc>
          <w:tcPr>
            <w:tcW w:w="5826" w:type="dxa"/>
            <w:tcBorders>
              <w:bottom w:val="single" w:color="auto" w:sz="4" w:space="0"/>
            </w:tcBorders>
            <w:vAlign w:val="center"/>
          </w:tcPr>
          <w:p w14:paraId="71646331">
            <w:pPr>
              <w:pStyle w:val="21"/>
              <w:keepNext w:val="0"/>
              <w:keepLines w:val="0"/>
              <w:pageBreakBefore w:val="0"/>
              <w:widowControl w:val="0"/>
              <w:kinsoku/>
              <w:overflowPunct/>
              <w:autoSpaceDE/>
              <w:autoSpaceDN/>
              <w:bidi w:val="0"/>
              <w:spacing w:after="0" w:line="360" w:lineRule="auto"/>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本款不适用</w:t>
            </w:r>
          </w:p>
        </w:tc>
      </w:tr>
      <w:tr w14:paraId="644541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52" w:hRule="atLeast"/>
          <w:jc w:val="center"/>
        </w:trPr>
        <w:tc>
          <w:tcPr>
            <w:tcW w:w="2045" w:type="dxa"/>
            <w:vMerge w:val="continue"/>
            <w:tcBorders>
              <w:bottom w:val="single" w:color="auto" w:sz="4" w:space="0"/>
            </w:tcBorders>
            <w:vAlign w:val="center"/>
          </w:tcPr>
          <w:p w14:paraId="2AFDCC8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p>
        </w:tc>
        <w:tc>
          <w:tcPr>
            <w:tcW w:w="2335" w:type="dxa"/>
            <w:vAlign w:val="center"/>
          </w:tcPr>
          <w:p w14:paraId="7FE57ACE">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支持</w:t>
            </w:r>
            <w:r>
              <w:rPr>
                <w:rFonts w:hint="eastAsia" w:ascii="宋体" w:hAnsi="宋体" w:eastAsia="宋体" w:cs="宋体"/>
                <w:color w:val="auto"/>
                <w:sz w:val="24"/>
                <w:szCs w:val="24"/>
                <w:highlight w:val="none"/>
              </w:rPr>
              <w:t>小微企业发展</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sz w:val="24"/>
                <w:szCs w:val="24"/>
                <w:highlight w:val="none"/>
              </w:rPr>
              <w:t>残疾人福利性企业和监狱企业优惠政策</w:t>
            </w:r>
          </w:p>
        </w:tc>
        <w:tc>
          <w:tcPr>
            <w:tcW w:w="5826" w:type="dxa"/>
            <w:tcBorders>
              <w:top w:val="single" w:color="auto" w:sz="4" w:space="0"/>
            </w:tcBorders>
            <w:vAlign w:val="center"/>
          </w:tcPr>
          <w:p w14:paraId="76F1204A">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本项目不适用</w:t>
            </w:r>
          </w:p>
        </w:tc>
      </w:tr>
      <w:tr w14:paraId="25BD19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1" w:hRule="atLeast"/>
          <w:jc w:val="center"/>
        </w:trPr>
        <w:tc>
          <w:tcPr>
            <w:tcW w:w="2045" w:type="dxa"/>
            <w:vMerge w:val="restart"/>
            <w:tcBorders>
              <w:top w:val="single" w:color="auto" w:sz="4" w:space="0"/>
            </w:tcBorders>
            <w:vAlign w:val="center"/>
          </w:tcPr>
          <w:p w14:paraId="3561A613">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第二章第9.6款</w:t>
            </w:r>
          </w:p>
        </w:tc>
        <w:tc>
          <w:tcPr>
            <w:tcW w:w="2335" w:type="dxa"/>
            <w:tcBorders>
              <w:top w:val="single" w:color="auto" w:sz="4" w:space="0"/>
              <w:bottom w:val="single" w:color="auto" w:sz="4" w:space="0"/>
            </w:tcBorders>
            <w:vAlign w:val="center"/>
          </w:tcPr>
          <w:p w14:paraId="3D7A7DFE">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政府采购支持小企业融资</w:t>
            </w:r>
          </w:p>
        </w:tc>
        <w:tc>
          <w:tcPr>
            <w:tcW w:w="5826" w:type="dxa"/>
            <w:tcBorders>
              <w:top w:val="single" w:color="auto" w:sz="4" w:space="0"/>
              <w:bottom w:val="single" w:color="auto" w:sz="4" w:space="0"/>
            </w:tcBorders>
          </w:tcPr>
          <w:p w14:paraId="0DD72610">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有融资需求的，可向本附表附页1所列银行咨询或</w:t>
            </w:r>
            <w:r>
              <w:rPr>
                <w:rFonts w:hint="eastAsia" w:ascii="宋体" w:hAnsi="宋体" w:eastAsia="宋体" w:cs="宋体"/>
                <w:color w:val="auto"/>
                <w:sz w:val="24"/>
                <w:szCs w:val="24"/>
                <w:highlight w:val="none"/>
                <w:lang w:eastAsia="zh-CN"/>
              </w:rPr>
              <w:t>登</w:t>
            </w:r>
            <w:r>
              <w:rPr>
                <w:rFonts w:hint="eastAsia" w:ascii="宋体" w:hAnsi="宋体" w:eastAsia="宋体" w:cs="宋体"/>
                <w:color w:val="auto"/>
                <w:sz w:val="24"/>
                <w:szCs w:val="24"/>
                <w:highlight w:val="none"/>
              </w:rPr>
              <w:t>陆中国湖南政府采购网查询</w:t>
            </w:r>
          </w:p>
        </w:tc>
      </w:tr>
      <w:tr w14:paraId="6A5BF6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9" w:hRule="atLeast"/>
          <w:jc w:val="center"/>
        </w:trPr>
        <w:tc>
          <w:tcPr>
            <w:tcW w:w="2045" w:type="dxa"/>
            <w:vMerge w:val="continue"/>
            <w:vAlign w:val="center"/>
          </w:tcPr>
          <w:p w14:paraId="71AF1C72">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p>
        </w:tc>
        <w:tc>
          <w:tcPr>
            <w:tcW w:w="2335" w:type="dxa"/>
            <w:tcBorders>
              <w:top w:val="single" w:color="auto" w:sz="4" w:space="0"/>
            </w:tcBorders>
            <w:vAlign w:val="center"/>
          </w:tcPr>
          <w:p w14:paraId="3CEE84D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政府采购信用担保</w:t>
            </w:r>
          </w:p>
        </w:tc>
        <w:tc>
          <w:tcPr>
            <w:tcW w:w="5826" w:type="dxa"/>
            <w:tcBorders>
              <w:top w:val="single" w:color="auto" w:sz="4" w:space="0"/>
            </w:tcBorders>
          </w:tcPr>
          <w:p w14:paraId="31F2218C">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有履约担保或融资担保需求的，可向本附表附页2所列担保机构咨询或登陆中国湖南政府采购网查询，格式见附页3。</w:t>
            </w:r>
          </w:p>
        </w:tc>
      </w:tr>
      <w:tr w14:paraId="2AF814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206" w:type="dxa"/>
            <w:gridSpan w:val="3"/>
            <w:vAlign w:val="center"/>
          </w:tcPr>
          <w:p w14:paraId="5114FB83">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62" w:name="_Toc27219"/>
            <w:bookmarkStart w:id="63" w:name="_Toc1519"/>
            <w:bookmarkStart w:id="64" w:name="_Toc1130"/>
            <w:r>
              <w:rPr>
                <w:rFonts w:hint="eastAsia" w:ascii="宋体" w:hAnsi="宋体" w:eastAsia="宋体" w:cs="宋体"/>
                <w:color w:val="auto"/>
                <w:sz w:val="24"/>
                <w:szCs w:val="24"/>
                <w:highlight w:val="none"/>
              </w:rPr>
              <w:t>二、磋商文件</w:t>
            </w:r>
            <w:bookmarkEnd w:id="62"/>
            <w:bookmarkEnd w:id="63"/>
            <w:bookmarkEnd w:id="64"/>
          </w:p>
        </w:tc>
      </w:tr>
      <w:tr w14:paraId="0DD840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1" w:hRule="atLeast"/>
          <w:jc w:val="center"/>
        </w:trPr>
        <w:tc>
          <w:tcPr>
            <w:tcW w:w="2045" w:type="dxa"/>
            <w:vAlign w:val="center"/>
          </w:tcPr>
          <w:p w14:paraId="7BE64049">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第二章第10.2款</w:t>
            </w:r>
          </w:p>
        </w:tc>
        <w:tc>
          <w:tcPr>
            <w:tcW w:w="2335" w:type="dxa"/>
            <w:vAlign w:val="center"/>
          </w:tcPr>
          <w:p w14:paraId="4DE0F27D">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磋商文件的可能实质性变动内容</w:t>
            </w:r>
          </w:p>
        </w:tc>
        <w:tc>
          <w:tcPr>
            <w:tcW w:w="5826" w:type="dxa"/>
            <w:vAlign w:val="center"/>
          </w:tcPr>
          <w:p w14:paraId="06077F2F">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2CB6C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15D6C530">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第二章第11.1款</w:t>
            </w:r>
          </w:p>
        </w:tc>
        <w:tc>
          <w:tcPr>
            <w:tcW w:w="2335" w:type="dxa"/>
            <w:vAlign w:val="center"/>
          </w:tcPr>
          <w:p w14:paraId="2B6DA66C">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提供磋商文件期限</w:t>
            </w:r>
          </w:p>
        </w:tc>
        <w:tc>
          <w:tcPr>
            <w:tcW w:w="5826" w:type="dxa"/>
            <w:vAlign w:val="center"/>
          </w:tcPr>
          <w:p w14:paraId="47271635">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u w:val="single"/>
                <w:lang w:val="en-US" w:eastAsia="zh-CN"/>
              </w:rPr>
              <w:t>2026</w:t>
            </w:r>
            <w:r>
              <w:rPr>
                <w:rFonts w:hint="eastAsia" w:ascii="宋体" w:hAnsi="宋体" w:eastAsia="宋体" w:cs="宋体"/>
                <w:b/>
                <w:bCs/>
                <w:color w:val="auto"/>
                <w:sz w:val="24"/>
                <w:szCs w:val="24"/>
                <w:highlight w:val="none"/>
                <w:u w:val="none"/>
              </w:rPr>
              <w:t>年</w:t>
            </w:r>
            <w:r>
              <w:rPr>
                <w:rFonts w:hint="eastAsia" w:ascii="宋体" w:hAnsi="宋体" w:cs="宋体"/>
                <w:b/>
                <w:bCs/>
                <w:color w:val="auto"/>
                <w:sz w:val="24"/>
                <w:szCs w:val="24"/>
                <w:highlight w:val="none"/>
                <w:u w:val="single"/>
                <w:lang w:val="en-US" w:eastAsia="zh-CN"/>
              </w:rPr>
              <w:t>07</w:t>
            </w:r>
            <w:r>
              <w:rPr>
                <w:rFonts w:hint="eastAsia" w:ascii="宋体" w:hAnsi="宋体" w:eastAsia="宋体" w:cs="宋体"/>
                <w:b/>
                <w:bCs/>
                <w:color w:val="auto"/>
                <w:sz w:val="24"/>
                <w:szCs w:val="24"/>
                <w:highlight w:val="none"/>
                <w:u w:val="none"/>
              </w:rPr>
              <w:t>月</w:t>
            </w:r>
            <w:r>
              <w:rPr>
                <w:rFonts w:hint="eastAsia" w:ascii="宋体" w:hAnsi="宋体" w:cs="宋体"/>
                <w:b/>
                <w:bCs/>
                <w:color w:val="auto"/>
                <w:sz w:val="24"/>
                <w:szCs w:val="24"/>
                <w:highlight w:val="none"/>
                <w:u w:val="single"/>
                <w:lang w:val="en-US" w:eastAsia="zh-CN"/>
              </w:rPr>
              <w:t>28</w:t>
            </w:r>
            <w:r>
              <w:rPr>
                <w:rFonts w:hint="eastAsia" w:ascii="宋体" w:hAnsi="宋体" w:eastAsia="宋体" w:cs="宋体"/>
                <w:b/>
                <w:bCs/>
                <w:color w:val="auto"/>
                <w:sz w:val="24"/>
                <w:szCs w:val="24"/>
                <w:highlight w:val="none"/>
                <w:u w:val="none"/>
              </w:rPr>
              <w:t>日</w:t>
            </w:r>
            <w:r>
              <w:rPr>
                <w:rFonts w:hint="eastAsia" w:ascii="宋体" w:hAnsi="宋体" w:eastAsia="宋体" w:cs="宋体"/>
                <w:b/>
                <w:bCs/>
                <w:color w:val="auto"/>
                <w:sz w:val="24"/>
                <w:szCs w:val="24"/>
                <w:highlight w:val="none"/>
                <w:u w:val="single"/>
                <w:lang w:val="en-US" w:eastAsia="zh-CN"/>
              </w:rPr>
              <w:t>08</w:t>
            </w:r>
            <w:r>
              <w:rPr>
                <w:rFonts w:hint="eastAsia" w:ascii="宋体" w:hAnsi="宋体" w:eastAsia="宋体" w:cs="宋体"/>
                <w:b/>
                <w:bCs/>
                <w:color w:val="auto"/>
                <w:sz w:val="24"/>
                <w:szCs w:val="24"/>
                <w:highlight w:val="none"/>
                <w:u w:val="none"/>
                <w:lang w:eastAsia="zh-CN"/>
              </w:rPr>
              <w:t>时</w:t>
            </w:r>
            <w:r>
              <w:rPr>
                <w:rFonts w:hint="eastAsia" w:ascii="宋体" w:hAnsi="宋体" w:eastAsia="宋体" w:cs="宋体"/>
                <w:b/>
                <w:bCs/>
                <w:color w:val="auto"/>
                <w:sz w:val="24"/>
                <w:szCs w:val="24"/>
                <w:highlight w:val="none"/>
                <w:u w:val="single"/>
                <w:lang w:val="en-US" w:eastAsia="zh-CN"/>
              </w:rPr>
              <w:t>00</w:t>
            </w:r>
            <w:r>
              <w:rPr>
                <w:rFonts w:hint="eastAsia" w:ascii="宋体" w:hAnsi="宋体" w:eastAsia="宋体" w:cs="宋体"/>
                <w:b/>
                <w:bCs/>
                <w:color w:val="auto"/>
                <w:sz w:val="24"/>
                <w:szCs w:val="24"/>
                <w:highlight w:val="none"/>
                <w:u w:val="none"/>
                <w:lang w:eastAsia="zh-CN"/>
              </w:rPr>
              <w:t>分</w:t>
            </w:r>
            <w:r>
              <w:rPr>
                <w:rFonts w:hint="eastAsia" w:ascii="宋体" w:hAnsi="宋体" w:eastAsia="宋体" w:cs="宋体"/>
                <w:b/>
                <w:bCs/>
                <w:color w:val="auto"/>
                <w:sz w:val="24"/>
                <w:szCs w:val="24"/>
                <w:highlight w:val="none"/>
                <w:u w:val="none"/>
              </w:rPr>
              <w:t>～</w:t>
            </w:r>
            <w:r>
              <w:rPr>
                <w:rFonts w:hint="eastAsia" w:ascii="宋体" w:hAnsi="宋体" w:eastAsia="宋体" w:cs="宋体"/>
                <w:b/>
                <w:bCs/>
                <w:color w:val="auto"/>
                <w:sz w:val="24"/>
                <w:szCs w:val="24"/>
                <w:highlight w:val="none"/>
                <w:u w:val="single"/>
                <w:lang w:val="en-US" w:eastAsia="zh-CN"/>
              </w:rPr>
              <w:t>2026</w:t>
            </w:r>
            <w:r>
              <w:rPr>
                <w:rFonts w:hint="eastAsia" w:ascii="宋体" w:hAnsi="宋体" w:eastAsia="宋体" w:cs="宋体"/>
                <w:b/>
                <w:bCs/>
                <w:color w:val="auto"/>
                <w:sz w:val="24"/>
                <w:szCs w:val="24"/>
                <w:highlight w:val="none"/>
                <w:u w:val="none"/>
              </w:rPr>
              <w:t>年</w:t>
            </w:r>
            <w:r>
              <w:rPr>
                <w:rFonts w:hint="eastAsia" w:ascii="宋体" w:hAnsi="宋体" w:cs="宋体"/>
                <w:b/>
                <w:bCs/>
                <w:color w:val="auto"/>
                <w:sz w:val="24"/>
                <w:szCs w:val="24"/>
                <w:highlight w:val="none"/>
                <w:u w:val="single"/>
                <w:lang w:val="en-US" w:eastAsia="zh-CN"/>
              </w:rPr>
              <w:t>08</w:t>
            </w:r>
            <w:r>
              <w:rPr>
                <w:rFonts w:hint="eastAsia" w:ascii="宋体" w:hAnsi="宋体" w:eastAsia="宋体" w:cs="宋体"/>
                <w:b/>
                <w:bCs/>
                <w:color w:val="auto"/>
                <w:sz w:val="24"/>
                <w:szCs w:val="24"/>
                <w:highlight w:val="none"/>
                <w:u w:val="none"/>
              </w:rPr>
              <w:t>月</w:t>
            </w:r>
            <w:r>
              <w:rPr>
                <w:rFonts w:hint="eastAsia" w:ascii="宋体" w:hAnsi="宋体" w:cs="宋体"/>
                <w:b/>
                <w:bCs/>
                <w:color w:val="auto"/>
                <w:sz w:val="24"/>
                <w:szCs w:val="24"/>
                <w:highlight w:val="none"/>
                <w:u w:val="single"/>
                <w:lang w:val="en-US" w:eastAsia="zh-CN"/>
              </w:rPr>
              <w:t>03</w:t>
            </w:r>
            <w:r>
              <w:rPr>
                <w:rFonts w:hint="eastAsia" w:ascii="宋体" w:hAnsi="宋体" w:eastAsia="宋体" w:cs="宋体"/>
                <w:b/>
                <w:bCs/>
                <w:color w:val="auto"/>
                <w:sz w:val="24"/>
                <w:szCs w:val="24"/>
                <w:highlight w:val="none"/>
                <w:u w:val="none"/>
              </w:rPr>
              <w:t>日</w:t>
            </w:r>
            <w:r>
              <w:rPr>
                <w:rFonts w:hint="eastAsia" w:ascii="宋体" w:hAnsi="宋体" w:eastAsia="宋体" w:cs="宋体"/>
                <w:b/>
                <w:bCs/>
                <w:color w:val="auto"/>
                <w:sz w:val="24"/>
                <w:szCs w:val="24"/>
                <w:highlight w:val="none"/>
                <w:u w:val="single"/>
                <w:lang w:val="en-US" w:eastAsia="zh-CN"/>
              </w:rPr>
              <w:t>17</w:t>
            </w:r>
            <w:r>
              <w:rPr>
                <w:rFonts w:hint="eastAsia" w:ascii="宋体" w:hAnsi="宋体" w:eastAsia="宋体" w:cs="宋体"/>
                <w:b/>
                <w:bCs/>
                <w:color w:val="auto"/>
                <w:sz w:val="24"/>
                <w:szCs w:val="24"/>
                <w:highlight w:val="none"/>
                <w:u w:val="none"/>
                <w:lang w:eastAsia="zh-CN"/>
              </w:rPr>
              <w:t>时</w:t>
            </w:r>
            <w:r>
              <w:rPr>
                <w:rFonts w:hint="eastAsia" w:ascii="宋体" w:hAnsi="宋体" w:eastAsia="宋体" w:cs="宋体"/>
                <w:b/>
                <w:bCs/>
                <w:color w:val="auto"/>
                <w:sz w:val="24"/>
                <w:szCs w:val="24"/>
                <w:highlight w:val="none"/>
                <w:u w:val="single"/>
                <w:lang w:val="en-US" w:eastAsia="zh-CN"/>
              </w:rPr>
              <w:t>00</w:t>
            </w:r>
            <w:r>
              <w:rPr>
                <w:rFonts w:hint="eastAsia" w:ascii="宋体" w:hAnsi="宋体" w:eastAsia="宋体" w:cs="宋体"/>
                <w:b/>
                <w:bCs/>
                <w:color w:val="auto"/>
                <w:sz w:val="24"/>
                <w:szCs w:val="24"/>
                <w:highlight w:val="none"/>
                <w:lang w:eastAsia="zh-CN"/>
              </w:rPr>
              <w:t>分</w:t>
            </w:r>
            <w:r>
              <w:rPr>
                <w:rFonts w:hint="eastAsia" w:ascii="宋体" w:hAnsi="宋体" w:eastAsia="宋体" w:cs="宋体"/>
                <w:b/>
                <w:bCs/>
                <w:color w:val="auto"/>
                <w:sz w:val="24"/>
                <w:szCs w:val="24"/>
                <w:highlight w:val="none"/>
              </w:rPr>
              <w:t>止</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北京时间</w:t>
            </w:r>
            <w:r>
              <w:rPr>
                <w:rFonts w:hint="eastAsia" w:ascii="宋体" w:hAnsi="宋体" w:eastAsia="宋体" w:cs="宋体"/>
                <w:b/>
                <w:bCs/>
                <w:color w:val="auto"/>
                <w:sz w:val="24"/>
                <w:szCs w:val="24"/>
                <w:highlight w:val="none"/>
                <w:lang w:eastAsia="zh-CN"/>
              </w:rPr>
              <w:t>）</w:t>
            </w:r>
          </w:p>
        </w:tc>
      </w:tr>
      <w:tr w14:paraId="55837F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7D5BC4A7">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第二章第11.2款</w:t>
            </w:r>
          </w:p>
        </w:tc>
        <w:tc>
          <w:tcPr>
            <w:tcW w:w="2335" w:type="dxa"/>
            <w:vAlign w:val="center"/>
          </w:tcPr>
          <w:p w14:paraId="0FC75CC2">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获取竞争性磋商</w:t>
            </w:r>
          </w:p>
          <w:p w14:paraId="7F74362E">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文件方式</w:t>
            </w:r>
          </w:p>
        </w:tc>
        <w:tc>
          <w:tcPr>
            <w:tcW w:w="5826" w:type="dxa"/>
            <w:vAlign w:val="center"/>
          </w:tcPr>
          <w:p w14:paraId="6C8772A8">
            <w:pPr>
              <w:keepNext w:val="0"/>
              <w:keepLines w:val="0"/>
              <w:pageBreakBefore w:val="0"/>
              <w:widowControl w:val="0"/>
              <w:kinsoku/>
              <w:wordWrap w:val="0"/>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湘西州公共资源交易服务平台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https://xiangxi.hnsggzy.com/#/sy</w:t>
            </w:r>
            <w:r>
              <w:rPr>
                <w:rFonts w:hint="eastAsia" w:ascii="宋体" w:hAnsi="宋体" w:eastAsia="宋体" w:cs="宋体"/>
                <w:color w:val="auto"/>
                <w:sz w:val="24"/>
                <w:szCs w:val="24"/>
                <w:highlight w:val="none"/>
              </w:rPr>
              <w:t>）下载</w:t>
            </w:r>
            <w:r>
              <w:rPr>
                <w:rFonts w:hint="eastAsia" w:ascii="宋体" w:hAnsi="宋体" w:eastAsia="宋体" w:cs="宋体"/>
                <w:color w:val="auto"/>
                <w:sz w:val="24"/>
                <w:szCs w:val="24"/>
                <w:highlight w:val="none"/>
                <w:lang w:eastAsia="zh-CN"/>
              </w:rPr>
              <w:t>。</w:t>
            </w:r>
          </w:p>
        </w:tc>
      </w:tr>
      <w:tr w14:paraId="05E8DF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191B8737">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第二章第12.1款</w:t>
            </w:r>
          </w:p>
        </w:tc>
        <w:tc>
          <w:tcPr>
            <w:tcW w:w="2335" w:type="dxa"/>
            <w:vAlign w:val="center"/>
          </w:tcPr>
          <w:p w14:paraId="4E27C3F0">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提交首次响应文件的截止时间</w:t>
            </w:r>
          </w:p>
        </w:tc>
        <w:tc>
          <w:tcPr>
            <w:tcW w:w="5826" w:type="dxa"/>
            <w:vAlign w:val="center"/>
          </w:tcPr>
          <w:p w14:paraId="00B1E49F">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u w:val="single"/>
                <w:lang w:val="en-US" w:eastAsia="zh-CN"/>
              </w:rPr>
              <w:t>2026</w:t>
            </w:r>
            <w:r>
              <w:rPr>
                <w:rFonts w:hint="eastAsia" w:ascii="宋体" w:hAnsi="宋体" w:eastAsia="宋体" w:cs="宋体"/>
                <w:b/>
                <w:bCs/>
                <w:color w:val="auto"/>
                <w:sz w:val="24"/>
                <w:szCs w:val="24"/>
                <w:highlight w:val="none"/>
                <w:u w:val="none"/>
              </w:rPr>
              <w:t>年</w:t>
            </w:r>
            <w:r>
              <w:rPr>
                <w:rFonts w:hint="eastAsia" w:ascii="宋体" w:hAnsi="宋体" w:cs="宋体"/>
                <w:b/>
                <w:bCs/>
                <w:color w:val="auto"/>
                <w:sz w:val="24"/>
                <w:szCs w:val="24"/>
                <w:highlight w:val="none"/>
                <w:u w:val="single"/>
                <w:lang w:val="en-US" w:eastAsia="zh-CN"/>
              </w:rPr>
              <w:t>08</w:t>
            </w:r>
            <w:r>
              <w:rPr>
                <w:rFonts w:hint="eastAsia" w:ascii="宋体" w:hAnsi="宋体" w:eastAsia="宋体" w:cs="宋体"/>
                <w:b/>
                <w:bCs/>
                <w:color w:val="auto"/>
                <w:sz w:val="24"/>
                <w:szCs w:val="24"/>
                <w:highlight w:val="none"/>
                <w:u w:val="none"/>
                <w:lang w:val="en-US" w:eastAsia="zh-CN"/>
              </w:rPr>
              <w:t>月</w:t>
            </w:r>
            <w:r>
              <w:rPr>
                <w:rFonts w:hint="eastAsia" w:ascii="宋体" w:hAnsi="宋体" w:cs="宋体"/>
                <w:b/>
                <w:bCs/>
                <w:color w:val="auto"/>
                <w:sz w:val="24"/>
                <w:szCs w:val="24"/>
                <w:highlight w:val="none"/>
                <w:u w:val="single"/>
                <w:lang w:val="en-US" w:eastAsia="zh-CN"/>
              </w:rPr>
              <w:t>10</w:t>
            </w:r>
            <w:r>
              <w:rPr>
                <w:rFonts w:hint="eastAsia" w:ascii="宋体" w:hAnsi="宋体" w:eastAsia="宋体" w:cs="宋体"/>
                <w:b/>
                <w:bCs/>
                <w:color w:val="auto"/>
                <w:sz w:val="24"/>
                <w:szCs w:val="24"/>
                <w:highlight w:val="none"/>
                <w:u w:val="none"/>
                <w:lang w:val="en-US" w:eastAsia="zh-CN"/>
              </w:rPr>
              <w:t>日</w:t>
            </w:r>
            <w:r>
              <w:rPr>
                <w:rFonts w:hint="eastAsia" w:ascii="宋体" w:hAnsi="宋体" w:eastAsia="宋体" w:cs="宋体"/>
                <w:b/>
                <w:bCs/>
                <w:color w:val="auto"/>
                <w:sz w:val="24"/>
                <w:szCs w:val="24"/>
                <w:highlight w:val="none"/>
                <w:u w:val="single"/>
                <w:lang w:val="en-US" w:eastAsia="zh-CN"/>
              </w:rPr>
              <w:t>09</w:t>
            </w:r>
            <w:r>
              <w:rPr>
                <w:rFonts w:hint="eastAsia" w:ascii="宋体" w:hAnsi="宋体" w:eastAsia="宋体" w:cs="宋体"/>
                <w:b/>
                <w:bCs/>
                <w:color w:val="auto"/>
                <w:sz w:val="24"/>
                <w:szCs w:val="24"/>
                <w:highlight w:val="none"/>
                <w:u w:val="none"/>
              </w:rPr>
              <w:t>时</w:t>
            </w:r>
            <w:r>
              <w:rPr>
                <w:rFonts w:hint="eastAsia" w:ascii="宋体" w:hAnsi="宋体" w:eastAsia="宋体" w:cs="宋体"/>
                <w:b/>
                <w:bCs/>
                <w:color w:val="auto"/>
                <w:sz w:val="24"/>
                <w:szCs w:val="24"/>
                <w:highlight w:val="none"/>
                <w:u w:val="single"/>
                <w:lang w:val="en-US" w:eastAsia="zh-CN"/>
              </w:rPr>
              <w:t>00</w:t>
            </w:r>
            <w:r>
              <w:rPr>
                <w:rFonts w:hint="eastAsia" w:ascii="宋体" w:hAnsi="宋体" w:eastAsia="宋体" w:cs="宋体"/>
                <w:b/>
                <w:bCs/>
                <w:color w:val="auto"/>
                <w:sz w:val="24"/>
                <w:szCs w:val="24"/>
                <w:highlight w:val="none"/>
                <w:u w:val="none"/>
                <w:lang w:val="en-US" w:eastAsia="zh-CN"/>
              </w:rPr>
              <w:t>分</w:t>
            </w:r>
            <w:r>
              <w:rPr>
                <w:rFonts w:hint="eastAsia" w:ascii="宋体" w:hAnsi="宋体" w:eastAsia="宋体" w:cs="宋体"/>
                <w:b/>
                <w:bCs/>
                <w:color w:val="auto"/>
                <w:sz w:val="24"/>
                <w:szCs w:val="24"/>
                <w:highlight w:val="none"/>
              </w:rPr>
              <w:t>(北京时间)</w:t>
            </w:r>
          </w:p>
        </w:tc>
      </w:tr>
      <w:tr w14:paraId="35F8BE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206" w:type="dxa"/>
            <w:gridSpan w:val="3"/>
            <w:vAlign w:val="center"/>
          </w:tcPr>
          <w:p w14:paraId="70CBFB50">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65" w:name="_Toc5905"/>
            <w:bookmarkStart w:id="66" w:name="_Toc17299"/>
            <w:bookmarkStart w:id="67" w:name="_Toc18394"/>
            <w:r>
              <w:rPr>
                <w:rFonts w:hint="eastAsia" w:ascii="宋体" w:hAnsi="宋体" w:eastAsia="宋体" w:cs="宋体"/>
                <w:color w:val="auto"/>
                <w:sz w:val="24"/>
                <w:szCs w:val="24"/>
                <w:highlight w:val="none"/>
              </w:rPr>
              <w:t>三、响应文件的编写</w:t>
            </w:r>
            <w:bookmarkEnd w:id="65"/>
            <w:bookmarkEnd w:id="66"/>
            <w:bookmarkEnd w:id="67"/>
          </w:p>
        </w:tc>
      </w:tr>
      <w:tr w14:paraId="54B27B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2045" w:type="dxa"/>
            <w:vAlign w:val="center"/>
          </w:tcPr>
          <w:p w14:paraId="5944D8D1">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第二章第16.4款</w:t>
            </w:r>
          </w:p>
        </w:tc>
        <w:tc>
          <w:tcPr>
            <w:tcW w:w="2335" w:type="dxa"/>
            <w:vAlign w:val="center"/>
          </w:tcPr>
          <w:p w14:paraId="4F73068F">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采购项目预算</w:t>
            </w:r>
          </w:p>
        </w:tc>
        <w:tc>
          <w:tcPr>
            <w:tcW w:w="5826" w:type="dxa"/>
            <w:vAlign w:val="center"/>
          </w:tcPr>
          <w:p w14:paraId="0BC379C4">
            <w:pPr>
              <w:keepNext w:val="0"/>
              <w:keepLines w:val="0"/>
              <w:pageBreakBefore w:val="0"/>
              <w:widowControl w:val="0"/>
              <w:kinsoku/>
              <w:wordWrap w:val="0"/>
              <w:overflowPunct/>
              <w:autoSpaceDE/>
              <w:autoSpaceDN/>
              <w:bidi w:val="0"/>
              <w:adjustRightInd w:val="0"/>
              <w:snapToGrid w:val="0"/>
              <w:spacing w:line="360" w:lineRule="auto"/>
              <w:ind w:left="0" w:leftChars="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eastAsia="zh-CN"/>
              </w:rPr>
              <w:t>1499676.65元</w:t>
            </w:r>
          </w:p>
        </w:tc>
      </w:tr>
      <w:tr w14:paraId="3927A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5A939FD5">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第二章第17.3款</w:t>
            </w:r>
          </w:p>
        </w:tc>
        <w:tc>
          <w:tcPr>
            <w:tcW w:w="2335" w:type="dxa"/>
            <w:vAlign w:val="center"/>
          </w:tcPr>
          <w:p w14:paraId="668441F1">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非制造商的证明文件</w:t>
            </w:r>
          </w:p>
        </w:tc>
        <w:tc>
          <w:tcPr>
            <w:tcW w:w="5826" w:type="dxa"/>
            <w:vAlign w:val="center"/>
          </w:tcPr>
          <w:p w14:paraId="50F70846">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不要求提供</w:t>
            </w:r>
          </w:p>
          <w:p w14:paraId="6923AA8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□要求提供：（证明文件复印件须加盖</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单位公章，否则视为无效响应。）</w:t>
            </w:r>
          </w:p>
          <w:p w14:paraId="6D9A0D09">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经销、或代理投标货物、或为投标货物提供售后服务的证明文件。</w:t>
            </w:r>
          </w:p>
        </w:tc>
      </w:tr>
      <w:tr w14:paraId="7894FC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465C24A8">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第二章第17.4款</w:t>
            </w:r>
          </w:p>
        </w:tc>
        <w:tc>
          <w:tcPr>
            <w:tcW w:w="2335" w:type="dxa"/>
            <w:vAlign w:val="center"/>
          </w:tcPr>
          <w:p w14:paraId="29C0C169">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多家代理商参加同一品牌同一型号产品磋商活动的规定</w:t>
            </w:r>
          </w:p>
        </w:tc>
        <w:tc>
          <w:tcPr>
            <w:tcW w:w="5826" w:type="dxa"/>
            <w:vAlign w:val="center"/>
          </w:tcPr>
          <w:p w14:paraId="4B35268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rPr>
              <w:t>本项目核心产</w:t>
            </w:r>
            <w:r>
              <w:rPr>
                <w:rFonts w:hint="eastAsia" w:ascii="宋体" w:hAnsi="宋体" w:eastAsia="宋体" w:cs="宋体"/>
                <w:b w:val="0"/>
                <w:bCs w:val="0"/>
                <w:color w:val="auto"/>
                <w:sz w:val="24"/>
                <w:szCs w:val="24"/>
                <w:highlight w:val="none"/>
                <w:lang w:val="en-US" w:eastAsia="zh-CN"/>
              </w:rPr>
              <w:t>品：</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b w:val="0"/>
                <w:bCs w:val="0"/>
                <w:color w:val="auto"/>
                <w:sz w:val="24"/>
                <w:szCs w:val="24"/>
                <w:highlight w:val="none"/>
                <w:u w:val="single"/>
                <w:lang w:val="en-US" w:eastAsia="zh-CN"/>
              </w:rPr>
              <w:t xml:space="preserve">       </w:t>
            </w:r>
          </w:p>
          <w:p w14:paraId="608F9BA9">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注：当所有核心产品均为同一品牌时，视为</w:t>
            </w:r>
            <w:r>
              <w:rPr>
                <w:rFonts w:hint="eastAsia" w:ascii="宋体" w:hAnsi="宋体" w:eastAsia="宋体" w:cs="宋体"/>
                <w:color w:val="auto"/>
                <w:sz w:val="24"/>
                <w:szCs w:val="24"/>
                <w:highlight w:val="none"/>
              </w:rPr>
              <w:t>核心产品品牌相同</w:t>
            </w:r>
            <w:r>
              <w:rPr>
                <w:rFonts w:hint="eastAsia" w:ascii="宋体" w:hAnsi="宋体" w:eastAsia="宋体" w:cs="宋体"/>
                <w:color w:val="auto"/>
                <w:sz w:val="24"/>
                <w:szCs w:val="24"/>
                <w:highlight w:val="none"/>
                <w:lang w:eastAsia="zh-CN"/>
              </w:rPr>
              <w:t>。</w:t>
            </w:r>
          </w:p>
          <w:p w14:paraId="0CEA3216">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（1）评审后得分最高的同品牌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获得</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人推荐资格，其他同品牌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不作为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w:t>
            </w:r>
          </w:p>
          <w:p w14:paraId="4277421F">
            <w:pPr>
              <w:keepNext w:val="0"/>
              <w:keepLines w:val="0"/>
              <w:pageBreakBefore w:val="0"/>
              <w:widowControl w:val="0"/>
              <w:kinsoku/>
              <w:overflowPunct/>
              <w:autoSpaceDE/>
              <w:autoSpaceDN/>
              <w:bidi w:val="0"/>
              <w:adjustRightInd w:val="0"/>
              <w:snapToGrid w:val="0"/>
              <w:spacing w:line="360" w:lineRule="auto"/>
              <w:ind w:left="0" w:lef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（2）评审得分相同的，由采购人或者采购人委托评标委员会按照</w:t>
            </w:r>
            <w:r>
              <w:rPr>
                <w:rFonts w:hint="eastAsia" w:ascii="宋体" w:hAnsi="宋体" w:eastAsia="宋体" w:cs="宋体"/>
                <w:color w:val="auto"/>
                <w:sz w:val="24"/>
                <w:szCs w:val="24"/>
                <w:highlight w:val="none"/>
                <w:lang w:val="en-US" w:eastAsia="zh-CN"/>
              </w:rPr>
              <w:t>随机抽取</w:t>
            </w:r>
            <w:r>
              <w:rPr>
                <w:rFonts w:hint="eastAsia" w:ascii="宋体" w:hAnsi="宋体" w:eastAsia="宋体" w:cs="宋体"/>
                <w:color w:val="auto"/>
                <w:sz w:val="24"/>
                <w:szCs w:val="24"/>
                <w:highlight w:val="none"/>
              </w:rPr>
              <w:t>方式确定一个</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获得</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人推荐资格</w:t>
            </w:r>
            <w:r>
              <w:rPr>
                <w:rFonts w:hint="eastAsia" w:ascii="宋体" w:hAnsi="宋体" w:eastAsia="宋体" w:cs="宋体"/>
                <w:color w:val="auto"/>
                <w:sz w:val="24"/>
                <w:szCs w:val="24"/>
                <w:highlight w:val="none"/>
                <w:lang w:eastAsia="zh-CN"/>
              </w:rPr>
              <w:t>。</w:t>
            </w:r>
          </w:p>
        </w:tc>
      </w:tr>
      <w:tr w14:paraId="705C79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3DBA8033">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第二章第18.1款</w:t>
            </w:r>
          </w:p>
        </w:tc>
        <w:tc>
          <w:tcPr>
            <w:tcW w:w="2335" w:type="dxa"/>
            <w:vAlign w:val="center"/>
          </w:tcPr>
          <w:p w14:paraId="373D3DF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样品提供及样品提交的时间、地点</w:t>
            </w:r>
          </w:p>
        </w:tc>
        <w:tc>
          <w:tcPr>
            <w:tcW w:w="5826" w:type="dxa"/>
            <w:vAlign w:val="center"/>
          </w:tcPr>
          <w:p w14:paraId="6DC950CE">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不要求提供</w:t>
            </w:r>
          </w:p>
          <w:p w14:paraId="03486EE5">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□要求提供</w:t>
            </w:r>
          </w:p>
        </w:tc>
      </w:tr>
      <w:tr w14:paraId="03AA0B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0F19FCE4">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第二章第19.1款</w:t>
            </w:r>
          </w:p>
        </w:tc>
        <w:tc>
          <w:tcPr>
            <w:tcW w:w="2335" w:type="dxa"/>
            <w:vAlign w:val="center"/>
          </w:tcPr>
          <w:p w14:paraId="7D25900D">
            <w:pPr>
              <w:keepNext w:val="0"/>
              <w:keepLines w:val="0"/>
              <w:pageBreakBefore w:val="0"/>
              <w:widowControl w:val="0"/>
              <w:kinsoku/>
              <w:overflowPunct/>
              <w:autoSpaceDE/>
              <w:autoSpaceDN/>
              <w:bidi w:val="0"/>
              <w:adjustRightInd w:val="0"/>
              <w:snapToGrid w:val="0"/>
              <w:spacing w:line="360" w:lineRule="auto"/>
              <w:ind w:left="0" w:leftChars="0" w:firstLine="609" w:firstLineChars="25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5826" w:type="dxa"/>
            <w:vAlign w:val="center"/>
          </w:tcPr>
          <w:p w14:paraId="55ED76DC">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不要求提供</w:t>
            </w:r>
          </w:p>
          <w:p w14:paraId="7A5DD14C">
            <w:pPr>
              <w:keepNext w:val="0"/>
              <w:keepLines w:val="0"/>
              <w:pageBreakBefore w:val="0"/>
              <w:widowControl w:val="0"/>
              <w:kinsoku/>
              <w:overflowPunct/>
              <w:autoSpaceDE/>
              <w:autoSpaceDN/>
              <w:bidi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□要求提供</w:t>
            </w:r>
          </w:p>
        </w:tc>
      </w:tr>
      <w:tr w14:paraId="07782C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0D5A6B0D">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第二章第20.1款</w:t>
            </w:r>
          </w:p>
        </w:tc>
        <w:tc>
          <w:tcPr>
            <w:tcW w:w="2335" w:type="dxa"/>
            <w:vAlign w:val="center"/>
          </w:tcPr>
          <w:p w14:paraId="491FB5E4">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响应文件有效期</w:t>
            </w:r>
          </w:p>
        </w:tc>
        <w:tc>
          <w:tcPr>
            <w:tcW w:w="5826" w:type="dxa"/>
            <w:vAlign w:val="center"/>
          </w:tcPr>
          <w:p w14:paraId="0EB5D9E4">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u w:val="single"/>
                <w:lang w:val="en-US" w:eastAsia="zh-CN"/>
              </w:rPr>
              <w:t>90日</w:t>
            </w:r>
            <w:r>
              <w:rPr>
                <w:rFonts w:hint="eastAsia" w:ascii="宋体" w:hAnsi="宋体" w:eastAsia="宋体" w:cs="宋体"/>
                <w:b/>
                <w:bCs/>
                <w:color w:val="auto"/>
                <w:sz w:val="24"/>
                <w:szCs w:val="24"/>
                <w:highlight w:val="none"/>
              </w:rPr>
              <w:t>（日历日）</w:t>
            </w:r>
          </w:p>
        </w:tc>
      </w:tr>
      <w:tr w14:paraId="2E32E2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19664632">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第二章第21.1款</w:t>
            </w:r>
          </w:p>
        </w:tc>
        <w:tc>
          <w:tcPr>
            <w:tcW w:w="2335" w:type="dxa"/>
            <w:vAlign w:val="center"/>
          </w:tcPr>
          <w:p w14:paraId="059E4503">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响应文件份数</w:t>
            </w:r>
          </w:p>
        </w:tc>
        <w:tc>
          <w:tcPr>
            <w:tcW w:w="5826" w:type="dxa"/>
            <w:vAlign w:val="center"/>
          </w:tcPr>
          <w:p w14:paraId="2B9A6F0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在交易中心系统提交电子</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文件一份。</w:t>
            </w:r>
          </w:p>
        </w:tc>
      </w:tr>
      <w:tr w14:paraId="3D907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206" w:type="dxa"/>
            <w:gridSpan w:val="3"/>
            <w:vAlign w:val="center"/>
          </w:tcPr>
          <w:p w14:paraId="4E109E46">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68" w:name="_Toc6313"/>
            <w:bookmarkStart w:id="69" w:name="_Toc29267"/>
            <w:bookmarkStart w:id="70" w:name="_Toc12577"/>
            <w:r>
              <w:rPr>
                <w:rFonts w:hint="eastAsia" w:ascii="宋体" w:hAnsi="宋体" w:eastAsia="宋体" w:cs="宋体"/>
                <w:color w:val="auto"/>
                <w:sz w:val="24"/>
                <w:szCs w:val="24"/>
                <w:highlight w:val="none"/>
              </w:rPr>
              <w:t>四、响应文件的递交</w:t>
            </w:r>
            <w:bookmarkEnd w:id="68"/>
            <w:bookmarkEnd w:id="69"/>
            <w:bookmarkEnd w:id="70"/>
          </w:p>
        </w:tc>
      </w:tr>
      <w:tr w14:paraId="072196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7697F799">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第二章第24.1款</w:t>
            </w:r>
          </w:p>
        </w:tc>
        <w:tc>
          <w:tcPr>
            <w:tcW w:w="2335" w:type="dxa"/>
            <w:vAlign w:val="center"/>
          </w:tcPr>
          <w:p w14:paraId="163B4C03">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响应文件的递交地点</w:t>
            </w:r>
          </w:p>
        </w:tc>
        <w:tc>
          <w:tcPr>
            <w:tcW w:w="5826" w:type="dxa"/>
            <w:vAlign w:val="center"/>
          </w:tcPr>
          <w:p w14:paraId="5F763C1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湘西自治州公共资源交易中心四楼</w:t>
            </w:r>
            <w:r>
              <w:rPr>
                <w:rFonts w:hint="eastAsia" w:ascii="宋体" w:hAnsi="宋体" w:cs="宋体"/>
                <w:b/>
                <w:bCs/>
                <w:color w:val="auto"/>
                <w:kern w:val="0"/>
                <w:sz w:val="24"/>
                <w:highlight w:val="none"/>
                <w:u w:val="single"/>
                <w:lang w:eastAsia="zh-CN"/>
              </w:rPr>
              <w:t>不见面开标室（九）</w:t>
            </w:r>
            <w:r>
              <w:rPr>
                <w:rFonts w:hint="eastAsia" w:ascii="宋体" w:hAnsi="宋体" w:eastAsia="宋体" w:cs="宋体"/>
                <w:color w:val="auto"/>
                <w:sz w:val="24"/>
                <w:highlight w:val="none"/>
              </w:rPr>
              <w:t>吉首市吉凤街道州行政中心政务服务大楼）</w:t>
            </w:r>
          </w:p>
        </w:tc>
      </w:tr>
      <w:tr w14:paraId="53CD1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206" w:type="dxa"/>
            <w:gridSpan w:val="3"/>
            <w:vAlign w:val="center"/>
          </w:tcPr>
          <w:p w14:paraId="493FDBD1">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71" w:name="_Toc5258"/>
            <w:bookmarkStart w:id="72" w:name="_Toc15304"/>
            <w:bookmarkStart w:id="73" w:name="_Toc21562"/>
            <w:r>
              <w:rPr>
                <w:rFonts w:hint="eastAsia" w:ascii="宋体" w:hAnsi="宋体" w:eastAsia="宋体" w:cs="宋体"/>
                <w:color w:val="auto"/>
                <w:sz w:val="24"/>
                <w:szCs w:val="24"/>
                <w:highlight w:val="none"/>
              </w:rPr>
              <w:t>五、响应文件的磋商与评审</w:t>
            </w:r>
            <w:bookmarkEnd w:id="71"/>
            <w:bookmarkEnd w:id="72"/>
            <w:bookmarkEnd w:id="73"/>
          </w:p>
        </w:tc>
      </w:tr>
      <w:tr w14:paraId="4A9C7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Align w:val="center"/>
          </w:tcPr>
          <w:p w14:paraId="0E0A2BC4">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第二章第31.2款</w:t>
            </w:r>
          </w:p>
        </w:tc>
        <w:tc>
          <w:tcPr>
            <w:tcW w:w="2335" w:type="dxa"/>
            <w:vAlign w:val="center"/>
          </w:tcPr>
          <w:p w14:paraId="1231E44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评审因素和标准</w:t>
            </w:r>
          </w:p>
        </w:tc>
        <w:tc>
          <w:tcPr>
            <w:tcW w:w="5826" w:type="dxa"/>
            <w:vAlign w:val="center"/>
          </w:tcPr>
          <w:p w14:paraId="66BED17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见附页</w:t>
            </w:r>
            <w:r>
              <w:rPr>
                <w:rFonts w:hint="eastAsia" w:ascii="宋体" w:hAnsi="宋体" w:eastAsia="宋体" w:cs="宋体"/>
                <w:color w:val="auto"/>
                <w:sz w:val="24"/>
                <w:szCs w:val="24"/>
                <w:highlight w:val="none"/>
                <w:lang w:val="en-US" w:eastAsia="zh-CN"/>
              </w:rPr>
              <w:t>7</w:t>
            </w:r>
          </w:p>
        </w:tc>
      </w:tr>
      <w:tr w14:paraId="51E2A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206" w:type="dxa"/>
            <w:gridSpan w:val="3"/>
            <w:vAlign w:val="center"/>
          </w:tcPr>
          <w:p w14:paraId="6083F1A0">
            <w:pPr>
              <w:pStyle w:val="3"/>
              <w:keepNext w:val="0"/>
              <w:keepLines w:val="0"/>
              <w:pageBreakBefore w:val="0"/>
              <w:widowControl w:val="0"/>
              <w:kinsoku/>
              <w:overflowPunct/>
              <w:autoSpaceDE/>
              <w:autoSpaceDN/>
              <w:bidi w:val="0"/>
              <w:spacing w:before="0" w:after="0" w:line="360" w:lineRule="auto"/>
              <w:ind w:left="0" w:leftChars="0"/>
              <w:textAlignment w:val="auto"/>
              <w:rPr>
                <w:rFonts w:hint="eastAsia" w:ascii="宋体" w:hAnsi="宋体" w:eastAsia="宋体" w:cs="宋体"/>
                <w:color w:val="auto"/>
                <w:sz w:val="24"/>
                <w:szCs w:val="24"/>
                <w:highlight w:val="none"/>
              </w:rPr>
            </w:pPr>
            <w:bookmarkStart w:id="74" w:name="_Toc7811"/>
            <w:bookmarkStart w:id="75" w:name="_Toc637"/>
            <w:bookmarkStart w:id="76" w:name="_Toc3752"/>
            <w:r>
              <w:rPr>
                <w:rFonts w:hint="eastAsia" w:ascii="宋体" w:hAnsi="宋体" w:eastAsia="宋体" w:cs="宋体"/>
                <w:color w:val="auto"/>
                <w:sz w:val="24"/>
                <w:szCs w:val="24"/>
                <w:highlight w:val="none"/>
              </w:rPr>
              <w:t>六、成交结果信息公布与授予合同</w:t>
            </w:r>
            <w:bookmarkEnd w:id="74"/>
            <w:bookmarkEnd w:id="75"/>
            <w:bookmarkEnd w:id="76"/>
          </w:p>
        </w:tc>
      </w:tr>
      <w:tr w14:paraId="25671A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Merge w:val="restart"/>
            <w:vAlign w:val="center"/>
          </w:tcPr>
          <w:p w14:paraId="7D82F865">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w:t>
            </w:r>
          </w:p>
          <w:p w14:paraId="6DFE8EBE">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第37.1款</w:t>
            </w:r>
          </w:p>
        </w:tc>
        <w:tc>
          <w:tcPr>
            <w:tcW w:w="2335" w:type="dxa"/>
            <w:vAlign w:val="center"/>
          </w:tcPr>
          <w:p w14:paraId="0D67B0E9">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财政部门指定的媒体</w:t>
            </w:r>
          </w:p>
        </w:tc>
        <w:tc>
          <w:tcPr>
            <w:tcW w:w="5826" w:type="dxa"/>
            <w:vAlign w:val="center"/>
          </w:tcPr>
          <w:p w14:paraId="7EA3D82A">
            <w:pPr>
              <w:keepNext w:val="0"/>
              <w:keepLines w:val="0"/>
              <w:pageBreakBefore w:val="0"/>
              <w:widowControl w:val="0"/>
              <w:kinsoku/>
              <w:wordWrap w:val="0"/>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《中国湖南政府采购网》</w:t>
            </w:r>
          </w:p>
          <w:p w14:paraId="79F14BF4">
            <w:pPr>
              <w:keepNext w:val="0"/>
              <w:keepLines w:val="0"/>
              <w:pageBreakBefore w:val="0"/>
              <w:widowControl w:val="0"/>
              <w:kinsoku/>
              <w:wordWrap w:val="0"/>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http://www.ccgp-hunan.gov.cn</w:t>
            </w:r>
          </w:p>
        </w:tc>
      </w:tr>
      <w:tr w14:paraId="48A3C5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045" w:type="dxa"/>
            <w:vMerge w:val="continue"/>
            <w:vAlign w:val="center"/>
          </w:tcPr>
          <w:p w14:paraId="437E1041">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p>
        </w:tc>
        <w:tc>
          <w:tcPr>
            <w:tcW w:w="2335" w:type="dxa"/>
            <w:vAlign w:val="center"/>
          </w:tcPr>
          <w:p w14:paraId="760CB631">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信息发布媒体</w:t>
            </w:r>
          </w:p>
        </w:tc>
        <w:tc>
          <w:tcPr>
            <w:tcW w:w="5826" w:type="dxa"/>
            <w:vAlign w:val="center"/>
          </w:tcPr>
          <w:p w14:paraId="22EF8878">
            <w:pPr>
              <w:keepNext w:val="0"/>
              <w:keepLines w:val="0"/>
              <w:pageBreakBefore w:val="0"/>
              <w:widowControl w:val="0"/>
              <w:kinsoku/>
              <w:wordWrap w:val="0"/>
              <w:overflowPunct/>
              <w:autoSpaceDE/>
              <w:autoSpaceDN/>
              <w:bidi w:val="0"/>
              <w:spacing w:line="360" w:lineRule="auto"/>
              <w:ind w:left="0" w:leftChars="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《中国湖南政府采购网》</w:t>
            </w:r>
          </w:p>
          <w:p w14:paraId="0D7A1A01">
            <w:pPr>
              <w:keepNext w:val="0"/>
              <w:keepLines w:val="0"/>
              <w:pageBreakBefore w:val="0"/>
              <w:widowControl w:val="0"/>
              <w:kinsoku/>
              <w:wordWrap w:val="0"/>
              <w:overflowPunct/>
              <w:autoSpaceDE/>
              <w:autoSpaceDN/>
              <w:bidi w:val="0"/>
              <w:spacing w:line="360" w:lineRule="auto"/>
              <w:ind w:left="0" w:leftChars="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（http://www.ccgp-hunan.gov.cn）</w:t>
            </w:r>
          </w:p>
          <w:p w14:paraId="6730355C">
            <w:pPr>
              <w:keepNext w:val="0"/>
              <w:keepLines w:val="0"/>
              <w:pageBreakBefore w:val="0"/>
              <w:widowControl w:val="0"/>
              <w:kinsoku/>
              <w:wordWrap w:val="0"/>
              <w:overflowPunct/>
              <w:autoSpaceDE/>
              <w:autoSpaceDN/>
              <w:bidi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湘西州公共资源交易服务平台</w:t>
            </w:r>
            <w:r>
              <w:rPr>
                <w:rFonts w:hint="eastAsia" w:ascii="宋体" w:hAnsi="宋体" w:eastAsia="宋体" w:cs="宋体"/>
                <w:color w:val="auto"/>
                <w:sz w:val="24"/>
                <w:szCs w:val="24"/>
                <w:highlight w:val="none"/>
              </w:rPr>
              <w:t>》</w:t>
            </w:r>
          </w:p>
          <w:p w14:paraId="71681E68">
            <w:pPr>
              <w:keepNext w:val="0"/>
              <w:keepLines w:val="0"/>
              <w:pageBreakBefore w:val="0"/>
              <w:widowControl w:val="0"/>
              <w:kinsoku/>
              <w:wordWrap w:val="0"/>
              <w:overflowPunct/>
              <w:autoSpaceDE/>
              <w:autoSpaceDN/>
              <w:bidi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https://xiangxi.hnsggzy.com/#/sy</w:t>
            </w:r>
            <w:r>
              <w:rPr>
                <w:rFonts w:hint="eastAsia" w:ascii="宋体" w:hAnsi="宋体" w:eastAsia="宋体" w:cs="宋体"/>
                <w:color w:val="auto"/>
                <w:sz w:val="24"/>
                <w:szCs w:val="24"/>
                <w:highlight w:val="none"/>
              </w:rPr>
              <w:t>）</w:t>
            </w:r>
          </w:p>
        </w:tc>
      </w:tr>
      <w:tr w14:paraId="5F90F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7" w:hRule="atLeast"/>
          <w:jc w:val="center"/>
        </w:trPr>
        <w:tc>
          <w:tcPr>
            <w:tcW w:w="2045" w:type="dxa"/>
            <w:vAlign w:val="center"/>
          </w:tcPr>
          <w:p w14:paraId="728818DF">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第二章第39.3款</w:t>
            </w:r>
          </w:p>
        </w:tc>
        <w:tc>
          <w:tcPr>
            <w:tcW w:w="2335" w:type="dxa"/>
            <w:vAlign w:val="center"/>
          </w:tcPr>
          <w:p w14:paraId="25351C18">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履约担保</w:t>
            </w:r>
          </w:p>
        </w:tc>
        <w:tc>
          <w:tcPr>
            <w:tcW w:w="5826" w:type="dxa"/>
            <w:vAlign w:val="center"/>
          </w:tcPr>
          <w:p w14:paraId="709B734D">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不要求提供</w:t>
            </w:r>
          </w:p>
          <w:p w14:paraId="5806EE6B">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A8"/>
            </w:r>
            <w:r>
              <w:rPr>
                <w:rFonts w:hint="eastAsia" w:ascii="宋体" w:hAnsi="宋体" w:eastAsia="宋体" w:cs="宋体"/>
                <w:color w:val="auto"/>
                <w:sz w:val="24"/>
                <w:szCs w:val="24"/>
                <w:highlight w:val="none"/>
              </w:rPr>
              <w:t>要求提供，履约担保的金额为：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tc>
      </w:tr>
      <w:tr w14:paraId="4AF2C5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0206" w:type="dxa"/>
            <w:gridSpan w:val="3"/>
            <w:vAlign w:val="center"/>
          </w:tcPr>
          <w:p w14:paraId="7DD375DA">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七、其他规定</w:t>
            </w:r>
          </w:p>
        </w:tc>
      </w:tr>
      <w:tr w14:paraId="30B86C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08" w:hRule="atLeast"/>
          <w:jc w:val="center"/>
        </w:trPr>
        <w:tc>
          <w:tcPr>
            <w:tcW w:w="2045" w:type="dxa"/>
            <w:vAlign w:val="center"/>
          </w:tcPr>
          <w:p w14:paraId="7F786A0D">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第二章第9款</w:t>
            </w:r>
          </w:p>
        </w:tc>
        <w:tc>
          <w:tcPr>
            <w:tcW w:w="2335" w:type="dxa"/>
            <w:vAlign w:val="center"/>
          </w:tcPr>
          <w:p w14:paraId="3AD71F7F">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中小企业其他规定</w:t>
            </w:r>
          </w:p>
        </w:tc>
        <w:tc>
          <w:tcPr>
            <w:tcW w:w="5826" w:type="dxa"/>
            <w:vAlign w:val="center"/>
          </w:tcPr>
          <w:p w14:paraId="226695D6">
            <w:pPr>
              <w:wordWrap w:val="0"/>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本次采购标的</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古丈县古阳镇柑子坪村通组公路硬化项目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按中小企业划分标准（工信部企业〔2011〕300号）执行，所属行业：</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建筑业</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rPr>
              <w:t>。</w:t>
            </w:r>
          </w:p>
          <w:p w14:paraId="3646D108">
            <w:pPr>
              <w:keepNext w:val="0"/>
              <w:keepLines w:val="0"/>
              <w:pageBreakBefore w:val="0"/>
              <w:widowControl w:val="0"/>
              <w:kinsoku/>
              <w:overflow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c>
      </w:tr>
      <w:tr w14:paraId="29A277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2045" w:type="dxa"/>
            <w:vMerge w:val="restart"/>
            <w:vAlign w:val="center"/>
          </w:tcPr>
          <w:p w14:paraId="38B981FE">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第二章第42.1款</w:t>
            </w:r>
          </w:p>
        </w:tc>
        <w:tc>
          <w:tcPr>
            <w:tcW w:w="2335" w:type="dxa"/>
            <w:vMerge w:val="restart"/>
            <w:vAlign w:val="center"/>
          </w:tcPr>
          <w:p w14:paraId="021C0F8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其他规定</w:t>
            </w:r>
          </w:p>
        </w:tc>
        <w:tc>
          <w:tcPr>
            <w:tcW w:w="5826" w:type="dxa"/>
            <w:vAlign w:val="center"/>
          </w:tcPr>
          <w:p w14:paraId="1D4151A9">
            <w:pPr>
              <w:keepNext w:val="0"/>
              <w:keepLines w:val="0"/>
              <w:pageBreakBefore w:val="0"/>
              <w:widowControl w:val="0"/>
              <w:kinsoku/>
              <w:overflow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1、中标人在领取中标通知书时，须递交二份（不分正副本，至少包含一份原件或彩色扫描件）胶装完好的纸质投标文件，U盘一个，否则不予办理相关手续。</w:t>
            </w:r>
          </w:p>
        </w:tc>
      </w:tr>
      <w:tr w14:paraId="356ED6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2045" w:type="dxa"/>
            <w:vMerge w:val="continue"/>
            <w:tcBorders>
              <w:bottom w:val="double" w:color="auto" w:sz="4" w:space="0"/>
            </w:tcBorders>
            <w:vAlign w:val="center"/>
          </w:tcPr>
          <w:p w14:paraId="742F793B">
            <w:pPr>
              <w:keepNext w:val="0"/>
              <w:keepLines w:val="0"/>
              <w:pageBreakBefore w:val="0"/>
              <w:widowControl w:val="0"/>
              <w:kinsoku/>
              <w:overflowPunct/>
              <w:autoSpaceDE/>
              <w:autoSpaceDN/>
              <w:bidi w:val="0"/>
              <w:adjustRightInd w:val="0"/>
              <w:snapToGrid w:val="0"/>
              <w:spacing w:line="360" w:lineRule="auto"/>
              <w:ind w:left="0" w:leftChars="0"/>
              <w:jc w:val="center"/>
              <w:textAlignment w:val="auto"/>
              <w:rPr>
                <w:rFonts w:hint="eastAsia" w:ascii="宋体" w:hAnsi="宋体" w:eastAsia="宋体" w:cs="宋体"/>
                <w:color w:val="auto"/>
                <w:sz w:val="24"/>
                <w:szCs w:val="24"/>
                <w:highlight w:val="none"/>
              </w:rPr>
            </w:pPr>
          </w:p>
        </w:tc>
        <w:tc>
          <w:tcPr>
            <w:tcW w:w="2335" w:type="dxa"/>
            <w:vMerge w:val="continue"/>
            <w:tcBorders>
              <w:bottom w:val="double" w:color="auto" w:sz="4" w:space="0"/>
            </w:tcBorders>
            <w:vAlign w:val="center"/>
          </w:tcPr>
          <w:p w14:paraId="1C7151E0">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rPr>
            </w:pPr>
          </w:p>
        </w:tc>
        <w:tc>
          <w:tcPr>
            <w:tcW w:w="5826" w:type="dxa"/>
            <w:tcBorders>
              <w:bottom w:val="double" w:color="auto" w:sz="4" w:space="0"/>
            </w:tcBorders>
            <w:vAlign w:val="center"/>
          </w:tcPr>
          <w:p w14:paraId="3997C2A7">
            <w:pPr>
              <w:keepNext w:val="0"/>
              <w:keepLines w:val="0"/>
              <w:pageBreakBefore w:val="0"/>
              <w:widowControl w:val="0"/>
              <w:kinsoku/>
              <w:overflowPunct/>
              <w:autoSpaceDE/>
              <w:autoSpaceDN/>
              <w:bidi w:val="0"/>
              <w:adjustRightInd w:val="0"/>
              <w:snapToGrid w:val="0"/>
              <w:spacing w:line="360" w:lineRule="auto"/>
              <w:ind w:left="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、招标代理服务费：</w:t>
            </w:r>
            <w:r>
              <w:rPr>
                <w:rFonts w:hint="eastAsia" w:ascii="宋体" w:hAnsi="宋体" w:cs="宋体"/>
                <w:b/>
                <w:bCs/>
                <w:color w:val="auto"/>
                <w:sz w:val="24"/>
                <w:highlight w:val="none"/>
                <w:lang w:val="en-US" w:eastAsia="zh-CN"/>
              </w:rPr>
              <w:t>20500.00</w:t>
            </w:r>
            <w:r>
              <w:rPr>
                <w:rFonts w:hint="eastAsia" w:ascii="宋体" w:hAnsi="宋体" w:eastAsia="宋体" w:cs="宋体"/>
                <w:b/>
                <w:bCs/>
                <w:color w:val="auto"/>
                <w:sz w:val="24"/>
                <w:highlight w:val="none"/>
                <w:lang w:val="en-US" w:eastAsia="zh-CN"/>
              </w:rPr>
              <w:t>元</w:t>
            </w:r>
            <w:bookmarkStart w:id="294" w:name="_GoBack"/>
            <w:bookmarkEnd w:id="294"/>
            <w:r>
              <w:rPr>
                <w:rFonts w:hint="eastAsia" w:ascii="宋体" w:hAnsi="宋体" w:eastAsia="宋体" w:cs="宋体"/>
                <w:b/>
                <w:bCs/>
                <w:color w:val="auto"/>
                <w:sz w:val="24"/>
                <w:highlight w:val="none"/>
                <w:lang w:val="en-US" w:eastAsia="zh-CN"/>
              </w:rPr>
              <w:t>，</w:t>
            </w:r>
            <w:r>
              <w:rPr>
                <w:rFonts w:hint="eastAsia" w:ascii="宋体" w:hAnsi="宋体" w:eastAsia="宋体" w:cs="宋体"/>
                <w:b/>
                <w:bCs/>
                <w:color w:val="auto"/>
                <w:sz w:val="24"/>
                <w:highlight w:val="none"/>
                <w:u w:val="none"/>
                <w:lang w:val="en-US" w:eastAsia="zh-CN"/>
              </w:rPr>
              <w:t>由</w:t>
            </w:r>
            <w:r>
              <w:rPr>
                <w:rFonts w:hint="eastAsia" w:ascii="宋体" w:hAnsi="宋体" w:cs="宋体"/>
                <w:b/>
                <w:bCs/>
                <w:color w:val="auto"/>
                <w:sz w:val="24"/>
                <w:highlight w:val="none"/>
                <w:u w:val="none"/>
                <w:lang w:val="en-US" w:eastAsia="zh-CN"/>
              </w:rPr>
              <w:t>采购人</w:t>
            </w:r>
            <w:r>
              <w:rPr>
                <w:rFonts w:hint="eastAsia" w:ascii="宋体" w:hAnsi="宋体" w:eastAsia="宋体" w:cs="宋体"/>
                <w:b/>
                <w:bCs/>
                <w:color w:val="auto"/>
                <w:sz w:val="24"/>
                <w:highlight w:val="none"/>
                <w:u w:val="none"/>
                <w:lang w:val="en-US" w:eastAsia="zh-CN"/>
              </w:rPr>
              <w:t>支付。</w:t>
            </w:r>
          </w:p>
        </w:tc>
      </w:tr>
    </w:tbl>
    <w:p w14:paraId="7E61419E">
      <w:pPr>
        <w:keepNext w:val="0"/>
        <w:keepLines w:val="0"/>
        <w:pageBreakBefore w:val="0"/>
        <w:widowControl w:val="0"/>
        <w:kinsoku/>
        <w:overflowPunct/>
        <w:bidi w:val="0"/>
        <w:textAlignment w:val="auto"/>
        <w:rPr>
          <w:rFonts w:hint="eastAsia" w:ascii="宋体" w:hAnsi="宋体" w:eastAsia="宋体" w:cs="宋体"/>
          <w:b/>
          <w:bCs/>
          <w:color w:val="auto"/>
          <w:sz w:val="21"/>
          <w:szCs w:val="21"/>
          <w:highlight w:val="none"/>
          <w:shd w:val="clear"/>
          <w:lang w:eastAsia="zh-CN"/>
        </w:rPr>
      </w:pPr>
    </w:p>
    <w:p w14:paraId="70799381">
      <w:pPr>
        <w:keepNext w:val="0"/>
        <w:keepLines w:val="0"/>
        <w:pageBreakBefore w:val="0"/>
        <w:widowControl w:val="0"/>
        <w:kinsoku/>
        <w:overflowPunct/>
        <w:bidi w:val="0"/>
        <w:textAlignment w:val="auto"/>
        <w:rPr>
          <w:rFonts w:hint="eastAsia" w:ascii="宋体" w:hAnsi="宋体" w:eastAsia="宋体" w:cs="宋体"/>
          <w:b/>
          <w:bCs/>
          <w:color w:val="auto"/>
          <w:sz w:val="24"/>
          <w:szCs w:val="24"/>
          <w:highlight w:val="none"/>
          <w:shd w:val="clear"/>
          <w:lang w:eastAsia="zh-CN"/>
        </w:rPr>
      </w:pPr>
      <w:r>
        <w:rPr>
          <w:rFonts w:hint="eastAsia" w:ascii="宋体" w:hAnsi="宋体" w:eastAsia="宋体" w:cs="宋体"/>
          <w:b/>
          <w:bCs/>
          <w:color w:val="auto"/>
          <w:sz w:val="24"/>
          <w:szCs w:val="24"/>
          <w:highlight w:val="none"/>
          <w:shd w:val="clear"/>
          <w:lang w:eastAsia="zh-CN"/>
        </w:rPr>
        <w:t>备注：若</w:t>
      </w:r>
      <w:r>
        <w:rPr>
          <w:rFonts w:hint="eastAsia" w:ascii="宋体" w:hAnsi="宋体" w:eastAsia="宋体" w:cs="宋体"/>
          <w:b/>
          <w:bCs/>
          <w:color w:val="auto"/>
          <w:sz w:val="24"/>
          <w:szCs w:val="24"/>
          <w:highlight w:val="none"/>
          <w:shd w:val="clear"/>
          <w:lang w:val="en-US" w:eastAsia="zh-CN"/>
        </w:rPr>
        <w:t>磋商</w:t>
      </w:r>
      <w:r>
        <w:rPr>
          <w:rFonts w:hint="eastAsia" w:ascii="宋体" w:hAnsi="宋体" w:eastAsia="宋体" w:cs="宋体"/>
          <w:b/>
          <w:bCs/>
          <w:color w:val="auto"/>
          <w:sz w:val="24"/>
          <w:szCs w:val="24"/>
          <w:highlight w:val="none"/>
          <w:shd w:val="clear"/>
          <w:lang w:eastAsia="zh-CN"/>
        </w:rPr>
        <w:t>文件中有前后不一致的地方，以此前附表中内容为准。</w:t>
      </w:r>
    </w:p>
    <w:p w14:paraId="54343DF1">
      <w:pPr>
        <w:rPr>
          <w:rFonts w:hint="eastAsia" w:ascii="宋体" w:hAnsi="宋体" w:eastAsia="宋体" w:cs="宋体"/>
          <w:color w:val="auto"/>
          <w:spacing w:val="-1"/>
          <w:sz w:val="28"/>
          <w:szCs w:val="28"/>
          <w:highlight w:val="none"/>
        </w:rPr>
      </w:pPr>
    </w:p>
    <w:p w14:paraId="0640AE73">
      <w:pP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br w:type="page"/>
      </w:r>
    </w:p>
    <w:p w14:paraId="09C8FF48">
      <w:pPr>
        <w:pStyle w:val="4"/>
        <w:bidi w:val="0"/>
        <w:rPr>
          <w:rFonts w:hint="eastAsia" w:asciiTheme="minorEastAsia" w:hAnsiTheme="minorEastAsia" w:eastAsiaTheme="minorEastAsia" w:cstheme="minorEastAsia"/>
          <w:color w:val="auto"/>
          <w:sz w:val="24"/>
          <w:szCs w:val="24"/>
          <w:lang w:val="en-US" w:eastAsia="zh-CN"/>
        </w:rPr>
      </w:pPr>
      <w:bookmarkStart w:id="77" w:name="_Toc31400"/>
      <w:r>
        <w:rPr>
          <w:rFonts w:hint="eastAsia" w:asciiTheme="minorEastAsia" w:hAnsiTheme="minorEastAsia" w:eastAsiaTheme="minorEastAsia" w:cstheme="minorEastAsia"/>
          <w:color w:val="auto"/>
          <w:sz w:val="24"/>
          <w:szCs w:val="24"/>
          <w:lang w:val="en-US" w:eastAsia="zh-CN"/>
        </w:rPr>
        <w:t>附页1：湖南省政府采购支持小企业融资合作银行及联系人名单</w:t>
      </w:r>
      <w:bookmarkEnd w:id="77"/>
    </w:p>
    <w:p w14:paraId="4CE4BAD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湖南省政府采购支持小企业融资合作银行及联系人名单</w:t>
      </w:r>
    </w:p>
    <w:tbl>
      <w:tblPr>
        <w:tblStyle w:val="22"/>
        <w:tblW w:w="4998"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967"/>
        <w:gridCol w:w="1337"/>
        <w:gridCol w:w="3469"/>
        <w:gridCol w:w="2185"/>
      </w:tblGrid>
      <w:tr w14:paraId="7AC2E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489" w:type="pct"/>
            <w:tcBorders>
              <w:top w:val="double" w:color="auto" w:sz="4" w:space="0"/>
            </w:tcBorders>
            <w:vAlign w:val="center"/>
          </w:tcPr>
          <w:p w14:paraId="2A491FD2">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银行名称</w:t>
            </w:r>
          </w:p>
        </w:tc>
        <w:tc>
          <w:tcPr>
            <w:tcW w:w="671" w:type="pct"/>
            <w:tcBorders>
              <w:top w:val="double" w:color="auto" w:sz="4" w:space="0"/>
            </w:tcBorders>
            <w:vAlign w:val="center"/>
          </w:tcPr>
          <w:p w14:paraId="22C2D62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联系人</w:t>
            </w:r>
          </w:p>
        </w:tc>
        <w:tc>
          <w:tcPr>
            <w:tcW w:w="1741" w:type="pct"/>
            <w:tcBorders>
              <w:top w:val="double" w:color="auto" w:sz="4" w:space="0"/>
            </w:tcBorders>
            <w:vAlign w:val="center"/>
          </w:tcPr>
          <w:p w14:paraId="50E9B228">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职 务</w:t>
            </w:r>
          </w:p>
        </w:tc>
        <w:tc>
          <w:tcPr>
            <w:tcW w:w="1096" w:type="pct"/>
            <w:tcBorders>
              <w:top w:val="double" w:color="auto" w:sz="4" w:space="0"/>
            </w:tcBorders>
            <w:vAlign w:val="center"/>
          </w:tcPr>
          <w:p w14:paraId="6B90D00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联系电话</w:t>
            </w:r>
          </w:p>
        </w:tc>
      </w:tr>
      <w:tr w14:paraId="18A0E2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489" w:type="pct"/>
            <w:vAlign w:val="center"/>
          </w:tcPr>
          <w:p w14:paraId="6066B454">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交通银行湖南省分行</w:t>
            </w:r>
          </w:p>
        </w:tc>
        <w:tc>
          <w:tcPr>
            <w:tcW w:w="671" w:type="pct"/>
            <w:vAlign w:val="center"/>
          </w:tcPr>
          <w:p w14:paraId="4470640D">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刘  波</w:t>
            </w:r>
          </w:p>
        </w:tc>
        <w:tc>
          <w:tcPr>
            <w:tcW w:w="1741" w:type="pct"/>
            <w:vAlign w:val="center"/>
          </w:tcPr>
          <w:p w14:paraId="24E0438C">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名城支行客户经理</w:t>
            </w:r>
          </w:p>
        </w:tc>
        <w:tc>
          <w:tcPr>
            <w:tcW w:w="1096" w:type="pct"/>
            <w:vAlign w:val="center"/>
          </w:tcPr>
          <w:p w14:paraId="76843AF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13874998873</w:t>
            </w:r>
          </w:p>
        </w:tc>
      </w:tr>
      <w:tr w14:paraId="15FE0A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1489" w:type="pct"/>
            <w:vAlign w:val="center"/>
          </w:tcPr>
          <w:p w14:paraId="5344AF0C">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交通银行湖南省分行</w:t>
            </w:r>
          </w:p>
        </w:tc>
        <w:tc>
          <w:tcPr>
            <w:tcW w:w="671" w:type="pct"/>
            <w:vAlign w:val="center"/>
          </w:tcPr>
          <w:p w14:paraId="420FE77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肖勇光</w:t>
            </w:r>
          </w:p>
        </w:tc>
        <w:tc>
          <w:tcPr>
            <w:tcW w:w="1741" w:type="pct"/>
            <w:vAlign w:val="center"/>
          </w:tcPr>
          <w:p w14:paraId="209BEEE0">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分行高级经理</w:t>
            </w:r>
          </w:p>
        </w:tc>
        <w:tc>
          <w:tcPr>
            <w:tcW w:w="1096" w:type="pct"/>
            <w:vAlign w:val="center"/>
          </w:tcPr>
          <w:p w14:paraId="74029803">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13755192647</w:t>
            </w:r>
          </w:p>
        </w:tc>
      </w:tr>
      <w:tr w14:paraId="1E4D8F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489" w:type="pct"/>
            <w:vAlign w:val="center"/>
          </w:tcPr>
          <w:p w14:paraId="1BB921F7">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中国民生银行长沙分行</w:t>
            </w:r>
          </w:p>
        </w:tc>
        <w:tc>
          <w:tcPr>
            <w:tcW w:w="671" w:type="pct"/>
            <w:vAlign w:val="center"/>
          </w:tcPr>
          <w:p w14:paraId="6799AFA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黄飞燕</w:t>
            </w:r>
          </w:p>
        </w:tc>
        <w:tc>
          <w:tcPr>
            <w:tcW w:w="1741" w:type="pct"/>
            <w:vAlign w:val="center"/>
          </w:tcPr>
          <w:p w14:paraId="77751F00">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营业部总经理</w:t>
            </w:r>
          </w:p>
        </w:tc>
        <w:tc>
          <w:tcPr>
            <w:tcW w:w="1096" w:type="pct"/>
            <w:vAlign w:val="center"/>
          </w:tcPr>
          <w:p w14:paraId="5BF85E2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13308463468</w:t>
            </w:r>
          </w:p>
        </w:tc>
      </w:tr>
      <w:tr w14:paraId="389F9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489" w:type="pct"/>
            <w:vAlign w:val="center"/>
          </w:tcPr>
          <w:p w14:paraId="33516EAE">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中国民生银行长沙分行</w:t>
            </w:r>
          </w:p>
        </w:tc>
        <w:tc>
          <w:tcPr>
            <w:tcW w:w="671" w:type="pct"/>
            <w:vAlign w:val="center"/>
          </w:tcPr>
          <w:p w14:paraId="7E5B790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蒋寒奇</w:t>
            </w:r>
          </w:p>
        </w:tc>
        <w:tc>
          <w:tcPr>
            <w:tcW w:w="1741" w:type="pct"/>
            <w:vAlign w:val="center"/>
          </w:tcPr>
          <w:p w14:paraId="03C2F794">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营业部中小企业客户经理</w:t>
            </w:r>
          </w:p>
        </w:tc>
        <w:tc>
          <w:tcPr>
            <w:tcW w:w="1096" w:type="pct"/>
            <w:vAlign w:val="center"/>
          </w:tcPr>
          <w:p w14:paraId="12B61751">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13548982975</w:t>
            </w:r>
          </w:p>
        </w:tc>
      </w:tr>
      <w:tr w14:paraId="157A19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1489" w:type="pct"/>
            <w:vAlign w:val="center"/>
          </w:tcPr>
          <w:p w14:paraId="4BB203CF">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兴业银行长沙分行</w:t>
            </w:r>
          </w:p>
        </w:tc>
        <w:tc>
          <w:tcPr>
            <w:tcW w:w="671" w:type="pct"/>
            <w:vAlign w:val="center"/>
          </w:tcPr>
          <w:p w14:paraId="612F458E">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刘栅延</w:t>
            </w:r>
          </w:p>
        </w:tc>
        <w:tc>
          <w:tcPr>
            <w:tcW w:w="1741" w:type="pct"/>
            <w:vAlign w:val="center"/>
          </w:tcPr>
          <w:p w14:paraId="0A09714D">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支行行长</w:t>
            </w:r>
          </w:p>
        </w:tc>
        <w:tc>
          <w:tcPr>
            <w:tcW w:w="1096" w:type="pct"/>
            <w:vAlign w:val="center"/>
          </w:tcPr>
          <w:p w14:paraId="0BB02F0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13337316405</w:t>
            </w:r>
          </w:p>
        </w:tc>
      </w:tr>
      <w:tr w14:paraId="0688A0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489" w:type="pct"/>
            <w:vAlign w:val="center"/>
          </w:tcPr>
          <w:p w14:paraId="36430777">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兴业银行长沙分行</w:t>
            </w:r>
          </w:p>
        </w:tc>
        <w:tc>
          <w:tcPr>
            <w:tcW w:w="671" w:type="pct"/>
            <w:vAlign w:val="center"/>
          </w:tcPr>
          <w:p w14:paraId="6E99A868">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蒋修远</w:t>
            </w:r>
          </w:p>
        </w:tc>
        <w:tc>
          <w:tcPr>
            <w:tcW w:w="1741" w:type="pct"/>
            <w:vAlign w:val="center"/>
          </w:tcPr>
          <w:p w14:paraId="34A75D57">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支行客户经理</w:t>
            </w:r>
          </w:p>
        </w:tc>
        <w:tc>
          <w:tcPr>
            <w:tcW w:w="1096" w:type="pct"/>
            <w:vAlign w:val="center"/>
          </w:tcPr>
          <w:p w14:paraId="1354C022">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18607310422</w:t>
            </w:r>
          </w:p>
        </w:tc>
      </w:tr>
      <w:tr w14:paraId="56961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1489" w:type="pct"/>
            <w:vAlign w:val="center"/>
          </w:tcPr>
          <w:p w14:paraId="29C7A4F0">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中国光大银行长沙分行</w:t>
            </w:r>
          </w:p>
        </w:tc>
        <w:tc>
          <w:tcPr>
            <w:tcW w:w="671" w:type="pct"/>
            <w:vAlign w:val="center"/>
          </w:tcPr>
          <w:p w14:paraId="00215785">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邓永胜</w:t>
            </w:r>
          </w:p>
        </w:tc>
        <w:tc>
          <w:tcPr>
            <w:tcW w:w="1741" w:type="pct"/>
            <w:vAlign w:val="center"/>
          </w:tcPr>
          <w:p w14:paraId="48C67EAB">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岳麓支行副行长</w:t>
            </w:r>
          </w:p>
        </w:tc>
        <w:tc>
          <w:tcPr>
            <w:tcW w:w="1096" w:type="pct"/>
            <w:vAlign w:val="center"/>
          </w:tcPr>
          <w:p w14:paraId="0E0868E3">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13617319650</w:t>
            </w:r>
          </w:p>
        </w:tc>
      </w:tr>
      <w:tr w14:paraId="352869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1489" w:type="pct"/>
            <w:vAlign w:val="center"/>
          </w:tcPr>
          <w:p w14:paraId="22105AD3">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中信银行长沙分行</w:t>
            </w:r>
          </w:p>
        </w:tc>
        <w:tc>
          <w:tcPr>
            <w:tcW w:w="671" w:type="pct"/>
            <w:vAlign w:val="center"/>
          </w:tcPr>
          <w:p w14:paraId="2A19D36C">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蔡学军</w:t>
            </w:r>
          </w:p>
        </w:tc>
        <w:tc>
          <w:tcPr>
            <w:tcW w:w="1741" w:type="pct"/>
            <w:vAlign w:val="center"/>
          </w:tcPr>
          <w:p w14:paraId="21AC851E">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公司银行部负责人</w:t>
            </w:r>
          </w:p>
        </w:tc>
        <w:tc>
          <w:tcPr>
            <w:tcW w:w="1096" w:type="pct"/>
            <w:vAlign w:val="center"/>
          </w:tcPr>
          <w:p w14:paraId="5B268C2E">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13055167195</w:t>
            </w:r>
          </w:p>
        </w:tc>
      </w:tr>
      <w:tr w14:paraId="199625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489" w:type="pct"/>
            <w:tcBorders>
              <w:bottom w:val="double" w:color="auto" w:sz="4" w:space="0"/>
            </w:tcBorders>
            <w:vAlign w:val="center"/>
          </w:tcPr>
          <w:p w14:paraId="0A6398B5">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中信银行长沙分行</w:t>
            </w:r>
          </w:p>
        </w:tc>
        <w:tc>
          <w:tcPr>
            <w:tcW w:w="671" w:type="pct"/>
            <w:tcBorders>
              <w:bottom w:val="double" w:color="auto" w:sz="4" w:space="0"/>
            </w:tcBorders>
            <w:vAlign w:val="center"/>
          </w:tcPr>
          <w:p w14:paraId="39257F39">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宋学农</w:t>
            </w:r>
          </w:p>
        </w:tc>
        <w:tc>
          <w:tcPr>
            <w:tcW w:w="1741" w:type="pct"/>
            <w:tcBorders>
              <w:bottom w:val="double" w:color="auto" w:sz="4" w:space="0"/>
            </w:tcBorders>
            <w:vAlign w:val="center"/>
          </w:tcPr>
          <w:p w14:paraId="1057EDD9">
            <w:pPr>
              <w:keepNext w:val="0"/>
              <w:keepLines w:val="0"/>
              <w:pageBreakBefore w:val="0"/>
              <w:widowControl w:val="0"/>
              <w:kinsoku/>
              <w:overflowPunct/>
              <w:bidi w:val="0"/>
              <w:adjustRightInd w:val="0"/>
              <w:snapToGrid w:val="0"/>
              <w:spacing w:beforeLines="5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银行部综合管理部副总经理</w:t>
            </w:r>
          </w:p>
        </w:tc>
        <w:tc>
          <w:tcPr>
            <w:tcW w:w="1096" w:type="pct"/>
            <w:tcBorders>
              <w:bottom w:val="double" w:color="auto" w:sz="4" w:space="0"/>
            </w:tcBorders>
            <w:vAlign w:val="center"/>
          </w:tcPr>
          <w:p w14:paraId="2B3A03FF">
            <w:pPr>
              <w:keepNext w:val="0"/>
              <w:keepLines w:val="0"/>
              <w:pageBreakBefore w:val="0"/>
              <w:widowControl w:val="0"/>
              <w:kinsoku/>
              <w:overflowPunct/>
              <w:bidi w:val="0"/>
              <w:adjustRightInd w:val="0"/>
              <w:snapToGrid w:val="0"/>
              <w:spacing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0731-845822141</w:t>
            </w:r>
          </w:p>
        </w:tc>
      </w:tr>
    </w:tbl>
    <w:p w14:paraId="6752D567">
      <w:pPr>
        <w:keepNext w:val="0"/>
        <w:keepLines w:val="0"/>
        <w:pageBreakBefore w:val="0"/>
        <w:widowControl w:val="0"/>
        <w:kinsoku/>
        <w:overflowPunct/>
        <w:bidi w:val="0"/>
        <w:adjustRightInd w:val="0"/>
        <w:snapToGrid w:val="0"/>
        <w:spacing w:line="360" w:lineRule="auto"/>
        <w:textAlignment w:val="auto"/>
        <w:rPr>
          <w:rFonts w:hint="eastAsia" w:ascii="宋体" w:hAnsi="宋体" w:eastAsia="宋体" w:cs="宋体"/>
          <w:b/>
          <w:bCs/>
          <w:color w:val="auto"/>
          <w:sz w:val="21"/>
          <w:szCs w:val="21"/>
          <w:highlight w:val="none"/>
        </w:rPr>
      </w:pPr>
    </w:p>
    <w:p w14:paraId="779E8769">
      <w:pPr>
        <w:keepNext w:val="0"/>
        <w:keepLines w:val="0"/>
        <w:pageBreakBefore w:val="0"/>
        <w:widowControl w:val="0"/>
        <w:kinsoku/>
        <w:overflowPunct/>
        <w:bidi w:val="0"/>
        <w:adjustRightInd w:val="0"/>
        <w:snapToGrid w:val="0"/>
        <w:spacing w:line="360" w:lineRule="auto"/>
        <w:textAlignment w:val="auto"/>
        <w:rPr>
          <w:rFonts w:hint="eastAsia" w:ascii="宋体" w:hAnsi="宋体" w:eastAsia="宋体" w:cs="宋体"/>
          <w:b/>
          <w:bCs/>
          <w:color w:val="auto"/>
          <w:sz w:val="21"/>
          <w:szCs w:val="21"/>
          <w:highlight w:val="none"/>
        </w:rPr>
      </w:pPr>
    </w:p>
    <w:p w14:paraId="74363573">
      <w:pPr>
        <w:pStyle w:val="4"/>
        <w:bidi w:val="0"/>
        <w:rPr>
          <w:rFonts w:hint="eastAsia" w:asciiTheme="minorEastAsia" w:hAnsiTheme="minorEastAsia" w:eastAsiaTheme="minorEastAsia" w:cstheme="minorEastAsia"/>
          <w:color w:val="auto"/>
          <w:sz w:val="24"/>
          <w:szCs w:val="24"/>
          <w:lang w:val="en-US" w:eastAsia="zh-CN"/>
        </w:rPr>
      </w:pPr>
      <w:bookmarkStart w:id="78" w:name="_Toc29694"/>
      <w:r>
        <w:rPr>
          <w:rFonts w:hint="eastAsia" w:asciiTheme="minorEastAsia" w:hAnsiTheme="minorEastAsia" w:eastAsiaTheme="minorEastAsia" w:cstheme="minorEastAsia"/>
          <w:color w:val="auto"/>
          <w:sz w:val="24"/>
          <w:szCs w:val="24"/>
          <w:lang w:val="en-US" w:eastAsia="zh-CN"/>
        </w:rPr>
        <w:t>附页2：湖南省政府采购信用担保试点工作的信用担保机构名单</w:t>
      </w:r>
      <w:bookmarkEnd w:id="78"/>
    </w:p>
    <w:p w14:paraId="544DCEEB">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湖南省政府采购信用担保试点工作的</w:t>
      </w:r>
      <w:r>
        <w:rPr>
          <w:rFonts w:hint="eastAsia" w:ascii="宋体" w:hAnsi="宋体" w:eastAsia="宋体" w:cs="宋体"/>
          <w:b/>
          <w:bCs/>
          <w:color w:val="auto"/>
          <w:sz w:val="24"/>
          <w:szCs w:val="24"/>
          <w:highlight w:val="none"/>
        </w:rPr>
        <w:t>信用担保机构名单</w:t>
      </w:r>
    </w:p>
    <w:tbl>
      <w:tblPr>
        <w:tblStyle w:val="22"/>
        <w:tblW w:w="4998"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863"/>
        <w:gridCol w:w="1215"/>
        <w:gridCol w:w="3880"/>
      </w:tblGrid>
      <w:tr w14:paraId="6ABEC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2441" w:type="pct"/>
            <w:tcBorders>
              <w:top w:val="double" w:color="auto" w:sz="4" w:space="0"/>
            </w:tcBorders>
            <w:vAlign w:val="center"/>
          </w:tcPr>
          <w:p w14:paraId="16ABB9D1">
            <w:pPr>
              <w:keepNext w:val="0"/>
              <w:keepLines w:val="0"/>
              <w:pageBreakBefore w:val="0"/>
              <w:widowControl w:val="0"/>
              <w:kinsoku/>
              <w:overflowPunct/>
              <w:bidi w:val="0"/>
              <w:adjustRightInd w:val="0"/>
              <w:snapToGrid w:val="0"/>
              <w:spacing w:line="24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信用担保机构</w:t>
            </w:r>
          </w:p>
        </w:tc>
        <w:tc>
          <w:tcPr>
            <w:tcW w:w="610" w:type="pct"/>
            <w:tcBorders>
              <w:top w:val="double" w:color="auto" w:sz="4" w:space="0"/>
            </w:tcBorders>
            <w:vAlign w:val="center"/>
          </w:tcPr>
          <w:p w14:paraId="2523B21B">
            <w:pPr>
              <w:keepNext w:val="0"/>
              <w:keepLines w:val="0"/>
              <w:pageBreakBefore w:val="0"/>
              <w:widowControl w:val="0"/>
              <w:kinsoku/>
              <w:overflowPunct/>
              <w:bidi w:val="0"/>
              <w:adjustRightInd w:val="0"/>
              <w:snapToGrid w:val="0"/>
              <w:spacing w:line="24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联系人</w:t>
            </w:r>
          </w:p>
        </w:tc>
        <w:tc>
          <w:tcPr>
            <w:tcW w:w="1947" w:type="pct"/>
            <w:tcBorders>
              <w:top w:val="double" w:color="auto" w:sz="4" w:space="0"/>
            </w:tcBorders>
            <w:vAlign w:val="center"/>
          </w:tcPr>
          <w:p w14:paraId="1538DD49">
            <w:pPr>
              <w:keepNext w:val="0"/>
              <w:keepLines w:val="0"/>
              <w:pageBreakBefore w:val="0"/>
              <w:widowControl w:val="0"/>
              <w:kinsoku/>
              <w:overflowPunct/>
              <w:bidi w:val="0"/>
              <w:adjustRightInd w:val="0"/>
              <w:snapToGrid w:val="0"/>
              <w:spacing w:line="24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联系电话</w:t>
            </w:r>
          </w:p>
        </w:tc>
      </w:tr>
      <w:tr w14:paraId="3E46F1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2441" w:type="pct"/>
            <w:vAlign w:val="center"/>
          </w:tcPr>
          <w:p w14:paraId="16317C8E">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中国投资担保公司</w:t>
            </w:r>
          </w:p>
        </w:tc>
        <w:tc>
          <w:tcPr>
            <w:tcW w:w="610" w:type="pct"/>
            <w:vAlign w:val="center"/>
          </w:tcPr>
          <w:p w14:paraId="627CB4DF">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何  嘉</w:t>
            </w:r>
          </w:p>
        </w:tc>
        <w:tc>
          <w:tcPr>
            <w:tcW w:w="1947" w:type="pct"/>
            <w:vAlign w:val="center"/>
          </w:tcPr>
          <w:p w14:paraId="37EC142D">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010-88822659/13718642233</w:t>
            </w:r>
          </w:p>
        </w:tc>
      </w:tr>
      <w:tr w14:paraId="3147D9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2441" w:type="pct"/>
            <w:vAlign w:val="center"/>
          </w:tcPr>
          <w:p w14:paraId="12490421">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湖南省中小企业信用担保有限责任公司</w:t>
            </w:r>
          </w:p>
        </w:tc>
        <w:tc>
          <w:tcPr>
            <w:tcW w:w="610" w:type="pct"/>
            <w:vAlign w:val="center"/>
          </w:tcPr>
          <w:p w14:paraId="2C3B2E95">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蔡建雄</w:t>
            </w:r>
          </w:p>
        </w:tc>
        <w:tc>
          <w:tcPr>
            <w:tcW w:w="1947" w:type="pct"/>
            <w:vAlign w:val="center"/>
          </w:tcPr>
          <w:p w14:paraId="349272B5">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0731-84172390-201/15573193555</w:t>
            </w:r>
          </w:p>
        </w:tc>
      </w:tr>
      <w:tr w14:paraId="0C0AD9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2441" w:type="pct"/>
            <w:tcBorders>
              <w:bottom w:val="double" w:color="auto" w:sz="4" w:space="0"/>
            </w:tcBorders>
            <w:vAlign w:val="center"/>
          </w:tcPr>
          <w:p w14:paraId="4AA38895">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湖南农业信用担保有限公司</w:t>
            </w:r>
          </w:p>
        </w:tc>
        <w:tc>
          <w:tcPr>
            <w:tcW w:w="610" w:type="pct"/>
            <w:tcBorders>
              <w:bottom w:val="double" w:color="auto" w:sz="4" w:space="0"/>
            </w:tcBorders>
            <w:vAlign w:val="center"/>
          </w:tcPr>
          <w:p w14:paraId="1FBC4CA2">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彭  球</w:t>
            </w:r>
          </w:p>
          <w:p w14:paraId="39D86A50">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邓霞英</w:t>
            </w:r>
          </w:p>
        </w:tc>
        <w:tc>
          <w:tcPr>
            <w:tcW w:w="1947" w:type="pct"/>
            <w:tcBorders>
              <w:bottom w:val="double" w:color="auto" w:sz="4" w:space="0"/>
            </w:tcBorders>
            <w:vAlign w:val="center"/>
          </w:tcPr>
          <w:p w14:paraId="594BE514">
            <w:pPr>
              <w:keepNext w:val="0"/>
              <w:keepLines w:val="0"/>
              <w:pageBreakBefore w:val="0"/>
              <w:widowControl w:val="0"/>
              <w:kinsoku/>
              <w:overflowPunct/>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0731-89761702/13875980906 0731-89761706/13574125851</w:t>
            </w:r>
          </w:p>
        </w:tc>
      </w:tr>
    </w:tbl>
    <w:p w14:paraId="0669C7DB">
      <w:pPr>
        <w:keepNext w:val="0"/>
        <w:keepLines w:val="0"/>
        <w:pageBreakBefore w:val="0"/>
        <w:widowControl w:val="0"/>
        <w:kinsoku/>
        <w:overflowPunct/>
        <w:bidi w:val="0"/>
        <w:adjustRightInd w:val="0"/>
        <w:snapToGrid w:val="0"/>
        <w:spacing w:line="360" w:lineRule="auto"/>
        <w:textAlignment w:val="auto"/>
        <w:rPr>
          <w:rFonts w:hint="eastAsia" w:ascii="宋体" w:hAnsi="宋体" w:eastAsia="宋体" w:cs="宋体"/>
          <w:b/>
          <w:bCs/>
          <w:color w:val="auto"/>
          <w:highlight w:val="none"/>
        </w:rPr>
        <w:sectPr>
          <w:headerReference r:id="rId7" w:type="default"/>
          <w:footerReference r:id="rId8" w:type="default"/>
          <w:pgSz w:w="11906" w:h="16838"/>
          <w:pgMar w:top="1440" w:right="1080" w:bottom="1440" w:left="1080" w:header="851" w:footer="992" w:gutter="0"/>
          <w:pgNumType w:fmt="decimal"/>
          <w:cols w:space="720" w:num="1"/>
          <w:docGrid w:type="lines" w:linePitch="312" w:charSpace="0"/>
        </w:sectPr>
      </w:pPr>
    </w:p>
    <w:p w14:paraId="61C4E214">
      <w:pPr>
        <w:pStyle w:val="4"/>
        <w:bidi w:val="0"/>
        <w:rPr>
          <w:rFonts w:hint="eastAsia" w:asciiTheme="minorEastAsia" w:hAnsiTheme="minorEastAsia" w:eastAsiaTheme="minorEastAsia" w:cstheme="minorEastAsia"/>
          <w:color w:val="auto"/>
          <w:sz w:val="24"/>
          <w:szCs w:val="24"/>
          <w:lang w:val="en-US" w:eastAsia="zh-CN"/>
        </w:rPr>
      </w:pPr>
      <w:bookmarkStart w:id="79" w:name="_Toc10973"/>
      <w:r>
        <w:rPr>
          <w:rFonts w:hint="eastAsia" w:asciiTheme="minorEastAsia" w:hAnsiTheme="minorEastAsia" w:eastAsiaTheme="minorEastAsia" w:cstheme="minorEastAsia"/>
          <w:color w:val="auto"/>
          <w:sz w:val="24"/>
          <w:szCs w:val="24"/>
          <w:lang w:val="en-US" w:eastAsia="zh-CN"/>
        </w:rPr>
        <w:t>附页3</w:t>
      </w:r>
      <w:bookmarkStart w:id="80" w:name="_Toc6601"/>
      <w:r>
        <w:rPr>
          <w:rFonts w:hint="eastAsia" w:asciiTheme="minorEastAsia" w:hAnsiTheme="minorEastAsia" w:eastAsiaTheme="minorEastAsia" w:cstheme="minorEastAsia"/>
          <w:color w:val="auto"/>
          <w:sz w:val="24"/>
          <w:szCs w:val="24"/>
          <w:lang w:val="en-US" w:eastAsia="zh-CN"/>
        </w:rPr>
        <w:t>：政府采购履约担保函</w:t>
      </w:r>
      <w:bookmarkEnd w:id="79"/>
    </w:p>
    <w:p w14:paraId="34FB94E7">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政府采购履约担保函</w:t>
      </w:r>
      <w:bookmarkEnd w:id="80"/>
    </w:p>
    <w:p w14:paraId="4FFE122A">
      <w:pPr>
        <w:bidi w:val="0"/>
        <w:rPr>
          <w:rFonts w:hint="eastAsia" w:ascii="宋体" w:hAnsi="宋体" w:eastAsia="宋体" w:cs="宋体"/>
          <w:color w:val="auto"/>
          <w:kern w:val="0"/>
          <w:sz w:val="24"/>
          <w:szCs w:val="24"/>
          <w:highlight w:val="none"/>
        </w:rPr>
      </w:pPr>
      <w:bookmarkStart w:id="81" w:name="_Toc1409"/>
      <w:bookmarkStart w:id="82" w:name="_Toc31906"/>
      <w:bookmarkStart w:id="83" w:name="_Toc16391"/>
      <w:r>
        <w:rPr>
          <w:rFonts w:hint="eastAsia" w:ascii="宋体" w:hAnsi="宋体" w:eastAsia="宋体" w:cs="宋体"/>
          <w:color w:val="auto"/>
          <w:kern w:val="0"/>
          <w:sz w:val="24"/>
          <w:szCs w:val="24"/>
          <w:highlight w:val="none"/>
        </w:rPr>
        <w:t>编号：</w:t>
      </w:r>
      <w:bookmarkEnd w:id="81"/>
      <w:bookmarkEnd w:id="82"/>
      <w:bookmarkEnd w:id="83"/>
      <w:r>
        <w:rPr>
          <w:rFonts w:hint="eastAsia" w:ascii="宋体" w:hAnsi="宋体" w:eastAsia="宋体" w:cs="宋体"/>
          <w:color w:val="auto"/>
          <w:kern w:val="0"/>
          <w:sz w:val="24"/>
          <w:szCs w:val="24"/>
          <w:highlight w:val="none"/>
          <w:u w:val="single"/>
        </w:rPr>
        <w:t xml:space="preserve">              </w:t>
      </w:r>
    </w:p>
    <w:p w14:paraId="6CD4AAA5">
      <w:pPr>
        <w:keepNext w:val="0"/>
        <w:keepLines w:val="0"/>
        <w:pageBreakBefore w:val="0"/>
        <w:widowControl w:val="0"/>
        <w:kinsoku/>
        <w:overflowPunct/>
        <w:bidi w:val="0"/>
        <w:adjustRightInd w:val="0"/>
        <w:snapToGrid w:val="0"/>
        <w:spacing w:line="28" w:lineRule="atLeas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（采购人）： </w:t>
      </w:r>
    </w:p>
    <w:p w14:paraId="2A2E14E6">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鉴于你方与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（以下简称供应商）于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日签定编号为</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政府采购合同》（以下简称主合同），且依据该合同的约定，供应商应在</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日前向你方交纳履约保证金，且可以履约担保函的形式交纳履约保证金。应供应商的申请，我方以保证的方式向你方提供如下履约保证金担保：</w:t>
      </w:r>
    </w:p>
    <w:p w14:paraId="6860FB25">
      <w:pPr>
        <w:keepNext w:val="0"/>
        <w:keepLines w:val="0"/>
        <w:pageBreakBefore w:val="0"/>
        <w:widowControl w:val="0"/>
        <w:kinsoku/>
        <w:overflowPunct/>
        <w:bidi w:val="0"/>
        <w:adjustRightInd w:val="0"/>
        <w:snapToGri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一、保证责任的情形及保证金额</w:t>
      </w:r>
    </w:p>
    <w:p w14:paraId="04DAE9FF">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（一）在供应商出现下列情形之一时，我方承担保证责任：</w:t>
      </w:r>
    </w:p>
    <w:p w14:paraId="50C9318A">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项目转让给他人，或者在投标文件中未说明，且未经采购人同意，将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项目分包给他人的；</w:t>
      </w:r>
    </w:p>
    <w:p w14:paraId="568529BE">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2．主合同约定的应当缴纳履约保证金的情形: </w:t>
      </w:r>
    </w:p>
    <w:p w14:paraId="0061948F">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（1）未按主合同约定的质量、数量和期限供应货物/提供服务/完成工程的；</w:t>
      </w:r>
    </w:p>
    <w:p w14:paraId="1D39764C">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2F0B5D70">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（二）我方的保证范围是主合同约定的合同价款总额的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%数额为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元（大写</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），币种为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。（即主合同履约保证金金额）</w:t>
      </w:r>
    </w:p>
    <w:p w14:paraId="7F7EEB2C">
      <w:pPr>
        <w:keepNext w:val="0"/>
        <w:keepLines w:val="0"/>
        <w:pageBreakBefore w:val="0"/>
        <w:widowControl w:val="0"/>
        <w:kinsoku/>
        <w:overflowPunct/>
        <w:bidi w:val="0"/>
        <w:adjustRightInd w:val="0"/>
        <w:snapToGri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二、保证的方式及保证期间 </w:t>
      </w:r>
    </w:p>
    <w:p w14:paraId="5F97AD5B">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我方保证的方式为：连带责任保证。</w:t>
      </w:r>
    </w:p>
    <w:p w14:paraId="387480DD">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我方保证的期间为：自本合同生效之日起至供应商按照主合同约定的供货/完工期限届满后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日内。</w:t>
      </w:r>
    </w:p>
    <w:p w14:paraId="76E3442E">
      <w:pPr>
        <w:keepNext w:val="0"/>
        <w:keepLines w:val="0"/>
        <w:pageBreakBefore w:val="0"/>
        <w:widowControl w:val="0"/>
        <w:kinsoku/>
        <w:overflowPunct/>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如果供应商未按主合同约定向贵方供应货物/提供服务/完成工程的，由我方在保证金额内向你方支付上述款项。</w:t>
      </w:r>
    </w:p>
    <w:p w14:paraId="2246C02B">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三、承担保证责任的程序</w:t>
      </w:r>
    </w:p>
    <w:p w14:paraId="620C1A1C">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 xml:space="preserve">1．你方要求我方承担保证责任的，应在本保函保证期间内向我方发出书面索赔通知。索赔通知应写明要求索赔的金额，支付款项应到达的帐号。并附有证明供应商违约事实的证明材料。 </w:t>
      </w:r>
    </w:p>
    <w:p w14:paraId="0000329C">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如果你方与供应商因货物质量问题产生争议，你方还需同时提供</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部门出具的质量检测报告，或经诉讼（仲裁）程序裁决后的裁决书、调解书，本保证人即按照检测结果或裁决书、调解书决定是否承担保证责任。</w:t>
      </w:r>
    </w:p>
    <w:p w14:paraId="5B2BFA23">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2．我方收到你方的书面索赔通知及相应证明材料，在</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工作日内进行核定后按照本保函的承诺承担保证责任。</w:t>
      </w:r>
    </w:p>
    <w:p w14:paraId="285F1CD5">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四、保证责任的终止</w:t>
      </w:r>
    </w:p>
    <w:p w14:paraId="639C7C5D">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338E8D55">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2．我方按照本保函向你方履行了保证责任后，自我方向你方支付款项（支付款项从我方账户划出）之日起，保证责任即终止。</w:t>
      </w:r>
    </w:p>
    <w:p w14:paraId="396508FD">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3．按照法律法规的规定或出现应终止我方保证责任的其它情形的，我方在本保函项下的保证责任亦终止。</w:t>
      </w:r>
    </w:p>
    <w:p w14:paraId="6D5D54C9">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7442D8E">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五、免责条款</w:t>
      </w:r>
    </w:p>
    <w:p w14:paraId="6E6CE07D">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1．因你方违反主合同约定致使供应商不能履行义务的，我方不承担保证责任。</w:t>
      </w:r>
    </w:p>
    <w:p w14:paraId="3DD37D87">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2．依照法律法规的规定或你方与供应商的另行约定，全部或者部分免除供应商应缴纳的保证金义务的，我方亦免除相应的保证责任。</w:t>
      </w:r>
    </w:p>
    <w:p w14:paraId="5A8A1BA0">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3．因不可抗力造成供应商不能履行供货义务的，我方不承担保证责任。</w:t>
      </w:r>
    </w:p>
    <w:p w14:paraId="0019B749">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六、争议的解决</w:t>
      </w:r>
    </w:p>
    <w:p w14:paraId="3F96743C">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因本保函发生的纠纷，由你我双方协商解决，协商不成的，通过诉讼程序解决，诉讼管辖地法院为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法院。</w:t>
      </w:r>
    </w:p>
    <w:p w14:paraId="6C906614">
      <w:pPr>
        <w:keepNext w:val="0"/>
        <w:keepLines w:val="0"/>
        <w:pageBreakBefore w:val="0"/>
        <w:widowControl w:val="0"/>
        <w:kinsoku/>
        <w:overflowPunct/>
        <w:bidi w:val="0"/>
        <w:adjustRightInd w:val="0"/>
        <w:snapToGrid w:val="0"/>
        <w:spacing w:line="336"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七、保函的生效</w:t>
      </w:r>
    </w:p>
    <w:p w14:paraId="3D84F008">
      <w:pPr>
        <w:keepNext w:val="0"/>
        <w:keepLines w:val="0"/>
        <w:pageBreakBefore w:val="0"/>
        <w:widowControl w:val="0"/>
        <w:kinsoku/>
        <w:overflowPunct/>
        <w:bidi w:val="0"/>
        <w:adjustRightInd w:val="0"/>
        <w:snapToGrid w:val="0"/>
        <w:spacing w:line="336"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本保函自我方加盖公章之日起生效。 </w:t>
      </w:r>
    </w:p>
    <w:p w14:paraId="2443285C">
      <w:pPr>
        <w:keepNext w:val="0"/>
        <w:keepLines w:val="0"/>
        <w:pageBreakBefore w:val="0"/>
        <w:widowControl w:val="0"/>
        <w:tabs>
          <w:tab w:val="left" w:pos="2850"/>
        </w:tabs>
        <w:kinsoku/>
        <w:overflowPunct/>
        <w:bidi w:val="0"/>
        <w:adjustRightInd w:val="0"/>
        <w:snapToGrid w:val="0"/>
        <w:spacing w:line="336"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保证人：（公章） </w:t>
      </w:r>
    </w:p>
    <w:p w14:paraId="67D1D520">
      <w:pPr>
        <w:keepNext w:val="0"/>
        <w:keepLines w:val="0"/>
        <w:pageBreakBefore w:val="0"/>
        <w:widowControl w:val="0"/>
        <w:kinsoku/>
        <w:overflowPunct/>
        <w:bidi w:val="0"/>
        <w:adjustRightInd w:val="0"/>
        <w:snapToGrid w:val="0"/>
        <w:spacing w:line="336"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23A54BFD">
      <w:pPr>
        <w:keepNext w:val="0"/>
        <w:keepLines w:val="0"/>
        <w:pageBreakBefore w:val="0"/>
        <w:widowControl w:val="0"/>
        <w:kinsoku/>
        <w:overflowPunct/>
        <w:bidi w:val="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br w:type="page"/>
      </w:r>
    </w:p>
    <w:p w14:paraId="7FCB48CD">
      <w:pPr>
        <w:pStyle w:val="4"/>
        <w:bidi w:val="0"/>
        <w:rPr>
          <w:rFonts w:hint="eastAsia" w:asciiTheme="minorEastAsia" w:hAnsiTheme="minorEastAsia" w:eastAsiaTheme="minorEastAsia" w:cstheme="minorEastAsia"/>
          <w:color w:val="auto"/>
          <w:sz w:val="24"/>
          <w:szCs w:val="24"/>
          <w:lang w:val="en-US" w:eastAsia="zh-CN"/>
        </w:rPr>
      </w:pPr>
      <w:bookmarkStart w:id="84" w:name="_Toc30991"/>
      <w:r>
        <w:rPr>
          <w:rFonts w:hint="eastAsia" w:asciiTheme="minorEastAsia" w:hAnsiTheme="minorEastAsia" w:eastAsiaTheme="minorEastAsia" w:cstheme="minorEastAsia"/>
          <w:color w:val="auto"/>
          <w:sz w:val="24"/>
          <w:szCs w:val="24"/>
          <w:lang w:val="en-US" w:eastAsia="zh-CN"/>
        </w:rPr>
        <w:t>附页4：资格性检查表</w:t>
      </w:r>
      <w:bookmarkEnd w:id="84"/>
    </w:p>
    <w:p w14:paraId="67A6D51F">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b/>
          <w:bCs/>
          <w:color w:val="auto"/>
          <w:sz w:val="28"/>
          <w:szCs w:val="28"/>
          <w:highlight w:val="none"/>
        </w:rPr>
        <w:t>资格性检查表</w:t>
      </w:r>
    </w:p>
    <w:p w14:paraId="6552436F">
      <w:pPr>
        <w:keepNext w:val="0"/>
        <w:keepLines w:val="0"/>
        <w:pageBreakBefore w:val="0"/>
        <w:widowControl w:val="0"/>
        <w:kinsoku/>
        <w:overflowPunct/>
        <w:bidi w:val="0"/>
        <w:adjustRightInd w:val="0"/>
        <w:snapToGrid w:val="0"/>
        <w:spacing w:line="360" w:lineRule="auto"/>
        <w:ind w:left="1680" w:hanging="1680" w:hangingChars="7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highlight w:val="none"/>
          <w:u w:val="none"/>
        </w:rPr>
        <w:t>项目名称：</w:t>
      </w:r>
      <w:r>
        <w:rPr>
          <w:rFonts w:hint="eastAsia" w:ascii="宋体" w:hAnsi="宋体" w:cs="宋体"/>
          <w:color w:val="auto"/>
          <w:sz w:val="24"/>
          <w:szCs w:val="24"/>
          <w:highlight w:val="none"/>
          <w:u w:val="none"/>
          <w:lang w:eastAsia="zh-CN"/>
        </w:rPr>
        <w:t>古丈县古阳镇柑子坪村通组公路硬化项目</w:t>
      </w:r>
    </w:p>
    <w:p w14:paraId="77C978C3">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rPr>
        <w:t>采购代理编号</w:t>
      </w:r>
      <w:r>
        <w:rPr>
          <w:rFonts w:hint="eastAsia" w:ascii="宋体" w:hAnsi="宋体" w:eastAsia="宋体" w:cs="宋体"/>
          <w:color w:val="auto"/>
          <w:sz w:val="24"/>
          <w:highlight w:val="none"/>
          <w:u w:val="none"/>
          <w:lang w:eastAsia="zh-CN"/>
        </w:rPr>
        <w:t>：</w:t>
      </w:r>
      <w:r>
        <w:rPr>
          <w:rFonts w:hint="eastAsia" w:ascii="宋体" w:hAnsi="宋体" w:cs="宋体"/>
          <w:color w:val="auto"/>
          <w:sz w:val="24"/>
          <w:szCs w:val="24"/>
          <w:highlight w:val="none"/>
          <w:u w:val="none"/>
          <w:lang w:eastAsia="zh-CN"/>
        </w:rPr>
        <w:t>广信磋商【2026】第052号</w:t>
      </w:r>
    </w:p>
    <w:tbl>
      <w:tblPr>
        <w:tblStyle w:val="23"/>
        <w:tblW w:w="4995"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00"/>
        <w:gridCol w:w="1492"/>
        <w:gridCol w:w="5632"/>
        <w:gridCol w:w="552"/>
        <w:gridCol w:w="453"/>
        <w:gridCol w:w="562"/>
      </w:tblGrid>
      <w:tr w14:paraId="2256FC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7" w:hRule="atLeast"/>
          <w:tblHeader/>
          <w:jc w:val="center"/>
        </w:trPr>
        <w:tc>
          <w:tcPr>
            <w:tcW w:w="373" w:type="pct"/>
            <w:vMerge w:val="restart"/>
            <w:noWrap w:val="0"/>
            <w:vAlign w:val="center"/>
          </w:tcPr>
          <w:p w14:paraId="2FEC48D0">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794" w:type="pct"/>
            <w:vMerge w:val="restart"/>
            <w:noWrap w:val="0"/>
            <w:vAlign w:val="center"/>
          </w:tcPr>
          <w:p w14:paraId="2AEFDE7A">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审查项目</w:t>
            </w:r>
          </w:p>
        </w:tc>
        <w:tc>
          <w:tcPr>
            <w:tcW w:w="2997" w:type="pct"/>
            <w:vMerge w:val="restart"/>
            <w:noWrap w:val="0"/>
            <w:vAlign w:val="center"/>
          </w:tcPr>
          <w:p w14:paraId="260CB504">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审查标准</w:t>
            </w:r>
          </w:p>
        </w:tc>
        <w:tc>
          <w:tcPr>
            <w:tcW w:w="834" w:type="pct"/>
            <w:gridSpan w:val="3"/>
            <w:tcBorders>
              <w:bottom w:val="single" w:color="auto" w:sz="4" w:space="0"/>
            </w:tcBorders>
            <w:noWrap w:val="0"/>
            <w:vAlign w:val="center"/>
          </w:tcPr>
          <w:p w14:paraId="6337CB42">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投标人</w:t>
            </w:r>
          </w:p>
        </w:tc>
      </w:tr>
      <w:tr w14:paraId="0BC3DC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5" w:hRule="atLeast"/>
          <w:tblHeader/>
          <w:jc w:val="center"/>
        </w:trPr>
        <w:tc>
          <w:tcPr>
            <w:tcW w:w="373" w:type="pct"/>
            <w:vMerge w:val="continue"/>
            <w:noWrap w:val="0"/>
            <w:vAlign w:val="center"/>
          </w:tcPr>
          <w:p w14:paraId="1B7907CA">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794" w:type="pct"/>
            <w:vMerge w:val="continue"/>
            <w:noWrap w:val="0"/>
            <w:vAlign w:val="center"/>
          </w:tcPr>
          <w:p w14:paraId="25885963">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2997" w:type="pct"/>
            <w:vMerge w:val="continue"/>
            <w:noWrap w:val="0"/>
            <w:vAlign w:val="center"/>
          </w:tcPr>
          <w:p w14:paraId="19FD8D4B">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294" w:type="pct"/>
            <w:tcBorders>
              <w:top w:val="single" w:color="auto" w:sz="4" w:space="0"/>
            </w:tcBorders>
            <w:noWrap w:val="0"/>
            <w:vAlign w:val="center"/>
          </w:tcPr>
          <w:p w14:paraId="1ED2038C">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241" w:type="pct"/>
            <w:tcBorders>
              <w:top w:val="single" w:color="auto" w:sz="4" w:space="0"/>
            </w:tcBorders>
            <w:noWrap w:val="0"/>
            <w:vAlign w:val="center"/>
          </w:tcPr>
          <w:p w14:paraId="30DE01E4">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c>
          <w:tcPr>
            <w:tcW w:w="298" w:type="pct"/>
            <w:tcBorders>
              <w:top w:val="single" w:color="auto" w:sz="4" w:space="0"/>
            </w:tcBorders>
            <w:noWrap w:val="0"/>
            <w:vAlign w:val="center"/>
          </w:tcPr>
          <w:p w14:paraId="158305F1">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b/>
                <w:color w:val="auto"/>
                <w:kern w:val="0"/>
                <w:sz w:val="24"/>
                <w:szCs w:val="24"/>
                <w:highlight w:val="none"/>
              </w:rPr>
            </w:pPr>
          </w:p>
        </w:tc>
      </w:tr>
      <w:tr w14:paraId="5D8A83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noWrap w:val="0"/>
            <w:vAlign w:val="center"/>
          </w:tcPr>
          <w:p w14:paraId="402ACDBD">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794" w:type="pct"/>
            <w:noWrap w:val="0"/>
            <w:vAlign w:val="center"/>
          </w:tcPr>
          <w:p w14:paraId="5268BC6A">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lang w:val="en-US" w:eastAsia="zh-CN"/>
              </w:rPr>
              <w:t>营业执照等证明文件</w:t>
            </w:r>
          </w:p>
        </w:tc>
        <w:tc>
          <w:tcPr>
            <w:tcW w:w="2997" w:type="pct"/>
            <w:noWrap w:val="0"/>
            <w:vAlign w:val="top"/>
          </w:tcPr>
          <w:p w14:paraId="56F9E08E">
            <w:pPr>
              <w:keepNext w:val="0"/>
              <w:keepLines w:val="0"/>
              <w:pageBreakBefore w:val="0"/>
              <w:widowControl w:val="0"/>
              <w:kinsoku/>
              <w:wordWrap/>
              <w:overflowPunct/>
              <w:topLinePunct w:val="0"/>
              <w:autoSpaceDE/>
              <w:autoSpaceDN/>
              <w:bidi w:val="0"/>
              <w:adjustRightInd w:val="0"/>
              <w:snapToGrid w:val="0"/>
              <w:spacing w:before="156" w:beforeLines="50" w:line="288"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法人或者其他组织的营业执照等主体资格证明文件，自然人的身份证明：供应商为法人的，应提交营业执照或法人登记证书的复印件；</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为非法人组织的，应提交依法登记证书复印件；</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为个体工商户的，应提交个体工商户营业执照复印件；</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为自然人的，应提交自然人的身份证明复印件</w:t>
            </w:r>
            <w:r>
              <w:rPr>
                <w:rFonts w:hint="eastAsia" w:ascii="宋体" w:hAnsi="宋体" w:eastAsia="宋体" w:cs="宋体"/>
                <w:color w:val="auto"/>
                <w:sz w:val="24"/>
                <w:szCs w:val="24"/>
                <w:highlight w:val="none"/>
                <w:lang w:eastAsia="zh-CN"/>
              </w:rPr>
              <w:t>。</w:t>
            </w:r>
          </w:p>
        </w:tc>
        <w:tc>
          <w:tcPr>
            <w:tcW w:w="294" w:type="pct"/>
            <w:noWrap w:val="0"/>
            <w:vAlign w:val="top"/>
          </w:tcPr>
          <w:p w14:paraId="6DD83F36">
            <w:pPr>
              <w:keepNext w:val="0"/>
              <w:keepLines w:val="0"/>
              <w:pageBreakBefore w:val="0"/>
              <w:widowControl w:val="0"/>
              <w:kinsoku/>
              <w:wordWrap/>
              <w:overflowPunct/>
              <w:topLinePunct w:val="0"/>
              <w:autoSpaceDE/>
              <w:autoSpaceDN/>
              <w:bidi w:val="0"/>
              <w:adjustRightInd w:val="0"/>
              <w:snapToGrid w:val="0"/>
              <w:spacing w:before="156" w:beforeLines="50" w:line="288" w:lineRule="auto"/>
              <w:textAlignment w:val="auto"/>
              <w:rPr>
                <w:rFonts w:hint="eastAsia" w:ascii="宋体" w:hAnsi="宋体" w:eastAsia="宋体" w:cs="宋体"/>
                <w:color w:val="auto"/>
                <w:sz w:val="24"/>
                <w:szCs w:val="24"/>
                <w:highlight w:val="none"/>
              </w:rPr>
            </w:pPr>
          </w:p>
        </w:tc>
        <w:tc>
          <w:tcPr>
            <w:tcW w:w="241" w:type="pct"/>
            <w:noWrap w:val="0"/>
            <w:vAlign w:val="top"/>
          </w:tcPr>
          <w:p w14:paraId="05275B5C">
            <w:pPr>
              <w:keepNext w:val="0"/>
              <w:keepLines w:val="0"/>
              <w:pageBreakBefore w:val="0"/>
              <w:widowControl w:val="0"/>
              <w:kinsoku/>
              <w:wordWrap/>
              <w:overflowPunct/>
              <w:topLinePunct w:val="0"/>
              <w:autoSpaceDE/>
              <w:autoSpaceDN/>
              <w:bidi w:val="0"/>
              <w:adjustRightInd w:val="0"/>
              <w:snapToGrid w:val="0"/>
              <w:spacing w:before="156" w:beforeLines="50" w:line="288" w:lineRule="auto"/>
              <w:textAlignment w:val="auto"/>
              <w:rPr>
                <w:rFonts w:hint="eastAsia" w:ascii="宋体" w:hAnsi="宋体" w:eastAsia="宋体" w:cs="宋体"/>
                <w:color w:val="auto"/>
                <w:sz w:val="24"/>
                <w:szCs w:val="24"/>
                <w:highlight w:val="none"/>
              </w:rPr>
            </w:pPr>
          </w:p>
        </w:tc>
        <w:tc>
          <w:tcPr>
            <w:tcW w:w="298" w:type="pct"/>
            <w:noWrap w:val="0"/>
            <w:vAlign w:val="top"/>
          </w:tcPr>
          <w:p w14:paraId="32C8D50C">
            <w:pPr>
              <w:keepNext w:val="0"/>
              <w:keepLines w:val="0"/>
              <w:pageBreakBefore w:val="0"/>
              <w:widowControl w:val="0"/>
              <w:kinsoku/>
              <w:wordWrap/>
              <w:overflowPunct/>
              <w:topLinePunct w:val="0"/>
              <w:autoSpaceDE/>
              <w:autoSpaceDN/>
              <w:bidi w:val="0"/>
              <w:adjustRightInd w:val="0"/>
              <w:snapToGrid w:val="0"/>
              <w:spacing w:before="156" w:beforeLines="50" w:line="288" w:lineRule="auto"/>
              <w:textAlignment w:val="auto"/>
              <w:rPr>
                <w:rFonts w:hint="eastAsia" w:ascii="宋体" w:hAnsi="宋体" w:eastAsia="宋体" w:cs="宋体"/>
                <w:color w:val="auto"/>
                <w:sz w:val="24"/>
                <w:szCs w:val="24"/>
                <w:highlight w:val="none"/>
              </w:rPr>
            </w:pPr>
          </w:p>
        </w:tc>
      </w:tr>
      <w:tr w14:paraId="5577C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8" w:hRule="atLeast"/>
          <w:jc w:val="center"/>
        </w:trPr>
        <w:tc>
          <w:tcPr>
            <w:tcW w:w="373" w:type="pct"/>
            <w:noWrap w:val="0"/>
            <w:vAlign w:val="center"/>
          </w:tcPr>
          <w:p w14:paraId="3198C99B">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794" w:type="pct"/>
            <w:noWrap w:val="0"/>
            <w:vAlign w:val="center"/>
          </w:tcPr>
          <w:p w14:paraId="6E20379C">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eastAsia="zh-CN" w:bidi="ar"/>
              </w:rPr>
              <w:t>法定代表人（单位负责人）</w:t>
            </w:r>
            <w:r>
              <w:rPr>
                <w:rFonts w:hint="eastAsia" w:ascii="宋体" w:hAnsi="宋体" w:eastAsia="宋体" w:cs="宋体"/>
                <w:color w:val="auto"/>
                <w:kern w:val="2"/>
                <w:sz w:val="24"/>
                <w:szCs w:val="24"/>
                <w:highlight w:val="none"/>
                <w:lang w:bidi="ar"/>
              </w:rPr>
              <w:t>授权书</w:t>
            </w:r>
          </w:p>
        </w:tc>
        <w:tc>
          <w:tcPr>
            <w:tcW w:w="2997" w:type="pct"/>
            <w:noWrap w:val="0"/>
            <w:vAlign w:val="top"/>
          </w:tcPr>
          <w:p w14:paraId="08F1E2A3">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
              </w:rPr>
              <w:t>投标人</w:t>
            </w:r>
            <w:r>
              <w:rPr>
                <w:rFonts w:hint="eastAsia" w:ascii="宋体" w:hAnsi="宋体" w:eastAsia="宋体" w:cs="宋体"/>
                <w:color w:val="auto"/>
                <w:kern w:val="2"/>
                <w:sz w:val="24"/>
                <w:szCs w:val="24"/>
                <w:highlight w:val="none"/>
                <w:lang w:bidi="ar"/>
              </w:rPr>
              <w:t>代表</w:t>
            </w:r>
            <w:r>
              <w:rPr>
                <w:rFonts w:hint="eastAsia" w:ascii="宋体" w:hAnsi="宋体" w:eastAsia="宋体" w:cs="宋体"/>
                <w:color w:val="auto"/>
                <w:kern w:val="2"/>
                <w:sz w:val="24"/>
                <w:szCs w:val="24"/>
                <w:highlight w:val="none"/>
                <w:lang w:eastAsia="zh-CN" w:bidi="ar"/>
              </w:rPr>
              <w:t>是法人（单位负责人）的持有法定代表人（单位负责人）身份证明，</w:t>
            </w:r>
            <w:r>
              <w:rPr>
                <w:rFonts w:hint="eastAsia" w:ascii="宋体" w:hAnsi="宋体" w:eastAsia="宋体" w:cs="宋体"/>
                <w:color w:val="auto"/>
                <w:kern w:val="2"/>
                <w:sz w:val="24"/>
                <w:szCs w:val="24"/>
                <w:highlight w:val="none"/>
                <w:lang w:bidi="ar"/>
              </w:rPr>
              <w:t>不是</w:t>
            </w:r>
            <w:r>
              <w:rPr>
                <w:rFonts w:hint="eastAsia" w:ascii="宋体" w:hAnsi="宋体" w:eastAsia="宋体" w:cs="宋体"/>
                <w:color w:val="auto"/>
                <w:kern w:val="2"/>
                <w:sz w:val="24"/>
                <w:szCs w:val="24"/>
                <w:highlight w:val="none"/>
                <w:lang w:val="en-US" w:eastAsia="zh-CN" w:bidi="ar"/>
              </w:rPr>
              <w:t>投标人</w:t>
            </w:r>
            <w:r>
              <w:rPr>
                <w:rFonts w:hint="eastAsia" w:ascii="宋体" w:hAnsi="宋体" w:eastAsia="宋体" w:cs="宋体"/>
                <w:color w:val="auto"/>
                <w:kern w:val="2"/>
                <w:sz w:val="24"/>
                <w:szCs w:val="24"/>
                <w:highlight w:val="none"/>
                <w:lang w:eastAsia="zh-CN" w:bidi="ar"/>
              </w:rPr>
              <w:t>法定代表人（单位负责人）</w:t>
            </w:r>
            <w:r>
              <w:rPr>
                <w:rFonts w:hint="eastAsia" w:ascii="宋体" w:hAnsi="宋体" w:eastAsia="宋体" w:cs="宋体"/>
                <w:color w:val="auto"/>
                <w:kern w:val="2"/>
                <w:sz w:val="24"/>
                <w:szCs w:val="24"/>
                <w:highlight w:val="none"/>
                <w:lang w:bidi="ar"/>
              </w:rPr>
              <w:t>的，应持有</w:t>
            </w:r>
            <w:r>
              <w:rPr>
                <w:rFonts w:hint="eastAsia" w:ascii="宋体" w:hAnsi="宋体" w:eastAsia="宋体" w:cs="宋体"/>
                <w:color w:val="auto"/>
                <w:kern w:val="2"/>
                <w:sz w:val="24"/>
                <w:szCs w:val="24"/>
                <w:highlight w:val="none"/>
                <w:lang w:eastAsia="zh-CN" w:bidi="ar"/>
              </w:rPr>
              <w:t>法定代表人（单位负责人）</w:t>
            </w:r>
            <w:r>
              <w:rPr>
                <w:rFonts w:hint="eastAsia" w:ascii="宋体" w:hAnsi="宋体" w:eastAsia="宋体" w:cs="宋体"/>
                <w:color w:val="auto"/>
                <w:kern w:val="2"/>
                <w:sz w:val="24"/>
                <w:szCs w:val="24"/>
                <w:highlight w:val="none"/>
                <w:lang w:bidi="ar"/>
              </w:rPr>
              <w:t>授权书，并附</w:t>
            </w:r>
            <w:r>
              <w:rPr>
                <w:rFonts w:hint="eastAsia" w:ascii="宋体" w:hAnsi="宋体" w:eastAsia="宋体" w:cs="宋体"/>
                <w:color w:val="auto"/>
                <w:kern w:val="2"/>
                <w:sz w:val="24"/>
                <w:szCs w:val="24"/>
                <w:highlight w:val="none"/>
                <w:lang w:eastAsia="zh-CN" w:bidi="ar"/>
              </w:rPr>
              <w:t>法定代表人（单位负责人）</w:t>
            </w:r>
            <w:r>
              <w:rPr>
                <w:rFonts w:hint="eastAsia" w:ascii="宋体" w:hAnsi="宋体" w:eastAsia="宋体" w:cs="宋体"/>
                <w:color w:val="auto"/>
                <w:kern w:val="2"/>
                <w:sz w:val="24"/>
                <w:szCs w:val="24"/>
                <w:highlight w:val="none"/>
                <w:lang w:bidi="ar"/>
              </w:rPr>
              <w:t>身份证明。</w:t>
            </w:r>
          </w:p>
        </w:tc>
        <w:tc>
          <w:tcPr>
            <w:tcW w:w="294" w:type="pct"/>
            <w:noWrap w:val="0"/>
            <w:vAlign w:val="top"/>
          </w:tcPr>
          <w:p w14:paraId="39D63D72">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2"/>
                <w:sz w:val="24"/>
                <w:szCs w:val="24"/>
                <w:highlight w:val="none"/>
                <w:lang w:bidi="ar"/>
              </w:rPr>
            </w:pPr>
          </w:p>
        </w:tc>
        <w:tc>
          <w:tcPr>
            <w:tcW w:w="241" w:type="pct"/>
            <w:noWrap w:val="0"/>
            <w:vAlign w:val="top"/>
          </w:tcPr>
          <w:p w14:paraId="2CDE7BC5">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2"/>
                <w:sz w:val="24"/>
                <w:szCs w:val="24"/>
                <w:highlight w:val="none"/>
                <w:lang w:bidi="ar"/>
              </w:rPr>
            </w:pPr>
          </w:p>
        </w:tc>
        <w:tc>
          <w:tcPr>
            <w:tcW w:w="298" w:type="pct"/>
            <w:noWrap w:val="0"/>
            <w:vAlign w:val="top"/>
          </w:tcPr>
          <w:p w14:paraId="71E04F41">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2"/>
                <w:sz w:val="24"/>
                <w:szCs w:val="24"/>
                <w:highlight w:val="none"/>
                <w:lang w:bidi="ar"/>
              </w:rPr>
            </w:pPr>
          </w:p>
        </w:tc>
      </w:tr>
      <w:tr w14:paraId="628BAF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9" w:hRule="atLeast"/>
          <w:jc w:val="center"/>
        </w:trPr>
        <w:tc>
          <w:tcPr>
            <w:tcW w:w="373" w:type="pct"/>
            <w:noWrap w:val="0"/>
            <w:vAlign w:val="center"/>
          </w:tcPr>
          <w:p w14:paraId="36FB9EA4">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794" w:type="pct"/>
            <w:noWrap w:val="0"/>
            <w:vAlign w:val="center"/>
          </w:tcPr>
          <w:p w14:paraId="6E0D0F91">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color w:val="auto"/>
                <w:kern w:val="2"/>
                <w:sz w:val="24"/>
                <w:szCs w:val="24"/>
                <w:highlight w:val="none"/>
                <w:lang w:eastAsia="zh-CN" w:bidi="ar"/>
              </w:rPr>
            </w:pPr>
            <w:r>
              <w:rPr>
                <w:rFonts w:hint="eastAsia" w:ascii="宋体" w:hAnsi="宋体" w:eastAsia="宋体" w:cs="宋体"/>
                <w:color w:val="auto"/>
                <w:sz w:val="24"/>
                <w:szCs w:val="24"/>
                <w:highlight w:val="none"/>
              </w:rPr>
              <w:t>湖</w:t>
            </w:r>
            <w:r>
              <w:rPr>
                <w:rFonts w:hint="eastAsia" w:ascii="宋体" w:hAnsi="宋体" w:eastAsia="宋体" w:cs="宋体"/>
                <w:color w:val="auto"/>
                <w:sz w:val="24"/>
                <w:szCs w:val="24"/>
                <w:highlight w:val="none"/>
                <w:lang w:val="en-US" w:eastAsia="zh-CN"/>
              </w:rPr>
              <w:t>南省政府采购供应商资格承</w:t>
            </w:r>
            <w:r>
              <w:rPr>
                <w:rFonts w:hint="eastAsia" w:ascii="宋体" w:hAnsi="宋体" w:eastAsia="宋体" w:cs="宋体"/>
                <w:color w:val="auto"/>
                <w:sz w:val="24"/>
                <w:szCs w:val="24"/>
                <w:highlight w:val="none"/>
              </w:rPr>
              <w:t>诺函</w:t>
            </w:r>
          </w:p>
        </w:tc>
        <w:tc>
          <w:tcPr>
            <w:tcW w:w="2997" w:type="pct"/>
            <w:noWrap w:val="0"/>
            <w:vAlign w:val="top"/>
          </w:tcPr>
          <w:p w14:paraId="19F71FD1">
            <w:pPr>
              <w:keepNext w:val="0"/>
              <w:keepLines w:val="0"/>
              <w:pageBreakBefore w:val="0"/>
              <w:widowControl w:val="0"/>
              <w:kinsoku/>
              <w:wordWrap/>
              <w:overflowPunct/>
              <w:topLinePunct w:val="0"/>
              <w:autoSpaceDE/>
              <w:autoSpaceDN/>
              <w:bidi w:val="0"/>
              <w:spacing w:before="156" w:beforeLines="50" w:line="288" w:lineRule="auto"/>
              <w:jc w:val="left"/>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投标人是否承诺</w:t>
            </w:r>
            <w:r>
              <w:rPr>
                <w:rFonts w:hint="eastAsia" w:ascii="宋体" w:hAnsi="宋体" w:eastAsia="宋体" w:cs="宋体"/>
                <w:color w:val="auto"/>
                <w:sz w:val="24"/>
                <w:szCs w:val="24"/>
                <w:highlight w:val="none"/>
              </w:rPr>
              <w:t>独立承担民事责任、具有良好的商业信誉和健全的财务会计制度、依法缴纳税收和社会保障资金,在前三年的经营活动中无重大违法记录,未列入严重失信行为名单</w:t>
            </w:r>
            <w:r>
              <w:rPr>
                <w:rFonts w:hint="eastAsia" w:ascii="宋体" w:hAnsi="宋体" w:eastAsia="宋体" w:cs="宋体"/>
                <w:color w:val="auto"/>
                <w:sz w:val="24"/>
                <w:szCs w:val="24"/>
                <w:highlight w:val="none"/>
                <w:u w:val="none"/>
              </w:rPr>
              <w:t>,符</w:t>
            </w:r>
            <w:r>
              <w:rPr>
                <w:rFonts w:hint="eastAsia" w:ascii="宋体" w:hAnsi="宋体" w:eastAsia="宋体" w:cs="宋体"/>
                <w:color w:val="auto"/>
                <w:sz w:val="24"/>
                <w:szCs w:val="24"/>
                <w:highlight w:val="none"/>
              </w:rPr>
              <w:t>合政府采购供应商的基本资</w:t>
            </w:r>
            <w:r>
              <w:rPr>
                <w:rFonts w:hint="eastAsia" w:ascii="宋体" w:hAnsi="宋体" w:eastAsia="宋体" w:cs="宋体"/>
                <w:b w:val="0"/>
                <w:bCs w:val="0"/>
                <w:color w:val="auto"/>
                <w:sz w:val="24"/>
                <w:szCs w:val="24"/>
                <w:highlight w:val="none"/>
              </w:rPr>
              <w:t>格要求</w:t>
            </w:r>
            <w:r>
              <w:rPr>
                <w:rFonts w:hint="eastAsia" w:ascii="宋体" w:hAnsi="宋体" w:eastAsia="宋体" w:cs="宋体"/>
                <w:b/>
                <w:bCs/>
                <w:color w:val="auto"/>
                <w:sz w:val="24"/>
                <w:szCs w:val="24"/>
                <w:highlight w:val="none"/>
              </w:rPr>
              <w:t>。</w:t>
            </w:r>
          </w:p>
        </w:tc>
        <w:tc>
          <w:tcPr>
            <w:tcW w:w="294" w:type="pct"/>
            <w:noWrap w:val="0"/>
            <w:vAlign w:val="top"/>
          </w:tcPr>
          <w:p w14:paraId="04D49C23">
            <w:pPr>
              <w:keepNext w:val="0"/>
              <w:keepLines w:val="0"/>
              <w:pageBreakBefore w:val="0"/>
              <w:widowControl w:val="0"/>
              <w:kinsoku/>
              <w:wordWrap/>
              <w:overflowPunct/>
              <w:topLinePunct w:val="0"/>
              <w:autoSpaceDE/>
              <w:autoSpaceDN/>
              <w:bidi w:val="0"/>
              <w:spacing w:before="156" w:beforeLines="50" w:line="288" w:lineRule="auto"/>
              <w:jc w:val="left"/>
              <w:textAlignment w:val="auto"/>
              <w:rPr>
                <w:rFonts w:hint="eastAsia" w:ascii="宋体" w:hAnsi="宋体" w:eastAsia="宋体" w:cs="宋体"/>
                <w:color w:val="auto"/>
                <w:kern w:val="2"/>
                <w:sz w:val="24"/>
                <w:szCs w:val="24"/>
                <w:highlight w:val="none"/>
                <w:lang w:val="en-US" w:eastAsia="zh-CN" w:bidi="ar"/>
              </w:rPr>
            </w:pPr>
          </w:p>
        </w:tc>
        <w:tc>
          <w:tcPr>
            <w:tcW w:w="241" w:type="pct"/>
            <w:noWrap w:val="0"/>
            <w:vAlign w:val="top"/>
          </w:tcPr>
          <w:p w14:paraId="22385630">
            <w:pPr>
              <w:keepNext w:val="0"/>
              <w:keepLines w:val="0"/>
              <w:pageBreakBefore w:val="0"/>
              <w:widowControl w:val="0"/>
              <w:kinsoku/>
              <w:wordWrap/>
              <w:overflowPunct/>
              <w:topLinePunct w:val="0"/>
              <w:autoSpaceDE/>
              <w:autoSpaceDN/>
              <w:bidi w:val="0"/>
              <w:spacing w:before="156" w:beforeLines="50" w:line="288" w:lineRule="auto"/>
              <w:jc w:val="left"/>
              <w:textAlignment w:val="auto"/>
              <w:rPr>
                <w:rFonts w:hint="eastAsia" w:ascii="宋体" w:hAnsi="宋体" w:eastAsia="宋体" w:cs="宋体"/>
                <w:color w:val="auto"/>
                <w:kern w:val="2"/>
                <w:sz w:val="24"/>
                <w:szCs w:val="24"/>
                <w:highlight w:val="none"/>
                <w:lang w:val="en-US" w:eastAsia="zh-CN" w:bidi="ar"/>
              </w:rPr>
            </w:pPr>
          </w:p>
        </w:tc>
        <w:tc>
          <w:tcPr>
            <w:tcW w:w="298" w:type="pct"/>
            <w:noWrap w:val="0"/>
            <w:vAlign w:val="top"/>
          </w:tcPr>
          <w:p w14:paraId="543FB656">
            <w:pPr>
              <w:keepNext w:val="0"/>
              <w:keepLines w:val="0"/>
              <w:pageBreakBefore w:val="0"/>
              <w:widowControl w:val="0"/>
              <w:kinsoku/>
              <w:wordWrap/>
              <w:overflowPunct/>
              <w:topLinePunct w:val="0"/>
              <w:autoSpaceDE/>
              <w:autoSpaceDN/>
              <w:bidi w:val="0"/>
              <w:spacing w:before="156" w:beforeLines="50" w:line="288" w:lineRule="auto"/>
              <w:jc w:val="left"/>
              <w:textAlignment w:val="auto"/>
              <w:rPr>
                <w:rFonts w:hint="eastAsia" w:ascii="宋体" w:hAnsi="宋体" w:eastAsia="宋体" w:cs="宋体"/>
                <w:color w:val="auto"/>
                <w:kern w:val="2"/>
                <w:sz w:val="24"/>
                <w:szCs w:val="24"/>
                <w:highlight w:val="none"/>
                <w:lang w:val="en-US" w:eastAsia="zh-CN" w:bidi="ar"/>
              </w:rPr>
            </w:pPr>
          </w:p>
        </w:tc>
      </w:tr>
      <w:tr w14:paraId="6D3CB8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noWrap w:val="0"/>
            <w:vAlign w:val="center"/>
          </w:tcPr>
          <w:p w14:paraId="49E41855">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794" w:type="pct"/>
            <w:noWrap w:val="0"/>
            <w:vAlign w:val="center"/>
          </w:tcPr>
          <w:p w14:paraId="23B17E95">
            <w:pPr>
              <w:keepNext w:val="0"/>
              <w:keepLines w:val="0"/>
              <w:pageBreakBefore w:val="0"/>
              <w:widowControl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val="en-US" w:eastAsia="zh-CN"/>
              </w:rPr>
              <w:t>供应商信用记录</w:t>
            </w:r>
          </w:p>
        </w:tc>
        <w:tc>
          <w:tcPr>
            <w:tcW w:w="2997" w:type="pct"/>
            <w:noWrap w:val="0"/>
            <w:vAlign w:val="top"/>
          </w:tcPr>
          <w:p w14:paraId="07375D63">
            <w:pPr>
              <w:keepNext w:val="0"/>
              <w:keepLines w:val="0"/>
              <w:pageBreakBefore w:val="0"/>
              <w:widowControl w:val="0"/>
              <w:tabs>
                <w:tab w:val="left" w:pos="1080"/>
              </w:tabs>
              <w:kinsoku/>
              <w:wordWrap/>
              <w:overflowPunct/>
              <w:topLinePunct w:val="0"/>
              <w:autoSpaceDE/>
              <w:autoSpaceDN/>
              <w:bidi w:val="0"/>
              <w:snapToGrid w:val="0"/>
              <w:spacing w:line="288"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查询渠道：信用中国网站</w:t>
            </w:r>
            <w:r>
              <w:rPr>
                <w:rFonts w:hint="eastAsia" w:ascii="宋体" w:hAnsi="宋体" w:eastAsia="宋体" w:cs="宋体"/>
                <w:color w:val="auto"/>
                <w:highlight w:val="none"/>
              </w:rPr>
              <w:t>www.creditchina.gov.cn</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中国政府采购网</w:t>
            </w:r>
            <w:r>
              <w:rPr>
                <w:rFonts w:hint="eastAsia" w:ascii="宋体" w:hAnsi="宋体" w:eastAsia="宋体" w:cs="宋体"/>
                <w:color w:val="auto"/>
                <w:highlight w:val="none"/>
              </w:rPr>
              <w:t>www.ccgp.gov.cn</w:t>
            </w:r>
            <w:r>
              <w:rPr>
                <w:rFonts w:hint="eastAsia" w:ascii="宋体" w:hAnsi="宋体" w:eastAsia="宋体" w:cs="宋体"/>
                <w:color w:val="auto"/>
                <w:sz w:val="24"/>
                <w:highlight w:val="none"/>
              </w:rPr>
              <w:t>；</w:t>
            </w:r>
          </w:p>
          <w:p w14:paraId="2CDE8BB1">
            <w:pPr>
              <w:keepNext w:val="0"/>
              <w:keepLines w:val="0"/>
              <w:pageBreakBefore w:val="0"/>
              <w:widowControl w:val="0"/>
              <w:tabs>
                <w:tab w:val="left" w:pos="900"/>
                <w:tab w:val="left" w:pos="1980"/>
              </w:tabs>
              <w:kinsoku/>
              <w:wordWrap/>
              <w:overflowPunct/>
              <w:topLinePunct w:val="0"/>
              <w:autoSpaceDE/>
              <w:autoSpaceDN/>
              <w:bidi w:val="0"/>
              <w:snapToGrid w:val="0"/>
              <w:spacing w:line="288"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查询时间</w:t>
            </w:r>
            <w:r>
              <w:rPr>
                <w:rFonts w:hint="eastAsia" w:ascii="宋体" w:hAnsi="宋体" w:eastAsia="宋体" w:cs="宋体"/>
                <w:color w:val="auto"/>
                <w:sz w:val="24"/>
                <w:highlight w:val="none"/>
              </w:rPr>
              <w:t>：投标截止时间</w:t>
            </w:r>
            <w:r>
              <w:rPr>
                <w:rFonts w:hint="eastAsia" w:ascii="宋体" w:hAnsi="宋体" w:eastAsia="宋体" w:cs="宋体"/>
                <w:color w:val="auto"/>
                <w:sz w:val="24"/>
                <w:highlight w:val="none"/>
                <w:lang w:val="en-US" w:eastAsia="zh-CN"/>
              </w:rPr>
              <w:t>前；</w:t>
            </w:r>
          </w:p>
          <w:p w14:paraId="6C07C949">
            <w:pPr>
              <w:keepNext w:val="0"/>
              <w:keepLines w:val="0"/>
              <w:pageBreakBefore w:val="0"/>
              <w:widowControl w:val="0"/>
              <w:kinsoku/>
              <w:wordWrap/>
              <w:overflowPunct/>
              <w:topLinePunct w:val="0"/>
              <w:autoSpaceDE/>
              <w:autoSpaceDN/>
              <w:bidi w:val="0"/>
              <w:spacing w:after="120" w:line="288" w:lineRule="auto"/>
              <w:ind w:left="0" w:leftChars="0" w:firstLine="0" w:firstLineChars="0"/>
              <w:jc w:val="both"/>
              <w:textAlignment w:val="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kern w:val="2"/>
                <w:sz w:val="24"/>
                <w:szCs w:val="21"/>
                <w:highlight w:val="none"/>
                <w:lang w:val="en-US" w:eastAsia="zh-CN" w:bidi="ar-SA"/>
              </w:rPr>
              <w:t>查询人：投标人</w:t>
            </w:r>
          </w:p>
          <w:p w14:paraId="7909615B">
            <w:pPr>
              <w:keepNext w:val="0"/>
              <w:keepLines w:val="0"/>
              <w:pageBreakBefore w:val="0"/>
              <w:widowControl w:val="0"/>
              <w:tabs>
                <w:tab w:val="left" w:pos="900"/>
                <w:tab w:val="left" w:pos="1980"/>
              </w:tabs>
              <w:kinsoku/>
              <w:wordWrap/>
              <w:overflowPunct/>
              <w:topLinePunct w:val="0"/>
              <w:autoSpaceDE/>
              <w:autoSpaceDN/>
              <w:bidi w:val="0"/>
              <w:snapToGrid w:val="0"/>
              <w:spacing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信用信息查询记录和证据留存具体方式：查询结果网页打印页作为查询记录和证据，与其他采购文件一并保存；</w:t>
            </w:r>
          </w:p>
          <w:p w14:paraId="359D15CD">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信用信息的使用原则：供应商在“信用中国”网站被列入失信被执行人和重大税收违法案件当事人名单，或在“中国政府采购网”网站被列入政府采购严重违法失信行为记录名单。供应商有上述不良信用记录的，其</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。联合体形式投标的，联合体成员存在不良信用记录，视同联合体存在不良信用记录。</w:t>
            </w:r>
          </w:p>
        </w:tc>
        <w:tc>
          <w:tcPr>
            <w:tcW w:w="294" w:type="pct"/>
            <w:noWrap w:val="0"/>
            <w:vAlign w:val="top"/>
          </w:tcPr>
          <w:p w14:paraId="29150DC2">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highlight w:val="none"/>
                <w:lang w:val="en-US" w:eastAsia="zh-CN"/>
              </w:rPr>
            </w:pPr>
          </w:p>
        </w:tc>
        <w:tc>
          <w:tcPr>
            <w:tcW w:w="241" w:type="pct"/>
            <w:noWrap w:val="0"/>
            <w:vAlign w:val="top"/>
          </w:tcPr>
          <w:p w14:paraId="362455A8">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highlight w:val="none"/>
                <w:lang w:val="en-US" w:eastAsia="zh-CN"/>
              </w:rPr>
            </w:pPr>
          </w:p>
        </w:tc>
        <w:tc>
          <w:tcPr>
            <w:tcW w:w="298" w:type="pct"/>
            <w:noWrap w:val="0"/>
            <w:vAlign w:val="top"/>
          </w:tcPr>
          <w:p w14:paraId="172CE6E3">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highlight w:val="none"/>
                <w:lang w:val="en-US" w:eastAsia="zh-CN"/>
              </w:rPr>
            </w:pPr>
          </w:p>
        </w:tc>
      </w:tr>
      <w:tr w14:paraId="1047A3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79" w:hRule="atLeast"/>
          <w:jc w:val="center"/>
        </w:trPr>
        <w:tc>
          <w:tcPr>
            <w:tcW w:w="373" w:type="pct"/>
            <w:noWrap w:val="0"/>
            <w:vAlign w:val="center"/>
          </w:tcPr>
          <w:p w14:paraId="2BE665F9">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794" w:type="pct"/>
            <w:noWrap w:val="0"/>
            <w:vAlign w:val="center"/>
          </w:tcPr>
          <w:p w14:paraId="0BEA7CFB">
            <w:pPr>
              <w:keepNext w:val="0"/>
              <w:keepLines w:val="0"/>
              <w:pageBreakBefore w:val="0"/>
              <w:widowControl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color w:val="auto"/>
                <w:kern w:val="0"/>
                <w:sz w:val="24"/>
                <w:szCs w:val="24"/>
                <w:highlight w:val="none"/>
                <w:lang w:val="en-US" w:eastAsia="zh-CN"/>
              </w:rPr>
              <w:t>特定资格条件</w:t>
            </w:r>
          </w:p>
        </w:tc>
        <w:tc>
          <w:tcPr>
            <w:tcW w:w="2997" w:type="pct"/>
            <w:noWrap w:val="0"/>
            <w:vAlign w:val="top"/>
          </w:tcPr>
          <w:p w14:paraId="49D244F1">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1）具备建设行政主管部门颁发的公路工程施工总承包叁级及以上资质；具备有效的安全生产许可证；</w:t>
            </w:r>
          </w:p>
          <w:p w14:paraId="2D43EE2B">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2）拟任项目经理具备公路工程专业贰级注册建造师执业资格，具备交通运输部（或省级及以上交通运输主管部门）颁发的安全生产“三类人员”B类证书，在其他项目任关键岗位人员(简称：在建)情况：</w:t>
            </w:r>
          </w:p>
          <w:p w14:paraId="7855DE1C">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投标截止时，投标人应当在响应文件中如实填写项目经理在建情况，并承诺本采购项目成交结果公示期满之前，项目经理能按时到岗履职。评标期间，响应文件中没有承诺能够按时到岗履职的，评标委员会应当否决其投标。</w:t>
            </w:r>
          </w:p>
          <w:p w14:paraId="3CDC7DF4">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本采购项目成交结果公示期满之前，项目经理不能按时到岗履职(含不能从其他项目按期撤离)的采购人应提请相关部门依法认定为失信行为，并依规进行处罚，对于取得成交资格的，还应取消其成交资格。</w:t>
            </w:r>
          </w:p>
        </w:tc>
        <w:tc>
          <w:tcPr>
            <w:tcW w:w="294" w:type="pct"/>
            <w:noWrap w:val="0"/>
            <w:vAlign w:val="top"/>
          </w:tcPr>
          <w:p w14:paraId="23C275A2">
            <w:pPr>
              <w:keepNext w:val="0"/>
              <w:keepLines w:val="0"/>
              <w:pageBreakBefore w:val="0"/>
              <w:widowControl w:val="0"/>
              <w:numPr>
                <w:ilvl w:val="0"/>
                <w:numId w:val="0"/>
              </w:numPr>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sz w:val="24"/>
                <w:szCs w:val="24"/>
                <w:highlight w:val="none"/>
                <w:lang w:val="en-US" w:eastAsia="zh-CN"/>
              </w:rPr>
            </w:pPr>
          </w:p>
        </w:tc>
        <w:tc>
          <w:tcPr>
            <w:tcW w:w="241" w:type="pct"/>
            <w:noWrap w:val="0"/>
            <w:vAlign w:val="top"/>
          </w:tcPr>
          <w:p w14:paraId="3CF9E3C0">
            <w:pPr>
              <w:keepNext w:val="0"/>
              <w:keepLines w:val="0"/>
              <w:pageBreakBefore w:val="0"/>
              <w:widowControl w:val="0"/>
              <w:numPr>
                <w:ilvl w:val="0"/>
                <w:numId w:val="0"/>
              </w:numPr>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sz w:val="24"/>
                <w:szCs w:val="24"/>
                <w:highlight w:val="none"/>
                <w:lang w:val="en-US" w:eastAsia="zh-CN"/>
              </w:rPr>
            </w:pPr>
          </w:p>
        </w:tc>
        <w:tc>
          <w:tcPr>
            <w:tcW w:w="298" w:type="pct"/>
            <w:noWrap w:val="0"/>
            <w:vAlign w:val="top"/>
          </w:tcPr>
          <w:p w14:paraId="71A71643">
            <w:pPr>
              <w:keepNext w:val="0"/>
              <w:keepLines w:val="0"/>
              <w:pageBreakBefore w:val="0"/>
              <w:widowControl w:val="0"/>
              <w:numPr>
                <w:ilvl w:val="0"/>
                <w:numId w:val="0"/>
              </w:numPr>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sz w:val="24"/>
                <w:szCs w:val="24"/>
                <w:highlight w:val="none"/>
                <w:lang w:val="en-US" w:eastAsia="zh-CN"/>
              </w:rPr>
            </w:pPr>
          </w:p>
        </w:tc>
      </w:tr>
      <w:tr w14:paraId="7D0457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73" w:type="pct"/>
            <w:noWrap w:val="0"/>
            <w:vAlign w:val="center"/>
          </w:tcPr>
          <w:p w14:paraId="6974579A">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p>
        </w:tc>
        <w:tc>
          <w:tcPr>
            <w:tcW w:w="794" w:type="pct"/>
            <w:noWrap w:val="0"/>
            <w:vAlign w:val="center"/>
          </w:tcPr>
          <w:p w14:paraId="39BC95B2">
            <w:pPr>
              <w:keepNext w:val="0"/>
              <w:keepLines w:val="0"/>
              <w:pageBreakBefore w:val="0"/>
              <w:widowControl w:val="0"/>
              <w:kinsoku/>
              <w:wordWrap/>
              <w:overflowPunct/>
              <w:topLinePunct w:val="0"/>
              <w:autoSpaceDE/>
              <w:autoSpaceDN/>
              <w:bidi w:val="0"/>
              <w:adjustRightInd w:val="0"/>
              <w:snapToGrid w:val="0"/>
              <w:spacing w:beforeLines="50" w:line="240" w:lineRule="auto"/>
              <w:jc w:val="center"/>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专门面向中小企业</w:t>
            </w:r>
          </w:p>
        </w:tc>
        <w:tc>
          <w:tcPr>
            <w:tcW w:w="2997" w:type="pct"/>
            <w:noWrap w:val="0"/>
            <w:vAlign w:val="center"/>
          </w:tcPr>
          <w:p w14:paraId="64862191">
            <w:pPr>
              <w:keepNext w:val="0"/>
              <w:keepLines w:val="0"/>
              <w:pageBreakBefore w:val="0"/>
              <w:widowControl w:val="0"/>
              <w:kinsoku/>
              <w:overflowPunct/>
              <w:bidi w:val="0"/>
              <w:adjustRightInd w:val="0"/>
              <w:snapToGrid w:val="0"/>
              <w:spacing w:line="360" w:lineRule="auto"/>
              <w:ind w:right="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是否提供政府采购促进中小企业发展相关规定及采购文件的响应文件组成中的“《中小企业声明函》”。</w:t>
            </w:r>
          </w:p>
        </w:tc>
        <w:tc>
          <w:tcPr>
            <w:tcW w:w="294" w:type="pct"/>
            <w:noWrap w:val="0"/>
            <w:vAlign w:val="top"/>
          </w:tcPr>
          <w:p w14:paraId="75C45727">
            <w:pPr>
              <w:keepNext w:val="0"/>
              <w:keepLines w:val="0"/>
              <w:pageBreakBefore w:val="0"/>
              <w:widowControl w:val="0"/>
              <w:numPr>
                <w:ilvl w:val="0"/>
                <w:numId w:val="0"/>
              </w:numPr>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sz w:val="24"/>
                <w:szCs w:val="24"/>
                <w:highlight w:val="none"/>
                <w:lang w:val="en-US" w:eastAsia="zh-CN"/>
              </w:rPr>
            </w:pPr>
          </w:p>
        </w:tc>
        <w:tc>
          <w:tcPr>
            <w:tcW w:w="241" w:type="pct"/>
            <w:noWrap w:val="0"/>
            <w:vAlign w:val="top"/>
          </w:tcPr>
          <w:p w14:paraId="2BF39BD1">
            <w:pPr>
              <w:keepNext w:val="0"/>
              <w:keepLines w:val="0"/>
              <w:pageBreakBefore w:val="0"/>
              <w:widowControl w:val="0"/>
              <w:numPr>
                <w:ilvl w:val="0"/>
                <w:numId w:val="0"/>
              </w:numPr>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sz w:val="24"/>
                <w:szCs w:val="24"/>
                <w:highlight w:val="none"/>
                <w:lang w:val="en-US" w:eastAsia="zh-CN"/>
              </w:rPr>
            </w:pPr>
          </w:p>
        </w:tc>
        <w:tc>
          <w:tcPr>
            <w:tcW w:w="298" w:type="pct"/>
            <w:noWrap w:val="0"/>
            <w:vAlign w:val="top"/>
          </w:tcPr>
          <w:p w14:paraId="7D9045B6">
            <w:pPr>
              <w:keepNext w:val="0"/>
              <w:keepLines w:val="0"/>
              <w:pageBreakBefore w:val="0"/>
              <w:widowControl w:val="0"/>
              <w:numPr>
                <w:ilvl w:val="0"/>
                <w:numId w:val="0"/>
              </w:numPr>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sz w:val="24"/>
                <w:szCs w:val="24"/>
                <w:highlight w:val="none"/>
                <w:lang w:val="en-US" w:eastAsia="zh-CN"/>
              </w:rPr>
            </w:pPr>
          </w:p>
        </w:tc>
      </w:tr>
      <w:tr w14:paraId="3B1AC8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373" w:type="pct"/>
            <w:noWrap w:val="0"/>
            <w:vAlign w:val="center"/>
          </w:tcPr>
          <w:p w14:paraId="314AF33A">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p>
        </w:tc>
        <w:tc>
          <w:tcPr>
            <w:tcW w:w="794" w:type="pct"/>
            <w:noWrap w:val="0"/>
            <w:vAlign w:val="center"/>
          </w:tcPr>
          <w:p w14:paraId="2D0DAA7C">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kern w:val="0"/>
                <w:sz w:val="24"/>
                <w:highlight w:val="none"/>
                <w:lang w:val="en-US" w:eastAsia="zh-CN"/>
              </w:rPr>
              <w:t>投标报价</w:t>
            </w:r>
          </w:p>
        </w:tc>
        <w:tc>
          <w:tcPr>
            <w:tcW w:w="2997" w:type="pct"/>
            <w:noWrap w:val="0"/>
            <w:vAlign w:val="center"/>
          </w:tcPr>
          <w:p w14:paraId="57BC9860">
            <w:pPr>
              <w:keepNext w:val="0"/>
              <w:keepLines w:val="0"/>
              <w:pageBreakBefore w:val="0"/>
              <w:widowControl w:val="0"/>
              <w:kinsoku/>
              <w:wordWrap/>
              <w:overflowPunct/>
              <w:topLinePunct w:val="0"/>
              <w:autoSpaceDE/>
              <w:autoSpaceDN/>
              <w:bidi w:val="0"/>
              <w:adjustRightInd w:val="0"/>
              <w:snapToGrid w:val="0"/>
              <w:spacing w:beforeLines="50" w:line="288" w:lineRule="auto"/>
              <w:jc w:val="both"/>
              <w:textAlignment w:val="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 w:val="24"/>
                <w:highlight w:val="none"/>
              </w:rPr>
              <w:t>投标报价</w:t>
            </w:r>
            <w:r>
              <w:rPr>
                <w:rFonts w:hint="eastAsia" w:ascii="宋体" w:hAnsi="宋体" w:eastAsia="宋体" w:cs="宋体"/>
                <w:color w:val="auto"/>
                <w:sz w:val="24"/>
                <w:highlight w:val="none"/>
                <w:lang w:val="en-US" w:eastAsia="zh-CN"/>
              </w:rPr>
              <w:t>是否响应磋商文件第二章投标须知“投标文件”第16款要求</w:t>
            </w:r>
            <w:r>
              <w:rPr>
                <w:rFonts w:hint="eastAsia" w:ascii="宋体" w:hAnsi="宋体" w:eastAsia="宋体" w:cs="宋体"/>
                <w:color w:val="auto"/>
                <w:sz w:val="24"/>
                <w:highlight w:val="none"/>
                <w:lang w:eastAsia="zh-CN"/>
              </w:rPr>
              <w:t>。</w:t>
            </w:r>
          </w:p>
        </w:tc>
        <w:tc>
          <w:tcPr>
            <w:tcW w:w="294" w:type="pct"/>
            <w:noWrap w:val="0"/>
            <w:vAlign w:val="top"/>
          </w:tcPr>
          <w:p w14:paraId="584B9236">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241" w:type="pct"/>
            <w:noWrap w:val="0"/>
            <w:vAlign w:val="top"/>
          </w:tcPr>
          <w:p w14:paraId="67D19041">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298" w:type="pct"/>
            <w:noWrap w:val="0"/>
            <w:vAlign w:val="top"/>
          </w:tcPr>
          <w:p w14:paraId="0B1E9493">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r>
      <w:tr w14:paraId="039E0A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1" w:hRule="atLeast"/>
          <w:jc w:val="center"/>
        </w:trPr>
        <w:tc>
          <w:tcPr>
            <w:tcW w:w="373" w:type="pct"/>
            <w:noWrap w:val="0"/>
            <w:vAlign w:val="center"/>
          </w:tcPr>
          <w:p w14:paraId="2663E226">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w:t>
            </w:r>
          </w:p>
        </w:tc>
        <w:tc>
          <w:tcPr>
            <w:tcW w:w="794" w:type="pct"/>
            <w:noWrap w:val="0"/>
            <w:vAlign w:val="center"/>
          </w:tcPr>
          <w:p w14:paraId="2AD8E359">
            <w:pPr>
              <w:keepNext w:val="0"/>
              <w:keepLines w:val="0"/>
              <w:pageBreakBefore w:val="0"/>
              <w:widowControl w:val="0"/>
              <w:kinsoku/>
              <w:wordWrap/>
              <w:overflowPunct/>
              <w:topLinePunct w:val="0"/>
              <w:autoSpaceDE/>
              <w:autoSpaceDN/>
              <w:bidi w:val="0"/>
              <w:adjustRightInd w:val="0"/>
              <w:snapToGrid w:val="0"/>
              <w:spacing w:beforeLines="50" w:line="288" w:lineRule="auto"/>
              <w:jc w:val="center"/>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rPr>
              <w:t>签署、盖章</w:t>
            </w:r>
          </w:p>
        </w:tc>
        <w:tc>
          <w:tcPr>
            <w:tcW w:w="2997" w:type="pct"/>
            <w:noWrap w:val="0"/>
            <w:vAlign w:val="top"/>
          </w:tcPr>
          <w:p w14:paraId="3F2A2770">
            <w:pPr>
              <w:keepNext w:val="0"/>
              <w:keepLines w:val="0"/>
              <w:pageBreakBefore w:val="0"/>
              <w:widowControl w:val="0"/>
              <w:kinsoku/>
              <w:wordWrap/>
              <w:overflowPunct/>
              <w:topLinePunct w:val="0"/>
              <w:autoSpaceDE/>
              <w:autoSpaceDN/>
              <w:bidi w:val="0"/>
              <w:adjustRightInd w:val="0"/>
              <w:snapToGrid w:val="0"/>
              <w:spacing w:beforeLines="50"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资格响应</w:t>
            </w:r>
            <w:r>
              <w:rPr>
                <w:rFonts w:hint="eastAsia" w:ascii="宋体" w:hAnsi="宋体" w:eastAsia="宋体" w:cs="宋体"/>
                <w:color w:val="auto"/>
                <w:sz w:val="24"/>
                <w:highlight w:val="none"/>
              </w:rPr>
              <w:t>文件是否按</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第二章投标须知要求进行签署、盖章。</w:t>
            </w:r>
          </w:p>
        </w:tc>
        <w:tc>
          <w:tcPr>
            <w:tcW w:w="294" w:type="pct"/>
            <w:noWrap w:val="0"/>
            <w:vAlign w:val="top"/>
          </w:tcPr>
          <w:p w14:paraId="61379E9A">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241" w:type="pct"/>
            <w:noWrap w:val="0"/>
            <w:vAlign w:val="top"/>
          </w:tcPr>
          <w:p w14:paraId="45A893F0">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c>
          <w:tcPr>
            <w:tcW w:w="298" w:type="pct"/>
            <w:noWrap w:val="0"/>
            <w:vAlign w:val="top"/>
          </w:tcPr>
          <w:p w14:paraId="2A3C62B3">
            <w:pPr>
              <w:keepNext w:val="0"/>
              <w:keepLines w:val="0"/>
              <w:pageBreakBefore w:val="0"/>
              <w:widowControl w:val="0"/>
              <w:kinsoku/>
              <w:wordWrap/>
              <w:overflowPunct/>
              <w:topLinePunct w:val="0"/>
              <w:autoSpaceDE/>
              <w:autoSpaceDN/>
              <w:bidi w:val="0"/>
              <w:adjustRightInd w:val="0"/>
              <w:snapToGrid w:val="0"/>
              <w:spacing w:beforeLines="50" w:line="288" w:lineRule="auto"/>
              <w:jc w:val="left"/>
              <w:textAlignment w:val="auto"/>
              <w:rPr>
                <w:rFonts w:hint="eastAsia" w:ascii="宋体" w:hAnsi="宋体" w:eastAsia="宋体" w:cs="宋体"/>
                <w:color w:val="auto"/>
                <w:kern w:val="0"/>
                <w:sz w:val="24"/>
                <w:szCs w:val="24"/>
                <w:highlight w:val="none"/>
                <w:lang w:val="en-US" w:eastAsia="zh-CN"/>
              </w:rPr>
            </w:pPr>
          </w:p>
        </w:tc>
      </w:tr>
      <w:tr w14:paraId="0C66A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8" w:hRule="atLeast"/>
          <w:jc w:val="center"/>
        </w:trPr>
        <w:tc>
          <w:tcPr>
            <w:tcW w:w="373" w:type="pct"/>
            <w:noWrap w:val="0"/>
            <w:vAlign w:val="center"/>
          </w:tcPr>
          <w:p w14:paraId="0423D006">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结论</w:t>
            </w:r>
          </w:p>
        </w:tc>
        <w:tc>
          <w:tcPr>
            <w:tcW w:w="3792" w:type="pct"/>
            <w:gridSpan w:val="2"/>
            <w:noWrap w:val="0"/>
            <w:vAlign w:val="center"/>
          </w:tcPr>
          <w:p w14:paraId="0ABF69CA">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highlight w:val="none"/>
              </w:rPr>
              <w:t>审查结果“合格”或“不合格”</w:t>
            </w:r>
          </w:p>
        </w:tc>
        <w:tc>
          <w:tcPr>
            <w:tcW w:w="294" w:type="pct"/>
            <w:noWrap w:val="0"/>
            <w:vAlign w:val="center"/>
          </w:tcPr>
          <w:p w14:paraId="4FFCAAD9">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sz w:val="24"/>
                <w:highlight w:val="none"/>
              </w:rPr>
            </w:pPr>
          </w:p>
        </w:tc>
        <w:tc>
          <w:tcPr>
            <w:tcW w:w="241" w:type="pct"/>
            <w:noWrap w:val="0"/>
            <w:vAlign w:val="center"/>
          </w:tcPr>
          <w:p w14:paraId="669A58FC">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sz w:val="24"/>
                <w:highlight w:val="none"/>
              </w:rPr>
            </w:pPr>
          </w:p>
        </w:tc>
        <w:tc>
          <w:tcPr>
            <w:tcW w:w="298" w:type="pct"/>
            <w:noWrap w:val="0"/>
            <w:vAlign w:val="center"/>
          </w:tcPr>
          <w:p w14:paraId="2BAE7176">
            <w:pPr>
              <w:keepNext w:val="0"/>
              <w:keepLines w:val="0"/>
              <w:pageBreakBefore w:val="0"/>
              <w:widowControl w:val="0"/>
              <w:kinsoku/>
              <w:wordWrap/>
              <w:overflowPunct/>
              <w:topLinePunct w:val="0"/>
              <w:autoSpaceDE/>
              <w:autoSpaceDN/>
              <w:bidi w:val="0"/>
              <w:adjustRightInd w:val="0"/>
              <w:snapToGrid w:val="0"/>
              <w:spacing w:before="156" w:beforeLines="50" w:line="288" w:lineRule="auto"/>
              <w:jc w:val="center"/>
              <w:textAlignment w:val="auto"/>
              <w:rPr>
                <w:rFonts w:hint="eastAsia" w:ascii="宋体" w:hAnsi="宋体" w:eastAsia="宋体" w:cs="宋体"/>
                <w:color w:val="auto"/>
                <w:sz w:val="24"/>
                <w:highlight w:val="none"/>
              </w:rPr>
            </w:pPr>
          </w:p>
        </w:tc>
      </w:tr>
    </w:tbl>
    <w:p w14:paraId="22722308">
      <w:pPr>
        <w:keepNext w:val="0"/>
        <w:keepLines w:val="0"/>
        <w:pageBreakBefore w:val="0"/>
        <w:widowControl w:val="0"/>
        <w:kinsoku/>
        <w:overflowPunct/>
        <w:bidi w:val="0"/>
        <w:spacing w:line="360" w:lineRule="auto"/>
        <w:textAlignment w:val="auto"/>
        <w:rPr>
          <w:rFonts w:hint="eastAsia" w:ascii="宋体" w:hAnsi="宋体" w:eastAsia="宋体" w:cs="宋体"/>
          <w:color w:val="auto"/>
          <w:sz w:val="24"/>
          <w:szCs w:val="24"/>
          <w:highlight w:val="none"/>
        </w:rPr>
      </w:pPr>
    </w:p>
    <w:p w14:paraId="7BE77FAB">
      <w:pPr>
        <w:keepNext w:val="0"/>
        <w:keepLines w:val="0"/>
        <w:pageBreakBefore w:val="0"/>
        <w:widowControl w:val="0"/>
        <w:kinsoku/>
        <w:overflowPunct/>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注：1、上述内容合格用“√”表示，不合格用“×”表示；</w:t>
      </w:r>
    </w:p>
    <w:p w14:paraId="65F84633">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2、在结论栏中填写“合格”或“不合格”。</w:t>
      </w:r>
    </w:p>
    <w:p w14:paraId="4CEF2102">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3、以上内容有一项不合格的，则初步评审的综合评定结果为不合格。</w:t>
      </w:r>
    </w:p>
    <w:p w14:paraId="01A03AA0">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4、结论为“不合格”的供应商不得进入实质性评价打分程序。</w:t>
      </w:r>
    </w:p>
    <w:p w14:paraId="33C957E4">
      <w:pPr>
        <w:keepNext w:val="0"/>
        <w:keepLines w:val="0"/>
        <w:pageBreakBefore w:val="0"/>
        <w:widowControl w:val="0"/>
        <w:kinsoku/>
        <w:overflowPunct/>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磋商小组签名：</w:t>
      </w:r>
    </w:p>
    <w:p w14:paraId="69D8B07A">
      <w:pPr>
        <w:keepNext w:val="0"/>
        <w:keepLines w:val="0"/>
        <w:pageBreakBefore w:val="0"/>
        <w:widowControl w:val="0"/>
        <w:kinsoku/>
        <w:wordWrap w:val="0"/>
        <w:overflowPunct/>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w:t>
      </w:r>
    </w:p>
    <w:p w14:paraId="06578790">
      <w:pPr>
        <w:keepNext w:val="0"/>
        <w:keepLines w:val="0"/>
        <w:pageBreakBefore w:val="0"/>
        <w:widowControl w:val="0"/>
        <w:kinsoku/>
        <w:overflowPunct/>
        <w:bidi w:val="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736A954F">
      <w:pPr>
        <w:pStyle w:val="4"/>
        <w:bidi w:val="0"/>
        <w:rPr>
          <w:rFonts w:hint="eastAsia" w:asciiTheme="minorEastAsia" w:hAnsiTheme="minorEastAsia" w:eastAsiaTheme="minorEastAsia" w:cstheme="minorEastAsia"/>
          <w:color w:val="auto"/>
          <w:sz w:val="24"/>
          <w:szCs w:val="24"/>
          <w:lang w:val="en-US" w:eastAsia="zh-CN"/>
        </w:rPr>
      </w:pPr>
      <w:bookmarkStart w:id="85" w:name="_Toc25530"/>
      <w:r>
        <w:rPr>
          <w:rFonts w:hint="eastAsia" w:asciiTheme="minorEastAsia" w:hAnsiTheme="minorEastAsia" w:eastAsiaTheme="minorEastAsia" w:cstheme="minorEastAsia"/>
          <w:color w:val="auto"/>
          <w:sz w:val="24"/>
          <w:szCs w:val="24"/>
          <w:lang w:val="en-US" w:eastAsia="zh-CN"/>
        </w:rPr>
        <w:t>附页5：符合性检查表</w:t>
      </w:r>
      <w:bookmarkEnd w:id="85"/>
    </w:p>
    <w:p w14:paraId="5950D19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符合性检查表</w:t>
      </w:r>
    </w:p>
    <w:p w14:paraId="372536F9">
      <w:pPr>
        <w:keepNext w:val="0"/>
        <w:keepLines w:val="0"/>
        <w:pageBreakBefore w:val="0"/>
        <w:widowControl w:val="0"/>
        <w:kinsoku/>
        <w:overflowPunct/>
        <w:bidi w:val="0"/>
        <w:adjustRightInd w:val="0"/>
        <w:snapToGrid w:val="0"/>
        <w:spacing w:line="360" w:lineRule="auto"/>
        <w:ind w:left="1680" w:hanging="1680" w:hangingChars="7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highlight w:val="none"/>
          <w:u w:val="none"/>
        </w:rPr>
        <w:t>项目名称：</w:t>
      </w:r>
      <w:r>
        <w:rPr>
          <w:rFonts w:hint="eastAsia" w:ascii="宋体" w:hAnsi="宋体" w:cs="宋体"/>
          <w:color w:val="auto"/>
          <w:sz w:val="24"/>
          <w:szCs w:val="24"/>
          <w:highlight w:val="none"/>
          <w:u w:val="none"/>
          <w:lang w:eastAsia="zh-CN"/>
        </w:rPr>
        <w:t>古丈县古阳镇柑子坪村通组公路硬化项目</w:t>
      </w:r>
    </w:p>
    <w:p w14:paraId="65DBB1F5">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rPr>
        <w:t>采购代理编号:</w:t>
      </w:r>
      <w:r>
        <w:rPr>
          <w:rFonts w:hint="eastAsia" w:ascii="宋体" w:hAnsi="宋体" w:cs="宋体"/>
          <w:color w:val="auto"/>
          <w:sz w:val="24"/>
          <w:szCs w:val="24"/>
          <w:highlight w:val="none"/>
          <w:u w:val="none"/>
          <w:lang w:eastAsia="zh-CN"/>
        </w:rPr>
        <w:t>广信磋商【2026】第052号</w:t>
      </w:r>
    </w:p>
    <w:tbl>
      <w:tblPr>
        <w:tblStyle w:val="22"/>
        <w:tblpPr w:leftFromText="180" w:rightFromText="180" w:vertAnchor="text" w:horzAnchor="page" w:tblpXSpec="center" w:tblpY="54"/>
        <w:tblOverlap w:val="never"/>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493"/>
        <w:gridCol w:w="5493"/>
        <w:gridCol w:w="511"/>
        <w:gridCol w:w="511"/>
        <w:gridCol w:w="513"/>
      </w:tblGrid>
      <w:tr w14:paraId="6C6E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63" w:type="pct"/>
            <w:vMerge w:val="restart"/>
            <w:tcBorders>
              <w:tl2br w:val="nil"/>
              <w:tr2bl w:val="nil"/>
            </w:tcBorders>
            <w:vAlign w:val="center"/>
          </w:tcPr>
          <w:p w14:paraId="6F45DCA0">
            <w:pPr>
              <w:keepNext w:val="0"/>
              <w:keepLines w:val="0"/>
              <w:pageBreakBefore w:val="0"/>
              <w:widowControl w:val="0"/>
              <w:kinsoku/>
              <w:overflowPunct/>
              <w:bidi w:val="0"/>
              <w:adjustRightInd w:val="0"/>
              <w:snapToGrid w:val="0"/>
              <w:spacing w:before="156" w:beforeLines="50" w:line="36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color w:val="auto"/>
                <w:kern w:val="0"/>
                <w:sz w:val="24"/>
                <w:szCs w:val="24"/>
                <w:highlight w:val="none"/>
              </w:rPr>
              <w:t>序号</w:t>
            </w:r>
          </w:p>
        </w:tc>
        <w:tc>
          <w:tcPr>
            <w:tcW w:w="795" w:type="pct"/>
            <w:vMerge w:val="restart"/>
            <w:tcBorders>
              <w:tl2br w:val="nil"/>
              <w:tr2bl w:val="nil"/>
            </w:tcBorders>
            <w:vAlign w:val="center"/>
          </w:tcPr>
          <w:p w14:paraId="2E11822F">
            <w:pPr>
              <w:keepNext w:val="0"/>
              <w:keepLines w:val="0"/>
              <w:pageBreakBefore w:val="0"/>
              <w:widowControl w:val="0"/>
              <w:kinsoku/>
              <w:overflowPunct/>
              <w:bidi w:val="0"/>
              <w:adjustRightInd w:val="0"/>
              <w:snapToGrid w:val="0"/>
              <w:spacing w:before="156" w:beforeLines="50" w:line="360" w:lineRule="auto"/>
              <w:jc w:val="center"/>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color w:val="auto"/>
                <w:kern w:val="0"/>
                <w:sz w:val="24"/>
                <w:szCs w:val="24"/>
                <w:highlight w:val="none"/>
              </w:rPr>
              <w:t>审查项目</w:t>
            </w:r>
          </w:p>
        </w:tc>
        <w:tc>
          <w:tcPr>
            <w:tcW w:w="2924" w:type="pct"/>
            <w:vMerge w:val="restart"/>
            <w:tcBorders>
              <w:tl2br w:val="nil"/>
              <w:tr2bl w:val="nil"/>
            </w:tcBorders>
            <w:vAlign w:val="center"/>
          </w:tcPr>
          <w:p w14:paraId="4FE4FBBA">
            <w:pPr>
              <w:keepNext w:val="0"/>
              <w:keepLines w:val="0"/>
              <w:pageBreakBefore w:val="0"/>
              <w:widowControl w:val="0"/>
              <w:kinsoku/>
              <w:overflowPunct/>
              <w:bidi w:val="0"/>
              <w:adjustRightInd w:val="0"/>
              <w:snapToGrid w:val="0"/>
              <w:spacing w:before="156" w:beforeLines="50" w:line="36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color w:val="auto"/>
                <w:kern w:val="0"/>
                <w:sz w:val="24"/>
                <w:szCs w:val="24"/>
                <w:highlight w:val="none"/>
              </w:rPr>
              <w:t>审查标准</w:t>
            </w:r>
          </w:p>
        </w:tc>
        <w:tc>
          <w:tcPr>
            <w:tcW w:w="817" w:type="pct"/>
            <w:gridSpan w:val="3"/>
            <w:tcBorders>
              <w:tl2br w:val="nil"/>
              <w:tr2bl w:val="nil"/>
            </w:tcBorders>
            <w:vAlign w:val="center"/>
          </w:tcPr>
          <w:p w14:paraId="11AF7CA0">
            <w:pPr>
              <w:keepNext w:val="0"/>
              <w:keepLines w:val="0"/>
              <w:pageBreakBefore w:val="0"/>
              <w:widowControl w:val="0"/>
              <w:kinsoku/>
              <w:overflowPunct/>
              <w:bidi w:val="0"/>
              <w:jc w:val="center"/>
              <w:textAlignment w:val="auto"/>
              <w:rPr>
                <w:rFonts w:hint="eastAsia" w:ascii="宋体" w:hAnsi="宋体" w:eastAsia="宋体" w:cs="宋体"/>
                <w:b/>
                <w:bCs/>
                <w:color w:val="auto"/>
                <w:sz w:val="24"/>
                <w:highlight w:val="none"/>
                <w:lang w:val="en-US"/>
              </w:rPr>
            </w:pPr>
            <w:r>
              <w:rPr>
                <w:rFonts w:hint="eastAsia" w:ascii="宋体" w:hAnsi="宋体" w:eastAsia="宋体" w:cs="宋体"/>
                <w:b/>
                <w:bCs/>
                <w:color w:val="auto"/>
                <w:sz w:val="24"/>
                <w:highlight w:val="none"/>
                <w:lang w:val="en-US" w:eastAsia="zh-CN"/>
              </w:rPr>
              <w:t>投标人</w:t>
            </w:r>
          </w:p>
        </w:tc>
      </w:tr>
      <w:tr w14:paraId="351D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463" w:type="pct"/>
            <w:vMerge w:val="continue"/>
            <w:tcBorders>
              <w:tl2br w:val="nil"/>
              <w:tr2bl w:val="nil"/>
            </w:tcBorders>
            <w:vAlign w:val="center"/>
          </w:tcPr>
          <w:p w14:paraId="08CABB77">
            <w:pPr>
              <w:keepNext w:val="0"/>
              <w:keepLines w:val="0"/>
              <w:pageBreakBefore w:val="0"/>
              <w:widowControl w:val="0"/>
              <w:kinsoku/>
              <w:overflowPunct/>
              <w:bidi w:val="0"/>
              <w:jc w:val="center"/>
              <w:textAlignment w:val="auto"/>
              <w:rPr>
                <w:rFonts w:hint="eastAsia" w:ascii="宋体" w:hAnsi="宋体" w:eastAsia="宋体" w:cs="宋体"/>
                <w:b/>
                <w:bCs/>
                <w:color w:val="auto"/>
                <w:highlight w:val="none"/>
              </w:rPr>
            </w:pPr>
          </w:p>
        </w:tc>
        <w:tc>
          <w:tcPr>
            <w:tcW w:w="795" w:type="pct"/>
            <w:vMerge w:val="continue"/>
            <w:tcBorders>
              <w:tl2br w:val="nil"/>
              <w:tr2bl w:val="nil"/>
            </w:tcBorders>
            <w:vAlign w:val="center"/>
          </w:tcPr>
          <w:p w14:paraId="2AA6D945">
            <w:pPr>
              <w:keepNext w:val="0"/>
              <w:keepLines w:val="0"/>
              <w:pageBreakBefore w:val="0"/>
              <w:widowControl w:val="0"/>
              <w:kinsoku/>
              <w:overflowPunct/>
              <w:bidi w:val="0"/>
              <w:jc w:val="center"/>
              <w:textAlignment w:val="auto"/>
              <w:rPr>
                <w:rFonts w:hint="eastAsia" w:ascii="宋体" w:hAnsi="宋体" w:eastAsia="宋体" w:cs="宋体"/>
                <w:b/>
                <w:bCs/>
                <w:color w:val="auto"/>
                <w:highlight w:val="none"/>
              </w:rPr>
            </w:pPr>
          </w:p>
        </w:tc>
        <w:tc>
          <w:tcPr>
            <w:tcW w:w="2924" w:type="pct"/>
            <w:vMerge w:val="continue"/>
            <w:tcBorders>
              <w:tl2br w:val="nil"/>
              <w:tr2bl w:val="nil"/>
            </w:tcBorders>
            <w:vAlign w:val="center"/>
          </w:tcPr>
          <w:p w14:paraId="58DE3D86">
            <w:pPr>
              <w:keepNext w:val="0"/>
              <w:keepLines w:val="0"/>
              <w:pageBreakBefore w:val="0"/>
              <w:widowControl w:val="0"/>
              <w:kinsoku/>
              <w:overflowPunct/>
              <w:bidi w:val="0"/>
              <w:textAlignment w:val="auto"/>
              <w:rPr>
                <w:rFonts w:hint="eastAsia" w:ascii="宋体" w:hAnsi="宋体" w:eastAsia="宋体" w:cs="宋体"/>
                <w:b/>
                <w:bCs/>
                <w:color w:val="auto"/>
                <w:highlight w:val="none"/>
              </w:rPr>
            </w:pPr>
          </w:p>
        </w:tc>
        <w:tc>
          <w:tcPr>
            <w:tcW w:w="272" w:type="pct"/>
            <w:tcBorders>
              <w:tl2br w:val="nil"/>
              <w:tr2bl w:val="nil"/>
            </w:tcBorders>
            <w:vAlign w:val="center"/>
          </w:tcPr>
          <w:p w14:paraId="57A60BA8">
            <w:pPr>
              <w:keepNext w:val="0"/>
              <w:keepLines w:val="0"/>
              <w:pageBreakBefore w:val="0"/>
              <w:widowControl w:val="0"/>
              <w:kinsoku/>
              <w:overflowPunct/>
              <w:bidi w:val="0"/>
              <w:textAlignment w:val="auto"/>
              <w:rPr>
                <w:rFonts w:hint="eastAsia" w:ascii="宋体" w:hAnsi="宋体" w:eastAsia="宋体" w:cs="宋体"/>
                <w:b/>
                <w:bCs/>
                <w:color w:val="auto"/>
                <w:highlight w:val="none"/>
              </w:rPr>
            </w:pPr>
          </w:p>
        </w:tc>
        <w:tc>
          <w:tcPr>
            <w:tcW w:w="272" w:type="pct"/>
            <w:tcBorders>
              <w:tl2br w:val="nil"/>
              <w:tr2bl w:val="nil"/>
            </w:tcBorders>
            <w:vAlign w:val="center"/>
          </w:tcPr>
          <w:p w14:paraId="39D4B5BC">
            <w:pPr>
              <w:keepNext w:val="0"/>
              <w:keepLines w:val="0"/>
              <w:pageBreakBefore w:val="0"/>
              <w:widowControl w:val="0"/>
              <w:kinsoku/>
              <w:overflowPunct/>
              <w:bidi w:val="0"/>
              <w:textAlignment w:val="auto"/>
              <w:rPr>
                <w:rFonts w:hint="eastAsia" w:ascii="宋体" w:hAnsi="宋体" w:eastAsia="宋体" w:cs="宋体"/>
                <w:b/>
                <w:bCs/>
                <w:color w:val="auto"/>
                <w:highlight w:val="none"/>
              </w:rPr>
            </w:pPr>
          </w:p>
        </w:tc>
        <w:tc>
          <w:tcPr>
            <w:tcW w:w="273" w:type="pct"/>
            <w:tcBorders>
              <w:tl2br w:val="nil"/>
              <w:tr2bl w:val="nil"/>
            </w:tcBorders>
            <w:vAlign w:val="center"/>
          </w:tcPr>
          <w:p w14:paraId="628D8AB4">
            <w:pPr>
              <w:keepNext w:val="0"/>
              <w:keepLines w:val="0"/>
              <w:pageBreakBefore w:val="0"/>
              <w:widowControl w:val="0"/>
              <w:kinsoku/>
              <w:overflowPunct/>
              <w:bidi w:val="0"/>
              <w:textAlignment w:val="auto"/>
              <w:rPr>
                <w:rFonts w:hint="eastAsia" w:ascii="宋体" w:hAnsi="宋体" w:eastAsia="宋体" w:cs="宋体"/>
                <w:color w:val="auto"/>
                <w:highlight w:val="none"/>
              </w:rPr>
            </w:pPr>
          </w:p>
        </w:tc>
      </w:tr>
      <w:tr w14:paraId="7511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463" w:type="pct"/>
            <w:tcBorders>
              <w:tl2br w:val="nil"/>
              <w:tr2bl w:val="nil"/>
            </w:tcBorders>
            <w:vAlign w:val="center"/>
          </w:tcPr>
          <w:p w14:paraId="4F713876">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p>
        </w:tc>
        <w:tc>
          <w:tcPr>
            <w:tcW w:w="795" w:type="pct"/>
            <w:tcBorders>
              <w:tl2br w:val="nil"/>
              <w:tr2bl w:val="nil"/>
            </w:tcBorders>
            <w:vAlign w:val="center"/>
          </w:tcPr>
          <w:p w14:paraId="7FA86977">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响应文件完整性</w:t>
            </w:r>
          </w:p>
        </w:tc>
        <w:tc>
          <w:tcPr>
            <w:tcW w:w="2924" w:type="pct"/>
            <w:tcBorders>
              <w:tl2br w:val="nil"/>
              <w:tr2bl w:val="nil"/>
            </w:tcBorders>
            <w:vAlign w:val="center"/>
          </w:tcPr>
          <w:p w14:paraId="3F7816C0">
            <w:pPr>
              <w:keepNext w:val="0"/>
              <w:keepLines w:val="0"/>
              <w:pageBreakBefore w:val="0"/>
              <w:widowControl w:val="0"/>
              <w:kinsoku/>
              <w:overflowPunct/>
              <w:bidi w:val="0"/>
              <w:spacing w:line="240" w:lineRule="auto"/>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响应文件组成部分是否按磋商文件规定进行编制</w:t>
            </w:r>
            <w:r>
              <w:rPr>
                <w:rFonts w:hint="eastAsia" w:ascii="宋体" w:hAnsi="宋体" w:eastAsia="宋体" w:cs="宋体"/>
                <w:color w:val="auto"/>
                <w:sz w:val="24"/>
                <w:highlight w:val="none"/>
                <w:lang w:eastAsia="zh-CN"/>
              </w:rPr>
              <w:t>。</w:t>
            </w:r>
          </w:p>
        </w:tc>
        <w:tc>
          <w:tcPr>
            <w:tcW w:w="272" w:type="pct"/>
            <w:tcBorders>
              <w:tl2br w:val="nil"/>
              <w:tr2bl w:val="nil"/>
            </w:tcBorders>
            <w:vAlign w:val="center"/>
          </w:tcPr>
          <w:p w14:paraId="5CA02483">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2" w:type="pct"/>
            <w:tcBorders>
              <w:tl2br w:val="nil"/>
              <w:tr2bl w:val="nil"/>
            </w:tcBorders>
            <w:vAlign w:val="center"/>
          </w:tcPr>
          <w:p w14:paraId="415C4FCC">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3" w:type="pct"/>
            <w:tcBorders>
              <w:tl2br w:val="nil"/>
              <w:tr2bl w:val="nil"/>
            </w:tcBorders>
            <w:vAlign w:val="center"/>
          </w:tcPr>
          <w:p w14:paraId="5A9E5265">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43E9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463" w:type="pct"/>
            <w:tcBorders>
              <w:tl2br w:val="nil"/>
              <w:tr2bl w:val="nil"/>
            </w:tcBorders>
            <w:shd w:val="clear" w:color="auto" w:fill="auto"/>
            <w:vAlign w:val="center"/>
          </w:tcPr>
          <w:p w14:paraId="08CA88E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 w:val="24"/>
                <w:highlight w:val="none"/>
                <w:lang w:val="en-US" w:eastAsia="zh-CN"/>
              </w:rPr>
              <w:t>2</w:t>
            </w:r>
          </w:p>
        </w:tc>
        <w:tc>
          <w:tcPr>
            <w:tcW w:w="795" w:type="pct"/>
            <w:tcBorders>
              <w:tl2br w:val="nil"/>
              <w:tr2bl w:val="nil"/>
            </w:tcBorders>
            <w:shd w:val="clear" w:color="auto" w:fill="auto"/>
            <w:vAlign w:val="center"/>
          </w:tcPr>
          <w:p w14:paraId="4BA537E5">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kern w:val="0"/>
                <w:sz w:val="24"/>
                <w:highlight w:val="none"/>
              </w:rPr>
              <w:t>签署、盖章</w:t>
            </w:r>
          </w:p>
        </w:tc>
        <w:tc>
          <w:tcPr>
            <w:tcW w:w="2924" w:type="pct"/>
            <w:tcBorders>
              <w:tl2br w:val="nil"/>
              <w:tr2bl w:val="nil"/>
            </w:tcBorders>
            <w:shd w:val="clear" w:color="auto" w:fill="auto"/>
            <w:vAlign w:val="center"/>
          </w:tcPr>
          <w:p w14:paraId="2172CB02">
            <w:pPr>
              <w:keepNext w:val="0"/>
              <w:keepLines w:val="0"/>
              <w:pageBreakBefore w:val="0"/>
              <w:widowControl w:val="0"/>
              <w:kinsoku/>
              <w:overflowPunct/>
              <w:bidi w:val="0"/>
              <w:spacing w:line="240" w:lineRule="auto"/>
              <w:jc w:val="left"/>
              <w:textAlignment w:val="auto"/>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文件是否按</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第二章投标须知要求进行签署、盖章。</w:t>
            </w:r>
          </w:p>
        </w:tc>
        <w:tc>
          <w:tcPr>
            <w:tcW w:w="272" w:type="pct"/>
            <w:tcBorders>
              <w:tl2br w:val="nil"/>
              <w:tr2bl w:val="nil"/>
            </w:tcBorders>
            <w:vAlign w:val="center"/>
          </w:tcPr>
          <w:p w14:paraId="710AAA8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2" w:type="pct"/>
            <w:tcBorders>
              <w:tl2br w:val="nil"/>
              <w:tr2bl w:val="nil"/>
            </w:tcBorders>
            <w:vAlign w:val="center"/>
          </w:tcPr>
          <w:p w14:paraId="7B39F56B">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3" w:type="pct"/>
            <w:tcBorders>
              <w:tl2br w:val="nil"/>
              <w:tr2bl w:val="nil"/>
            </w:tcBorders>
            <w:vAlign w:val="center"/>
          </w:tcPr>
          <w:p w14:paraId="3509B555">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587F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463" w:type="pct"/>
            <w:tcBorders>
              <w:tl2br w:val="nil"/>
              <w:tr2bl w:val="nil"/>
            </w:tcBorders>
            <w:vAlign w:val="center"/>
          </w:tcPr>
          <w:p w14:paraId="58FF776C">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3</w:t>
            </w:r>
          </w:p>
        </w:tc>
        <w:tc>
          <w:tcPr>
            <w:tcW w:w="795" w:type="pct"/>
            <w:tcBorders>
              <w:tl2br w:val="nil"/>
              <w:tr2bl w:val="nil"/>
            </w:tcBorders>
            <w:vAlign w:val="center"/>
          </w:tcPr>
          <w:p w14:paraId="6F5FE871">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工期要求</w:t>
            </w:r>
          </w:p>
        </w:tc>
        <w:tc>
          <w:tcPr>
            <w:tcW w:w="2924" w:type="pct"/>
            <w:tcBorders>
              <w:tl2br w:val="nil"/>
              <w:tr2bl w:val="nil"/>
            </w:tcBorders>
            <w:vAlign w:val="center"/>
          </w:tcPr>
          <w:p w14:paraId="06AD948F">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FFFFFF"/>
                <w:lang w:val="en-US" w:eastAsia="zh-CN"/>
              </w:rPr>
              <w:t>工期</w:t>
            </w:r>
            <w:r>
              <w:rPr>
                <w:rFonts w:hint="eastAsia" w:ascii="宋体" w:hAnsi="宋体" w:eastAsia="宋体" w:cs="宋体"/>
                <w:color w:val="auto"/>
                <w:sz w:val="24"/>
                <w:highlight w:val="none"/>
                <w:shd w:val="clear" w:color="auto" w:fill="FFFFFF"/>
              </w:rPr>
              <w:t>满足</w:t>
            </w:r>
            <w:r>
              <w:rPr>
                <w:rFonts w:hint="eastAsia" w:ascii="宋体" w:hAnsi="宋体" w:eastAsia="宋体" w:cs="宋体"/>
                <w:color w:val="auto"/>
                <w:sz w:val="24"/>
                <w:highlight w:val="none"/>
                <w:shd w:val="clear" w:color="auto" w:fill="FFFFFF"/>
                <w:lang w:eastAsia="zh-CN"/>
              </w:rPr>
              <w:t>磋商文件</w:t>
            </w:r>
            <w:r>
              <w:rPr>
                <w:rFonts w:hint="eastAsia" w:ascii="宋体" w:hAnsi="宋体" w:eastAsia="宋体" w:cs="宋体"/>
                <w:color w:val="auto"/>
                <w:sz w:val="24"/>
                <w:highlight w:val="none"/>
                <w:shd w:val="clear" w:color="auto" w:fill="FFFFFF"/>
              </w:rPr>
              <w:t>要求。</w:t>
            </w:r>
          </w:p>
        </w:tc>
        <w:tc>
          <w:tcPr>
            <w:tcW w:w="272" w:type="pct"/>
            <w:tcBorders>
              <w:tl2br w:val="nil"/>
              <w:tr2bl w:val="nil"/>
            </w:tcBorders>
            <w:vAlign w:val="center"/>
          </w:tcPr>
          <w:p w14:paraId="0276BF4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2" w:type="pct"/>
            <w:tcBorders>
              <w:tl2br w:val="nil"/>
              <w:tr2bl w:val="nil"/>
            </w:tcBorders>
            <w:vAlign w:val="center"/>
          </w:tcPr>
          <w:p w14:paraId="08AE4DB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3" w:type="pct"/>
            <w:tcBorders>
              <w:tl2br w:val="nil"/>
              <w:tr2bl w:val="nil"/>
            </w:tcBorders>
            <w:vAlign w:val="center"/>
          </w:tcPr>
          <w:p w14:paraId="6A46B5F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6FBA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63" w:type="pct"/>
            <w:tcBorders>
              <w:tl2br w:val="nil"/>
              <w:tr2bl w:val="nil"/>
            </w:tcBorders>
            <w:vAlign w:val="center"/>
          </w:tcPr>
          <w:p w14:paraId="421D9D96">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4</w:t>
            </w:r>
          </w:p>
        </w:tc>
        <w:tc>
          <w:tcPr>
            <w:tcW w:w="795" w:type="pct"/>
            <w:tcBorders>
              <w:tl2br w:val="nil"/>
              <w:tr2bl w:val="nil"/>
            </w:tcBorders>
            <w:vAlign w:val="center"/>
          </w:tcPr>
          <w:p w14:paraId="4F99E575">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rPr>
              <w:t>实质性</w:t>
            </w:r>
            <w:r>
              <w:rPr>
                <w:rFonts w:hint="eastAsia" w:ascii="宋体" w:hAnsi="宋体" w:eastAsia="宋体" w:cs="宋体"/>
                <w:color w:val="auto"/>
                <w:kern w:val="0"/>
                <w:sz w:val="24"/>
                <w:highlight w:val="none"/>
                <w:lang w:val="en-US" w:eastAsia="zh-CN"/>
              </w:rPr>
              <w:t>要求</w:t>
            </w:r>
          </w:p>
        </w:tc>
        <w:tc>
          <w:tcPr>
            <w:tcW w:w="2924" w:type="pct"/>
            <w:tcBorders>
              <w:tl2br w:val="nil"/>
              <w:tr2bl w:val="nil"/>
            </w:tcBorders>
            <w:vAlign w:val="center"/>
          </w:tcPr>
          <w:p w14:paraId="3A635E97">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shd w:val="clear" w:color="auto" w:fill="FFFFFF"/>
                <w:lang w:eastAsia="zh-CN"/>
              </w:rPr>
            </w:pP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文件是否对</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的实质性要求和条件作出响应</w:t>
            </w:r>
            <w:r>
              <w:rPr>
                <w:rFonts w:hint="eastAsia" w:ascii="宋体" w:hAnsi="宋体" w:eastAsia="宋体" w:cs="宋体"/>
                <w:color w:val="auto"/>
                <w:sz w:val="24"/>
                <w:highlight w:val="none"/>
                <w:lang w:eastAsia="zh-CN"/>
              </w:rPr>
              <w:t>。</w:t>
            </w:r>
          </w:p>
        </w:tc>
        <w:tc>
          <w:tcPr>
            <w:tcW w:w="272" w:type="pct"/>
            <w:tcBorders>
              <w:tl2br w:val="nil"/>
              <w:tr2bl w:val="nil"/>
            </w:tcBorders>
            <w:vAlign w:val="center"/>
          </w:tcPr>
          <w:p w14:paraId="1DC5B86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2" w:type="pct"/>
            <w:tcBorders>
              <w:tl2br w:val="nil"/>
              <w:tr2bl w:val="nil"/>
            </w:tcBorders>
            <w:vAlign w:val="center"/>
          </w:tcPr>
          <w:p w14:paraId="0E6F8B70">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3" w:type="pct"/>
            <w:tcBorders>
              <w:tl2br w:val="nil"/>
              <w:tr2bl w:val="nil"/>
            </w:tcBorders>
            <w:vAlign w:val="center"/>
          </w:tcPr>
          <w:p w14:paraId="0EBD652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564A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center"/>
        </w:trPr>
        <w:tc>
          <w:tcPr>
            <w:tcW w:w="463" w:type="pct"/>
            <w:tcBorders>
              <w:tl2br w:val="nil"/>
              <w:tr2bl w:val="nil"/>
            </w:tcBorders>
            <w:vAlign w:val="center"/>
          </w:tcPr>
          <w:p w14:paraId="4035BC54">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5</w:t>
            </w:r>
          </w:p>
        </w:tc>
        <w:tc>
          <w:tcPr>
            <w:tcW w:w="795" w:type="pct"/>
            <w:tcBorders>
              <w:tl2br w:val="nil"/>
              <w:tr2bl w:val="nil"/>
            </w:tcBorders>
            <w:vAlign w:val="center"/>
          </w:tcPr>
          <w:p w14:paraId="545FAE9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投标有效期</w:t>
            </w:r>
          </w:p>
        </w:tc>
        <w:tc>
          <w:tcPr>
            <w:tcW w:w="2924" w:type="pct"/>
            <w:tcBorders>
              <w:tl2br w:val="nil"/>
              <w:tr2bl w:val="nil"/>
            </w:tcBorders>
            <w:vAlign w:val="center"/>
          </w:tcPr>
          <w:p w14:paraId="68E729AC">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shd w:val="clear" w:color="auto" w:fill="FFFFFF"/>
              </w:rPr>
              <w:t>投标有效期满足</w:t>
            </w:r>
            <w:r>
              <w:rPr>
                <w:rFonts w:hint="eastAsia" w:ascii="宋体" w:hAnsi="宋体" w:eastAsia="宋体" w:cs="宋体"/>
                <w:color w:val="auto"/>
                <w:sz w:val="24"/>
                <w:highlight w:val="none"/>
                <w:shd w:val="clear" w:color="auto" w:fill="FFFFFF"/>
                <w:lang w:eastAsia="zh-CN"/>
              </w:rPr>
              <w:t>磋商文件</w:t>
            </w:r>
            <w:r>
              <w:rPr>
                <w:rFonts w:hint="eastAsia" w:ascii="宋体" w:hAnsi="宋体" w:eastAsia="宋体" w:cs="宋体"/>
                <w:color w:val="auto"/>
                <w:sz w:val="24"/>
                <w:highlight w:val="none"/>
                <w:shd w:val="clear" w:color="auto" w:fill="FFFFFF"/>
              </w:rPr>
              <w:t>要求。</w:t>
            </w:r>
          </w:p>
        </w:tc>
        <w:tc>
          <w:tcPr>
            <w:tcW w:w="272" w:type="pct"/>
            <w:tcBorders>
              <w:tl2br w:val="nil"/>
              <w:tr2bl w:val="nil"/>
            </w:tcBorders>
            <w:vAlign w:val="center"/>
          </w:tcPr>
          <w:p w14:paraId="44707A15">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2" w:type="pct"/>
            <w:tcBorders>
              <w:tl2br w:val="nil"/>
              <w:tr2bl w:val="nil"/>
            </w:tcBorders>
            <w:vAlign w:val="center"/>
          </w:tcPr>
          <w:p w14:paraId="0EC524B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3" w:type="pct"/>
            <w:tcBorders>
              <w:tl2br w:val="nil"/>
              <w:tr2bl w:val="nil"/>
            </w:tcBorders>
            <w:vAlign w:val="center"/>
          </w:tcPr>
          <w:p w14:paraId="1D2CC6B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1B27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463" w:type="pct"/>
            <w:tcBorders>
              <w:tl2br w:val="nil"/>
              <w:tr2bl w:val="nil"/>
            </w:tcBorders>
            <w:vAlign w:val="center"/>
          </w:tcPr>
          <w:p w14:paraId="006EBB15">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6</w:t>
            </w:r>
          </w:p>
        </w:tc>
        <w:tc>
          <w:tcPr>
            <w:tcW w:w="795" w:type="pct"/>
            <w:tcBorders>
              <w:tl2br w:val="nil"/>
              <w:tr2bl w:val="nil"/>
            </w:tcBorders>
            <w:vAlign w:val="center"/>
          </w:tcPr>
          <w:p w14:paraId="2ED3CCAD">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附加条件</w:t>
            </w:r>
          </w:p>
        </w:tc>
        <w:tc>
          <w:tcPr>
            <w:tcW w:w="2924" w:type="pct"/>
            <w:tcBorders>
              <w:tl2br w:val="nil"/>
              <w:tr2bl w:val="nil"/>
            </w:tcBorders>
            <w:vAlign w:val="center"/>
          </w:tcPr>
          <w:p w14:paraId="66BFEF8A">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shd w:val="clear" w:color="auto" w:fill="FFFFFF"/>
                <w:lang w:eastAsia="zh-CN"/>
              </w:rPr>
            </w:pP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文件未含有采购人不能接受的附加条件</w:t>
            </w:r>
            <w:r>
              <w:rPr>
                <w:rFonts w:hint="eastAsia" w:ascii="宋体" w:hAnsi="宋体" w:eastAsia="宋体" w:cs="宋体"/>
                <w:color w:val="auto"/>
                <w:sz w:val="24"/>
                <w:highlight w:val="none"/>
                <w:lang w:eastAsia="zh-CN"/>
              </w:rPr>
              <w:t>。</w:t>
            </w:r>
          </w:p>
        </w:tc>
        <w:tc>
          <w:tcPr>
            <w:tcW w:w="272" w:type="pct"/>
            <w:tcBorders>
              <w:tl2br w:val="nil"/>
              <w:tr2bl w:val="nil"/>
            </w:tcBorders>
            <w:vAlign w:val="center"/>
          </w:tcPr>
          <w:p w14:paraId="5CF4894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2" w:type="pct"/>
            <w:tcBorders>
              <w:tl2br w:val="nil"/>
              <w:tr2bl w:val="nil"/>
            </w:tcBorders>
            <w:vAlign w:val="center"/>
          </w:tcPr>
          <w:p w14:paraId="4FE6074D">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3" w:type="pct"/>
            <w:tcBorders>
              <w:tl2br w:val="nil"/>
              <w:tr2bl w:val="nil"/>
            </w:tcBorders>
            <w:vAlign w:val="center"/>
          </w:tcPr>
          <w:p w14:paraId="5BB934A0">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0150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463" w:type="pct"/>
            <w:tcBorders>
              <w:tl2br w:val="nil"/>
              <w:tr2bl w:val="nil"/>
            </w:tcBorders>
            <w:vAlign w:val="center"/>
          </w:tcPr>
          <w:p w14:paraId="3CF7443F">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w:t>
            </w:r>
          </w:p>
        </w:tc>
        <w:tc>
          <w:tcPr>
            <w:tcW w:w="795" w:type="pct"/>
            <w:tcBorders>
              <w:tl2br w:val="nil"/>
              <w:tr2bl w:val="nil"/>
            </w:tcBorders>
            <w:vAlign w:val="center"/>
          </w:tcPr>
          <w:p w14:paraId="09039C6B">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rPr>
              <w:t>投标完整性</w:t>
            </w:r>
          </w:p>
        </w:tc>
        <w:tc>
          <w:tcPr>
            <w:tcW w:w="2924" w:type="pct"/>
            <w:tcBorders>
              <w:tl2br w:val="nil"/>
              <w:tr2bl w:val="nil"/>
            </w:tcBorders>
            <w:vAlign w:val="center"/>
          </w:tcPr>
          <w:p w14:paraId="44AB35D5">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未将一个采购包中的内容拆开投标</w:t>
            </w:r>
            <w:r>
              <w:rPr>
                <w:rFonts w:hint="eastAsia" w:ascii="宋体" w:hAnsi="宋体" w:eastAsia="宋体" w:cs="宋体"/>
                <w:color w:val="auto"/>
                <w:sz w:val="24"/>
                <w:highlight w:val="none"/>
                <w:lang w:eastAsia="zh-CN"/>
              </w:rPr>
              <w:t>。</w:t>
            </w:r>
          </w:p>
        </w:tc>
        <w:tc>
          <w:tcPr>
            <w:tcW w:w="272" w:type="pct"/>
            <w:tcBorders>
              <w:tl2br w:val="nil"/>
              <w:tr2bl w:val="nil"/>
            </w:tcBorders>
            <w:vAlign w:val="center"/>
          </w:tcPr>
          <w:p w14:paraId="1DF3A93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2" w:type="pct"/>
            <w:tcBorders>
              <w:tl2br w:val="nil"/>
              <w:tr2bl w:val="nil"/>
            </w:tcBorders>
            <w:vAlign w:val="center"/>
          </w:tcPr>
          <w:p w14:paraId="2FA9570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3" w:type="pct"/>
            <w:tcBorders>
              <w:tl2br w:val="nil"/>
              <w:tr2bl w:val="nil"/>
            </w:tcBorders>
            <w:vAlign w:val="center"/>
          </w:tcPr>
          <w:p w14:paraId="28831996">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3D6A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463" w:type="pct"/>
            <w:tcBorders>
              <w:tl2br w:val="nil"/>
              <w:tr2bl w:val="nil"/>
            </w:tcBorders>
            <w:vAlign w:val="center"/>
          </w:tcPr>
          <w:p w14:paraId="69F0F34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w:t>
            </w:r>
          </w:p>
        </w:tc>
        <w:tc>
          <w:tcPr>
            <w:tcW w:w="795" w:type="pct"/>
            <w:tcBorders>
              <w:tl2br w:val="nil"/>
              <w:tr2bl w:val="nil"/>
            </w:tcBorders>
            <w:vAlign w:val="center"/>
          </w:tcPr>
          <w:p w14:paraId="44604815">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rPr>
              <w:t>报价合理性</w:t>
            </w:r>
          </w:p>
        </w:tc>
        <w:tc>
          <w:tcPr>
            <w:tcW w:w="2924" w:type="pct"/>
            <w:tcBorders>
              <w:tl2br w:val="nil"/>
              <w:tr2bl w:val="nil"/>
            </w:tcBorders>
            <w:vAlign w:val="center"/>
          </w:tcPr>
          <w:p w14:paraId="4D9DB09B">
            <w:pPr>
              <w:keepNext w:val="0"/>
              <w:keepLines w:val="0"/>
              <w:pageBreakBefore w:val="0"/>
              <w:widowControl w:val="0"/>
              <w:kinsoku/>
              <w:overflowPunct/>
              <w:bidi w:val="0"/>
              <w:spacing w:line="360" w:lineRule="auto"/>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报价合理，或</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的报价明显低于其他通过符合性审查</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的报价，有可能影响产品质量或者不能诚信履约的，能够应评标委员会要求在规定时间内证明其报价合理性的</w:t>
            </w:r>
            <w:r>
              <w:rPr>
                <w:rFonts w:hint="eastAsia" w:ascii="宋体" w:hAnsi="宋体" w:eastAsia="宋体" w:cs="宋体"/>
                <w:color w:val="auto"/>
                <w:sz w:val="24"/>
                <w:highlight w:val="none"/>
                <w:lang w:eastAsia="zh-CN"/>
              </w:rPr>
              <w:t>。</w:t>
            </w:r>
          </w:p>
        </w:tc>
        <w:tc>
          <w:tcPr>
            <w:tcW w:w="272" w:type="pct"/>
            <w:tcBorders>
              <w:tl2br w:val="nil"/>
              <w:tr2bl w:val="nil"/>
            </w:tcBorders>
            <w:vAlign w:val="center"/>
          </w:tcPr>
          <w:p w14:paraId="555E683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2" w:type="pct"/>
            <w:tcBorders>
              <w:tl2br w:val="nil"/>
              <w:tr2bl w:val="nil"/>
            </w:tcBorders>
            <w:vAlign w:val="center"/>
          </w:tcPr>
          <w:p w14:paraId="37B1F06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3" w:type="pct"/>
            <w:tcBorders>
              <w:tl2br w:val="nil"/>
              <w:tr2bl w:val="nil"/>
            </w:tcBorders>
            <w:vAlign w:val="center"/>
          </w:tcPr>
          <w:p w14:paraId="335EEB5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r w14:paraId="69E9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4182" w:type="pct"/>
            <w:gridSpan w:val="3"/>
            <w:tcBorders>
              <w:tl2br w:val="nil"/>
              <w:tr2bl w:val="nil"/>
            </w:tcBorders>
            <w:vAlign w:val="center"/>
          </w:tcPr>
          <w:p w14:paraId="508A78CD">
            <w:pPr>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审查结果“合格”或“不合格”</w:t>
            </w:r>
          </w:p>
        </w:tc>
        <w:tc>
          <w:tcPr>
            <w:tcW w:w="272" w:type="pct"/>
            <w:tcBorders>
              <w:tl2br w:val="nil"/>
              <w:tr2bl w:val="nil"/>
            </w:tcBorders>
            <w:vAlign w:val="center"/>
          </w:tcPr>
          <w:p w14:paraId="4C3CEFB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2" w:type="pct"/>
            <w:tcBorders>
              <w:tl2br w:val="nil"/>
              <w:tr2bl w:val="nil"/>
            </w:tcBorders>
            <w:vAlign w:val="center"/>
          </w:tcPr>
          <w:p w14:paraId="2086B743">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c>
          <w:tcPr>
            <w:tcW w:w="273" w:type="pct"/>
            <w:tcBorders>
              <w:tl2br w:val="nil"/>
              <w:tr2bl w:val="nil"/>
            </w:tcBorders>
            <w:vAlign w:val="center"/>
          </w:tcPr>
          <w:p w14:paraId="40D9FE9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18"/>
                <w:szCs w:val="18"/>
                <w:highlight w:val="none"/>
              </w:rPr>
            </w:pPr>
          </w:p>
        </w:tc>
      </w:tr>
    </w:tbl>
    <w:p w14:paraId="7C0A8C61">
      <w:pPr>
        <w:keepNext w:val="0"/>
        <w:keepLines w:val="0"/>
        <w:pageBreakBefore w:val="0"/>
        <w:widowControl w:val="0"/>
        <w:kinsoku/>
        <w:overflowPunct/>
        <w:bidi w:val="0"/>
        <w:textAlignment w:val="auto"/>
        <w:rPr>
          <w:rFonts w:hint="eastAsia" w:ascii="宋体" w:hAnsi="宋体" w:eastAsia="宋体" w:cs="宋体"/>
          <w:color w:val="auto"/>
          <w:sz w:val="24"/>
          <w:szCs w:val="24"/>
          <w:highlight w:val="none"/>
        </w:rPr>
      </w:pPr>
    </w:p>
    <w:p w14:paraId="6C54CC06">
      <w:pPr>
        <w:keepNext w:val="0"/>
        <w:keepLines w:val="0"/>
        <w:pageBreakBefore w:val="0"/>
        <w:widowControl w:val="0"/>
        <w:kinsoku/>
        <w:overflowPunct/>
        <w:bidi w:val="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注：1、上述内容符合要求“√”表示，不符合要求“×”表示；</w:t>
      </w:r>
    </w:p>
    <w:p w14:paraId="7D61450E">
      <w:pPr>
        <w:keepNext w:val="0"/>
        <w:keepLines w:val="0"/>
        <w:pageBreakBefore w:val="0"/>
        <w:widowControl w:val="0"/>
        <w:kinsoku/>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2、全部符合要求的在结论栏中填写“合格”有一项不符合要求在结论栏中填写“不合格”。不合格的响应文件不得进入实质性评审打分程序。</w:t>
      </w:r>
    </w:p>
    <w:p w14:paraId="239AE34B">
      <w:pPr>
        <w:keepNext w:val="0"/>
        <w:keepLines w:val="0"/>
        <w:pageBreakBefore w:val="0"/>
        <w:widowControl w:val="0"/>
        <w:kinsoku/>
        <w:overflowPunct/>
        <w:bidi w:val="0"/>
        <w:spacing w:line="360" w:lineRule="auto"/>
        <w:ind w:firstLine="482" w:firstLineChars="200"/>
        <w:textAlignment w:val="auto"/>
        <w:rPr>
          <w:rFonts w:hint="eastAsia" w:ascii="宋体" w:hAnsi="宋体" w:eastAsia="宋体" w:cs="宋体"/>
          <w:b/>
          <w:bCs/>
          <w:color w:val="auto"/>
          <w:sz w:val="24"/>
          <w:highlight w:val="none"/>
        </w:rPr>
      </w:pPr>
    </w:p>
    <w:p w14:paraId="3C169E83">
      <w:pPr>
        <w:keepNext w:val="0"/>
        <w:keepLines w:val="0"/>
        <w:pageBreakBefore w:val="0"/>
        <w:widowControl w:val="0"/>
        <w:kinsoku/>
        <w:overflowPunct/>
        <w:bidi w:val="0"/>
        <w:spacing w:line="360" w:lineRule="auto"/>
        <w:ind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磋商小组签名：</w:t>
      </w:r>
    </w:p>
    <w:p w14:paraId="70124075">
      <w:pPr>
        <w:keepNext w:val="0"/>
        <w:keepLines w:val="0"/>
        <w:pageBreakBefore w:val="0"/>
        <w:widowControl w:val="0"/>
        <w:kinsoku/>
        <w:wordWrap w:val="0"/>
        <w:overflowPunct/>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w:t>
      </w:r>
    </w:p>
    <w:p w14:paraId="314ED317">
      <w:pPr>
        <w:keepNext w:val="0"/>
        <w:keepLines w:val="0"/>
        <w:pageBreakBefore w:val="0"/>
        <w:widowControl w:val="0"/>
        <w:kinsoku/>
        <w:overflowPunct/>
        <w:bidi w:val="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59F1E27C">
      <w:pPr>
        <w:pStyle w:val="4"/>
        <w:bidi w:val="0"/>
        <w:rPr>
          <w:rFonts w:hint="eastAsia" w:asciiTheme="minorEastAsia" w:hAnsiTheme="minorEastAsia" w:eastAsiaTheme="minorEastAsia" w:cstheme="minorEastAsia"/>
          <w:color w:val="auto"/>
          <w:sz w:val="24"/>
          <w:szCs w:val="24"/>
          <w:lang w:val="en-US" w:eastAsia="zh-CN"/>
        </w:rPr>
      </w:pPr>
      <w:bookmarkStart w:id="86" w:name="_Toc23270"/>
      <w:r>
        <w:rPr>
          <w:rFonts w:hint="eastAsia" w:asciiTheme="minorEastAsia" w:hAnsiTheme="minorEastAsia" w:eastAsiaTheme="minorEastAsia" w:cstheme="minorEastAsia"/>
          <w:color w:val="auto"/>
          <w:sz w:val="24"/>
          <w:szCs w:val="24"/>
          <w:lang w:val="en-US" w:eastAsia="zh-CN"/>
        </w:rPr>
        <w:t>附页6：澄清、说明、补正事项记要表</w:t>
      </w:r>
      <w:bookmarkEnd w:id="86"/>
    </w:p>
    <w:p w14:paraId="42CB2A3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8"/>
          <w:szCs w:val="28"/>
          <w:highlight w:val="none"/>
        </w:rPr>
        <w:t>澄清、说明、补正事项记要表</w:t>
      </w:r>
    </w:p>
    <w:p w14:paraId="79D36312">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textAlignment w:val="auto"/>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highlight w:val="none"/>
          <w:u w:val="none"/>
        </w:rPr>
        <w:t>项目名称：</w:t>
      </w:r>
      <w:r>
        <w:rPr>
          <w:rFonts w:hint="eastAsia" w:ascii="宋体" w:hAnsi="宋体" w:cs="宋体"/>
          <w:color w:val="auto"/>
          <w:sz w:val="24"/>
          <w:szCs w:val="24"/>
          <w:highlight w:val="none"/>
          <w:u w:val="none"/>
          <w:lang w:eastAsia="zh-CN"/>
        </w:rPr>
        <w:t>古丈县古阳镇柑子坪村通组公路硬化项目</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p>
    <w:p w14:paraId="1B05C4C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bCs/>
          <w:color w:val="auto"/>
          <w:sz w:val="24"/>
          <w:highlight w:val="none"/>
          <w:u w:val="none"/>
          <w:lang w:val="en-US" w:eastAsia="zh-CN"/>
        </w:rPr>
      </w:pPr>
      <w:r>
        <w:rPr>
          <w:rFonts w:hint="eastAsia" w:ascii="宋体" w:hAnsi="宋体" w:eastAsia="宋体" w:cs="宋体"/>
          <w:color w:val="auto"/>
          <w:sz w:val="24"/>
          <w:highlight w:val="none"/>
          <w:u w:val="none"/>
        </w:rPr>
        <w:t>采购代理编号:</w:t>
      </w:r>
      <w:r>
        <w:rPr>
          <w:rFonts w:hint="eastAsia" w:ascii="宋体" w:hAnsi="宋体" w:cs="宋体"/>
          <w:color w:val="auto"/>
          <w:sz w:val="24"/>
          <w:szCs w:val="24"/>
          <w:highlight w:val="none"/>
          <w:u w:val="none"/>
          <w:lang w:eastAsia="zh-CN"/>
        </w:rPr>
        <w:t>广信磋商【2026】第052号</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highlight w:val="none"/>
          <w:u w:val="none"/>
          <w:lang w:val="en-US" w:eastAsia="zh-CN"/>
        </w:rPr>
        <w:t xml:space="preserve">                                            </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
        <w:gridCol w:w="4246"/>
        <w:gridCol w:w="1515"/>
        <w:gridCol w:w="1427"/>
        <w:gridCol w:w="1246"/>
      </w:tblGrid>
      <w:tr w14:paraId="1148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12" w:type="pct"/>
            <w:vMerge w:val="restart"/>
            <w:noWrap/>
            <w:vAlign w:val="center"/>
          </w:tcPr>
          <w:p w14:paraId="7471C968">
            <w:pPr>
              <w:keepNext w:val="0"/>
              <w:keepLines w:val="0"/>
              <w:pageBreakBefore w:val="0"/>
              <w:widowControl w:val="0"/>
              <w:kinsoku/>
              <w:overflowPunct/>
              <w:bidi w:val="0"/>
              <w:spacing w:line="36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258" w:type="pct"/>
            <w:vMerge w:val="restart"/>
            <w:noWrap/>
            <w:vAlign w:val="center"/>
          </w:tcPr>
          <w:p w14:paraId="754E37F0">
            <w:pPr>
              <w:keepNext w:val="0"/>
              <w:keepLines w:val="0"/>
              <w:pageBreakBefore w:val="0"/>
              <w:widowControl w:val="0"/>
              <w:kinsoku/>
              <w:overflowPunct/>
              <w:bidi w:val="0"/>
              <w:spacing w:line="36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澄清、说明、补正、内容</w:t>
            </w:r>
          </w:p>
        </w:tc>
        <w:tc>
          <w:tcPr>
            <w:tcW w:w="2228" w:type="pct"/>
            <w:gridSpan w:val="3"/>
            <w:noWrap/>
            <w:vAlign w:val="center"/>
          </w:tcPr>
          <w:p w14:paraId="374260FC">
            <w:pPr>
              <w:keepNext w:val="0"/>
              <w:keepLines w:val="0"/>
              <w:pageBreakBefore w:val="0"/>
              <w:widowControl w:val="0"/>
              <w:kinsoku/>
              <w:overflowPunct/>
              <w:bidi w:val="0"/>
              <w:spacing w:line="360" w:lineRule="auto"/>
              <w:jc w:val="center"/>
              <w:textAlignment w:val="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val="en-US" w:eastAsia="zh-CN"/>
              </w:rPr>
              <w:t>投标人</w:t>
            </w:r>
          </w:p>
        </w:tc>
      </w:tr>
      <w:tr w14:paraId="62A3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12" w:type="pct"/>
            <w:vMerge w:val="continue"/>
            <w:noWrap/>
            <w:vAlign w:val="center"/>
          </w:tcPr>
          <w:p w14:paraId="0B62B8C4">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2258" w:type="pct"/>
            <w:vMerge w:val="continue"/>
            <w:noWrap/>
            <w:vAlign w:val="center"/>
          </w:tcPr>
          <w:p w14:paraId="7F961192">
            <w:pPr>
              <w:keepNext w:val="0"/>
              <w:keepLines w:val="0"/>
              <w:pageBreakBefore w:val="0"/>
              <w:widowControl w:val="0"/>
              <w:kinsoku/>
              <w:overflowPunct/>
              <w:bidi w:val="0"/>
              <w:spacing w:line="360" w:lineRule="auto"/>
              <w:jc w:val="center"/>
              <w:textAlignment w:val="auto"/>
              <w:rPr>
                <w:rFonts w:hint="eastAsia" w:ascii="宋体" w:hAnsi="宋体" w:eastAsia="宋体" w:cs="宋体"/>
                <w:b/>
                <w:bCs/>
                <w:color w:val="auto"/>
                <w:sz w:val="24"/>
                <w:highlight w:val="none"/>
              </w:rPr>
            </w:pPr>
          </w:p>
        </w:tc>
        <w:tc>
          <w:tcPr>
            <w:tcW w:w="806" w:type="pct"/>
            <w:noWrap/>
            <w:vAlign w:val="center"/>
          </w:tcPr>
          <w:p w14:paraId="14F8643B">
            <w:pPr>
              <w:keepNext w:val="0"/>
              <w:keepLines w:val="0"/>
              <w:pageBreakBefore w:val="0"/>
              <w:widowControl w:val="0"/>
              <w:kinsoku/>
              <w:overflowPunct/>
              <w:bidi w:val="0"/>
              <w:jc w:val="center"/>
              <w:textAlignment w:val="auto"/>
              <w:rPr>
                <w:rFonts w:hint="eastAsia" w:ascii="宋体" w:hAnsi="宋体" w:eastAsia="宋体" w:cs="宋体"/>
                <w:color w:val="auto"/>
                <w:sz w:val="24"/>
                <w:highlight w:val="none"/>
              </w:rPr>
            </w:pPr>
          </w:p>
        </w:tc>
        <w:tc>
          <w:tcPr>
            <w:tcW w:w="759" w:type="pct"/>
            <w:noWrap/>
            <w:vAlign w:val="center"/>
          </w:tcPr>
          <w:p w14:paraId="11284A49">
            <w:pPr>
              <w:keepNext w:val="0"/>
              <w:keepLines w:val="0"/>
              <w:pageBreakBefore w:val="0"/>
              <w:widowControl w:val="0"/>
              <w:kinsoku/>
              <w:overflowPunct/>
              <w:bidi w:val="0"/>
              <w:jc w:val="center"/>
              <w:textAlignment w:val="auto"/>
              <w:rPr>
                <w:rFonts w:hint="eastAsia" w:ascii="宋体" w:hAnsi="宋体" w:eastAsia="宋体" w:cs="宋体"/>
                <w:color w:val="auto"/>
                <w:sz w:val="24"/>
                <w:highlight w:val="none"/>
              </w:rPr>
            </w:pPr>
          </w:p>
        </w:tc>
        <w:tc>
          <w:tcPr>
            <w:tcW w:w="661" w:type="pct"/>
            <w:noWrap/>
            <w:vAlign w:val="center"/>
          </w:tcPr>
          <w:p w14:paraId="2C487773">
            <w:pPr>
              <w:keepNext w:val="0"/>
              <w:keepLines w:val="0"/>
              <w:pageBreakBefore w:val="0"/>
              <w:widowControl w:val="0"/>
              <w:kinsoku/>
              <w:overflowPunct/>
              <w:bidi w:val="0"/>
              <w:jc w:val="center"/>
              <w:textAlignment w:val="auto"/>
              <w:rPr>
                <w:rFonts w:hint="eastAsia" w:ascii="宋体" w:hAnsi="宋体" w:eastAsia="宋体" w:cs="宋体"/>
                <w:color w:val="auto"/>
                <w:sz w:val="24"/>
                <w:highlight w:val="none"/>
              </w:rPr>
            </w:pPr>
          </w:p>
        </w:tc>
      </w:tr>
      <w:tr w14:paraId="1252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512" w:type="pct"/>
            <w:noWrap/>
            <w:vAlign w:val="center"/>
          </w:tcPr>
          <w:p w14:paraId="5A7EFC9B">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258" w:type="pct"/>
            <w:noWrap/>
            <w:vAlign w:val="center"/>
          </w:tcPr>
          <w:p w14:paraId="43A89E6F">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中需要澄清</w:t>
            </w:r>
          </w:p>
        </w:tc>
        <w:tc>
          <w:tcPr>
            <w:tcW w:w="806" w:type="pct"/>
            <w:noWrap/>
            <w:vAlign w:val="center"/>
          </w:tcPr>
          <w:p w14:paraId="137287D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59" w:type="pct"/>
            <w:noWrap/>
            <w:vAlign w:val="center"/>
          </w:tcPr>
          <w:p w14:paraId="19CE6DA3">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61" w:type="pct"/>
            <w:noWrap/>
            <w:vAlign w:val="center"/>
          </w:tcPr>
          <w:p w14:paraId="3B6D314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r w14:paraId="5F3A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512" w:type="pct"/>
            <w:noWrap/>
            <w:vAlign w:val="center"/>
          </w:tcPr>
          <w:p w14:paraId="221B991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258" w:type="pct"/>
            <w:noWrap/>
            <w:vAlign w:val="center"/>
          </w:tcPr>
          <w:p w14:paraId="1A617FF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对</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文件中含义不明确</w:t>
            </w:r>
          </w:p>
        </w:tc>
        <w:tc>
          <w:tcPr>
            <w:tcW w:w="806" w:type="pct"/>
            <w:noWrap/>
            <w:vAlign w:val="center"/>
          </w:tcPr>
          <w:p w14:paraId="105E859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59" w:type="pct"/>
            <w:noWrap/>
            <w:vAlign w:val="center"/>
          </w:tcPr>
          <w:p w14:paraId="562129C0">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61" w:type="pct"/>
            <w:noWrap/>
            <w:vAlign w:val="center"/>
          </w:tcPr>
          <w:p w14:paraId="18224250">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r w14:paraId="25AB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512" w:type="pct"/>
            <w:noWrap/>
            <w:vAlign w:val="center"/>
          </w:tcPr>
          <w:p w14:paraId="0DD5A27E">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258" w:type="pct"/>
            <w:noWrap/>
            <w:vAlign w:val="center"/>
          </w:tcPr>
          <w:p w14:paraId="64F3D11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对同类问题表述不一致</w:t>
            </w:r>
          </w:p>
        </w:tc>
        <w:tc>
          <w:tcPr>
            <w:tcW w:w="806" w:type="pct"/>
            <w:noWrap/>
            <w:vAlign w:val="center"/>
          </w:tcPr>
          <w:p w14:paraId="08939C0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59" w:type="pct"/>
            <w:noWrap/>
            <w:vAlign w:val="center"/>
          </w:tcPr>
          <w:p w14:paraId="1E2F0E90">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61" w:type="pct"/>
            <w:noWrap/>
            <w:vAlign w:val="center"/>
          </w:tcPr>
          <w:p w14:paraId="11CB8AED">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r w14:paraId="20A6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4" w:hRule="atLeast"/>
        </w:trPr>
        <w:tc>
          <w:tcPr>
            <w:tcW w:w="512" w:type="pct"/>
            <w:noWrap/>
            <w:vAlign w:val="center"/>
          </w:tcPr>
          <w:p w14:paraId="4C44DD1B">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258" w:type="pct"/>
            <w:noWrap/>
            <w:vAlign w:val="center"/>
          </w:tcPr>
          <w:p w14:paraId="1195551A">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明显文字和计算错误的</w:t>
            </w:r>
          </w:p>
        </w:tc>
        <w:tc>
          <w:tcPr>
            <w:tcW w:w="806" w:type="pct"/>
            <w:noWrap/>
            <w:vAlign w:val="center"/>
          </w:tcPr>
          <w:p w14:paraId="2B928A22">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59" w:type="pct"/>
            <w:noWrap/>
            <w:vAlign w:val="center"/>
          </w:tcPr>
          <w:p w14:paraId="22B1ACBC">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61" w:type="pct"/>
            <w:noWrap/>
            <w:vAlign w:val="center"/>
          </w:tcPr>
          <w:p w14:paraId="01835E33">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r w14:paraId="643F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2771" w:type="pct"/>
            <w:gridSpan w:val="2"/>
            <w:noWrap/>
            <w:vAlign w:val="center"/>
          </w:tcPr>
          <w:p w14:paraId="3E2A1558">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审查结果“合格”或“不合格”</w:t>
            </w:r>
          </w:p>
        </w:tc>
        <w:tc>
          <w:tcPr>
            <w:tcW w:w="806" w:type="pct"/>
            <w:noWrap/>
            <w:vAlign w:val="center"/>
          </w:tcPr>
          <w:p w14:paraId="798CC549">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759" w:type="pct"/>
            <w:noWrap/>
            <w:vAlign w:val="center"/>
          </w:tcPr>
          <w:p w14:paraId="507803B1">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c>
          <w:tcPr>
            <w:tcW w:w="661" w:type="pct"/>
            <w:noWrap/>
            <w:vAlign w:val="center"/>
          </w:tcPr>
          <w:p w14:paraId="08DDA25F">
            <w:pPr>
              <w:keepNext w:val="0"/>
              <w:keepLines w:val="0"/>
              <w:pageBreakBefore w:val="0"/>
              <w:widowControl w:val="0"/>
              <w:kinsoku/>
              <w:overflowPunct/>
              <w:bidi w:val="0"/>
              <w:spacing w:line="360" w:lineRule="auto"/>
              <w:jc w:val="center"/>
              <w:textAlignment w:val="auto"/>
              <w:rPr>
                <w:rFonts w:hint="eastAsia" w:ascii="宋体" w:hAnsi="宋体" w:eastAsia="宋体" w:cs="宋体"/>
                <w:color w:val="auto"/>
                <w:sz w:val="24"/>
                <w:highlight w:val="none"/>
              </w:rPr>
            </w:pPr>
          </w:p>
        </w:tc>
      </w:tr>
    </w:tbl>
    <w:p w14:paraId="45409105">
      <w:pPr>
        <w:keepNext w:val="0"/>
        <w:keepLines w:val="0"/>
        <w:pageBreakBefore w:val="0"/>
        <w:widowControl w:val="0"/>
        <w:kinsoku/>
        <w:overflowPunct/>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备注：如有澄清、说明、补正事项，请写明详细的内容，无请画“/”，如有澄清请详细记录响应文件的第几页，需要澄清内容</w:t>
      </w:r>
      <w:r>
        <w:rPr>
          <w:rFonts w:hint="eastAsia" w:ascii="宋体" w:hAnsi="宋体" w:eastAsia="宋体" w:cs="宋体"/>
          <w:color w:val="auto"/>
          <w:szCs w:val="21"/>
          <w:highlight w:val="none"/>
        </w:rPr>
        <w:t>。</w:t>
      </w:r>
    </w:p>
    <w:p w14:paraId="6A415077">
      <w:pPr>
        <w:keepNext w:val="0"/>
        <w:keepLines w:val="0"/>
        <w:pageBreakBefore w:val="0"/>
        <w:widowControl w:val="0"/>
        <w:kinsoku/>
        <w:overflowPunct/>
        <w:bidi w:val="0"/>
        <w:spacing w:line="360" w:lineRule="auto"/>
        <w:ind w:firstLine="420"/>
        <w:textAlignment w:val="auto"/>
        <w:rPr>
          <w:rFonts w:hint="eastAsia" w:ascii="宋体" w:hAnsi="宋体" w:eastAsia="宋体" w:cs="宋体"/>
          <w:b/>
          <w:bCs/>
          <w:color w:val="auto"/>
          <w:sz w:val="24"/>
          <w:highlight w:val="none"/>
        </w:rPr>
      </w:pPr>
    </w:p>
    <w:p w14:paraId="459CA658">
      <w:pPr>
        <w:keepNext w:val="0"/>
        <w:keepLines w:val="0"/>
        <w:pageBreakBefore w:val="0"/>
        <w:widowControl w:val="0"/>
        <w:kinsoku/>
        <w:overflowPunct/>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 xml:space="preserve">磋商小组签名：     </w:t>
      </w:r>
    </w:p>
    <w:p w14:paraId="384E7DAD">
      <w:pPr>
        <w:keepNext w:val="0"/>
        <w:keepLines w:val="0"/>
        <w:pageBreakBefore w:val="0"/>
        <w:widowControl w:val="0"/>
        <w:kinsoku/>
        <w:overflowPunct/>
        <w:bidi w:val="0"/>
        <w:spacing w:line="360" w:lineRule="auto"/>
        <w:ind w:left="5880" w:firstLine="42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  </w:t>
      </w:r>
    </w:p>
    <w:p w14:paraId="305100BF">
      <w:pPr>
        <w:bidi w:val="0"/>
        <w:rPr>
          <w:rFonts w:hint="eastAsia" w:ascii="宋体" w:hAnsi="宋体" w:eastAsia="宋体" w:cs="宋体"/>
          <w:color w:val="auto"/>
          <w:highlight w:val="none"/>
        </w:rPr>
      </w:pPr>
      <w:bookmarkStart w:id="87" w:name="_Toc22805"/>
      <w:bookmarkStart w:id="88" w:name="_Toc23541"/>
      <w:bookmarkStart w:id="89" w:name="_Toc14976"/>
      <w:bookmarkStart w:id="90" w:name="_Toc4834"/>
      <w:bookmarkStart w:id="91" w:name="_Toc8707"/>
      <w:bookmarkStart w:id="92" w:name="_Toc7107"/>
      <w:bookmarkStart w:id="93" w:name="_Toc1803"/>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日</w:t>
      </w:r>
      <w:bookmarkEnd w:id="87"/>
      <w:bookmarkEnd w:id="88"/>
      <w:bookmarkEnd w:id="89"/>
      <w:bookmarkEnd w:id="90"/>
      <w:bookmarkEnd w:id="91"/>
      <w:bookmarkEnd w:id="92"/>
      <w:bookmarkEnd w:id="93"/>
    </w:p>
    <w:p w14:paraId="28B904E9">
      <w:pPr>
        <w:keepNext w:val="0"/>
        <w:keepLines w:val="0"/>
        <w:pageBreakBefore w:val="0"/>
        <w:widowControl w:val="0"/>
        <w:kinsoku/>
        <w:overflowPunct/>
        <w:bidi w:val="0"/>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21018B6">
      <w:pPr>
        <w:pStyle w:val="4"/>
        <w:bidi w:val="0"/>
        <w:rPr>
          <w:rFonts w:hint="eastAsia" w:asciiTheme="minorEastAsia" w:hAnsiTheme="minorEastAsia" w:eastAsiaTheme="minorEastAsia" w:cstheme="minorEastAsia"/>
          <w:color w:val="auto"/>
          <w:sz w:val="24"/>
          <w:szCs w:val="24"/>
          <w:lang w:val="en-US" w:eastAsia="zh-CN"/>
        </w:rPr>
      </w:pPr>
      <w:bookmarkStart w:id="94" w:name="_Toc27402"/>
      <w:bookmarkStart w:id="95" w:name="_Toc23157"/>
      <w:bookmarkStart w:id="96" w:name="_Toc6911"/>
      <w:r>
        <w:rPr>
          <w:rFonts w:hint="eastAsia" w:asciiTheme="minorEastAsia" w:hAnsiTheme="minorEastAsia" w:eastAsiaTheme="minorEastAsia" w:cstheme="minorEastAsia"/>
          <w:color w:val="auto"/>
          <w:sz w:val="24"/>
          <w:szCs w:val="24"/>
          <w:lang w:val="en-US" w:eastAsia="zh-CN"/>
        </w:rPr>
        <w:t>附页7：评标方法及标准</w:t>
      </w:r>
      <w:bookmarkEnd w:id="94"/>
    </w:p>
    <w:p w14:paraId="31AB0D9D">
      <w:pPr>
        <w:jc w:val="center"/>
        <w:rPr>
          <w:rFonts w:hint="eastAsia" w:ascii="宋体" w:hAnsi="宋体" w:eastAsia="宋体" w:cs="宋体"/>
          <w:b/>
          <w:bCs/>
          <w:color w:val="auto"/>
          <w:sz w:val="30"/>
          <w:szCs w:val="30"/>
          <w:highlight w:val="none"/>
        </w:rPr>
      </w:pPr>
      <w:bookmarkStart w:id="97" w:name="_Toc20651231"/>
      <w:r>
        <w:rPr>
          <w:rFonts w:hint="eastAsia" w:ascii="宋体" w:hAnsi="宋体" w:eastAsia="宋体" w:cs="宋体"/>
          <w:b/>
          <w:bCs/>
          <w:color w:val="auto"/>
          <w:sz w:val="30"/>
          <w:szCs w:val="30"/>
          <w:highlight w:val="none"/>
        </w:rPr>
        <w:t>评标方法及标准表</w:t>
      </w:r>
      <w:bookmarkEnd w:id="97"/>
    </w:p>
    <w:tbl>
      <w:tblPr>
        <w:tblStyle w:val="22"/>
        <w:tblW w:w="50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5"/>
        <w:gridCol w:w="982"/>
        <w:gridCol w:w="938"/>
        <w:gridCol w:w="6674"/>
      </w:tblGrid>
      <w:tr w14:paraId="02C8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trPr>
        <w:tc>
          <w:tcPr>
            <w:tcW w:w="334" w:type="pct"/>
            <w:vMerge w:val="restart"/>
            <w:tcMar>
              <w:left w:w="0" w:type="dxa"/>
              <w:right w:w="0" w:type="dxa"/>
            </w:tcMar>
            <w:vAlign w:val="center"/>
          </w:tcPr>
          <w:p w14:paraId="688F4A11">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533" w:type="pct"/>
            <w:vMerge w:val="restart"/>
            <w:tcMar>
              <w:left w:w="0" w:type="dxa"/>
              <w:right w:w="0" w:type="dxa"/>
            </w:tcMar>
            <w:vAlign w:val="center"/>
          </w:tcPr>
          <w:p w14:paraId="648ECAC2">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w:t>
            </w:r>
          </w:p>
          <w:p w14:paraId="2445D4F3">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因素</w:t>
            </w:r>
          </w:p>
        </w:tc>
        <w:tc>
          <w:tcPr>
            <w:tcW w:w="4132" w:type="pct"/>
            <w:gridSpan w:val="2"/>
            <w:vMerge w:val="restart"/>
            <w:tcMar>
              <w:left w:w="0" w:type="dxa"/>
              <w:right w:w="0" w:type="dxa"/>
            </w:tcMar>
            <w:vAlign w:val="center"/>
          </w:tcPr>
          <w:p w14:paraId="3AA1D1C2">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评分标准</w:t>
            </w:r>
          </w:p>
        </w:tc>
      </w:tr>
      <w:tr w14:paraId="395D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334" w:type="pct"/>
            <w:vMerge w:val="continue"/>
            <w:tcMar>
              <w:left w:w="0" w:type="dxa"/>
              <w:right w:w="0" w:type="dxa"/>
            </w:tcMar>
            <w:vAlign w:val="center"/>
          </w:tcPr>
          <w:p w14:paraId="7FBDA50E">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p>
        </w:tc>
        <w:tc>
          <w:tcPr>
            <w:tcW w:w="533" w:type="pct"/>
            <w:vMerge w:val="continue"/>
            <w:tcMar>
              <w:left w:w="0" w:type="dxa"/>
              <w:right w:w="0" w:type="dxa"/>
            </w:tcMar>
            <w:vAlign w:val="center"/>
          </w:tcPr>
          <w:p w14:paraId="428C96BA">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p>
        </w:tc>
        <w:tc>
          <w:tcPr>
            <w:tcW w:w="4132" w:type="pct"/>
            <w:gridSpan w:val="2"/>
            <w:vMerge w:val="continue"/>
            <w:tcMar>
              <w:left w:w="0" w:type="dxa"/>
              <w:right w:w="0" w:type="dxa"/>
            </w:tcMar>
            <w:vAlign w:val="center"/>
          </w:tcPr>
          <w:p w14:paraId="4F0EB063">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szCs w:val="24"/>
              </w:rPr>
            </w:pPr>
          </w:p>
        </w:tc>
      </w:tr>
      <w:tr w14:paraId="41BE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5" w:hRule="atLeast"/>
        </w:trPr>
        <w:tc>
          <w:tcPr>
            <w:tcW w:w="334" w:type="pct"/>
            <w:tcMar>
              <w:left w:w="0" w:type="dxa"/>
              <w:right w:w="0" w:type="dxa"/>
            </w:tcMar>
            <w:vAlign w:val="center"/>
          </w:tcPr>
          <w:p w14:paraId="4B57D008">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p>
        </w:tc>
        <w:tc>
          <w:tcPr>
            <w:tcW w:w="533" w:type="pct"/>
            <w:tcMar>
              <w:left w:w="0" w:type="dxa"/>
              <w:right w:w="0" w:type="dxa"/>
            </w:tcMar>
            <w:vAlign w:val="center"/>
          </w:tcPr>
          <w:p w14:paraId="274A3E1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pacing w:val="6"/>
                <w:kern w:val="0"/>
                <w:sz w:val="24"/>
                <w:szCs w:val="24"/>
              </w:rPr>
            </w:pPr>
            <w:r>
              <w:rPr>
                <w:rFonts w:hint="eastAsia" w:ascii="宋体" w:hAnsi="宋体" w:eastAsia="宋体" w:cs="宋体"/>
                <w:b/>
                <w:bCs/>
                <w:color w:val="auto"/>
                <w:spacing w:val="6"/>
                <w:kern w:val="0"/>
                <w:sz w:val="24"/>
                <w:szCs w:val="24"/>
              </w:rPr>
              <w:t>报价部分</w:t>
            </w:r>
          </w:p>
          <w:p w14:paraId="309A90AE">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pacing w:val="6"/>
                <w:kern w:val="0"/>
                <w:sz w:val="24"/>
                <w:szCs w:val="24"/>
              </w:rPr>
            </w:pPr>
            <w:r>
              <w:rPr>
                <w:rFonts w:hint="eastAsia" w:ascii="宋体" w:hAnsi="宋体" w:eastAsia="宋体" w:cs="宋体"/>
                <w:b/>
                <w:bCs/>
                <w:color w:val="auto"/>
                <w:spacing w:val="6"/>
                <w:kern w:val="0"/>
                <w:sz w:val="24"/>
                <w:szCs w:val="24"/>
              </w:rPr>
              <w:t>（</w:t>
            </w:r>
            <w:r>
              <w:rPr>
                <w:rFonts w:hint="eastAsia" w:ascii="宋体" w:hAnsi="宋体" w:eastAsia="宋体" w:cs="宋体"/>
                <w:b/>
                <w:bCs/>
                <w:color w:val="auto"/>
                <w:spacing w:val="6"/>
                <w:kern w:val="0"/>
                <w:sz w:val="24"/>
                <w:szCs w:val="24"/>
                <w:lang w:val="en-US" w:eastAsia="zh-CN"/>
              </w:rPr>
              <w:t>10</w:t>
            </w:r>
            <w:r>
              <w:rPr>
                <w:rFonts w:hint="eastAsia" w:ascii="宋体" w:hAnsi="宋体" w:eastAsia="宋体" w:cs="宋体"/>
                <w:b/>
                <w:bCs/>
                <w:color w:val="auto"/>
                <w:spacing w:val="6"/>
                <w:kern w:val="0"/>
                <w:sz w:val="24"/>
                <w:szCs w:val="24"/>
              </w:rPr>
              <w:t>分）</w:t>
            </w:r>
          </w:p>
        </w:tc>
        <w:tc>
          <w:tcPr>
            <w:tcW w:w="4132" w:type="pct"/>
            <w:gridSpan w:val="2"/>
            <w:tcMar>
              <w:left w:w="0" w:type="dxa"/>
              <w:right w:w="0" w:type="dxa"/>
            </w:tcMar>
            <w:vAlign w:val="center"/>
          </w:tcPr>
          <w:p w14:paraId="0D676EDA">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经磋商小组一致认定满足磋商文件要求，最后报价最低的投标报价为评标基准价，其价格得分计</w:t>
            </w:r>
            <w:r>
              <w:rPr>
                <w:rFonts w:hint="eastAsia" w:ascii="宋体" w:hAnsi="宋体" w:eastAsia="宋体" w:cs="宋体"/>
                <w:bCs/>
                <w:color w:val="auto"/>
                <w:sz w:val="24"/>
                <w:szCs w:val="24"/>
                <w:lang w:val="en-US" w:eastAsia="zh-CN"/>
              </w:rPr>
              <w:t>10</w:t>
            </w:r>
            <w:r>
              <w:rPr>
                <w:rFonts w:hint="eastAsia" w:ascii="宋体" w:hAnsi="宋体" w:eastAsia="宋体" w:cs="宋体"/>
                <w:bCs/>
                <w:color w:val="auto"/>
                <w:sz w:val="24"/>
                <w:szCs w:val="24"/>
              </w:rPr>
              <w:t>分，其他</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的价格得分统一按公式计算：</w:t>
            </w:r>
          </w:p>
          <w:p w14:paraId="2161A353">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投标报价得分=（评标基准价／投标报价）×</w:t>
            </w:r>
            <w:r>
              <w:rPr>
                <w:rFonts w:hint="eastAsia" w:ascii="宋体" w:hAnsi="宋体" w:eastAsia="宋体" w:cs="宋体"/>
                <w:bCs/>
                <w:color w:val="auto"/>
                <w:sz w:val="24"/>
                <w:szCs w:val="24"/>
                <w:lang w:val="en-US" w:eastAsia="zh-CN"/>
              </w:rPr>
              <w:t>10</w:t>
            </w:r>
          </w:p>
          <w:p w14:paraId="29E4B0A6">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highlight w:val="none"/>
              </w:rPr>
              <w:t>注</w:t>
            </w:r>
            <w:r>
              <w:rPr>
                <w:rFonts w:hint="eastAsia" w:ascii="宋体" w:hAnsi="宋体" w:eastAsia="宋体" w:cs="宋体"/>
                <w:bCs/>
                <w:color w:val="auto"/>
                <w:sz w:val="24"/>
                <w:szCs w:val="24"/>
              </w:rPr>
              <w:t>：</w:t>
            </w:r>
          </w:p>
          <w:p w14:paraId="6125E8BF">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（1）若投标供应商的报价超过最高限价，则为无效报价，按无效投标处理；</w:t>
            </w:r>
          </w:p>
          <w:p w14:paraId="14D6B9DD">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评标委员会认为投标供应商的报价明显低于其他通过资格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p w14:paraId="2AEDBB8E">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（3）评审中出现下列情形之一的，评审委员会应当启动异常低价投标（响应）审查程序：</w:t>
            </w:r>
          </w:p>
          <w:p w14:paraId="6A3F55D9">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（1）投标（响应）报价低于全部通过符合性审查供应商投标（响应）报价平均值50%的，即投标（响应）报价小于全部通过符合性审查供应商投标（响应）报价平均值×50%；</w:t>
            </w:r>
          </w:p>
          <w:p w14:paraId="1D4C2382">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（2）投标（响应）报价低于通过符合性审查的次低报价供应商投标（响应）报价50%的，即投标（响应）报价小于通过符合性审查的次低报价供应商投标（响应）报价×50%；</w:t>
            </w:r>
          </w:p>
          <w:p w14:paraId="3ADB6615">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（3）投标（响应）报价低于采购项目最高限价</w:t>
            </w:r>
            <w:r>
              <w:rPr>
                <w:rFonts w:hint="eastAsia" w:ascii="宋体" w:hAnsi="宋体" w:cs="宋体"/>
                <w:bCs/>
                <w:color w:val="auto"/>
                <w:sz w:val="24"/>
                <w:szCs w:val="24"/>
                <w:lang w:val="en-US" w:eastAsia="zh-CN"/>
              </w:rPr>
              <w:t>45</w:t>
            </w:r>
            <w:r>
              <w:rPr>
                <w:rFonts w:hint="eastAsia" w:ascii="宋体" w:hAnsi="宋体" w:eastAsia="宋体" w:cs="宋体"/>
                <w:bCs/>
                <w:color w:val="auto"/>
                <w:sz w:val="24"/>
                <w:szCs w:val="24"/>
                <w:lang w:val="en-US" w:eastAsia="zh-CN"/>
              </w:rPr>
              <w:t>%的，即投标（响应）报价小于采购项目最高限价×</w:t>
            </w:r>
            <w:r>
              <w:rPr>
                <w:rFonts w:hint="eastAsia" w:ascii="宋体" w:hAnsi="宋体" w:cs="宋体"/>
                <w:bCs/>
                <w:color w:val="auto"/>
                <w:sz w:val="24"/>
                <w:szCs w:val="24"/>
                <w:lang w:val="en-US" w:eastAsia="zh-CN"/>
              </w:rPr>
              <w:t>45</w:t>
            </w:r>
            <w:r>
              <w:rPr>
                <w:rFonts w:hint="eastAsia" w:ascii="宋体" w:hAnsi="宋体" w:eastAsia="宋体" w:cs="宋体"/>
                <w:bCs/>
                <w:color w:val="auto"/>
                <w:sz w:val="24"/>
                <w:szCs w:val="24"/>
                <w:lang w:val="en-US" w:eastAsia="zh-CN"/>
              </w:rPr>
              <w:t>%；</w:t>
            </w:r>
          </w:p>
          <w:p w14:paraId="03A68660">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（4）评审委员会基于专业判断，认为供应商报价过低，有可能影响产品质量或者不能诚信履约的其他情形。</w:t>
            </w:r>
          </w:p>
          <w:p w14:paraId="5D741B95">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8EBD3D7">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998DA0D">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tc>
      </w:tr>
      <w:tr w14:paraId="1059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8" w:hRule="atLeast"/>
        </w:trPr>
        <w:tc>
          <w:tcPr>
            <w:tcW w:w="334" w:type="pct"/>
            <w:tcMar>
              <w:left w:w="0" w:type="dxa"/>
              <w:right w:w="0" w:type="dxa"/>
            </w:tcMar>
            <w:vAlign w:val="center"/>
          </w:tcPr>
          <w:p w14:paraId="1928417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lang w:val="en-US" w:eastAsia="zh-CN"/>
              </w:rPr>
            </w:pPr>
            <w:bookmarkStart w:id="98" w:name="OLE_LINK5" w:colFirst="2" w:colLast="3"/>
            <w:r>
              <w:rPr>
                <w:rFonts w:hint="eastAsia" w:ascii="宋体" w:hAnsi="宋体" w:eastAsia="宋体" w:cs="宋体"/>
                <w:b/>
                <w:bCs/>
                <w:color w:val="auto"/>
                <w:sz w:val="24"/>
                <w:szCs w:val="24"/>
                <w:lang w:val="en-US" w:eastAsia="zh-CN"/>
              </w:rPr>
              <w:t>2</w:t>
            </w:r>
          </w:p>
        </w:tc>
        <w:tc>
          <w:tcPr>
            <w:tcW w:w="533" w:type="pct"/>
            <w:tcMar>
              <w:left w:w="0" w:type="dxa"/>
              <w:right w:w="0" w:type="dxa"/>
            </w:tcMar>
            <w:vAlign w:val="center"/>
          </w:tcPr>
          <w:p w14:paraId="62EC9518">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pacing w:val="6"/>
                <w:kern w:val="0"/>
                <w:sz w:val="24"/>
                <w:szCs w:val="24"/>
              </w:rPr>
            </w:pPr>
            <w:r>
              <w:rPr>
                <w:rFonts w:hint="eastAsia" w:ascii="宋体" w:hAnsi="宋体" w:eastAsia="宋体" w:cs="宋体"/>
                <w:b/>
                <w:bCs/>
                <w:color w:val="auto"/>
                <w:spacing w:val="6"/>
                <w:kern w:val="0"/>
                <w:sz w:val="24"/>
                <w:szCs w:val="24"/>
                <w:lang w:val="en-US" w:eastAsia="zh-CN"/>
              </w:rPr>
              <w:t>商务</w:t>
            </w:r>
            <w:r>
              <w:rPr>
                <w:rFonts w:hint="eastAsia" w:ascii="宋体" w:hAnsi="宋体" w:eastAsia="宋体" w:cs="宋体"/>
                <w:b/>
                <w:bCs/>
                <w:color w:val="auto"/>
                <w:spacing w:val="6"/>
                <w:kern w:val="0"/>
                <w:sz w:val="24"/>
                <w:szCs w:val="24"/>
              </w:rPr>
              <w:t>部分</w:t>
            </w:r>
          </w:p>
          <w:p w14:paraId="682936E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spacing w:val="6"/>
                <w:kern w:val="0"/>
                <w:sz w:val="24"/>
                <w:szCs w:val="24"/>
              </w:rPr>
              <w:t>（</w:t>
            </w:r>
            <w:r>
              <w:rPr>
                <w:rFonts w:hint="eastAsia" w:ascii="宋体" w:hAnsi="宋体" w:cs="宋体"/>
                <w:b/>
                <w:bCs/>
                <w:color w:val="auto"/>
                <w:spacing w:val="6"/>
                <w:kern w:val="0"/>
                <w:sz w:val="24"/>
                <w:szCs w:val="24"/>
                <w:lang w:val="en-US" w:eastAsia="zh-CN"/>
              </w:rPr>
              <w:t>15</w:t>
            </w:r>
            <w:r>
              <w:rPr>
                <w:rFonts w:hint="eastAsia" w:ascii="宋体" w:hAnsi="宋体" w:eastAsia="宋体" w:cs="宋体"/>
                <w:b/>
                <w:bCs/>
                <w:color w:val="auto"/>
                <w:spacing w:val="6"/>
                <w:kern w:val="0"/>
                <w:sz w:val="24"/>
                <w:szCs w:val="24"/>
              </w:rPr>
              <w:t>分）</w:t>
            </w:r>
          </w:p>
        </w:tc>
        <w:tc>
          <w:tcPr>
            <w:tcW w:w="509" w:type="pct"/>
            <w:tcMar>
              <w:left w:w="0" w:type="dxa"/>
              <w:right w:w="0" w:type="dxa"/>
            </w:tcMar>
            <w:vAlign w:val="center"/>
          </w:tcPr>
          <w:p w14:paraId="2662D7AF">
            <w:pPr>
              <w:keepNext w:val="0"/>
              <w:keepLines w:val="0"/>
              <w:pageBreakBefore w:val="0"/>
              <w:kinsoku/>
              <w:wordWrap/>
              <w:overflowPunct/>
              <w:topLinePunct w:val="0"/>
              <w:autoSpaceDE/>
              <w:autoSpaceDN/>
              <w:bidi w:val="0"/>
              <w:snapToGrid/>
              <w:spacing w:line="36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snapToGrid w:val="0"/>
                <w:color w:val="auto"/>
                <w:kern w:val="0"/>
                <w:sz w:val="24"/>
                <w:szCs w:val="24"/>
                <w:highlight w:val="none"/>
                <w:lang w:val="en-US" w:eastAsia="zh-CN"/>
              </w:rPr>
              <w:t>类似业绩</w:t>
            </w:r>
            <w:r>
              <w:rPr>
                <w:rFonts w:hint="eastAsia" w:ascii="宋体" w:hAnsi="宋体" w:cs="宋体"/>
                <w:snapToGrid w:val="0"/>
                <w:color w:val="auto"/>
                <w:kern w:val="0"/>
                <w:sz w:val="24"/>
                <w:szCs w:val="24"/>
                <w:highlight w:val="none"/>
                <w:lang w:val="en-US" w:eastAsia="zh-CN"/>
              </w:rPr>
              <w:t>（15分）</w:t>
            </w:r>
          </w:p>
        </w:tc>
        <w:tc>
          <w:tcPr>
            <w:tcW w:w="3622" w:type="pct"/>
            <w:tcMar>
              <w:left w:w="0" w:type="dxa"/>
              <w:right w:w="0" w:type="dxa"/>
            </w:tcMar>
            <w:vAlign w:val="center"/>
          </w:tcPr>
          <w:p w14:paraId="0DB1867F">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投标人具有2023年7月至今（时间以合同签订时间为准）的类似业绩，</w:t>
            </w:r>
            <w:r>
              <w:rPr>
                <w:rFonts w:hint="eastAsia" w:ascii="宋体" w:hAnsi="宋体" w:eastAsia="宋体" w:cs="宋体"/>
                <w:color w:val="auto"/>
                <w:sz w:val="24"/>
                <w:szCs w:val="24"/>
                <w:highlight w:val="none"/>
              </w:rPr>
              <w:t>每提供一份计</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分，计满</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分为止。</w:t>
            </w:r>
          </w:p>
          <w:p w14:paraId="61D10CA7">
            <w:pPr>
              <w:pStyle w:val="13"/>
              <w:keepNext w:val="0"/>
              <w:keepLines w:val="0"/>
              <w:pageBreakBefore w:val="0"/>
              <w:numPr>
                <w:ilvl w:val="0"/>
                <w:numId w:val="0"/>
              </w:numPr>
              <w:kinsoku/>
              <w:wordWrap/>
              <w:overflowPunct/>
              <w:topLinePunct w:val="0"/>
              <w:autoSpaceDE/>
              <w:autoSpaceDN/>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注：提供</w:t>
            </w:r>
            <w:r>
              <w:rPr>
                <w:rFonts w:hint="eastAsia" w:ascii="宋体" w:hAnsi="宋体" w:eastAsia="宋体" w:cs="宋体"/>
                <w:b/>
                <w:bCs/>
                <w:color w:val="auto"/>
                <w:sz w:val="24"/>
                <w:szCs w:val="24"/>
                <w:highlight w:val="none"/>
                <w:lang w:val="en-US" w:eastAsia="zh-CN"/>
              </w:rPr>
              <w:t>中标/成交通知书和</w:t>
            </w:r>
            <w:r>
              <w:rPr>
                <w:rFonts w:hint="eastAsia" w:ascii="宋体" w:hAnsi="宋体" w:eastAsia="宋体" w:cs="宋体"/>
                <w:b/>
                <w:bCs/>
                <w:color w:val="auto"/>
                <w:sz w:val="24"/>
                <w:szCs w:val="24"/>
                <w:highlight w:val="none"/>
              </w:rPr>
              <w:t>合同</w:t>
            </w:r>
            <w:r>
              <w:rPr>
                <w:rFonts w:hint="eastAsia" w:ascii="宋体" w:hAnsi="宋体" w:eastAsia="宋体" w:cs="宋体"/>
                <w:b/>
                <w:bCs/>
                <w:color w:val="auto"/>
                <w:sz w:val="24"/>
                <w:szCs w:val="24"/>
                <w:highlight w:val="none"/>
                <w:lang w:val="en-US" w:eastAsia="zh-CN"/>
              </w:rPr>
              <w:t>原件扫描件并</w:t>
            </w:r>
            <w:r>
              <w:rPr>
                <w:rFonts w:hint="eastAsia" w:ascii="宋体" w:hAnsi="宋体" w:eastAsia="宋体" w:cs="宋体"/>
                <w:b/>
                <w:bCs/>
                <w:color w:val="auto"/>
                <w:sz w:val="24"/>
                <w:szCs w:val="24"/>
                <w:highlight w:val="none"/>
              </w:rPr>
              <w:t>加盖</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公章</w:t>
            </w:r>
            <w:r>
              <w:rPr>
                <w:rFonts w:hint="eastAsia" w:ascii="宋体" w:hAnsi="宋体" w:eastAsia="宋体" w:cs="宋体"/>
                <w:b/>
                <w:bCs/>
                <w:color w:val="auto"/>
                <w:sz w:val="24"/>
                <w:szCs w:val="24"/>
                <w:highlight w:val="none"/>
                <w:lang w:val="en-US" w:eastAsia="zh-CN"/>
              </w:rPr>
              <w:t>作为评审依据</w:t>
            </w:r>
            <w:r>
              <w:rPr>
                <w:rFonts w:hint="eastAsia" w:ascii="宋体" w:hAnsi="宋体" w:eastAsia="宋体" w:cs="宋体"/>
                <w:b/>
                <w:bCs/>
                <w:color w:val="auto"/>
                <w:sz w:val="24"/>
                <w:szCs w:val="24"/>
                <w:highlight w:val="none"/>
              </w:rPr>
              <w:t>，不按要求提供或提供不全（含内容模糊不清无法辨认）不计分。</w:t>
            </w:r>
          </w:p>
        </w:tc>
      </w:tr>
      <w:tr w14:paraId="7896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 w:hRule="atLeast"/>
        </w:trPr>
        <w:tc>
          <w:tcPr>
            <w:tcW w:w="334" w:type="pct"/>
            <w:vMerge w:val="restart"/>
            <w:tcMar>
              <w:left w:w="0" w:type="dxa"/>
              <w:right w:w="0" w:type="dxa"/>
            </w:tcMar>
            <w:vAlign w:val="center"/>
          </w:tcPr>
          <w:p w14:paraId="1AF60B1F">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p>
        </w:tc>
        <w:tc>
          <w:tcPr>
            <w:tcW w:w="533" w:type="pct"/>
            <w:vMerge w:val="restart"/>
            <w:tcMar>
              <w:left w:w="0" w:type="dxa"/>
              <w:right w:w="0" w:type="dxa"/>
            </w:tcMar>
            <w:vAlign w:val="center"/>
          </w:tcPr>
          <w:p w14:paraId="79DE592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pacing w:val="6"/>
                <w:kern w:val="0"/>
                <w:sz w:val="24"/>
                <w:szCs w:val="24"/>
                <w:lang w:val="en-US" w:eastAsia="zh-CN"/>
              </w:rPr>
            </w:pPr>
            <w:r>
              <w:rPr>
                <w:rFonts w:hint="eastAsia" w:ascii="宋体" w:hAnsi="宋体" w:eastAsia="宋体" w:cs="宋体"/>
                <w:b/>
                <w:bCs/>
                <w:color w:val="auto"/>
                <w:spacing w:val="6"/>
                <w:kern w:val="0"/>
                <w:sz w:val="24"/>
                <w:szCs w:val="24"/>
                <w:lang w:val="en-US" w:eastAsia="zh-CN"/>
              </w:rPr>
              <w:t>技术</w:t>
            </w:r>
          </w:p>
          <w:p w14:paraId="5A579565">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pacing w:val="6"/>
                <w:kern w:val="0"/>
                <w:sz w:val="24"/>
                <w:szCs w:val="24"/>
                <w:lang w:val="en-US" w:eastAsia="zh-CN"/>
              </w:rPr>
            </w:pPr>
            <w:r>
              <w:rPr>
                <w:rFonts w:hint="eastAsia" w:ascii="宋体" w:hAnsi="宋体" w:eastAsia="宋体" w:cs="宋体"/>
                <w:b/>
                <w:bCs/>
                <w:color w:val="auto"/>
                <w:spacing w:val="6"/>
                <w:kern w:val="0"/>
                <w:sz w:val="24"/>
                <w:szCs w:val="24"/>
                <w:lang w:val="en-US" w:eastAsia="zh-CN"/>
              </w:rPr>
              <w:t>部分</w:t>
            </w:r>
          </w:p>
          <w:p w14:paraId="50D35EA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pacing w:val="6"/>
                <w:kern w:val="0"/>
                <w:sz w:val="24"/>
                <w:szCs w:val="24"/>
                <w:lang w:val="en-US" w:eastAsia="zh-CN"/>
              </w:rPr>
            </w:pPr>
            <w:r>
              <w:rPr>
                <w:rFonts w:hint="eastAsia" w:ascii="宋体" w:hAnsi="宋体" w:eastAsia="宋体" w:cs="宋体"/>
                <w:b/>
                <w:bCs/>
                <w:color w:val="auto"/>
                <w:spacing w:val="6"/>
                <w:kern w:val="0"/>
                <w:sz w:val="24"/>
                <w:szCs w:val="24"/>
                <w:lang w:val="en-US" w:eastAsia="zh-CN"/>
              </w:rPr>
              <w:t>（</w:t>
            </w:r>
            <w:r>
              <w:rPr>
                <w:rFonts w:hint="eastAsia" w:ascii="宋体" w:hAnsi="宋体" w:cs="宋体"/>
                <w:b/>
                <w:bCs/>
                <w:color w:val="auto"/>
                <w:spacing w:val="6"/>
                <w:kern w:val="0"/>
                <w:sz w:val="24"/>
                <w:szCs w:val="24"/>
                <w:lang w:val="en-US" w:eastAsia="zh-CN"/>
              </w:rPr>
              <w:t>75</w:t>
            </w:r>
            <w:r>
              <w:rPr>
                <w:rFonts w:hint="eastAsia" w:ascii="宋体" w:hAnsi="宋体" w:eastAsia="宋体" w:cs="宋体"/>
                <w:b/>
                <w:bCs/>
                <w:color w:val="auto"/>
                <w:spacing w:val="6"/>
                <w:kern w:val="0"/>
                <w:sz w:val="24"/>
                <w:szCs w:val="24"/>
                <w:lang w:val="en-US" w:eastAsia="zh-CN"/>
              </w:rPr>
              <w:t>分）</w:t>
            </w:r>
          </w:p>
        </w:tc>
        <w:tc>
          <w:tcPr>
            <w:tcW w:w="509" w:type="pct"/>
            <w:tcMar>
              <w:left w:w="0" w:type="dxa"/>
              <w:right w:w="0" w:type="dxa"/>
            </w:tcMar>
            <w:vAlign w:val="center"/>
          </w:tcPr>
          <w:p w14:paraId="02F21ED4">
            <w:pPr>
              <w:keepNext w:val="0"/>
              <w:keepLines w:val="0"/>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z w:val="24"/>
                <w:szCs w:val="24"/>
              </w:rPr>
              <w:t>施工组织设计方案</w:t>
            </w:r>
            <w:r>
              <w:rPr>
                <w:rFonts w:hint="eastAsia" w:ascii="宋体" w:hAnsi="宋体" w:cs="宋体"/>
                <w:b/>
                <w:bCs/>
                <w:color w:val="auto"/>
                <w:sz w:val="24"/>
                <w:szCs w:val="24"/>
                <w:lang w:eastAsia="zh-CN"/>
              </w:rPr>
              <w:t>（</w:t>
            </w:r>
            <w:r>
              <w:rPr>
                <w:rFonts w:hint="eastAsia" w:ascii="宋体" w:hAnsi="宋体" w:cs="宋体"/>
                <w:b/>
                <w:bCs/>
                <w:color w:val="auto"/>
                <w:sz w:val="24"/>
                <w:szCs w:val="24"/>
                <w:lang w:val="en-US" w:eastAsia="zh-CN"/>
              </w:rPr>
              <w:t>15分</w:t>
            </w:r>
            <w:r>
              <w:rPr>
                <w:rFonts w:hint="eastAsia" w:ascii="宋体" w:hAnsi="宋体" w:cs="宋体"/>
                <w:color w:val="auto"/>
                <w:sz w:val="24"/>
                <w:szCs w:val="24"/>
                <w:lang w:eastAsia="zh-CN"/>
              </w:rPr>
              <w:t>）</w:t>
            </w:r>
          </w:p>
        </w:tc>
        <w:tc>
          <w:tcPr>
            <w:tcW w:w="3622" w:type="pct"/>
            <w:tcMar>
              <w:left w:w="0" w:type="dxa"/>
              <w:right w:w="0" w:type="dxa"/>
            </w:tcMar>
            <w:vAlign w:val="center"/>
          </w:tcPr>
          <w:p w14:paraId="278C7C02">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rPr>
              <w:t>根据</w:t>
            </w:r>
            <w:r>
              <w:rPr>
                <w:rFonts w:hint="eastAsia" w:ascii="宋体" w:hAnsi="宋体" w:eastAsia="宋体" w:cs="宋体"/>
                <w:b w:val="0"/>
                <w:bCs w:val="0"/>
                <w:color w:val="auto"/>
                <w:sz w:val="24"/>
                <w:szCs w:val="24"/>
                <w:lang w:val="en-US" w:eastAsia="zh-CN"/>
              </w:rPr>
              <w:t>投标人</w:t>
            </w:r>
            <w:r>
              <w:rPr>
                <w:rFonts w:hint="eastAsia" w:ascii="宋体" w:hAnsi="宋体" w:eastAsia="宋体" w:cs="宋体"/>
                <w:b w:val="0"/>
                <w:bCs w:val="0"/>
                <w:color w:val="auto"/>
                <w:sz w:val="24"/>
                <w:szCs w:val="24"/>
              </w:rPr>
              <w:t>结合本项目采购需求及实际情况提供的</w:t>
            </w:r>
            <w:r>
              <w:rPr>
                <w:rFonts w:hint="eastAsia" w:ascii="宋体" w:hAnsi="宋体" w:eastAsia="宋体" w:cs="宋体"/>
                <w:b/>
                <w:bCs/>
                <w:color w:val="auto"/>
                <w:sz w:val="24"/>
                <w:szCs w:val="24"/>
              </w:rPr>
              <w:t>施工组织</w:t>
            </w:r>
            <w:r>
              <w:rPr>
                <w:rFonts w:hint="eastAsia" w:ascii="宋体" w:hAnsi="宋体" w:eastAsia="宋体" w:cs="宋体"/>
                <w:b/>
                <w:bCs/>
                <w:color w:val="auto"/>
                <w:sz w:val="24"/>
                <w:szCs w:val="24"/>
                <w:lang w:val="en-US" w:eastAsia="zh-CN"/>
              </w:rPr>
              <w:t>设计</w:t>
            </w:r>
            <w:r>
              <w:rPr>
                <w:rFonts w:hint="eastAsia" w:ascii="宋体" w:hAnsi="宋体" w:eastAsia="宋体" w:cs="宋体"/>
                <w:b/>
                <w:bCs/>
                <w:color w:val="auto"/>
                <w:sz w:val="24"/>
                <w:szCs w:val="24"/>
              </w:rPr>
              <w:t>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包括但不限于：①对项目总体概况表述、部署及措施，②施工顺序及工艺，③作业方法及流程，④针对项目的重点、难点分析及解决方案，⑤项目合理化建议等进行编制。</w:t>
            </w:r>
          </w:p>
          <w:p w14:paraId="75E51F39">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注：按以下两项进行累积计分：</w:t>
            </w:r>
          </w:p>
          <w:p w14:paraId="0D9DA8ED">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（1）方案及措施包含以上5项内容的计10分，每缺少1项内容扣2分；</w:t>
            </w:r>
          </w:p>
          <w:p w14:paraId="595A9D0A">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（2）每有一处不满足、不可行、不清晰、不合理的每处扣1分，扣完为</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分止。</w:t>
            </w:r>
          </w:p>
          <w:p w14:paraId="1B0953E7">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不满足是指方案中项目名称或其他项目信息与需求不符、涉及的技术规范标准等与国家或行业或招标文件要求不一致、表述错误。不可行、不清晰、不合理是指内容不完整、照搬采购需求、未贴合采购需求、非专门针对本项目或者不适用本项目、套用其他项目方案、内容前后矛盾、存在歧义、逻辑混乱、无条理性、方案内容空洞等。</w:t>
            </w:r>
          </w:p>
        </w:tc>
      </w:tr>
      <w:tr w14:paraId="5225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334" w:type="pct"/>
            <w:vMerge w:val="continue"/>
            <w:tcMar>
              <w:left w:w="0" w:type="dxa"/>
              <w:right w:w="0" w:type="dxa"/>
            </w:tcMar>
            <w:vAlign w:val="center"/>
          </w:tcPr>
          <w:p w14:paraId="40AAF53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p>
        </w:tc>
        <w:tc>
          <w:tcPr>
            <w:tcW w:w="533" w:type="pct"/>
            <w:vMerge w:val="continue"/>
            <w:tcMar>
              <w:left w:w="0" w:type="dxa"/>
              <w:right w:w="0" w:type="dxa"/>
            </w:tcMar>
            <w:vAlign w:val="center"/>
          </w:tcPr>
          <w:p w14:paraId="42A8E1E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pacing w:val="6"/>
                <w:kern w:val="0"/>
                <w:sz w:val="24"/>
                <w:szCs w:val="24"/>
              </w:rPr>
            </w:pPr>
          </w:p>
        </w:tc>
        <w:tc>
          <w:tcPr>
            <w:tcW w:w="509" w:type="pct"/>
            <w:tcMar>
              <w:left w:w="0" w:type="dxa"/>
              <w:right w:w="0" w:type="dxa"/>
            </w:tcMar>
            <w:vAlign w:val="center"/>
          </w:tcPr>
          <w:p w14:paraId="3CE72C79">
            <w:pPr>
              <w:keepNext w:val="0"/>
              <w:keepLines w:val="0"/>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rPr>
              <w:t>质量管理体系与措施</w:t>
            </w:r>
            <w:r>
              <w:rPr>
                <w:rFonts w:hint="eastAsia" w:ascii="宋体" w:hAnsi="宋体" w:cs="宋体"/>
                <w:b/>
                <w:bCs/>
                <w:color w:val="auto"/>
                <w:sz w:val="24"/>
                <w:szCs w:val="24"/>
                <w:lang w:eastAsia="zh-CN"/>
              </w:rPr>
              <w:t>（</w:t>
            </w:r>
            <w:r>
              <w:rPr>
                <w:rFonts w:hint="eastAsia" w:ascii="宋体" w:hAnsi="宋体" w:cs="宋体"/>
                <w:b/>
                <w:bCs/>
                <w:color w:val="auto"/>
                <w:sz w:val="24"/>
                <w:szCs w:val="24"/>
                <w:lang w:val="en-US" w:eastAsia="zh-CN"/>
              </w:rPr>
              <w:t>15分</w:t>
            </w:r>
            <w:r>
              <w:rPr>
                <w:rFonts w:hint="eastAsia" w:ascii="宋体" w:hAnsi="宋体" w:cs="宋体"/>
                <w:b/>
                <w:bCs/>
                <w:color w:val="auto"/>
                <w:sz w:val="24"/>
                <w:szCs w:val="24"/>
                <w:lang w:eastAsia="zh-CN"/>
              </w:rPr>
              <w:t>）</w:t>
            </w:r>
          </w:p>
        </w:tc>
        <w:tc>
          <w:tcPr>
            <w:tcW w:w="3622" w:type="pct"/>
            <w:tcMar>
              <w:left w:w="0" w:type="dxa"/>
              <w:right w:w="0" w:type="dxa"/>
            </w:tcMar>
            <w:vAlign w:val="center"/>
          </w:tcPr>
          <w:p w14:paraId="2E8A35CB">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rPr>
              <w:t>根据</w:t>
            </w:r>
            <w:r>
              <w:rPr>
                <w:rFonts w:hint="eastAsia" w:ascii="宋体" w:hAnsi="宋体" w:eastAsia="宋体" w:cs="宋体"/>
                <w:b w:val="0"/>
                <w:bCs w:val="0"/>
                <w:color w:val="auto"/>
                <w:sz w:val="24"/>
                <w:szCs w:val="24"/>
                <w:lang w:val="en-US" w:eastAsia="zh-CN"/>
              </w:rPr>
              <w:t>投标人</w:t>
            </w:r>
            <w:r>
              <w:rPr>
                <w:rFonts w:hint="eastAsia" w:ascii="宋体" w:hAnsi="宋体" w:eastAsia="宋体" w:cs="宋体"/>
                <w:b w:val="0"/>
                <w:bCs w:val="0"/>
                <w:color w:val="auto"/>
                <w:sz w:val="24"/>
                <w:szCs w:val="24"/>
              </w:rPr>
              <w:t>结合本项目采购需求及实际情况提供的</w:t>
            </w:r>
            <w:r>
              <w:rPr>
                <w:rFonts w:hint="eastAsia" w:ascii="宋体" w:hAnsi="宋体" w:eastAsia="宋体" w:cs="宋体"/>
                <w:b/>
                <w:bCs/>
                <w:color w:val="auto"/>
                <w:sz w:val="24"/>
                <w:szCs w:val="24"/>
              </w:rPr>
              <w:t>质量管理体系与措施方案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包括但不限于：①质量目标，②管理机构，③职责分工，④管理制度，⑤实施与监控措施等进行编制。</w:t>
            </w:r>
          </w:p>
          <w:p w14:paraId="0B80B2AD">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注：按以下两项进行累积计分：</w:t>
            </w:r>
          </w:p>
          <w:p w14:paraId="18D39FD9">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（1）方案及措施包含以上5项内容的计</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分，每缺少1项内容扣</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分；</w:t>
            </w:r>
          </w:p>
          <w:p w14:paraId="2E1492D5">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（2）每有一处不满足、不可行、不清晰、不合理的每处扣1分，扣完为5分止。</w:t>
            </w:r>
          </w:p>
          <w:p w14:paraId="62560C7D">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不满足是指方案中项目名称或其他项目信息与需求不符、涉及的技术规范标准等与国家或行业或招标文件要求不一致、表述错误。不可行、不清晰、不合理是指内容不完整、照搬采购需求、未贴合采购需求、非专门针对本项目或者不适用本项目、套用其他项目方案、内容前后矛盾、存在歧义、逻辑混乱、无条理性、方案内容空洞等。</w:t>
            </w:r>
          </w:p>
        </w:tc>
      </w:tr>
      <w:tr w14:paraId="6E2A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34" w:type="pct"/>
            <w:vMerge w:val="continue"/>
            <w:tcMar>
              <w:left w:w="0" w:type="dxa"/>
              <w:right w:w="0" w:type="dxa"/>
            </w:tcMar>
            <w:vAlign w:val="center"/>
          </w:tcPr>
          <w:p w14:paraId="4A3D9221">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p>
        </w:tc>
        <w:tc>
          <w:tcPr>
            <w:tcW w:w="533" w:type="pct"/>
            <w:vMerge w:val="continue"/>
            <w:tcMar>
              <w:left w:w="0" w:type="dxa"/>
              <w:right w:w="0" w:type="dxa"/>
            </w:tcMar>
            <w:vAlign w:val="center"/>
          </w:tcPr>
          <w:p w14:paraId="39CBE59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pacing w:val="6"/>
                <w:kern w:val="0"/>
                <w:sz w:val="24"/>
                <w:szCs w:val="24"/>
              </w:rPr>
            </w:pPr>
          </w:p>
        </w:tc>
        <w:tc>
          <w:tcPr>
            <w:tcW w:w="509" w:type="pct"/>
            <w:tcMar>
              <w:left w:w="0" w:type="dxa"/>
              <w:right w:w="0" w:type="dxa"/>
            </w:tcMar>
            <w:vAlign w:val="center"/>
          </w:tcPr>
          <w:p w14:paraId="5227BCA7">
            <w:pPr>
              <w:keepNext w:val="0"/>
              <w:keepLines w:val="0"/>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rPr>
              <w:t>安全管理体系与措施</w:t>
            </w:r>
            <w:r>
              <w:rPr>
                <w:rFonts w:hint="eastAsia" w:ascii="宋体" w:hAnsi="宋体" w:cs="宋体"/>
                <w:b/>
                <w:bCs/>
                <w:color w:val="auto"/>
                <w:sz w:val="24"/>
                <w:szCs w:val="24"/>
                <w:lang w:eastAsia="zh-CN"/>
              </w:rPr>
              <w:t>（</w:t>
            </w:r>
            <w:r>
              <w:rPr>
                <w:rFonts w:hint="eastAsia" w:ascii="宋体" w:hAnsi="宋体" w:cs="宋体"/>
                <w:b/>
                <w:bCs/>
                <w:color w:val="auto"/>
                <w:sz w:val="24"/>
                <w:szCs w:val="24"/>
                <w:lang w:val="en-US" w:eastAsia="zh-CN"/>
              </w:rPr>
              <w:t>15分</w:t>
            </w:r>
            <w:r>
              <w:rPr>
                <w:rFonts w:hint="eastAsia" w:ascii="宋体" w:hAnsi="宋体" w:cs="宋体"/>
                <w:b/>
                <w:bCs/>
                <w:color w:val="auto"/>
                <w:sz w:val="24"/>
                <w:szCs w:val="24"/>
                <w:lang w:eastAsia="zh-CN"/>
              </w:rPr>
              <w:t>）</w:t>
            </w:r>
          </w:p>
        </w:tc>
        <w:tc>
          <w:tcPr>
            <w:tcW w:w="3622" w:type="pct"/>
            <w:tcMar>
              <w:left w:w="0" w:type="dxa"/>
              <w:right w:w="0" w:type="dxa"/>
            </w:tcMar>
            <w:vAlign w:val="center"/>
          </w:tcPr>
          <w:p w14:paraId="6EC21B4F">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rPr>
              <w:t>根据</w:t>
            </w:r>
            <w:r>
              <w:rPr>
                <w:rFonts w:hint="eastAsia" w:ascii="宋体" w:hAnsi="宋体" w:eastAsia="宋体" w:cs="宋体"/>
                <w:b w:val="0"/>
                <w:bCs w:val="0"/>
                <w:color w:val="auto"/>
                <w:sz w:val="24"/>
                <w:szCs w:val="24"/>
                <w:lang w:val="en-US" w:eastAsia="zh-CN"/>
              </w:rPr>
              <w:t>投标人</w:t>
            </w:r>
            <w:r>
              <w:rPr>
                <w:rFonts w:hint="eastAsia" w:ascii="宋体" w:hAnsi="宋体" w:eastAsia="宋体" w:cs="宋体"/>
                <w:b w:val="0"/>
                <w:bCs w:val="0"/>
                <w:color w:val="auto"/>
                <w:sz w:val="24"/>
                <w:szCs w:val="24"/>
              </w:rPr>
              <w:t>结合本项目采购需求及实际情况提供的</w:t>
            </w:r>
            <w:r>
              <w:rPr>
                <w:rFonts w:hint="eastAsia" w:ascii="宋体" w:hAnsi="宋体" w:eastAsia="宋体" w:cs="宋体"/>
                <w:b/>
                <w:bCs/>
                <w:color w:val="auto"/>
                <w:sz w:val="24"/>
                <w:szCs w:val="24"/>
              </w:rPr>
              <w:t>安全管理体系与措施方案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包括但不限于：①安全目标，②管理机构，③职责分工，④管理制度，⑤实施与监控措施等进行编制。</w:t>
            </w:r>
          </w:p>
          <w:p w14:paraId="75AADEAC">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注：按以下两项进行累积计分：</w:t>
            </w:r>
          </w:p>
          <w:p w14:paraId="0271DB3C">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（1）方案及措施包含以上5项内容的计</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分，每缺少1项内容扣</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分；</w:t>
            </w:r>
          </w:p>
          <w:p w14:paraId="36897363">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（2）每有一处不满足、不可行、不清晰、不合理的每处扣1分，扣完为5分止。</w:t>
            </w:r>
          </w:p>
          <w:p w14:paraId="1A2C9CED">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不满足是指方案中项目名称或其他项目信息与需求不符、涉及的技术规范标准等与国家或行业或招标文件要求不一致、表述错误。不可行、不清晰、不合理是指内容不完整、照搬采购需求、未贴合采购需求、非专门针对本项目或者不适用本项目、套用其他项目方案、内容前后矛盾、存在歧义、逻辑混乱、无条理性、方案内容空洞等。</w:t>
            </w:r>
          </w:p>
        </w:tc>
      </w:tr>
      <w:tr w14:paraId="6EE0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1" w:hRule="atLeast"/>
        </w:trPr>
        <w:tc>
          <w:tcPr>
            <w:tcW w:w="334" w:type="pct"/>
            <w:vMerge w:val="continue"/>
            <w:tcMar>
              <w:left w:w="0" w:type="dxa"/>
              <w:right w:w="0" w:type="dxa"/>
            </w:tcMar>
            <w:vAlign w:val="center"/>
          </w:tcPr>
          <w:p w14:paraId="0E1229C1">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p>
        </w:tc>
        <w:tc>
          <w:tcPr>
            <w:tcW w:w="533" w:type="pct"/>
            <w:vMerge w:val="continue"/>
            <w:tcMar>
              <w:left w:w="0" w:type="dxa"/>
              <w:right w:w="0" w:type="dxa"/>
            </w:tcMar>
            <w:vAlign w:val="center"/>
          </w:tcPr>
          <w:p w14:paraId="65451CE6">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pacing w:val="6"/>
                <w:kern w:val="0"/>
                <w:sz w:val="24"/>
                <w:szCs w:val="24"/>
              </w:rPr>
            </w:pPr>
          </w:p>
        </w:tc>
        <w:tc>
          <w:tcPr>
            <w:tcW w:w="509" w:type="pct"/>
            <w:tcMar>
              <w:left w:w="0" w:type="dxa"/>
              <w:right w:w="0" w:type="dxa"/>
            </w:tcMar>
            <w:vAlign w:val="center"/>
          </w:tcPr>
          <w:p w14:paraId="49E0646E">
            <w:pPr>
              <w:keepNext w:val="0"/>
              <w:keepLines w:val="0"/>
              <w:pageBreakBefore w:val="0"/>
              <w:widowControl/>
              <w:kinsoku/>
              <w:wordWrap/>
              <w:overflowPunct/>
              <w:topLinePunct w:val="0"/>
              <w:autoSpaceDE/>
              <w:autoSpaceDN/>
              <w:bidi w:val="0"/>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rPr>
              <w:t>工程进度计划与措施</w:t>
            </w:r>
            <w:r>
              <w:rPr>
                <w:rFonts w:hint="eastAsia" w:ascii="宋体" w:hAnsi="宋体" w:cs="宋体"/>
                <w:b/>
                <w:bCs/>
                <w:color w:val="auto"/>
                <w:sz w:val="24"/>
                <w:szCs w:val="24"/>
                <w:lang w:eastAsia="zh-CN"/>
              </w:rPr>
              <w:t>（</w:t>
            </w:r>
            <w:r>
              <w:rPr>
                <w:rFonts w:hint="eastAsia" w:ascii="宋体" w:hAnsi="宋体" w:cs="宋体"/>
                <w:b/>
                <w:bCs/>
                <w:color w:val="auto"/>
                <w:sz w:val="24"/>
                <w:szCs w:val="24"/>
                <w:lang w:val="en-US" w:eastAsia="zh-CN"/>
              </w:rPr>
              <w:t>15分</w:t>
            </w:r>
            <w:r>
              <w:rPr>
                <w:rFonts w:hint="eastAsia" w:ascii="宋体" w:hAnsi="宋体" w:cs="宋体"/>
                <w:color w:val="auto"/>
                <w:sz w:val="24"/>
                <w:szCs w:val="24"/>
                <w:lang w:eastAsia="zh-CN"/>
              </w:rPr>
              <w:t>）</w:t>
            </w:r>
          </w:p>
        </w:tc>
        <w:tc>
          <w:tcPr>
            <w:tcW w:w="3622" w:type="pct"/>
            <w:tcMar>
              <w:left w:w="0" w:type="dxa"/>
              <w:right w:w="0" w:type="dxa"/>
            </w:tcMar>
            <w:vAlign w:val="center"/>
          </w:tcPr>
          <w:p w14:paraId="06EE223E">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rPr>
              <w:t>根据</w:t>
            </w:r>
            <w:r>
              <w:rPr>
                <w:rFonts w:hint="eastAsia" w:ascii="宋体" w:hAnsi="宋体" w:eastAsia="宋体" w:cs="宋体"/>
                <w:b w:val="0"/>
                <w:bCs w:val="0"/>
                <w:color w:val="auto"/>
                <w:sz w:val="24"/>
                <w:szCs w:val="24"/>
                <w:lang w:val="en-US" w:eastAsia="zh-CN"/>
              </w:rPr>
              <w:t>投标人</w:t>
            </w:r>
            <w:r>
              <w:rPr>
                <w:rFonts w:hint="eastAsia" w:ascii="宋体" w:hAnsi="宋体" w:eastAsia="宋体" w:cs="宋体"/>
                <w:b w:val="0"/>
                <w:bCs w:val="0"/>
                <w:color w:val="auto"/>
                <w:sz w:val="24"/>
                <w:szCs w:val="24"/>
              </w:rPr>
              <w:t>结合本项目采购需求及实际情况提供的</w:t>
            </w:r>
            <w:r>
              <w:rPr>
                <w:rFonts w:hint="eastAsia" w:ascii="宋体" w:hAnsi="宋体" w:eastAsia="宋体" w:cs="宋体"/>
                <w:b/>
                <w:bCs/>
                <w:color w:val="auto"/>
                <w:sz w:val="24"/>
                <w:szCs w:val="24"/>
              </w:rPr>
              <w:t>工程进度计划与措施方案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包括但不限于：①施工进度计划，②工期保障措施，③关键线路，④横道图，⑤组织措施等进行编制。</w:t>
            </w:r>
          </w:p>
          <w:p w14:paraId="67390FD4">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注：按以下两项进行累积计分：</w:t>
            </w:r>
          </w:p>
          <w:p w14:paraId="1D2640D4">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（1）方案及措施包含以上5项内容的计</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分，每缺少1项内容扣1分；</w:t>
            </w:r>
          </w:p>
          <w:p w14:paraId="408DD7E3">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（2）每有一处不满足、不可行、不清晰、不合理的每处扣1分，扣完为5分止。</w:t>
            </w:r>
          </w:p>
          <w:p w14:paraId="33F226C5">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不满足是指方案中项目名称或其他项目信息与需求不符、涉及的技术规范标准等与国家或行业或招标文件要求不一致、表述错误。不可行、不清晰、不合理是指内容不完整、照搬采购需求、未贴合采购需求、非专门针对本项目或者不适用本项目、套用其他项目方案、内容前后矛盾、存在歧义、逻辑混乱、无条理性、方案内容空洞等。</w:t>
            </w:r>
          </w:p>
        </w:tc>
      </w:tr>
      <w:tr w14:paraId="2FB5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1" w:hRule="atLeast"/>
        </w:trPr>
        <w:tc>
          <w:tcPr>
            <w:tcW w:w="334" w:type="pct"/>
            <w:vMerge w:val="continue"/>
            <w:tcMar>
              <w:left w:w="0" w:type="dxa"/>
              <w:right w:w="0" w:type="dxa"/>
            </w:tcMar>
            <w:vAlign w:val="center"/>
          </w:tcPr>
          <w:p w14:paraId="51BA0F64">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sz w:val="24"/>
                <w:szCs w:val="24"/>
              </w:rPr>
            </w:pPr>
          </w:p>
        </w:tc>
        <w:tc>
          <w:tcPr>
            <w:tcW w:w="533" w:type="pct"/>
            <w:vMerge w:val="continue"/>
            <w:tcMar>
              <w:left w:w="0" w:type="dxa"/>
              <w:right w:w="0" w:type="dxa"/>
            </w:tcMar>
            <w:vAlign w:val="center"/>
          </w:tcPr>
          <w:p w14:paraId="357BBAC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pacing w:val="6"/>
                <w:kern w:val="0"/>
                <w:sz w:val="24"/>
                <w:szCs w:val="24"/>
              </w:rPr>
            </w:pPr>
          </w:p>
        </w:tc>
        <w:tc>
          <w:tcPr>
            <w:tcW w:w="509" w:type="pct"/>
            <w:tcMar>
              <w:left w:w="0" w:type="dxa"/>
              <w:right w:w="0" w:type="dxa"/>
            </w:tcMar>
            <w:vAlign w:val="center"/>
          </w:tcPr>
          <w:p w14:paraId="52FF8C18">
            <w:pPr>
              <w:keepNext w:val="0"/>
              <w:keepLines w:val="0"/>
              <w:pageBreakBefore w:val="0"/>
              <w:widowControl/>
              <w:kinsoku/>
              <w:wordWrap/>
              <w:overflowPunct/>
              <w:topLinePunct w:val="0"/>
              <w:autoSpaceDE/>
              <w:autoSpaceDN/>
              <w:bidi w:val="0"/>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11"/>
                <w:sz w:val="24"/>
                <w:szCs w:val="24"/>
              </w:rPr>
              <w:t>资源配备</w:t>
            </w:r>
            <w:r>
              <w:rPr>
                <w:rFonts w:hint="eastAsia" w:ascii="宋体" w:hAnsi="宋体" w:eastAsia="宋体" w:cs="宋体"/>
                <w:b/>
                <w:bCs/>
                <w:color w:val="auto"/>
                <w:spacing w:val="8"/>
                <w:sz w:val="24"/>
                <w:szCs w:val="24"/>
              </w:rPr>
              <w:t>计划</w:t>
            </w:r>
            <w:r>
              <w:rPr>
                <w:rFonts w:hint="eastAsia" w:ascii="宋体" w:hAnsi="宋体" w:cs="宋体"/>
                <w:b/>
                <w:bCs/>
                <w:color w:val="auto"/>
                <w:spacing w:val="8"/>
                <w:sz w:val="24"/>
                <w:szCs w:val="24"/>
                <w:lang w:eastAsia="zh-CN"/>
              </w:rPr>
              <w:t>（</w:t>
            </w:r>
            <w:r>
              <w:rPr>
                <w:rFonts w:hint="eastAsia" w:ascii="宋体" w:hAnsi="宋体" w:cs="宋体"/>
                <w:b/>
                <w:bCs/>
                <w:color w:val="auto"/>
                <w:spacing w:val="8"/>
                <w:sz w:val="24"/>
                <w:szCs w:val="24"/>
                <w:lang w:val="en-US" w:eastAsia="zh-CN"/>
              </w:rPr>
              <w:t>15分</w:t>
            </w:r>
            <w:r>
              <w:rPr>
                <w:rFonts w:hint="eastAsia" w:ascii="宋体" w:hAnsi="宋体" w:cs="宋体"/>
                <w:b/>
                <w:bCs/>
                <w:color w:val="auto"/>
                <w:spacing w:val="8"/>
                <w:sz w:val="24"/>
                <w:szCs w:val="24"/>
                <w:lang w:eastAsia="zh-CN"/>
              </w:rPr>
              <w:t>）</w:t>
            </w:r>
          </w:p>
        </w:tc>
        <w:tc>
          <w:tcPr>
            <w:tcW w:w="3622" w:type="pct"/>
            <w:tcMar>
              <w:left w:w="0" w:type="dxa"/>
              <w:right w:w="0" w:type="dxa"/>
            </w:tcMar>
            <w:vAlign w:val="center"/>
          </w:tcPr>
          <w:p w14:paraId="38C9F28A">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rPr>
              <w:t>根据</w:t>
            </w:r>
            <w:r>
              <w:rPr>
                <w:rFonts w:hint="eastAsia" w:ascii="宋体" w:hAnsi="宋体" w:eastAsia="宋体" w:cs="宋体"/>
                <w:b w:val="0"/>
                <w:bCs w:val="0"/>
                <w:color w:val="auto"/>
                <w:sz w:val="24"/>
                <w:szCs w:val="24"/>
                <w:lang w:val="en-US" w:eastAsia="zh-CN"/>
              </w:rPr>
              <w:t>投标人</w:t>
            </w:r>
            <w:r>
              <w:rPr>
                <w:rFonts w:hint="eastAsia" w:ascii="宋体" w:hAnsi="宋体" w:eastAsia="宋体" w:cs="宋体"/>
                <w:b w:val="0"/>
                <w:bCs w:val="0"/>
                <w:color w:val="auto"/>
                <w:sz w:val="24"/>
                <w:szCs w:val="24"/>
              </w:rPr>
              <w:t>结合本项目采购需求及实际情况提供的</w:t>
            </w:r>
            <w:r>
              <w:rPr>
                <w:rFonts w:hint="eastAsia" w:ascii="宋体" w:hAnsi="宋体" w:eastAsia="宋体" w:cs="宋体"/>
                <w:b/>
                <w:bCs/>
                <w:color w:val="auto"/>
                <w:sz w:val="24"/>
                <w:szCs w:val="24"/>
              </w:rPr>
              <w:t>资源配备计划方案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包括但不限于：①劳动力需用计划，②进场安排，③主要材料需用计划，④进场验收计划，⑤主要施工机具与检测设备计划等进行编制。</w:t>
            </w:r>
          </w:p>
          <w:p w14:paraId="4DB1AA61">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注：按以下两项进行累积计分：</w:t>
            </w:r>
          </w:p>
          <w:p w14:paraId="625E780E">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（1）方案及措施包含以上5项内容的计</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分，每缺少1项内容扣</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分；</w:t>
            </w:r>
          </w:p>
          <w:p w14:paraId="4BAE6202">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（2）每有一处不满足、不可行、不清晰、不合理的每处扣1分，扣完为5分止。</w:t>
            </w:r>
          </w:p>
          <w:p w14:paraId="29849213">
            <w:pPr>
              <w:keepNext w:val="0"/>
              <w:keepLines w:val="0"/>
              <w:pageBreakBefore w:val="0"/>
              <w:kinsoku/>
              <w:wordWrap/>
              <w:overflowPunct/>
              <w:topLinePunct w:val="0"/>
              <w:autoSpaceDE/>
              <w:autoSpaceDN/>
              <w:bidi w:val="0"/>
              <w:snapToGrid w:val="0"/>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不满足是指方案中项目名称或其他项目信息与需求不符、涉及的技术规范标准等与国家或行业或招标文件要求不一致、表述错误。不可行、不清晰、不合理是指内容不完整、照搬采购需求、未贴合采购需求、非专门针对本项目或者不适用本项目、套用其他项目方案、内容前后矛盾、存在歧义、逻辑混乱、无条理性、方案内容空洞等。</w:t>
            </w:r>
          </w:p>
        </w:tc>
      </w:tr>
      <w:bookmarkEnd w:id="98"/>
    </w:tbl>
    <w:p w14:paraId="37A557AF">
      <w:pPr>
        <w:jc w:val="center"/>
        <w:rPr>
          <w:rFonts w:hint="eastAsia" w:ascii="宋体" w:hAnsi="宋体" w:eastAsia="宋体" w:cs="宋体"/>
          <w:b/>
          <w:bCs/>
          <w:color w:val="auto"/>
          <w:sz w:val="24"/>
          <w:highlight w:val="none"/>
        </w:rPr>
      </w:pPr>
    </w:p>
    <w:bookmarkEnd w:id="95"/>
    <w:bookmarkEnd w:id="96"/>
    <w:p w14:paraId="590C55EC">
      <w:pPr>
        <w:pStyle w:val="8"/>
        <w:keepNext w:val="0"/>
        <w:keepLines w:val="0"/>
        <w:pageBreakBefore w:val="0"/>
        <w:widowControl w:val="0"/>
        <w:kinsoku/>
        <w:wordWrap/>
        <w:overflowPunct/>
        <w:topLinePunct w:val="0"/>
        <w:autoSpaceDE/>
        <w:autoSpaceDN/>
        <w:bidi w:val="0"/>
        <w:spacing w:after="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磋商小组签名：</w:t>
      </w:r>
    </w:p>
    <w:p w14:paraId="72AB0603">
      <w:pPr>
        <w:keepNext w:val="0"/>
        <w:keepLines w:val="0"/>
        <w:pageBreakBefore w:val="0"/>
        <w:widowControl w:val="0"/>
        <w:kinsoku/>
        <w:wordWrap/>
        <w:overflowPunct/>
        <w:topLinePunct w:val="0"/>
        <w:autoSpaceDE/>
        <w:autoSpaceDN/>
        <w:bidi w:val="0"/>
        <w:jc w:val="righ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年   月   日</w:t>
      </w:r>
      <w:bookmarkStart w:id="99" w:name="_Toc28600"/>
      <w:bookmarkStart w:id="100" w:name="_Toc20019"/>
      <w:bookmarkStart w:id="101" w:name="_Toc32694"/>
      <w:bookmarkStart w:id="102" w:name="_Toc17138"/>
      <w:bookmarkStart w:id="103" w:name="_Toc13753"/>
      <w:bookmarkStart w:id="104" w:name="_Toc18090"/>
    </w:p>
    <w:p w14:paraId="15DF0105">
      <w:pPr>
        <w:rPr>
          <w:rFonts w:hint="eastAsia"/>
          <w:b/>
          <w:bCs/>
          <w:color w:val="auto"/>
          <w:lang w:val="en-US" w:eastAsia="zh-CN"/>
        </w:rPr>
      </w:pPr>
      <w:bookmarkStart w:id="105" w:name="_Toc6243"/>
      <w:bookmarkStart w:id="106" w:name="_Toc18392"/>
      <w:bookmarkStart w:id="107" w:name="_Toc15117"/>
      <w:r>
        <w:rPr>
          <w:rFonts w:hint="eastAsia"/>
          <w:b/>
          <w:bCs/>
          <w:color w:val="auto"/>
          <w:lang w:val="en-US" w:eastAsia="zh-CN"/>
        </w:rPr>
        <w:t>其它说明：</w:t>
      </w:r>
      <w:bookmarkEnd w:id="99"/>
      <w:bookmarkEnd w:id="100"/>
      <w:bookmarkEnd w:id="101"/>
      <w:bookmarkEnd w:id="102"/>
      <w:bookmarkEnd w:id="103"/>
      <w:bookmarkEnd w:id="104"/>
      <w:bookmarkEnd w:id="105"/>
      <w:bookmarkEnd w:id="106"/>
      <w:bookmarkEnd w:id="107"/>
    </w:p>
    <w:p w14:paraId="49AB6B40">
      <w:pPr>
        <w:spacing w:line="360" w:lineRule="auto"/>
        <w:ind w:firstLine="420" w:firstLineChars="0"/>
        <w:rPr>
          <w:rFonts w:hint="eastAsia" w:ascii="宋体" w:hAnsi="宋体" w:eastAsia="宋体" w:cs="宋体"/>
          <w:b/>
          <w:bCs/>
          <w:color w:val="auto"/>
          <w:sz w:val="24"/>
          <w:szCs w:val="24"/>
          <w:highlight w:val="none"/>
        </w:rPr>
      </w:pPr>
      <w:bookmarkStart w:id="108" w:name="_Toc27425"/>
      <w:bookmarkStart w:id="109" w:name="_Toc15648"/>
      <w:bookmarkStart w:id="110" w:name="_Toc19520"/>
      <w:bookmarkStart w:id="111" w:name="_Toc32323"/>
      <w:bookmarkStart w:id="112" w:name="_Toc9768"/>
      <w:bookmarkStart w:id="113" w:name="_Toc6827"/>
      <w:r>
        <w:rPr>
          <w:rFonts w:hint="eastAsia" w:ascii="宋体" w:hAnsi="宋体" w:eastAsia="宋体" w:cs="宋体"/>
          <w:b/>
          <w:bCs/>
          <w:color w:val="auto"/>
          <w:sz w:val="24"/>
          <w:szCs w:val="24"/>
          <w:highlight w:val="none"/>
        </w:rPr>
        <w:t>1、推荐</w:t>
      </w:r>
      <w:r>
        <w:rPr>
          <w:rFonts w:hint="eastAsia" w:ascii="宋体" w:hAnsi="宋体" w:eastAsia="宋体" w:cs="宋体"/>
          <w:b/>
          <w:bCs/>
          <w:color w:val="auto"/>
          <w:sz w:val="24"/>
          <w:szCs w:val="24"/>
          <w:highlight w:val="none"/>
          <w:lang w:eastAsia="zh-CN"/>
        </w:rPr>
        <w:t>成交</w:t>
      </w:r>
      <w:r>
        <w:rPr>
          <w:rFonts w:hint="eastAsia" w:ascii="宋体" w:hAnsi="宋体" w:eastAsia="宋体" w:cs="宋体"/>
          <w:b/>
          <w:bCs/>
          <w:color w:val="auto"/>
          <w:sz w:val="24"/>
          <w:szCs w:val="24"/>
          <w:highlight w:val="none"/>
        </w:rPr>
        <w:t>候选人计算方法具体解释：</w:t>
      </w:r>
      <w:bookmarkEnd w:id="108"/>
      <w:bookmarkEnd w:id="109"/>
      <w:bookmarkEnd w:id="110"/>
      <w:bookmarkEnd w:id="111"/>
      <w:bookmarkEnd w:id="112"/>
      <w:bookmarkEnd w:id="113"/>
    </w:p>
    <w:p w14:paraId="069947B0">
      <w:pPr>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1）供应</w:t>
      </w:r>
      <w:r>
        <w:rPr>
          <w:rFonts w:hint="eastAsia" w:ascii="宋体" w:hAnsi="宋体" w:eastAsia="宋体" w:cs="宋体"/>
          <w:color w:val="auto"/>
          <w:sz w:val="24"/>
          <w:szCs w:val="24"/>
          <w:highlight w:val="none"/>
        </w:rPr>
        <w:t>商的综合得分为：所有评标委员会成员对其的评标的综合得分；</w:t>
      </w:r>
    </w:p>
    <w:p w14:paraId="6ADD54D5">
      <w:pPr>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2）计算过程中，计算结果保留2位小数，第三位小数四舍五入。</w:t>
      </w:r>
    </w:p>
    <w:p w14:paraId="6BABEE70">
      <w:pPr>
        <w:spacing w:line="360" w:lineRule="auto"/>
        <w:ind w:firstLine="42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按评审后得分由高到低顺序排列。得分相同的，按投标报价由低到高顺序排列。得分且投标报价相同的并列。投标文件满足磋商文件全部实质性要求，且按照评审因素的量化指标评审得分最高的供应商为排名第一的成交候选人。</w:t>
      </w:r>
    </w:p>
    <w:p w14:paraId="28550026">
      <w:pPr>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得分且投标报价相同的并列排名第一的成交候选人</w:t>
      </w:r>
      <w:r>
        <w:rPr>
          <w:rFonts w:hint="eastAsia" w:ascii="宋体" w:hAnsi="宋体" w:eastAsia="宋体" w:cs="宋体"/>
          <w:color w:val="auto"/>
          <w:sz w:val="24"/>
          <w:szCs w:val="24"/>
          <w:highlight w:val="none"/>
        </w:rPr>
        <w:t>，由采购人或者采购人委托评标委员会按照随机抽取方式确定一个供应商获得</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人推荐资格。</w:t>
      </w:r>
    </w:p>
    <w:p w14:paraId="22A47618">
      <w:pPr>
        <w:spacing w:line="360" w:lineRule="auto"/>
        <w:ind w:firstLine="420" w:firstLineChars="0"/>
        <w:rPr>
          <w:rFonts w:hint="eastAsia" w:ascii="宋体" w:hAnsi="宋体" w:eastAsia="宋体" w:cs="宋体"/>
          <w:b/>
          <w:bCs/>
          <w:color w:val="auto"/>
          <w:sz w:val="24"/>
          <w:szCs w:val="24"/>
          <w:highlight w:val="none"/>
        </w:rPr>
      </w:pPr>
      <w:bookmarkStart w:id="114" w:name="_Toc8474"/>
      <w:bookmarkStart w:id="115" w:name="_Toc1093"/>
      <w:bookmarkStart w:id="116" w:name="_Toc13572"/>
      <w:bookmarkStart w:id="117" w:name="_Toc28616"/>
      <w:bookmarkStart w:id="118" w:name="_Toc19099"/>
      <w:bookmarkStart w:id="119" w:name="_Toc8323"/>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、推荐的</w:t>
      </w:r>
      <w:r>
        <w:rPr>
          <w:rFonts w:hint="eastAsia" w:ascii="宋体" w:hAnsi="宋体" w:eastAsia="宋体" w:cs="宋体"/>
          <w:b/>
          <w:bCs/>
          <w:color w:val="auto"/>
          <w:sz w:val="24"/>
          <w:szCs w:val="24"/>
          <w:highlight w:val="none"/>
          <w:lang w:eastAsia="zh-CN"/>
        </w:rPr>
        <w:t>成交</w:t>
      </w:r>
      <w:r>
        <w:rPr>
          <w:rFonts w:hint="eastAsia" w:ascii="宋体" w:hAnsi="宋体" w:eastAsia="宋体" w:cs="宋体"/>
          <w:b/>
          <w:bCs/>
          <w:color w:val="auto"/>
          <w:sz w:val="24"/>
          <w:szCs w:val="24"/>
          <w:highlight w:val="none"/>
        </w:rPr>
        <w:t>候选人数：</w:t>
      </w:r>
      <w:bookmarkEnd w:id="114"/>
      <w:bookmarkEnd w:id="115"/>
      <w:bookmarkEnd w:id="116"/>
      <w:bookmarkEnd w:id="117"/>
      <w:bookmarkEnd w:id="118"/>
      <w:bookmarkEnd w:id="119"/>
    </w:p>
    <w:p w14:paraId="536E2894">
      <w:pPr>
        <w:spacing w:line="360" w:lineRule="auto"/>
        <w:ind w:firstLine="420" w:firstLineChars="0"/>
        <w:rPr>
          <w:rFonts w:hint="eastAsia" w:ascii="宋体" w:hAnsi="宋体" w:eastAsia="宋体" w:cs="宋体"/>
          <w:color w:val="auto"/>
          <w:sz w:val="24"/>
          <w:szCs w:val="24"/>
          <w:highlight w:val="none"/>
        </w:rPr>
      </w:pPr>
      <w:bookmarkStart w:id="120" w:name="_Toc20091"/>
      <w:bookmarkStart w:id="121" w:name="_Toc9574"/>
      <w:bookmarkStart w:id="122" w:name="_Toc2274"/>
      <w:bookmarkStart w:id="123" w:name="_Toc32105"/>
      <w:bookmarkStart w:id="124" w:name="_Toc21345"/>
      <w:bookmarkStart w:id="125" w:name="_Toc4752"/>
      <w:r>
        <w:rPr>
          <w:rFonts w:hint="eastAsia" w:ascii="宋体" w:hAnsi="宋体" w:eastAsia="宋体" w:cs="宋体"/>
          <w:color w:val="auto"/>
          <w:sz w:val="24"/>
          <w:szCs w:val="24"/>
          <w:highlight w:val="none"/>
        </w:rPr>
        <w:t>最终得分排名前三名的为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候选人，第一名的为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w:t>
      </w:r>
      <w:bookmarkEnd w:id="120"/>
      <w:bookmarkEnd w:id="121"/>
      <w:bookmarkEnd w:id="122"/>
      <w:bookmarkEnd w:id="123"/>
      <w:bookmarkEnd w:id="124"/>
      <w:bookmarkEnd w:id="125"/>
    </w:p>
    <w:p w14:paraId="6C965837">
      <w:pPr>
        <w:keepNext w:val="0"/>
        <w:keepLines w:val="0"/>
        <w:pageBreakBefore w:val="0"/>
        <w:widowControl w:val="0"/>
        <w:kinsoku/>
        <w:overflowPunct/>
        <w:bidi w:val="0"/>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B8C4C07">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jc w:val="center"/>
        <w:textAlignment w:val="auto"/>
        <w:rPr>
          <w:rFonts w:hint="eastAsia" w:ascii="宋体" w:hAnsi="宋体" w:eastAsia="宋体" w:cs="宋体"/>
          <w:color w:val="auto"/>
          <w:highlight w:val="none"/>
        </w:rPr>
      </w:pPr>
      <w:bookmarkStart w:id="126" w:name="_Toc18451"/>
      <w:bookmarkStart w:id="127" w:name="_Toc21504"/>
      <w:r>
        <w:rPr>
          <w:rFonts w:hint="eastAsia" w:ascii="宋体" w:hAnsi="宋体" w:eastAsia="宋体" w:cs="宋体"/>
          <w:color w:val="auto"/>
          <w:highlight w:val="none"/>
        </w:rPr>
        <w:t>磋商须知正文</w:t>
      </w:r>
      <w:bookmarkEnd w:id="126"/>
      <w:bookmarkEnd w:id="127"/>
    </w:p>
    <w:p w14:paraId="39E57036">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textAlignment w:val="auto"/>
        <w:rPr>
          <w:rFonts w:hint="eastAsia" w:ascii="宋体" w:hAnsi="宋体" w:eastAsia="宋体" w:cs="宋体"/>
          <w:color w:val="auto"/>
          <w:highlight w:val="none"/>
        </w:rPr>
      </w:pPr>
      <w:bookmarkStart w:id="128" w:name="_Toc3326"/>
      <w:bookmarkStart w:id="129" w:name="_Toc32072"/>
      <w:r>
        <w:rPr>
          <w:rFonts w:hint="eastAsia" w:ascii="宋体" w:hAnsi="宋体" w:eastAsia="宋体" w:cs="宋体"/>
          <w:color w:val="auto"/>
          <w:highlight w:val="none"/>
        </w:rPr>
        <w:t>一、说明</w:t>
      </w:r>
      <w:bookmarkEnd w:id="128"/>
      <w:bookmarkEnd w:id="129"/>
    </w:p>
    <w:p w14:paraId="6C0B2774">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1.适用范围</w:t>
      </w:r>
    </w:p>
    <w:p w14:paraId="1B65935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本磋商文件仅适用于磋商须知前附表(以下简称【</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中所叙述的采购项目。</w:t>
      </w:r>
    </w:p>
    <w:p w14:paraId="0CE2ACD5">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2.定义</w:t>
      </w:r>
    </w:p>
    <w:p w14:paraId="50CEEFB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2.1“采购人”是指依法进行政府采购的国家机关、事业单位、团体组织。本次政府采购的采购人名称、地址、电话、联系人见【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21A4BBB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2.2“采购代理机构”是指接受采购人委托，代理采购项目的集中采购机构和其他采购代理机构。本次政府采购的采购代理机构名称、地址、电话、联系人见【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w:t>
      </w:r>
    </w:p>
    <w:p w14:paraId="72B1F80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36"/>
          <w:sz w:val="24"/>
          <w:szCs w:val="24"/>
          <w:highlight w:val="none"/>
        </w:rPr>
      </w:pP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lang w:val="en-US" w:eastAsia="zh-CN"/>
        </w:rPr>
        <w:t>供应商、投标人</w:t>
      </w:r>
      <w:r>
        <w:rPr>
          <w:rFonts w:hint="eastAsia" w:ascii="宋体" w:hAnsi="宋体" w:eastAsia="宋体" w:cs="宋体"/>
          <w:color w:val="auto"/>
          <w:sz w:val="24"/>
          <w:szCs w:val="24"/>
          <w:highlight w:val="none"/>
        </w:rPr>
        <w:t>”是指响应磋商文件要求、参加竞争性磋商采购的法人、其他组织或者自然人。本次政府采购项目</w:t>
      </w:r>
      <w:r>
        <w:rPr>
          <w:rFonts w:hint="eastAsia" w:ascii="宋体" w:hAnsi="宋体" w:eastAsia="宋体" w:cs="宋体"/>
          <w:color w:val="auto"/>
          <w:kern w:val="0"/>
          <w:sz w:val="24"/>
          <w:szCs w:val="24"/>
          <w:highlight w:val="none"/>
        </w:rPr>
        <w:t>邀请</w:t>
      </w:r>
      <w:r>
        <w:rPr>
          <w:rFonts w:hint="eastAsia" w:ascii="宋体" w:hAnsi="宋体" w:eastAsia="宋体" w:cs="宋体"/>
          <w:color w:val="auto"/>
          <w:sz w:val="24"/>
          <w:szCs w:val="24"/>
          <w:highlight w:val="none"/>
        </w:rPr>
        <w:t>的</w:t>
      </w:r>
      <w:r>
        <w:rPr>
          <w:rFonts w:hint="eastAsia" w:ascii="宋体" w:hAnsi="宋体" w:eastAsia="宋体" w:cs="宋体"/>
          <w:color w:val="auto"/>
          <w:kern w:val="0"/>
          <w:sz w:val="24"/>
          <w:szCs w:val="24"/>
          <w:highlight w:val="none"/>
        </w:rPr>
        <w:t>供应商通过</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】所述方式</w:t>
      </w:r>
      <w:r>
        <w:rPr>
          <w:rFonts w:hint="eastAsia" w:ascii="宋体" w:hAnsi="宋体" w:eastAsia="宋体" w:cs="宋体"/>
          <w:color w:val="auto"/>
          <w:kern w:val="0"/>
          <w:sz w:val="24"/>
          <w:szCs w:val="24"/>
          <w:highlight w:val="none"/>
        </w:rPr>
        <w:t>，邀请符合资格条件的供应商提交响应文件（含资格证明资料），参与竞争性磋商采购活动。</w:t>
      </w:r>
    </w:p>
    <w:p w14:paraId="6E1B2CF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2.4“磋商小组”是指</w:t>
      </w:r>
      <w:r>
        <w:rPr>
          <w:rFonts w:hint="eastAsia" w:ascii="宋体" w:hAnsi="宋体" w:eastAsia="宋体" w:cs="宋体"/>
          <w:color w:val="auto"/>
          <w:kern w:val="0"/>
          <w:sz w:val="24"/>
          <w:szCs w:val="24"/>
          <w:highlight w:val="none"/>
        </w:rPr>
        <w:t>依据财政部</w:t>
      </w:r>
      <w:r>
        <w:rPr>
          <w:rFonts w:hint="eastAsia" w:ascii="宋体" w:hAnsi="宋体" w:eastAsia="宋体" w:cs="宋体"/>
          <w:color w:val="auto"/>
          <w:kern w:val="36"/>
          <w:sz w:val="24"/>
          <w:szCs w:val="24"/>
          <w:highlight w:val="none"/>
        </w:rPr>
        <w:t>《政府采购竞争性磋商采购方式管理暂行办法》有关规定组建，依法依规</w:t>
      </w:r>
      <w:r>
        <w:rPr>
          <w:rFonts w:hint="eastAsia" w:ascii="宋体" w:hAnsi="宋体" w:eastAsia="宋体" w:cs="宋体"/>
          <w:color w:val="auto"/>
          <w:kern w:val="0"/>
          <w:sz w:val="24"/>
          <w:szCs w:val="24"/>
          <w:highlight w:val="none"/>
        </w:rPr>
        <w:t>履行其职责和义务的机构。</w:t>
      </w:r>
    </w:p>
    <w:p w14:paraId="751C65B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2.5“货物”是指各种形态和种类的物品，包括原资料、燃料、设备、产品等，详见《政府采购品目分类目录》(</w:t>
      </w:r>
      <w:r>
        <w:rPr>
          <w:rStyle w:val="25"/>
          <w:rFonts w:hint="eastAsia" w:ascii="宋体" w:hAnsi="宋体" w:eastAsia="宋体" w:cs="宋体"/>
          <w:b w:val="0"/>
          <w:bCs w:val="0"/>
          <w:color w:val="auto"/>
          <w:sz w:val="24"/>
          <w:szCs w:val="24"/>
          <w:highlight w:val="none"/>
          <w:lang w:eastAsia="zh-CN"/>
        </w:rPr>
        <w:t>财库[2022]31号</w:t>
      </w:r>
      <w:r>
        <w:rPr>
          <w:rFonts w:hint="eastAsia" w:ascii="宋体" w:hAnsi="宋体" w:eastAsia="宋体" w:cs="宋体"/>
          <w:color w:val="auto"/>
          <w:sz w:val="24"/>
          <w:szCs w:val="24"/>
          <w:highlight w:val="none"/>
        </w:rPr>
        <w:t>)。</w:t>
      </w:r>
    </w:p>
    <w:p w14:paraId="59FE324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2.6“工程”是指建设工程，包括建筑物和构筑物的新建、改建、扩建、装修、拆除、修缮等，详见《政府采购品目分类目录》(</w:t>
      </w:r>
      <w:r>
        <w:rPr>
          <w:rStyle w:val="25"/>
          <w:rFonts w:hint="eastAsia" w:ascii="宋体" w:hAnsi="宋体" w:eastAsia="宋体" w:cs="宋体"/>
          <w:b w:val="0"/>
          <w:bCs w:val="0"/>
          <w:color w:val="auto"/>
          <w:sz w:val="24"/>
          <w:szCs w:val="24"/>
          <w:highlight w:val="none"/>
          <w:lang w:eastAsia="zh-CN"/>
        </w:rPr>
        <w:t>财库[2022]31号</w:t>
      </w:r>
      <w:r>
        <w:rPr>
          <w:rFonts w:hint="eastAsia" w:ascii="宋体" w:hAnsi="宋体" w:eastAsia="宋体" w:cs="宋体"/>
          <w:color w:val="auto"/>
          <w:sz w:val="24"/>
          <w:szCs w:val="24"/>
          <w:highlight w:val="none"/>
        </w:rPr>
        <w:t>)。</w:t>
      </w:r>
    </w:p>
    <w:p w14:paraId="7166A6E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2.7“服务”是指除货物和工程以外的其他政府采购对象，详见《政府采购品目分类目录》(</w:t>
      </w:r>
      <w:r>
        <w:rPr>
          <w:rStyle w:val="25"/>
          <w:rFonts w:hint="eastAsia" w:ascii="宋体" w:hAnsi="宋体" w:eastAsia="宋体" w:cs="宋体"/>
          <w:b w:val="0"/>
          <w:bCs w:val="0"/>
          <w:color w:val="auto"/>
          <w:sz w:val="24"/>
          <w:szCs w:val="24"/>
          <w:highlight w:val="none"/>
          <w:lang w:eastAsia="zh-CN"/>
        </w:rPr>
        <w:t>财库[2022]31号</w:t>
      </w:r>
      <w:r>
        <w:rPr>
          <w:rFonts w:hint="eastAsia" w:ascii="宋体" w:hAnsi="宋体" w:eastAsia="宋体" w:cs="宋体"/>
          <w:color w:val="auto"/>
          <w:sz w:val="24"/>
          <w:szCs w:val="24"/>
          <w:highlight w:val="none"/>
        </w:rPr>
        <w:t>)。</w:t>
      </w:r>
    </w:p>
    <w:p w14:paraId="7A490F8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2.8</w:t>
      </w:r>
      <w:r>
        <w:rPr>
          <w:rFonts w:hint="eastAsia" w:ascii="宋体" w:hAnsi="宋体" w:eastAsia="宋体" w:cs="宋体"/>
          <w:color w:val="auto"/>
          <w:sz w:val="24"/>
          <w:szCs w:val="24"/>
          <w:highlight w:val="none"/>
        </w:rPr>
        <w:t>“节能产品”或者“环保产品”是指财政部发布的《节能产品政府采购清单》或者《环境标志产品政府采购清单》的产品，</w:t>
      </w:r>
      <w:r>
        <w:rPr>
          <w:rFonts w:hint="eastAsia" w:ascii="宋体" w:hAnsi="宋体" w:eastAsia="宋体" w:cs="宋体"/>
          <w:color w:val="auto"/>
          <w:sz w:val="24"/>
          <w:szCs w:val="24"/>
          <w:highlight w:val="none"/>
          <w:lang w:eastAsia="zh-CN"/>
        </w:rPr>
        <w:t>。</w:t>
      </w:r>
    </w:p>
    <w:p w14:paraId="52B23DE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2.9</w:t>
      </w:r>
      <w:r>
        <w:rPr>
          <w:rFonts w:hint="eastAsia" w:ascii="宋体" w:hAnsi="宋体" w:eastAsia="宋体" w:cs="宋体"/>
          <w:color w:val="auto"/>
          <w:kern w:val="0"/>
          <w:sz w:val="24"/>
          <w:szCs w:val="24"/>
          <w:highlight w:val="none"/>
        </w:rPr>
        <w:t>“进口产品”是指通过中国海关报关验放进入中国境内且产自关境外的产品，详见《关于政府采购进口产品管理有关问题的通知》(财库[2007]119号)。</w:t>
      </w:r>
    </w:p>
    <w:p w14:paraId="5EBDDD3D">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3.供应商的资格要求</w:t>
      </w:r>
    </w:p>
    <w:p w14:paraId="2B54565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3.1供应商应当</w:t>
      </w:r>
      <w:r>
        <w:rPr>
          <w:rFonts w:hint="eastAsia" w:ascii="宋体" w:hAnsi="宋体" w:eastAsia="宋体" w:cs="宋体"/>
          <w:color w:val="auto"/>
          <w:sz w:val="24"/>
          <w:szCs w:val="24"/>
          <w:highlight w:val="none"/>
          <w:lang w:eastAsia="zh-CN"/>
        </w:rPr>
        <w:t>符合“</w:t>
      </w:r>
      <w:r>
        <w:rPr>
          <w:rFonts w:hint="eastAsia" w:ascii="宋体" w:hAnsi="宋体" w:eastAsia="宋体" w:cs="宋体"/>
          <w:color w:val="auto"/>
          <w:sz w:val="24"/>
          <w:szCs w:val="24"/>
          <w:highlight w:val="none"/>
        </w:rPr>
        <w:t>竞争性磋商公告</w:t>
      </w:r>
      <w:r>
        <w:rPr>
          <w:rFonts w:hint="eastAsia" w:ascii="宋体" w:hAnsi="宋体" w:eastAsia="宋体" w:cs="宋体"/>
          <w:color w:val="auto"/>
          <w:sz w:val="24"/>
          <w:szCs w:val="24"/>
          <w:highlight w:val="none"/>
          <w:lang w:eastAsia="zh-CN"/>
        </w:rPr>
        <w:t>”规定的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资格条件。并按</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】中规定</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eastAsia="zh-CN"/>
        </w:rPr>
        <w:t>证明文件</w:t>
      </w:r>
      <w:r>
        <w:rPr>
          <w:rFonts w:hint="eastAsia" w:ascii="宋体" w:hAnsi="宋体" w:eastAsia="宋体" w:cs="宋体"/>
          <w:color w:val="auto"/>
          <w:sz w:val="24"/>
          <w:szCs w:val="24"/>
          <w:highlight w:val="none"/>
        </w:rPr>
        <w:t>。</w:t>
      </w:r>
    </w:p>
    <w:p w14:paraId="516B5BF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3.2供应商为联合体形式的，除应满足本章第3.1款资格条件要求及第3.3款规定外，还应遵守以下规定：</w:t>
      </w:r>
    </w:p>
    <w:p w14:paraId="0BBA176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（1）联合体各方应按磋商文件提供的格式签订联合体协议书，明确联合体牵头人和各方权利义务(含承担工作及工作量比例)；</w:t>
      </w:r>
    </w:p>
    <w:p w14:paraId="6CC14CD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（2）联合体中有同类资质的供应商按照联合体分工承担相同工作的，应当按照资质等级较低的供应商确定资质等级；</w:t>
      </w:r>
    </w:p>
    <w:p w14:paraId="7967A8E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（3）以联合体形式参加政府采购活动的，联合体各方不得再单独参加或者与其他供应商另外组成联合体参加同一合同项下的政府采购活动。</w:t>
      </w:r>
    </w:p>
    <w:p w14:paraId="2957D7D2">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3.3供应商不得存在下列情形之一：</w:t>
      </w:r>
    </w:p>
    <w:p w14:paraId="6C2A2E8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（l）与采购人、采购代理机构存在隶属关系或者其他利害关系。</w:t>
      </w:r>
    </w:p>
    <w:p w14:paraId="430DE2E6">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（2）与其他供应商的法定代表人（或者负责人）为同一人，或者与其他供应商存在直接控股、管理关系。</w:t>
      </w:r>
    </w:p>
    <w:p w14:paraId="1A23D38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（3）受到刑事处罚，或者受到</w:t>
      </w:r>
      <w:r>
        <w:rPr>
          <w:rFonts w:hint="eastAsia" w:ascii="宋体" w:hAnsi="宋体" w:eastAsia="宋体" w:cs="宋体"/>
          <w:color w:val="auto"/>
          <w:sz w:val="24"/>
          <w:szCs w:val="24"/>
          <w:highlight w:val="none"/>
          <w:lang w:eastAsia="zh-CN"/>
        </w:rPr>
        <w:t>较大数额金额</w:t>
      </w:r>
      <w:r>
        <w:rPr>
          <w:rFonts w:hint="eastAsia" w:ascii="宋体" w:hAnsi="宋体" w:eastAsia="宋体" w:cs="宋体"/>
          <w:color w:val="auto"/>
          <w:sz w:val="24"/>
          <w:szCs w:val="24"/>
          <w:highlight w:val="none"/>
        </w:rPr>
        <w:t>以上的罚款、责令停产停业、在一至三年内禁止参加政府采购活动、暂扣或者吊销许可证、暂扣或者吊销执照等情形之一的行政处罚，或者存在财政部门认定的其他重大违法记录。</w:t>
      </w:r>
    </w:p>
    <w:p w14:paraId="714C8116">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4.参与磋商的费用 </w:t>
      </w:r>
    </w:p>
    <w:p w14:paraId="1A935AD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4.1无论磋商的结果如何，供应商应自行承担所有与竞争性磋商采购活动有关的全部费用。</w:t>
      </w:r>
    </w:p>
    <w:p w14:paraId="4AC15D22">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5．授权委托</w:t>
      </w:r>
    </w:p>
    <w:p w14:paraId="6DD6E575">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5.1供应商代表为供应商法定代表人的，应持有法定代表人身份证明。供应商代表不是供应商法定代表人的，应持有法定代表人授权书，并附法定代表人身份证明。</w:t>
      </w:r>
    </w:p>
    <w:p w14:paraId="158DFD55">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6．联合体形式</w:t>
      </w:r>
    </w:p>
    <w:p w14:paraId="488406FA">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6.1除【</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】中另有规定，本次竞争性磋商采购不接受为联合体形式的供应商。</w:t>
      </w:r>
    </w:p>
    <w:p w14:paraId="7BD3C816">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6.2供应商为联合体形式的，除应符合本章第3条规定外，还应遵守以下规定：</w:t>
      </w:r>
    </w:p>
    <w:p w14:paraId="0A07C8B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（l）联合体各方必须签订联合体协议书，明确联合体牵头人和各方的义务、工作、合同工作量比例；</w:t>
      </w:r>
    </w:p>
    <w:p w14:paraId="0E95D8CF">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（2）联合体各方均应当符合本章第3.1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规定的供应商基本资格条件；</w:t>
      </w:r>
    </w:p>
    <w:p w14:paraId="6F8E039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】中另有规定，联合体各方中至少有一方应当符合本章第3.1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规定的供应商特定资格条件；</w:t>
      </w:r>
    </w:p>
    <w:p w14:paraId="2C4DFC7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rPr>
        <w:t>（4）</w:t>
      </w:r>
      <w:r>
        <w:rPr>
          <w:rFonts w:hint="eastAsia" w:ascii="宋体" w:hAnsi="宋体" w:eastAsia="宋体" w:cs="宋体"/>
          <w:color w:val="auto"/>
          <w:kern w:val="0"/>
          <w:sz w:val="24"/>
          <w:szCs w:val="24"/>
          <w:highlight w:val="none"/>
          <w:lang w:val="zh-CN"/>
        </w:rPr>
        <w:t>联合体各方不得再单独或与其他供应商组成新的联合体参加同一项目的采购活动。</w:t>
      </w:r>
    </w:p>
    <w:p w14:paraId="48CE7667">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7.现场勘察</w:t>
      </w:r>
    </w:p>
    <w:p w14:paraId="71094AF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7.1供应商应按【</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】中规定对采购项目现场和周围环境的现场考察。</w:t>
      </w:r>
    </w:p>
    <w:p w14:paraId="0C71D16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7.2勘察现场的费用由供应商自己承担，勘察期间所发生的人身伤害及财产损失由供应商自己负责。</w:t>
      </w:r>
    </w:p>
    <w:p w14:paraId="2EAD5A28">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7.3采购人不对供应商据此而做出的推论、理解和结论负责。一旦成交，供应商不得以任何借口，提出额外补偿，或延长合同期限的要求。</w:t>
      </w:r>
    </w:p>
    <w:p w14:paraId="304E92A5">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8.采购进口产品</w:t>
      </w:r>
    </w:p>
    <w:p w14:paraId="0054C54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8.1除【</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】另有规定外，本项目</w:t>
      </w:r>
      <w:r>
        <w:rPr>
          <w:rFonts w:hint="eastAsia" w:ascii="宋体" w:hAnsi="宋体" w:eastAsia="宋体" w:cs="宋体"/>
          <w:color w:val="auto"/>
          <w:kern w:val="0"/>
          <w:sz w:val="24"/>
          <w:szCs w:val="24"/>
          <w:highlight w:val="none"/>
        </w:rPr>
        <w:t>拒绝进口产品参加</w:t>
      </w:r>
      <w:r>
        <w:rPr>
          <w:rFonts w:hint="eastAsia" w:ascii="宋体" w:hAnsi="宋体" w:eastAsia="宋体" w:cs="宋体"/>
          <w:color w:val="auto"/>
          <w:sz w:val="24"/>
          <w:szCs w:val="24"/>
          <w:highlight w:val="none"/>
        </w:rPr>
        <w:t>竞争性磋商采购活动</w:t>
      </w:r>
      <w:r>
        <w:rPr>
          <w:rFonts w:hint="eastAsia" w:ascii="宋体" w:hAnsi="宋体" w:eastAsia="宋体" w:cs="宋体"/>
          <w:color w:val="auto"/>
          <w:kern w:val="0"/>
          <w:sz w:val="24"/>
          <w:szCs w:val="24"/>
          <w:highlight w:val="none"/>
        </w:rPr>
        <w:t>。</w:t>
      </w:r>
    </w:p>
    <w:p w14:paraId="00A586A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8.2</w:t>
      </w:r>
      <w:r>
        <w:rPr>
          <w:rFonts w:hint="eastAsia" w:ascii="宋体" w:hAnsi="宋体" w:eastAsia="宋体" w:cs="宋体"/>
          <w:color w:val="auto"/>
          <w:sz w:val="24"/>
          <w:szCs w:val="24"/>
          <w:highlight w:val="none"/>
        </w:rPr>
        <w:t>本章第7.1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同意购买进口产品的，</w:t>
      </w:r>
      <w:r>
        <w:rPr>
          <w:rFonts w:hint="eastAsia" w:ascii="宋体" w:hAnsi="宋体" w:eastAsia="宋体" w:cs="宋体"/>
          <w:color w:val="auto"/>
          <w:sz w:val="24"/>
          <w:szCs w:val="24"/>
          <w:highlight w:val="none"/>
        </w:rPr>
        <w:t>本项目</w:t>
      </w:r>
      <w:r>
        <w:rPr>
          <w:rFonts w:hint="eastAsia" w:ascii="宋体" w:hAnsi="宋体" w:eastAsia="宋体" w:cs="宋体"/>
          <w:color w:val="auto"/>
          <w:kern w:val="0"/>
          <w:sz w:val="24"/>
          <w:szCs w:val="24"/>
          <w:highlight w:val="none"/>
          <w:lang w:val="zh-CN"/>
        </w:rPr>
        <w:t>采购活动</w:t>
      </w:r>
      <w:r>
        <w:rPr>
          <w:rFonts w:hint="eastAsia" w:ascii="宋体" w:hAnsi="宋体" w:eastAsia="宋体" w:cs="宋体"/>
          <w:color w:val="auto"/>
          <w:kern w:val="0"/>
          <w:sz w:val="24"/>
          <w:szCs w:val="24"/>
          <w:highlight w:val="none"/>
        </w:rPr>
        <w:t>不限制满足</w:t>
      </w:r>
      <w:r>
        <w:rPr>
          <w:rFonts w:hint="eastAsia" w:ascii="宋体" w:hAnsi="宋体" w:eastAsia="宋体" w:cs="宋体"/>
          <w:color w:val="auto"/>
          <w:sz w:val="24"/>
          <w:szCs w:val="24"/>
          <w:highlight w:val="none"/>
        </w:rPr>
        <w:t>磋商文件要求</w:t>
      </w:r>
      <w:r>
        <w:rPr>
          <w:rFonts w:hint="eastAsia" w:ascii="宋体" w:hAnsi="宋体" w:eastAsia="宋体" w:cs="宋体"/>
          <w:color w:val="auto"/>
          <w:kern w:val="0"/>
          <w:sz w:val="24"/>
          <w:szCs w:val="24"/>
          <w:highlight w:val="none"/>
        </w:rPr>
        <w:t>的国内产品参与</w:t>
      </w:r>
      <w:r>
        <w:rPr>
          <w:rFonts w:hint="eastAsia" w:ascii="宋体" w:hAnsi="宋体" w:eastAsia="宋体" w:cs="宋体"/>
          <w:color w:val="auto"/>
          <w:sz w:val="24"/>
          <w:szCs w:val="24"/>
          <w:highlight w:val="none"/>
        </w:rPr>
        <w:t>竞争性磋商</w:t>
      </w:r>
      <w:r>
        <w:rPr>
          <w:rFonts w:hint="eastAsia" w:ascii="宋体" w:hAnsi="宋体" w:eastAsia="宋体" w:cs="宋体"/>
          <w:color w:val="auto"/>
          <w:kern w:val="0"/>
          <w:sz w:val="24"/>
          <w:szCs w:val="24"/>
          <w:highlight w:val="none"/>
        </w:rPr>
        <w:t>。</w:t>
      </w:r>
    </w:p>
    <w:p w14:paraId="1AE03F4A">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9.政府采购政策支持</w:t>
      </w:r>
    </w:p>
    <w:p w14:paraId="48BBD2A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9.1对列入财政部、国家发展改革委发布的《节能产品政府采购清单》且属于应当“强制采购的节能产品”，按照规定实行强制采购。实行政府采购强制采购的节能产品见</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kern w:val="0"/>
          <w:sz w:val="24"/>
          <w:szCs w:val="24"/>
          <w:highlight w:val="none"/>
        </w:rPr>
        <w:t>。</w:t>
      </w:r>
    </w:p>
    <w:p w14:paraId="0E335E20">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r>
        <w:rPr>
          <w:rFonts w:hint="eastAsia" w:ascii="宋体" w:hAnsi="宋体" w:eastAsia="宋体" w:cs="宋体"/>
          <w:color w:val="auto"/>
          <w:kern w:val="0"/>
          <w:sz w:val="24"/>
          <w:szCs w:val="24"/>
          <w:highlight w:val="none"/>
        </w:rPr>
        <w:t>对列入财政部、国家发展改革委发布的《节能产品政府采购清单》的“非强制采购节能产品”，财政部、环境保护部发布的《环境标志产品政府采购清单》的“环境标志产品”，以及小、微企业、残疾人福利性单位、监狱企业，实行优先采购，按照省级以上财政部门有关政策规定，评审时进行价格扣除。实行政府采购优先采购的优惠率见</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kern w:val="0"/>
          <w:sz w:val="24"/>
          <w:szCs w:val="24"/>
          <w:highlight w:val="none"/>
        </w:rPr>
        <w:t>。</w:t>
      </w:r>
    </w:p>
    <w:p w14:paraId="4AE97516">
      <w:pPr>
        <w:wordWrap w:val="0"/>
        <w:adjustRightInd w:val="0"/>
        <w:snapToGrid w:val="0"/>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kern w:val="0"/>
          <w:sz w:val="24"/>
          <w:szCs w:val="24"/>
          <w:highlight w:val="none"/>
        </w:rPr>
        <w:t>9.3</w:t>
      </w:r>
      <w:r>
        <w:rPr>
          <w:rFonts w:hint="eastAsia" w:ascii="宋体" w:hAnsi="宋体" w:eastAsia="宋体" w:cs="宋体"/>
          <w:color w:val="auto"/>
          <w:sz w:val="24"/>
          <w:highlight w:val="none"/>
        </w:rPr>
        <w:t>价格评审优惠</w:t>
      </w:r>
    </w:p>
    <w:p w14:paraId="000A3616">
      <w:pPr>
        <w:wordWrap w:val="0"/>
        <w:adjustRightInd w:val="0"/>
        <w:snapToGrid w:val="0"/>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9.3.1在政府采购活动中，供应商提供的货物、工程或者服务符合下列情形的，享受中小企业扶持政策，</w:t>
      </w:r>
      <w:r>
        <w:rPr>
          <w:rFonts w:hint="eastAsia" w:ascii="宋体" w:hAnsi="宋体" w:eastAsia="宋体" w:cs="宋体"/>
          <w:color w:val="auto"/>
          <w:sz w:val="24"/>
          <w:highlight w:val="none"/>
        </w:rPr>
        <w:t>用扣除后的价格参与评审</w:t>
      </w:r>
      <w:r>
        <w:rPr>
          <w:rFonts w:hint="eastAsia" w:ascii="宋体" w:hAnsi="宋体" w:eastAsia="宋体" w:cs="宋体"/>
          <w:color w:val="auto"/>
          <w:sz w:val="24"/>
          <w:highlight w:val="none"/>
          <w:lang w:val="en-US" w:eastAsia="zh-CN"/>
        </w:rPr>
        <w:t>：</w:t>
      </w:r>
    </w:p>
    <w:p w14:paraId="6C0029BC">
      <w:pPr>
        <w:wordWrap w:val="0"/>
        <w:adjustRightInd w:val="0"/>
        <w:snapToGrid w:val="0"/>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（1）在货物采购项目中，货物由中小企业制造，即货物由中小企业生产且使用该中小企业商号或者注册商标；</w:t>
      </w:r>
    </w:p>
    <w:p w14:paraId="20041E05">
      <w:pPr>
        <w:wordWrap w:val="0"/>
        <w:adjustRightInd w:val="0"/>
        <w:snapToGrid w:val="0"/>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（2）在工程采购项目中，工程由中小企业承建，即工程施工单位为中小企业； </w:t>
      </w:r>
    </w:p>
    <w:p w14:paraId="541DE0C9">
      <w:pPr>
        <w:wordWrap w:val="0"/>
        <w:adjustRightInd w:val="0"/>
        <w:snapToGrid w:val="0"/>
        <w:spacing w:line="360" w:lineRule="auto"/>
        <w:ind w:firstLine="42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（3）在服务采购项目中，服务由中小企业承接，即提供服务的人员为中小企业依照《中华人民共和国劳动合同法》订立劳动合同的从业人员。</w:t>
      </w:r>
    </w:p>
    <w:p w14:paraId="41A5BA22">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2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9.3.2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 </w:t>
      </w:r>
    </w:p>
    <w:p w14:paraId="4A446777">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2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9.3.3接受大中型企业与小微企业组成联合体或者允许大中型企业向一家或者多家小微企业分包的采购项目，对于联合协议或者分包意向协议约定小微企业的合同份额占到合同总金额 30% 以上的，给予一定比例的价格折扣，用扣除后的价格参与评审。以联合体形式参加政府采购活动，联合体各方均为中小企业的，联合体视同中小企业。其中，联合体各方均为小微企业的，联合体视同小微企业。</w:t>
      </w:r>
    </w:p>
    <w:p w14:paraId="6B6297FE">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2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在货物采购项目中，供应商提供的货物既有中小企业制造货物，也有大型企业制造货物的，不享受本办法规定的中小企业扶持政策。 以联合体形式参加政府采购活动，联合体各方均为中小企业的，联合体视同中小企业。其中，联合体各方均为小微企业的，联合体视同小微企业。监狱企业、残疾人福利性单位视同小型、微型企业，享受评审中价格扣除等促进中小企业发展的政府采购政策。</w:t>
      </w:r>
    </w:p>
    <w:p w14:paraId="2A76533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9.4同一项目中部分产品属于优先采购政策的，评审时只对该部分产品的报价实行价格扣除及加分。</w:t>
      </w:r>
    </w:p>
    <w:p w14:paraId="47B272B1">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9.5符合本章第9.1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第9.2</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规定的，应提供相关证明资料。</w:t>
      </w:r>
    </w:p>
    <w:p w14:paraId="2502E70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9.6供应商有融资、担保需求的，具体办理流程可向【</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】所列金融机构和担保机构询问。</w:t>
      </w:r>
    </w:p>
    <w:p w14:paraId="5336AE8F">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textAlignment w:val="auto"/>
        <w:rPr>
          <w:rFonts w:hint="eastAsia" w:ascii="宋体" w:hAnsi="宋体" w:eastAsia="宋体" w:cs="宋体"/>
          <w:color w:val="auto"/>
          <w:highlight w:val="none"/>
        </w:rPr>
      </w:pPr>
      <w:bookmarkStart w:id="130" w:name="_Toc23210"/>
      <w:bookmarkStart w:id="131" w:name="_Toc21026"/>
      <w:r>
        <w:rPr>
          <w:rFonts w:hint="eastAsia" w:ascii="宋体" w:hAnsi="宋体" w:eastAsia="宋体" w:cs="宋体"/>
          <w:color w:val="auto"/>
          <w:highlight w:val="none"/>
        </w:rPr>
        <w:t>二、磋商文件</w:t>
      </w:r>
      <w:bookmarkEnd w:id="130"/>
      <w:bookmarkEnd w:id="131"/>
    </w:p>
    <w:p w14:paraId="08FB7C97">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10．磋商文件的组成</w:t>
      </w:r>
    </w:p>
    <w:p w14:paraId="22516654">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10.1磋商文件由下列文件组成：</w:t>
      </w:r>
    </w:p>
    <w:p w14:paraId="2CA3F2FD">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第一章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竞争性磋商公告</w:t>
      </w:r>
    </w:p>
    <w:p w14:paraId="7C8BE30B">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第二章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磋商须知</w:t>
      </w:r>
    </w:p>
    <w:p w14:paraId="30F07A8A">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第三章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政府采购合同</w:t>
      </w:r>
    </w:p>
    <w:p w14:paraId="530F29B7">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第四章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采购需求</w:t>
      </w:r>
    </w:p>
    <w:p w14:paraId="285064FF">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第五章</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响应文件组成</w:t>
      </w:r>
    </w:p>
    <w:p w14:paraId="61CAD6D2">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10.2</w:t>
      </w:r>
      <w:r>
        <w:rPr>
          <w:rFonts w:hint="eastAsia" w:ascii="宋体" w:hAnsi="宋体" w:eastAsia="宋体" w:cs="宋体"/>
          <w:color w:val="auto"/>
          <w:kern w:val="0"/>
          <w:sz w:val="24"/>
          <w:szCs w:val="24"/>
          <w:highlight w:val="none"/>
        </w:rPr>
        <w:t>磋商小组根据与供应商磋商情况可能实质性变动的内容，包括采购需求中的技术、服务要求以及合同条款，</w:t>
      </w:r>
      <w:r>
        <w:rPr>
          <w:rFonts w:hint="eastAsia" w:ascii="宋体" w:hAnsi="宋体" w:eastAsia="宋体" w:cs="宋体"/>
          <w:color w:val="auto"/>
          <w:sz w:val="24"/>
          <w:szCs w:val="24"/>
          <w:highlight w:val="none"/>
        </w:rPr>
        <w:t>在【</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】中明确。</w:t>
      </w:r>
    </w:p>
    <w:p w14:paraId="409F4CB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10.3供应商应仔细阅读磋商文件的全部内容，按照磋商文件要求编制响应文件。任何对磋商文件的忽略或误解不能作为响应文件存在缺陷或瑕疵的理由，其风险由供应商承担。</w:t>
      </w:r>
    </w:p>
    <w:p w14:paraId="377F44C8">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11.磋商文件的提供期限</w:t>
      </w:r>
    </w:p>
    <w:p w14:paraId="6979373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11.1磋商文件的提供期限自开始发出之日起不得少于五个工作日。具体提供期限见【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067464A2">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11.2供应商应持【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】规定的获取磋商文件。</w:t>
      </w:r>
    </w:p>
    <w:p w14:paraId="3BEF5552">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12.</w:t>
      </w:r>
      <w:r>
        <w:rPr>
          <w:rFonts w:hint="eastAsia" w:ascii="宋体" w:hAnsi="宋体" w:eastAsia="宋体" w:cs="宋体"/>
          <w:b/>
          <w:bCs/>
          <w:color w:val="auto"/>
          <w:kern w:val="0"/>
          <w:sz w:val="24"/>
          <w:szCs w:val="24"/>
          <w:highlight w:val="none"/>
        </w:rPr>
        <w:t>提交首次响应文件</w:t>
      </w:r>
      <w:r>
        <w:rPr>
          <w:rFonts w:hint="eastAsia" w:ascii="宋体" w:hAnsi="宋体" w:eastAsia="宋体" w:cs="宋体"/>
          <w:b/>
          <w:bCs/>
          <w:color w:val="auto"/>
          <w:sz w:val="24"/>
          <w:szCs w:val="24"/>
          <w:highlight w:val="none"/>
        </w:rPr>
        <w:t>的</w:t>
      </w:r>
      <w:r>
        <w:rPr>
          <w:rFonts w:hint="eastAsia" w:ascii="宋体" w:hAnsi="宋体" w:eastAsia="宋体" w:cs="宋体"/>
          <w:b/>
          <w:bCs/>
          <w:color w:val="auto"/>
          <w:kern w:val="0"/>
          <w:sz w:val="24"/>
          <w:szCs w:val="24"/>
          <w:highlight w:val="none"/>
        </w:rPr>
        <w:t>截止</w:t>
      </w:r>
      <w:r>
        <w:rPr>
          <w:rFonts w:hint="eastAsia" w:ascii="宋体" w:hAnsi="宋体" w:eastAsia="宋体" w:cs="宋体"/>
          <w:b/>
          <w:bCs/>
          <w:color w:val="auto"/>
          <w:sz w:val="24"/>
          <w:szCs w:val="24"/>
          <w:highlight w:val="none"/>
        </w:rPr>
        <w:t>时间</w:t>
      </w:r>
    </w:p>
    <w:p w14:paraId="3D6E73FD">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r>
        <w:rPr>
          <w:rFonts w:hint="eastAsia" w:ascii="宋体" w:hAnsi="宋体" w:eastAsia="宋体" w:cs="宋体"/>
          <w:color w:val="auto"/>
          <w:kern w:val="0"/>
          <w:sz w:val="24"/>
          <w:szCs w:val="24"/>
          <w:highlight w:val="none"/>
        </w:rPr>
        <w:t>供应商提交首次响应文件截止</w:t>
      </w:r>
      <w:r>
        <w:rPr>
          <w:rFonts w:hint="eastAsia" w:ascii="宋体" w:hAnsi="宋体" w:eastAsia="宋体" w:cs="宋体"/>
          <w:color w:val="auto"/>
          <w:sz w:val="24"/>
          <w:szCs w:val="24"/>
          <w:highlight w:val="none"/>
        </w:rPr>
        <w:t>时间见【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2D68FB77">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13.磋商文件的澄清</w:t>
      </w:r>
      <w:r>
        <w:rPr>
          <w:rFonts w:hint="eastAsia" w:ascii="宋体" w:hAnsi="宋体" w:eastAsia="宋体" w:cs="宋体"/>
          <w:b/>
          <w:bCs/>
          <w:color w:val="auto"/>
          <w:kern w:val="0"/>
          <w:sz w:val="24"/>
          <w:szCs w:val="24"/>
          <w:highlight w:val="none"/>
          <w:lang w:val="zh-CN"/>
        </w:rPr>
        <w:t>或者</w:t>
      </w:r>
      <w:r>
        <w:rPr>
          <w:rFonts w:hint="eastAsia" w:ascii="宋体" w:hAnsi="宋体" w:eastAsia="宋体" w:cs="宋体"/>
          <w:b/>
          <w:bCs/>
          <w:color w:val="auto"/>
          <w:sz w:val="24"/>
          <w:szCs w:val="24"/>
          <w:highlight w:val="none"/>
        </w:rPr>
        <w:t>修改</w:t>
      </w:r>
    </w:p>
    <w:p w14:paraId="0D66E32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13.1在</w:t>
      </w:r>
      <w:r>
        <w:rPr>
          <w:rFonts w:hint="eastAsia" w:ascii="宋体" w:hAnsi="宋体" w:eastAsia="宋体" w:cs="宋体"/>
          <w:color w:val="auto"/>
          <w:kern w:val="0"/>
          <w:sz w:val="24"/>
          <w:szCs w:val="24"/>
          <w:highlight w:val="none"/>
        </w:rPr>
        <w:t>提交首次响应文件截止之日前，采购人、采购代理机构可以对已发出的磋商文件进行必要的澄清或者修改。</w:t>
      </w:r>
    </w:p>
    <w:p w14:paraId="690F60C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13.2</w:t>
      </w:r>
      <w:r>
        <w:rPr>
          <w:rFonts w:hint="eastAsia" w:ascii="宋体" w:hAnsi="宋体" w:eastAsia="宋体" w:cs="宋体"/>
          <w:color w:val="auto"/>
          <w:kern w:val="0"/>
          <w:sz w:val="24"/>
          <w:szCs w:val="24"/>
          <w:highlight w:val="none"/>
        </w:rPr>
        <w:t>澄清或者修改的内容可能影响响应文件编制的，采购人、采购代理机构或者磋商小组应当在</w:t>
      </w:r>
      <w:r>
        <w:rPr>
          <w:rFonts w:hint="eastAsia" w:ascii="宋体" w:hAnsi="宋体" w:eastAsia="宋体" w:cs="宋体"/>
          <w:color w:val="auto"/>
          <w:sz w:val="24"/>
          <w:szCs w:val="24"/>
          <w:highlight w:val="none"/>
        </w:rPr>
        <w:t>本章第12.1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规定的提交首次响应文件截止时间至少5日前</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rPr>
        <w:t>在《</w:t>
      </w:r>
      <w:r>
        <w:rPr>
          <w:rFonts w:hint="eastAsia" w:ascii="宋体" w:hAnsi="宋体" w:eastAsia="宋体" w:cs="宋体"/>
          <w:b/>
          <w:bCs/>
          <w:color w:val="auto"/>
          <w:kern w:val="0"/>
          <w:sz w:val="24"/>
          <w:szCs w:val="24"/>
          <w:highlight w:val="none"/>
          <w:lang w:eastAsia="zh-CN"/>
        </w:rPr>
        <w:t>中国湖南政府采购网</w:t>
      </w:r>
      <w:r>
        <w:rPr>
          <w:rFonts w:hint="eastAsia" w:ascii="宋体" w:hAnsi="宋体" w:eastAsia="宋体" w:cs="宋体"/>
          <w:b/>
          <w:bCs/>
          <w:color w:val="auto"/>
          <w:kern w:val="0"/>
          <w:sz w:val="24"/>
          <w:szCs w:val="24"/>
          <w:highlight w:val="none"/>
        </w:rPr>
        <w:t>》（http://www.ccgp-hunan.gov.cn/）和《</w:t>
      </w:r>
      <w:r>
        <w:rPr>
          <w:rFonts w:hint="eastAsia" w:ascii="宋体" w:hAnsi="宋体" w:cs="宋体"/>
          <w:b/>
          <w:bCs/>
          <w:color w:val="auto"/>
          <w:kern w:val="0"/>
          <w:sz w:val="24"/>
          <w:szCs w:val="24"/>
          <w:highlight w:val="none"/>
          <w:lang w:eastAsia="zh-CN"/>
        </w:rPr>
        <w:t>湘西州公共资源交易服务平台</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eastAsia="zh-CN"/>
        </w:rPr>
        <w:t>https://xiangxi.hnsggzy.com/#/sy</w:t>
      </w:r>
      <w:r>
        <w:rPr>
          <w:rFonts w:hint="eastAsia" w:ascii="宋体" w:hAnsi="宋体" w:eastAsia="宋体" w:cs="宋体"/>
          <w:b/>
          <w:bCs/>
          <w:color w:val="auto"/>
          <w:kern w:val="0"/>
          <w:sz w:val="24"/>
          <w:szCs w:val="24"/>
          <w:highlight w:val="none"/>
        </w:rPr>
        <w:t>/）同时发布，不以书面形式通知</w:t>
      </w:r>
      <w:r>
        <w:rPr>
          <w:rFonts w:hint="eastAsia" w:ascii="宋体" w:hAnsi="宋体" w:eastAsia="宋体" w:cs="宋体"/>
          <w:color w:val="auto"/>
          <w:kern w:val="0"/>
          <w:sz w:val="24"/>
          <w:szCs w:val="24"/>
          <w:highlight w:val="none"/>
        </w:rPr>
        <w:t>，不足5日的，顺延供应商提交首次响应文件截止时间。</w:t>
      </w:r>
    </w:p>
    <w:p w14:paraId="2CE37D71">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13.2</w:t>
      </w:r>
      <w:r>
        <w:rPr>
          <w:rFonts w:hint="eastAsia" w:ascii="宋体" w:hAnsi="宋体" w:eastAsia="宋体" w:cs="宋体"/>
          <w:color w:val="auto"/>
          <w:kern w:val="0"/>
          <w:sz w:val="24"/>
          <w:szCs w:val="24"/>
          <w:highlight w:val="none"/>
        </w:rPr>
        <w:t>提交首次响应文件截止时</w:t>
      </w:r>
      <w:r>
        <w:rPr>
          <w:rFonts w:hint="eastAsia" w:ascii="宋体" w:hAnsi="宋体" w:eastAsia="宋体" w:cs="宋体"/>
          <w:color w:val="auto"/>
          <w:kern w:val="0"/>
          <w:sz w:val="24"/>
          <w:szCs w:val="24"/>
          <w:highlight w:val="none"/>
          <w:lang w:val="en-US" w:eastAsia="zh-CN" w:bidi="ar-SA"/>
        </w:rPr>
        <w:t>间前对</w:t>
      </w:r>
      <w:r>
        <w:rPr>
          <w:rFonts w:hint="eastAsia" w:ascii="宋体" w:hAnsi="宋体" w:eastAsia="宋体" w:cs="宋体"/>
          <w:color w:val="auto"/>
          <w:kern w:val="0"/>
          <w:sz w:val="24"/>
          <w:szCs w:val="24"/>
          <w:highlight w:val="none"/>
        </w:rPr>
        <w:t>磋商文件澄清或者修改内容，为磋商文件的组成部分。</w:t>
      </w:r>
    </w:p>
    <w:p w14:paraId="0F8728E3">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textAlignment w:val="auto"/>
        <w:rPr>
          <w:rFonts w:hint="eastAsia" w:ascii="宋体" w:hAnsi="宋体" w:eastAsia="宋体" w:cs="宋体"/>
          <w:color w:val="auto"/>
          <w:highlight w:val="none"/>
        </w:rPr>
      </w:pPr>
      <w:bookmarkStart w:id="132" w:name="_Toc2127"/>
      <w:bookmarkStart w:id="133" w:name="_Toc26033"/>
      <w:r>
        <w:rPr>
          <w:rFonts w:hint="eastAsia" w:ascii="宋体" w:hAnsi="宋体" w:eastAsia="宋体" w:cs="宋体"/>
          <w:color w:val="auto"/>
          <w:highlight w:val="none"/>
        </w:rPr>
        <w:t>三、响应文件</w:t>
      </w:r>
      <w:bookmarkEnd w:id="132"/>
      <w:bookmarkEnd w:id="133"/>
    </w:p>
    <w:p w14:paraId="67F5FA47">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14.一般要求</w:t>
      </w:r>
    </w:p>
    <w:p w14:paraId="3D25F768">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14.1供应商应仔细阅读磋商文件的所有内容，按磋商文件的要求编制响应文件，并保证所提供的全部资料的真实性，以使其响应文件对磋商文件做出实质性的响应。</w:t>
      </w:r>
    </w:p>
    <w:p w14:paraId="430A4D5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14.2供应商提交的响应文件及供应商与采购人或采购代理机构、磋商小组就有关磋商的所有来往函电均使用中文。供应商可以提交其它语言的资料，但应附中文注释，在有差异时以中文为准。</w:t>
      </w:r>
    </w:p>
    <w:p w14:paraId="3A230ED1">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14.3计量单位应使用我国法定计量单位，未列明时应默认为我国法定计量单位。</w:t>
      </w:r>
    </w:p>
    <w:p w14:paraId="1AC44406">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14.4响应文件应采用书面形式，电报、传真、电子邮件形式的响应文件概不接受。</w:t>
      </w:r>
    </w:p>
    <w:p w14:paraId="69F08A3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14.5供应商应按磋商文件中提供的响应文件格式填写。</w:t>
      </w:r>
    </w:p>
    <w:p w14:paraId="66A6916C">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15.响应文件的组成</w:t>
      </w:r>
    </w:p>
    <w:p w14:paraId="464B19FA">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bookmarkStart w:id="134" w:name="_Toc23179"/>
      <w:bookmarkStart w:id="135" w:name="_Toc26397"/>
      <w:bookmarkStart w:id="136" w:name="_Toc18954"/>
      <w:bookmarkStart w:id="137" w:name="_Toc18894"/>
      <w:bookmarkStart w:id="138" w:name="_Toc20395"/>
      <w:r>
        <w:rPr>
          <w:rFonts w:hint="eastAsia" w:ascii="宋体" w:hAnsi="宋体" w:eastAsia="宋体" w:cs="宋体"/>
          <w:color w:val="auto"/>
          <w:sz w:val="24"/>
          <w:szCs w:val="24"/>
          <w:highlight w:val="none"/>
        </w:rPr>
        <w:t>15.1响应文件包括下列内容：</w:t>
      </w:r>
      <w:bookmarkEnd w:id="134"/>
      <w:bookmarkEnd w:id="135"/>
      <w:bookmarkEnd w:id="136"/>
      <w:bookmarkEnd w:id="137"/>
      <w:bookmarkEnd w:id="138"/>
    </w:p>
    <w:p w14:paraId="52B124F9">
      <w:pPr>
        <w:bidi w:val="0"/>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供应商资格声明</w:t>
      </w:r>
    </w:p>
    <w:p w14:paraId="4083DC45">
      <w:pPr>
        <w:bidi w:val="0"/>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法定代表人（单位负责人）身份证明</w:t>
      </w:r>
    </w:p>
    <w:p w14:paraId="2381BF45">
      <w:pPr>
        <w:bidi w:val="0"/>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法定代表人（单位负责人）授权委托书</w:t>
      </w:r>
    </w:p>
    <w:p w14:paraId="04A167FF">
      <w:pPr>
        <w:bidi w:val="0"/>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磋商响应声明</w:t>
      </w:r>
    </w:p>
    <w:p w14:paraId="5916AB4D">
      <w:pPr>
        <w:bidi w:val="0"/>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采购需求响应</w:t>
      </w:r>
    </w:p>
    <w:p w14:paraId="5E011421">
      <w:pPr>
        <w:bidi w:val="0"/>
        <w:spacing w:line="360" w:lineRule="auto"/>
        <w:ind w:firstLine="240" w:firstLineChars="1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）施工及技术方案</w:t>
      </w:r>
    </w:p>
    <w:p w14:paraId="09B2BB87">
      <w:pPr>
        <w:bidi w:val="0"/>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不拖欠民工工资承诺书</w:t>
      </w:r>
    </w:p>
    <w:p w14:paraId="27F2F791">
      <w:pPr>
        <w:bidi w:val="0"/>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合同条款偏离表</w:t>
      </w:r>
    </w:p>
    <w:p w14:paraId="1CF76C98">
      <w:pPr>
        <w:bidi w:val="0"/>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采购需求偏离表</w:t>
      </w:r>
    </w:p>
    <w:p w14:paraId="101EC9E7">
      <w:pPr>
        <w:bidi w:val="0"/>
        <w:spacing w:line="360" w:lineRule="auto"/>
        <w:ind w:firstLine="240" w:firstLineChars="1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（10）报价一览表及报价文件</w:t>
      </w:r>
    </w:p>
    <w:p w14:paraId="548C90D7">
      <w:pPr>
        <w:pStyle w:val="30"/>
        <w:ind w:firstLine="240" w:firstLineChars="1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highlight w:val="none"/>
          <w:lang w:val="en-US" w:eastAsia="zh-CN"/>
        </w:rPr>
        <w:t>（11）</w:t>
      </w:r>
      <w:r>
        <w:rPr>
          <w:rFonts w:hint="eastAsia" w:ascii="宋体" w:hAnsi="宋体" w:eastAsia="宋体" w:cs="宋体"/>
          <w:b w:val="0"/>
          <w:bCs w:val="0"/>
          <w:color w:val="auto"/>
          <w:kern w:val="2"/>
          <w:sz w:val="24"/>
          <w:szCs w:val="24"/>
          <w:highlight w:val="none"/>
          <w:lang w:val="en-US" w:eastAsia="zh-CN" w:bidi="ar-SA"/>
        </w:rPr>
        <w:t>享受政府采购政策优惠的证明资料</w:t>
      </w:r>
    </w:p>
    <w:p w14:paraId="27D11A77">
      <w:pPr>
        <w:bidi w:val="0"/>
        <w:spacing w:line="360" w:lineRule="auto"/>
        <w:ind w:firstLine="240" w:firstLineChars="1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lang w:eastAsia="zh-CN"/>
        </w:rPr>
        <w:t>）投标人认为需要提供的其它资料</w:t>
      </w:r>
    </w:p>
    <w:p w14:paraId="1194B20E">
      <w:pPr>
        <w:bidi w:val="0"/>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最后报价</w:t>
      </w:r>
    </w:p>
    <w:p w14:paraId="1E80E12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15.2在磋商过程中，供应商根据</w:t>
      </w: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sz w:val="24"/>
          <w:szCs w:val="24"/>
          <w:highlight w:val="none"/>
        </w:rPr>
        <w:t>书面形式要求</w:t>
      </w:r>
      <w:r>
        <w:rPr>
          <w:rFonts w:hint="eastAsia" w:ascii="宋体" w:hAnsi="宋体" w:eastAsia="宋体" w:cs="宋体"/>
          <w:color w:val="auto"/>
          <w:kern w:val="0"/>
          <w:sz w:val="24"/>
          <w:szCs w:val="24"/>
          <w:highlight w:val="none"/>
        </w:rPr>
        <w:t>提交的</w:t>
      </w:r>
      <w:r>
        <w:rPr>
          <w:rFonts w:hint="eastAsia" w:ascii="宋体" w:hAnsi="宋体" w:eastAsia="宋体" w:cs="宋体"/>
          <w:color w:val="auto"/>
          <w:sz w:val="24"/>
          <w:szCs w:val="24"/>
          <w:highlight w:val="none"/>
        </w:rPr>
        <w:t>最后报价(或者重</w:t>
      </w:r>
      <w:r>
        <w:rPr>
          <w:rFonts w:hint="eastAsia" w:ascii="宋体" w:hAnsi="宋体" w:eastAsia="宋体" w:cs="宋体"/>
          <w:color w:val="auto"/>
          <w:kern w:val="0"/>
          <w:sz w:val="24"/>
          <w:szCs w:val="24"/>
          <w:highlight w:val="none"/>
        </w:rPr>
        <w:t>新提交的响应文件和</w:t>
      </w:r>
      <w:r>
        <w:rPr>
          <w:rFonts w:hint="eastAsia" w:ascii="宋体" w:hAnsi="宋体" w:eastAsia="宋体" w:cs="宋体"/>
          <w:color w:val="auto"/>
          <w:sz w:val="24"/>
          <w:szCs w:val="24"/>
          <w:highlight w:val="none"/>
        </w:rPr>
        <w:t>最后报价)是响应文件的有效组成部分。</w:t>
      </w:r>
    </w:p>
    <w:p w14:paraId="1663DEF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w:t>
      </w:r>
      <w:r>
        <w:rPr>
          <w:rFonts w:hint="eastAsia" w:ascii="宋体" w:hAnsi="宋体" w:eastAsia="宋体" w:cs="宋体"/>
          <w:color w:val="auto"/>
          <w:kern w:val="0"/>
          <w:sz w:val="24"/>
          <w:szCs w:val="24"/>
          <w:highlight w:val="none"/>
        </w:rPr>
        <w:t>磋商文件规定可能发生实质性变动的，供应商应当在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合同条款</w:t>
      </w:r>
      <w:r>
        <w:rPr>
          <w:rFonts w:hint="eastAsia" w:ascii="宋体" w:hAnsi="宋体" w:eastAsia="宋体" w:cs="宋体"/>
          <w:color w:val="auto"/>
          <w:sz w:val="24"/>
          <w:szCs w:val="24"/>
          <w:highlight w:val="none"/>
        </w:rPr>
        <w:t>偏离表》中对应内容注明。</w:t>
      </w:r>
    </w:p>
    <w:p w14:paraId="2CF0777B">
      <w:pPr>
        <w:pStyle w:val="30"/>
        <w:keepNext w:val="0"/>
        <w:keepLines w:val="0"/>
        <w:pageBreakBefore w:val="0"/>
        <w:widowControl w:val="0"/>
        <w:kinsoku/>
        <w:wordWrap/>
        <w:overflowPunct/>
        <w:topLinePunct w:val="0"/>
        <w:autoSpaceDE/>
        <w:bidi w:val="0"/>
        <w:adjustRightInd w:val="0"/>
        <w:snapToGrid w:val="0"/>
        <w:spacing w:before="0" w:after="0" w:line="360" w:lineRule="auto"/>
        <w:ind w:left="0" w:right="0" w:rightChars="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15.4供应商在编制响应文件《</w:t>
      </w:r>
      <w:r>
        <w:rPr>
          <w:rFonts w:hint="eastAsia" w:ascii="宋体" w:hAnsi="宋体" w:eastAsia="宋体" w:cs="宋体"/>
          <w:color w:val="auto"/>
          <w:highlight w:val="none"/>
          <w:lang w:val="en-US" w:eastAsia="zh-CN"/>
        </w:rPr>
        <w:t>采购需求偏离表</w:t>
      </w:r>
      <w:r>
        <w:rPr>
          <w:rFonts w:hint="eastAsia" w:ascii="宋体" w:hAnsi="宋体" w:eastAsia="宋体" w:cs="宋体"/>
          <w:color w:val="auto"/>
          <w:highlight w:val="none"/>
        </w:rPr>
        <w:t>》，应</w:t>
      </w:r>
      <w:r>
        <w:rPr>
          <w:rFonts w:hint="eastAsia" w:ascii="宋体" w:hAnsi="宋体" w:eastAsia="宋体" w:cs="宋体"/>
          <w:color w:val="auto"/>
          <w:highlight w:val="none"/>
          <w:lang w:eastAsia="zh-CN"/>
        </w:rPr>
        <w:t>对</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lang w:eastAsia="zh-CN"/>
        </w:rPr>
        <w:t>文件</w:t>
      </w:r>
      <w:r>
        <w:rPr>
          <w:rFonts w:hint="eastAsia" w:ascii="宋体" w:hAnsi="宋体" w:eastAsia="宋体" w:cs="宋体"/>
          <w:color w:val="auto"/>
          <w:highlight w:val="none"/>
        </w:rPr>
        <w:t>第四章采购需求作出响应，否则为</w:t>
      </w:r>
      <w:r>
        <w:rPr>
          <w:rFonts w:hint="eastAsia" w:ascii="宋体" w:hAnsi="宋体" w:eastAsia="宋体" w:cs="宋体"/>
          <w:color w:val="auto"/>
          <w:highlight w:val="none"/>
          <w:lang w:eastAsia="zh-CN"/>
        </w:rPr>
        <w:t>响应无效</w:t>
      </w:r>
      <w:r>
        <w:rPr>
          <w:rFonts w:hint="eastAsia" w:ascii="宋体" w:hAnsi="宋体" w:eastAsia="宋体" w:cs="宋体"/>
          <w:color w:val="auto"/>
          <w:highlight w:val="none"/>
        </w:rPr>
        <w:t>。</w:t>
      </w:r>
    </w:p>
    <w:p w14:paraId="62975869">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15.4根据《政府采购法》第四十二条的规定，供应商无论成交与否，其响应文件不予退还。</w:t>
      </w:r>
    </w:p>
    <w:p w14:paraId="78070413">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16.报价</w:t>
      </w:r>
    </w:p>
    <w:p w14:paraId="7071DE9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16.1供应商应当根据磋商文件要求和范围，以人民币报价，以元为单位，保留小数点后两位。</w:t>
      </w:r>
    </w:p>
    <w:p w14:paraId="6F4A26B6">
      <w:pPr>
        <w:pStyle w:val="32"/>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16.2供应商应按</w:t>
      </w:r>
      <w:r>
        <w:rPr>
          <w:rFonts w:hint="eastAsia" w:ascii="宋体" w:hAnsi="宋体" w:eastAsia="宋体" w:cs="宋体"/>
          <w:color w:val="auto"/>
          <w:sz w:val="24"/>
          <w:szCs w:val="24"/>
          <w:highlight w:val="none"/>
          <w:lang w:eastAsia="zh-CN"/>
        </w:rPr>
        <w:t>采购文件要求进行报价</w:t>
      </w:r>
      <w:r>
        <w:rPr>
          <w:rFonts w:hint="eastAsia" w:ascii="宋体" w:hAnsi="宋体" w:eastAsia="宋体" w:cs="宋体"/>
          <w:color w:val="auto"/>
          <w:sz w:val="24"/>
          <w:szCs w:val="24"/>
          <w:highlight w:val="none"/>
        </w:rPr>
        <w:t>。</w:t>
      </w:r>
    </w:p>
    <w:p w14:paraId="1AE2F92B">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16.3响应文件</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明的价格在合同执行过程中是固定不变的，不得以任何理由予以变更。以可变动价格提交的报价将被认为是非实质响应而被拒绝。</w:t>
      </w:r>
    </w:p>
    <w:p w14:paraId="6500A535">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w:t>
      </w:r>
      <w:r>
        <w:rPr>
          <w:rFonts w:hint="eastAsia" w:ascii="宋体" w:hAnsi="宋体" w:eastAsia="宋体" w:cs="宋体"/>
          <w:color w:val="auto"/>
          <w:kern w:val="0"/>
          <w:sz w:val="24"/>
          <w:szCs w:val="24"/>
          <w:highlight w:val="none"/>
          <w:lang w:val="zh-CN"/>
        </w:rPr>
        <w:t>供应商</w:t>
      </w:r>
      <w:r>
        <w:rPr>
          <w:rFonts w:hint="eastAsia" w:ascii="宋体" w:hAnsi="宋体" w:eastAsia="宋体" w:cs="宋体"/>
          <w:color w:val="auto"/>
          <w:sz w:val="24"/>
          <w:szCs w:val="24"/>
          <w:highlight w:val="none"/>
        </w:rPr>
        <w:t>的报价不得超过采购项目预算，采购项目预算或其计算方法见【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77BCF6B5">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16.5</w:t>
      </w:r>
      <w:r>
        <w:rPr>
          <w:rFonts w:hint="eastAsia" w:ascii="宋体" w:hAnsi="宋体" w:eastAsia="宋体" w:cs="宋体"/>
          <w:b/>
          <w:bCs/>
          <w:color w:val="auto"/>
          <w:sz w:val="24"/>
          <w:szCs w:val="24"/>
          <w:highlight w:val="none"/>
          <w:u w:val="wave"/>
        </w:rPr>
        <w:t>磋商小组认为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期作为无效投标处理</w:t>
      </w:r>
      <w:r>
        <w:rPr>
          <w:rFonts w:hint="eastAsia" w:ascii="宋体" w:hAnsi="宋体" w:eastAsia="宋体" w:cs="宋体"/>
          <w:b/>
          <w:bCs/>
          <w:color w:val="auto"/>
          <w:sz w:val="24"/>
          <w:szCs w:val="24"/>
          <w:highlight w:val="none"/>
        </w:rPr>
        <w:t>。</w:t>
      </w:r>
    </w:p>
    <w:p w14:paraId="7BC518FF">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在评标过程中，投标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（总报价）低于采购预算50%或者低于其他有效投标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报价算术平均价40%，评标委员会认为有可能影响服务质量或者不能诚信履约的，应当要求其在合理的时间内提供成本构成书面说明，并提交相关证明材料。书面说明应当按照国家财务会计制度的规定要求，逐项就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提供的货物、工程和服务的主营业务成本(应根据投标供应商企业类型予以区别)、税金及附加、销售费用、管理费用、财务费用等成本构成事项详细陈述。</w:t>
      </w:r>
    </w:p>
    <w:p w14:paraId="4504E5D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在评标过程中，投标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（分项报价）低于分项最高限价50%或者低于其他有效投标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分项报价算术平均价40%，评标委员会认为有可能影响服务质量或者不能诚信履约的，应当要求其在合理的时间内提供成本构成书面说明，并提交相关证明材料。书面说明应当按照国家财务会计制度的规定要求，逐项就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提供的货物、工程和服务的主营业务成本(应根据投标供应商企业类型予以区别)、税金及附加、销售费用、管理费用、财务费用等成本构成事项详细陈述。</w:t>
      </w:r>
    </w:p>
    <w:p w14:paraId="25DA201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提交的相关说明和证明材料，应当加盖投标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(法定名称)公章，在评标委员会要求的时间内提交，否则提交的相关证明材料无效。投标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不能证明其投标报价合理性的，评标委员会应当将其投标文件作为无效处理。</w:t>
      </w:r>
    </w:p>
    <w:p w14:paraId="459DAF65">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17.供应商符合磋商文件规定的证明文件</w:t>
      </w:r>
    </w:p>
    <w:p w14:paraId="109F862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17.1供应商应提交满足本章第3.1款规定的资格条件要求的证明文件,该证明文件作为响应文件的一部分。</w:t>
      </w:r>
    </w:p>
    <w:p w14:paraId="62186CA4">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17.2如果供应商为联合体，则应提交联合体各方资格证明文件、联合体协议。否则，在评审时将其视为无效响应。</w:t>
      </w:r>
    </w:p>
    <w:p w14:paraId="5B322FC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17.3除【</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】另有规定外，供应商提供的货物及服务不是供应商制造或拥有的，则必须提供经销、或代理采购货物、或采购货物提供售后服务的证明文件。</w:t>
      </w:r>
    </w:p>
    <w:p w14:paraId="3BFF7E91">
      <w:pPr>
        <w:pStyle w:val="30"/>
        <w:keepNext w:val="0"/>
        <w:keepLines w:val="0"/>
        <w:pageBreakBefore w:val="0"/>
        <w:widowControl w:val="0"/>
        <w:kinsoku/>
        <w:wordWrap/>
        <w:overflowPunct/>
        <w:topLinePunct w:val="0"/>
        <w:autoSpaceDE/>
        <w:bidi w:val="0"/>
        <w:adjustRightInd w:val="0"/>
        <w:snapToGrid w:val="0"/>
        <w:spacing w:before="0" w:after="0" w:line="360" w:lineRule="auto"/>
        <w:ind w:left="0" w:right="0" w:rightChars="0"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17.4多家代理商参加同一品牌同一型号产品磋商的规定见【</w:t>
      </w:r>
      <w:r>
        <w:rPr>
          <w:rFonts w:hint="eastAsia" w:ascii="宋体" w:hAnsi="宋体" w:eastAsia="宋体" w:cs="宋体"/>
          <w:b/>
          <w:bCs/>
          <w:color w:val="auto"/>
          <w:highlight w:val="none"/>
        </w:rPr>
        <w:t>磋商须知前附表</w:t>
      </w:r>
      <w:r>
        <w:rPr>
          <w:rFonts w:hint="eastAsia" w:ascii="宋体" w:hAnsi="宋体" w:eastAsia="宋体" w:cs="宋体"/>
          <w:color w:val="auto"/>
          <w:highlight w:val="none"/>
        </w:rPr>
        <w:t>】</w:t>
      </w:r>
    </w:p>
    <w:p w14:paraId="3FEB3536">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18．样品提供</w:t>
      </w:r>
    </w:p>
    <w:p w14:paraId="1DAC2FA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】规定供应商在磋商时提供样品的，供应商有以下情形之一的，在评审时将其视为无效响应。</w:t>
      </w:r>
    </w:p>
    <w:p w14:paraId="6B2194E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（1）未在【</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】规定的提交时间、地点提交的；</w:t>
      </w:r>
    </w:p>
    <w:p w14:paraId="29A4309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（2）供应商提供的样品与响应文件中提供样品的型号、规格不一致的。</w:t>
      </w:r>
    </w:p>
    <w:p w14:paraId="5CC78FB0">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19.磋商保证金</w:t>
      </w:r>
    </w:p>
    <w:p w14:paraId="1F5C3DC4">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】规定交纳磋商保证金的，应按【</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】规定的磋商保证金形式交纳，不得以现金方式交纳，在</w:t>
      </w:r>
      <w:r>
        <w:rPr>
          <w:rFonts w:hint="eastAsia" w:ascii="宋体" w:hAnsi="宋体" w:eastAsia="宋体" w:cs="宋体"/>
          <w:color w:val="auto"/>
          <w:kern w:val="0"/>
          <w:sz w:val="24"/>
          <w:szCs w:val="24"/>
          <w:highlight w:val="none"/>
        </w:rPr>
        <w:t>提交首次响应文件截止时间</w:t>
      </w:r>
      <w:r>
        <w:rPr>
          <w:rFonts w:hint="eastAsia" w:ascii="宋体" w:hAnsi="宋体" w:eastAsia="宋体" w:cs="宋体"/>
          <w:color w:val="auto"/>
          <w:sz w:val="24"/>
          <w:szCs w:val="24"/>
          <w:highlight w:val="none"/>
        </w:rPr>
        <w:t>前，向采购代理机构交纳不超过</w:t>
      </w:r>
      <w:r>
        <w:rPr>
          <w:rFonts w:hint="eastAsia" w:ascii="宋体" w:hAnsi="宋体" w:eastAsia="宋体" w:cs="宋体"/>
          <w:color w:val="auto"/>
          <w:kern w:val="0"/>
          <w:sz w:val="24"/>
          <w:szCs w:val="24"/>
          <w:highlight w:val="none"/>
          <w:lang w:val="zh-CN"/>
        </w:rPr>
        <w:t>采购项目预算2﹪</w:t>
      </w:r>
      <w:r>
        <w:rPr>
          <w:rFonts w:hint="eastAsia" w:ascii="宋体" w:hAnsi="宋体" w:eastAsia="宋体" w:cs="宋体"/>
          <w:color w:val="auto"/>
          <w:sz w:val="24"/>
          <w:szCs w:val="24"/>
          <w:highlight w:val="none"/>
        </w:rPr>
        <w:t>的磋商保证金(数额采用四舍五入，计算至元)。磋商保证金有效期应当与本章第20.1</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规定的响应文件有效期一致。</w:t>
      </w:r>
    </w:p>
    <w:p w14:paraId="72EC701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19.2</w:t>
      </w:r>
      <w:r>
        <w:rPr>
          <w:rFonts w:hint="eastAsia" w:ascii="宋体" w:hAnsi="宋体" w:eastAsia="宋体" w:cs="宋体"/>
          <w:color w:val="auto"/>
          <w:kern w:val="0"/>
          <w:sz w:val="24"/>
          <w:szCs w:val="24"/>
          <w:highlight w:val="none"/>
          <w:lang w:val="zh-CN"/>
        </w:rPr>
        <w:t>供应商为联合体的，可以由联合体中的一方或者共同交纳磋商保证金，其交纳的磋商保证金，对联合体各方均具有约束力。</w:t>
      </w:r>
    </w:p>
    <w:p w14:paraId="0847F6E6">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19.3供应商未按照磋商文件要求提交磋商保证金的，响应无效。</w:t>
      </w:r>
    </w:p>
    <w:p w14:paraId="7EBD3B73">
      <w:pPr>
        <w:pStyle w:val="13"/>
        <w:keepNext w:val="0"/>
        <w:keepLines w:val="0"/>
        <w:pageBreakBefore w:val="0"/>
        <w:widowControl w:val="0"/>
        <w:tabs>
          <w:tab w:val="left" w:pos="6300"/>
        </w:tabs>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19.4采购代理机构在成交通知书发出后5个工作日内退还未成交供应商的磋商保证金；在采购合同签定后5个工作日内退还成交供应商的磋商保证金，但因供应商自身原因导致无法及时退还的除外。</w:t>
      </w:r>
    </w:p>
    <w:p w14:paraId="3F93C886">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19.5</w:t>
      </w:r>
      <w:r>
        <w:rPr>
          <w:rFonts w:hint="eastAsia" w:ascii="宋体" w:hAnsi="宋体" w:eastAsia="宋体" w:cs="宋体"/>
          <w:color w:val="auto"/>
          <w:kern w:val="0"/>
          <w:sz w:val="24"/>
          <w:szCs w:val="24"/>
          <w:highlight w:val="none"/>
        </w:rPr>
        <w:t>有下列情形之一的，磋商保证金不予退还，并上缴本级财政国库：</w:t>
      </w:r>
    </w:p>
    <w:p w14:paraId="7C5308B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（1）供应商在提交首次响应文件截止时间后撤回响应文件的；</w:t>
      </w:r>
    </w:p>
    <w:p w14:paraId="6A6297C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（2）供应商在响应文件中提供虚假资料的；</w:t>
      </w:r>
    </w:p>
    <w:p w14:paraId="3C93F2F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rPr>
        <w:t>确定成交结果后，无正当理由放弃成交资格的；</w:t>
      </w:r>
    </w:p>
    <w:p w14:paraId="7877E588">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除因不可抗力或磋商文件认可的情形以外，成交供应商不与采购人签订合同的；</w:t>
      </w:r>
    </w:p>
    <w:p w14:paraId="308B7FE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（5）供应商与采购人、其他供应商或者采购代理机构恶意串通的；</w:t>
      </w:r>
    </w:p>
    <w:p w14:paraId="0CE82E46">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（6）磋商文件规定的其他情形。</w:t>
      </w:r>
    </w:p>
    <w:p w14:paraId="7261B38C">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20.响应文件有效期</w:t>
      </w:r>
    </w:p>
    <w:p w14:paraId="3147886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20.1响应文件有效期见【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】，在此期间响应文件对供应商具有法律约束力，从</w:t>
      </w:r>
      <w:r>
        <w:rPr>
          <w:rFonts w:hint="eastAsia" w:ascii="宋体" w:hAnsi="宋体" w:eastAsia="宋体" w:cs="宋体"/>
          <w:color w:val="auto"/>
          <w:kern w:val="0"/>
          <w:sz w:val="24"/>
          <w:szCs w:val="24"/>
          <w:highlight w:val="none"/>
        </w:rPr>
        <w:t>提交首次响应文件截止时间</w:t>
      </w:r>
      <w:r>
        <w:rPr>
          <w:rFonts w:hint="eastAsia" w:ascii="宋体" w:hAnsi="宋体" w:eastAsia="宋体" w:cs="宋体"/>
          <w:color w:val="auto"/>
          <w:sz w:val="24"/>
          <w:szCs w:val="24"/>
          <w:highlight w:val="none"/>
        </w:rPr>
        <w:t>之日起计算。响应文件有效期不足的将被视为无效响应。</w:t>
      </w:r>
    </w:p>
    <w:p w14:paraId="51A65B3F">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21.响应文件的签署及规定</w:t>
      </w:r>
    </w:p>
    <w:p w14:paraId="7F8B86FE">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.1 投标人确认投标后,应从交易平台上下载“电子</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制作工具”,并使用此工具编制电子投标文件，否则将可能影响电子投标文件的上传而导致投标无效。</w:t>
      </w:r>
    </w:p>
    <w:p w14:paraId="6D58BB51">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.2 投标人应按照电子</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要求制作投标文件,并进行电子签名和盖章。</w:t>
      </w:r>
    </w:p>
    <w:p w14:paraId="04BB4940">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.3 投标人因自身原因导致电子投标文件无法导入电子评标系统的,该投标文件视为无效</w:t>
      </w:r>
    </w:p>
    <w:p w14:paraId="077FBB67">
      <w:pPr>
        <w:pStyle w:val="13"/>
        <w:keepNext w:val="0"/>
        <w:keepLines w:val="0"/>
        <w:pageBreakBefore w:val="0"/>
        <w:widowControl w:val="0"/>
        <w:kinsoku/>
        <w:wordWrap/>
        <w:overflowPunct/>
        <w:topLinePunct w:val="0"/>
        <w:autoSpaceDE/>
        <w:bidi w:val="0"/>
        <w:adjustRightInd w:val="0"/>
        <w:snapToGrid w:val="0"/>
        <w:spacing w:line="360" w:lineRule="auto"/>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.4 电子招投标文件具有法律效力,若投标文件与</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要求不一致,其内容影响中标</w:t>
      </w:r>
    </w:p>
    <w:p w14:paraId="75843553">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结果时，责任由投标人自行承担。</w:t>
      </w:r>
    </w:p>
    <w:p w14:paraId="560D48CE">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.5 电子投标项目的投标文件均以上传至交易系统的电子投标文件为准。</w:t>
      </w:r>
    </w:p>
    <w:p w14:paraId="53284E90">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textAlignment w:val="auto"/>
        <w:rPr>
          <w:rFonts w:hint="eastAsia" w:ascii="宋体" w:hAnsi="宋体" w:eastAsia="宋体" w:cs="宋体"/>
          <w:color w:val="auto"/>
          <w:highlight w:val="none"/>
        </w:rPr>
      </w:pPr>
      <w:bookmarkStart w:id="139" w:name="_Toc4906"/>
      <w:bookmarkStart w:id="140" w:name="_Toc19588"/>
      <w:r>
        <w:rPr>
          <w:rFonts w:hint="eastAsia" w:ascii="宋体" w:hAnsi="宋体" w:eastAsia="宋体" w:cs="宋体"/>
          <w:color w:val="auto"/>
          <w:highlight w:val="none"/>
        </w:rPr>
        <w:t>四、响应文件的递交</w:t>
      </w:r>
      <w:bookmarkEnd w:id="139"/>
      <w:bookmarkEnd w:id="140"/>
    </w:p>
    <w:p w14:paraId="6282A37C">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22.响应文件的密封和标记</w:t>
      </w:r>
    </w:p>
    <w:p w14:paraId="42C998BA">
      <w:pPr>
        <w:pStyle w:val="2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22.1 电子响应文件的密封和标记：电子响应文件通过数字证书进行加密并签章。未按要求加密和数字证书认证的响应文件，电子开标软件将无法接受, 采购代理机构不予受理。</w:t>
      </w:r>
    </w:p>
    <w:p w14:paraId="69D17819">
      <w:pPr>
        <w:pStyle w:val="2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22.2 电子响应文件的提交：供应商应在磋商文件规定的提交响应文件截止时间前将电子响应文件上传到指定网站的指定栏目。逾期不予受理。如遇系统提示“上传未成功”，供应商应及时重新修改文件或与系统运维公司联系， 查明原因，确保上传无误，因自身原因导致不能上传的，由供应商自行承担责任。</w:t>
      </w:r>
    </w:p>
    <w:p w14:paraId="39C43B17">
      <w:pPr>
        <w:pStyle w:val="2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22.3 电子响应文件的修改和撤回：供应商在磋商文件规定的提交响应文件截止时间前，可以撤回已上传的响应文件，也可以撤回并修改后再重新上传。</w:t>
      </w:r>
    </w:p>
    <w:p w14:paraId="1F9149E9">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23.响应文件的</w:t>
      </w:r>
      <w:r>
        <w:rPr>
          <w:rFonts w:hint="eastAsia" w:ascii="宋体" w:hAnsi="宋体" w:eastAsia="宋体" w:cs="宋体"/>
          <w:b/>
          <w:bCs/>
          <w:color w:val="auto"/>
          <w:kern w:val="0"/>
          <w:sz w:val="24"/>
          <w:szCs w:val="24"/>
          <w:highlight w:val="none"/>
          <w:lang w:val="zh-CN"/>
        </w:rPr>
        <w:t>补充、修改或者撤回</w:t>
      </w:r>
    </w:p>
    <w:p w14:paraId="6A75A7C0">
      <w:pPr>
        <w:keepNext w:val="0"/>
        <w:keepLines w:val="0"/>
        <w:pageBreakBefore w:val="0"/>
        <w:widowControl w:val="0"/>
        <w:kinsoku/>
        <w:wordWrap/>
        <w:overflowPunct/>
        <w:topLinePunct w:val="0"/>
        <w:autoSpaceDE/>
        <w:bidi w:val="0"/>
        <w:adjustRightInd w:val="0"/>
        <w:snapToGrid w:val="0"/>
        <w:spacing w:line="360" w:lineRule="auto"/>
        <w:ind w:left="0" w:right="0" w:rightChars="0" w:firstLine="720" w:firstLineChars="3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.1供应商在征集文件规定的提交响应文件截止时间前，可以撤回已上传的响应文件，也可以撤回并修改后再重新上传。在提交响应文件截止时间之后，供应商撤回其响应文件的，其响应征集保证金将不予退还。</w:t>
      </w:r>
    </w:p>
    <w:p w14:paraId="53622A99">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24.响应文件的递交与接收</w:t>
      </w:r>
    </w:p>
    <w:p w14:paraId="094E7A4C">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24.1 供应商应在</w:t>
      </w:r>
      <w:r>
        <w:rPr>
          <w:rFonts w:hint="eastAsia" w:ascii="宋体" w:hAnsi="宋体" w:eastAsia="宋体" w:cs="宋体"/>
          <w:color w:val="auto"/>
          <w:kern w:val="0"/>
          <w:sz w:val="24"/>
          <w:szCs w:val="24"/>
          <w:highlight w:val="none"/>
        </w:rPr>
        <w:t>提交首次响应文件截止时间</w:t>
      </w:r>
      <w:r>
        <w:rPr>
          <w:rFonts w:hint="eastAsia" w:ascii="宋体" w:hAnsi="宋体" w:eastAsia="宋体" w:cs="宋体"/>
          <w:color w:val="auto"/>
          <w:sz w:val="24"/>
          <w:szCs w:val="24"/>
          <w:highlight w:val="none"/>
        </w:rPr>
        <w:t>前，将响应文件</w:t>
      </w:r>
      <w:r>
        <w:rPr>
          <w:rFonts w:hint="eastAsia" w:ascii="宋体" w:hAnsi="宋体" w:eastAsia="宋体" w:cs="宋体"/>
          <w:color w:val="auto"/>
          <w:sz w:val="24"/>
          <w:szCs w:val="24"/>
          <w:highlight w:val="none"/>
          <w:lang w:val="en-US" w:eastAsia="zh-CN"/>
        </w:rPr>
        <w:t>上传到指定网站的指定栏目。</w:t>
      </w:r>
    </w:p>
    <w:p w14:paraId="03162015">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textAlignment w:val="auto"/>
        <w:rPr>
          <w:rFonts w:hint="eastAsia" w:ascii="宋体" w:hAnsi="宋体" w:eastAsia="宋体" w:cs="宋体"/>
          <w:color w:val="auto"/>
          <w:highlight w:val="none"/>
        </w:rPr>
      </w:pPr>
      <w:bookmarkStart w:id="141" w:name="_Toc28643"/>
      <w:bookmarkStart w:id="142" w:name="_Toc27653"/>
      <w:r>
        <w:rPr>
          <w:rFonts w:hint="eastAsia" w:ascii="宋体" w:hAnsi="宋体" w:eastAsia="宋体" w:cs="宋体"/>
          <w:color w:val="auto"/>
          <w:highlight w:val="none"/>
        </w:rPr>
        <w:t>五、响应文件的磋商与评审</w:t>
      </w:r>
      <w:bookmarkEnd w:id="141"/>
      <w:bookmarkEnd w:id="142"/>
    </w:p>
    <w:p w14:paraId="392B27C0">
      <w:pPr>
        <w:keepNext w:val="0"/>
        <w:keepLines w:val="0"/>
        <w:pageBreakBefore w:val="0"/>
        <w:widowControl w:val="0"/>
        <w:tabs>
          <w:tab w:val="left" w:pos="0"/>
        </w:tabs>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25.磋商程序</w:t>
      </w:r>
    </w:p>
    <w:p w14:paraId="24D3CB87">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25.1磋商程序：响应文件审查、磋商（包括澄清）、响应文件评审、</w:t>
      </w:r>
      <w:r>
        <w:rPr>
          <w:rFonts w:hint="eastAsia" w:ascii="宋体" w:hAnsi="宋体" w:eastAsia="宋体" w:cs="宋体"/>
          <w:color w:val="auto"/>
          <w:sz w:val="24"/>
          <w:szCs w:val="24"/>
          <w:highlight w:val="none"/>
        </w:rPr>
        <w:t>提出成交供应商。其中，</w:t>
      </w:r>
      <w:r>
        <w:rPr>
          <w:rFonts w:hint="eastAsia" w:ascii="宋体" w:hAnsi="宋体" w:eastAsia="宋体" w:cs="宋体"/>
          <w:color w:val="auto"/>
          <w:kern w:val="0"/>
          <w:sz w:val="24"/>
          <w:szCs w:val="24"/>
          <w:highlight w:val="none"/>
        </w:rPr>
        <w:t>磋商按</w:t>
      </w:r>
      <w:r>
        <w:rPr>
          <w:rFonts w:hint="eastAsia" w:ascii="宋体" w:hAnsi="宋体" w:eastAsia="宋体" w:cs="宋体"/>
          <w:color w:val="auto"/>
          <w:sz w:val="24"/>
          <w:szCs w:val="24"/>
          <w:highlight w:val="none"/>
        </w:rPr>
        <w:t>本章第30.1</w:t>
      </w:r>
      <w:r>
        <w:rPr>
          <w:rFonts w:hint="eastAsia" w:ascii="宋体" w:hAnsi="宋体" w:eastAsia="宋体" w:cs="宋体"/>
          <w:color w:val="auto"/>
          <w:kern w:val="0"/>
          <w:sz w:val="24"/>
          <w:szCs w:val="24"/>
          <w:highlight w:val="none"/>
          <w:lang w:val="zh-CN"/>
        </w:rPr>
        <w:t>款或者</w:t>
      </w:r>
      <w:r>
        <w:rPr>
          <w:rFonts w:hint="eastAsia" w:ascii="宋体" w:hAnsi="宋体" w:eastAsia="宋体" w:cs="宋体"/>
          <w:color w:val="auto"/>
          <w:sz w:val="24"/>
          <w:szCs w:val="24"/>
          <w:highlight w:val="none"/>
        </w:rPr>
        <w:t>第30.2</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情形进行。</w:t>
      </w:r>
    </w:p>
    <w:p w14:paraId="63579796">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26.</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kern w:val="0"/>
          <w:sz w:val="24"/>
          <w:szCs w:val="24"/>
          <w:highlight w:val="none"/>
        </w:rPr>
        <w:t>响应文件审查</w:t>
      </w:r>
    </w:p>
    <w:p w14:paraId="6885E44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26.1 资格性审查：根据本章第3.1项规定的供应商资格条件要求，对响应文件的资格证明等进行审查，以确定供应商是否具备磋商资格条件。</w:t>
      </w:r>
    </w:p>
    <w:p w14:paraId="3FCFD9D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26.2符合性审查:对响应文件(包括首次提交的响应文件、重新提交的响应文件)的有效性、完整性和响应程度进行审查，以确定是否对磋商文件的实质性要求作出响应。</w:t>
      </w:r>
    </w:p>
    <w:p w14:paraId="0F42292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26.3响应文件审查结束后，磋商小组所有成员集中与单一供应商分别进行磋商，并给予所有参加磋商的供应商平等的磋商机会。供应商应派其法定代表人或委托代理人参加磋商。</w:t>
      </w:r>
    </w:p>
    <w:p w14:paraId="14E88A5B">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27.实质性响应</w:t>
      </w:r>
    </w:p>
    <w:p w14:paraId="45966D50">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27.1</w:t>
      </w:r>
      <w:r>
        <w:rPr>
          <w:rFonts w:hint="eastAsia" w:ascii="宋体" w:hAnsi="宋体" w:eastAsia="宋体" w:cs="宋体"/>
          <w:color w:val="auto"/>
          <w:sz w:val="24"/>
          <w:szCs w:val="24"/>
          <w:highlight w:val="none"/>
        </w:rPr>
        <w:t>实质性响应是指响应文件(包括首次响应文件、重新提交的响应文件)与磋商文件</w:t>
      </w:r>
      <w:r>
        <w:rPr>
          <w:rFonts w:hint="eastAsia" w:ascii="宋体" w:hAnsi="宋体" w:eastAsia="宋体" w:cs="宋体"/>
          <w:color w:val="auto"/>
          <w:sz w:val="24"/>
          <w:szCs w:val="24"/>
          <w:highlight w:val="none"/>
          <w:lang w:eastAsia="zh-CN"/>
        </w:rPr>
        <w:t>第四章采购需求所有的</w:t>
      </w:r>
      <w:r>
        <w:rPr>
          <w:rFonts w:hint="eastAsia" w:ascii="宋体" w:hAnsi="宋体" w:eastAsia="宋体" w:cs="宋体"/>
          <w:color w:val="auto"/>
          <w:sz w:val="24"/>
          <w:szCs w:val="24"/>
          <w:highlight w:val="none"/>
        </w:rPr>
        <w:t>条款、条件和规格相符，没有偏离。偏离指不满足、或不响应磋商文件的要求。</w:t>
      </w:r>
    </w:p>
    <w:p w14:paraId="3A7AFF58">
      <w:pPr>
        <w:keepNext w:val="0"/>
        <w:keepLines w:val="0"/>
        <w:pageBreakBefore w:val="0"/>
        <w:widowControl w:val="0"/>
        <w:tabs>
          <w:tab w:val="left" w:pos="0"/>
          <w:tab w:val="left" w:pos="7560"/>
          <w:tab w:val="left" w:pos="7740"/>
          <w:tab w:val="left" w:pos="7920"/>
        </w:tabs>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27.2响应文件是否实质性响应磋商文件要求由磋商小组依据磋商文件规定认定。</w:t>
      </w: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sz w:val="24"/>
          <w:szCs w:val="24"/>
          <w:highlight w:val="none"/>
        </w:rPr>
        <w:t>决定响应文件的响应性只根据响应文件本身的真实无误的内容，而不依据外部的证据。</w:t>
      </w:r>
    </w:p>
    <w:p w14:paraId="28023C25">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28.无效响应</w:t>
      </w:r>
    </w:p>
    <w:p w14:paraId="78F96308">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70" w:firstLineChars="196"/>
        <w:textAlignment w:val="auto"/>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28.1</w:t>
      </w:r>
      <w:r>
        <w:rPr>
          <w:rFonts w:hint="eastAsia" w:ascii="宋体" w:hAnsi="宋体" w:eastAsia="宋体" w:cs="宋体"/>
          <w:color w:val="auto"/>
          <w:sz w:val="24"/>
          <w:szCs w:val="24"/>
          <w:highlight w:val="none"/>
        </w:rPr>
        <w:t>磋商小组在对资格性和符合性进行审查时，有下列情况之一的，属无效响应，</w:t>
      </w:r>
      <w:r>
        <w:rPr>
          <w:rFonts w:hint="eastAsia" w:ascii="宋体" w:hAnsi="宋体" w:eastAsia="宋体" w:cs="宋体"/>
          <w:color w:val="auto"/>
          <w:kern w:val="0"/>
          <w:sz w:val="24"/>
          <w:szCs w:val="24"/>
          <w:highlight w:val="none"/>
        </w:rPr>
        <w:t>磋商小组应当告知有关供应商</w:t>
      </w:r>
      <w:r>
        <w:rPr>
          <w:rFonts w:hint="eastAsia" w:ascii="宋体" w:hAnsi="宋体" w:eastAsia="宋体" w:cs="宋体"/>
          <w:color w:val="auto"/>
          <w:sz w:val="24"/>
          <w:szCs w:val="24"/>
          <w:highlight w:val="none"/>
        </w:rPr>
        <w:t>：</w:t>
      </w:r>
    </w:p>
    <w:p w14:paraId="077531F3">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（1）供应商不具备本章第3.1款规定的供应商资格条件要求，或存在本章第3.3款情形的；</w:t>
      </w:r>
    </w:p>
    <w:p w14:paraId="1F69D209">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（2）联合体不符合本章第3.2款规定的；</w:t>
      </w:r>
    </w:p>
    <w:p w14:paraId="29AC2B6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（3）应交未交磋商保证金或金额不足、磋商保证金缴纳形式不符合磋商文件要求的；</w:t>
      </w:r>
    </w:p>
    <w:p w14:paraId="6073797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（4）响应文件未按照磋商文件要求签署、盖章的；</w:t>
      </w:r>
    </w:p>
    <w:p w14:paraId="775B505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（4）响应文件不满足本章第27.1款规定的实质性要求的；</w:t>
      </w:r>
    </w:p>
    <w:p w14:paraId="68D59C8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（5）报价超过采购项目预算的；</w:t>
      </w:r>
    </w:p>
    <w:p w14:paraId="7D134CB1">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（6）响应文件有效期不足的；</w:t>
      </w:r>
    </w:p>
    <w:p w14:paraId="5603F8B1">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（7）响应文件不符合法律、规章、规范性文件和磋商文件规定及要求的。</w:t>
      </w:r>
    </w:p>
    <w:p w14:paraId="6812AD9A">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29.澄清</w:t>
      </w:r>
    </w:p>
    <w:p w14:paraId="2AA3ED5D">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29.1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0606265">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29.2“评审因素和标准”的内容与响应文件其他组成部分中的内容含义不明确、同类问题表述不一致不得要求澄清，以响应文件“采购需求响应”为准。</w:t>
      </w:r>
    </w:p>
    <w:p w14:paraId="3BA1E153">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29.</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4356295F">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30.磋商</w:t>
      </w:r>
    </w:p>
    <w:p w14:paraId="51F34314">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rPr>
        <w:t>30.1</w:t>
      </w:r>
      <w:r>
        <w:rPr>
          <w:rFonts w:hint="eastAsia" w:ascii="宋体" w:hAnsi="宋体" w:eastAsia="宋体" w:cs="宋体"/>
          <w:color w:val="auto"/>
          <w:sz w:val="24"/>
          <w:szCs w:val="24"/>
          <w:highlight w:val="none"/>
        </w:rPr>
        <w:t>本章第10.2项</w:t>
      </w:r>
      <w:r>
        <w:rPr>
          <w:rFonts w:hint="eastAsia" w:ascii="宋体" w:hAnsi="宋体" w:eastAsia="宋体" w:cs="宋体"/>
          <w:color w:val="auto"/>
          <w:kern w:val="0"/>
          <w:sz w:val="24"/>
          <w:szCs w:val="24"/>
          <w:highlight w:val="none"/>
        </w:rPr>
        <w:t>未明确磋商文件实质性变动内容的，或者磋商文件明确了可能发生实质性变动内容，但在磋商过程中，</w:t>
      </w:r>
      <w:r>
        <w:rPr>
          <w:rFonts w:hint="eastAsia" w:ascii="宋体" w:hAnsi="宋体" w:eastAsia="宋体" w:cs="宋体"/>
          <w:color w:val="auto"/>
          <w:sz w:val="24"/>
          <w:szCs w:val="24"/>
          <w:highlight w:val="none"/>
        </w:rPr>
        <w:t>磋商小组</w:t>
      </w:r>
      <w:r>
        <w:rPr>
          <w:rFonts w:hint="eastAsia" w:ascii="宋体" w:hAnsi="宋体" w:eastAsia="宋体" w:cs="宋体"/>
          <w:color w:val="auto"/>
          <w:kern w:val="0"/>
          <w:sz w:val="24"/>
          <w:szCs w:val="24"/>
          <w:highlight w:val="none"/>
        </w:rPr>
        <w:t>根据磋商情况</w:t>
      </w:r>
      <w:r>
        <w:rPr>
          <w:rFonts w:hint="eastAsia" w:ascii="宋体" w:hAnsi="宋体" w:eastAsia="宋体" w:cs="宋体"/>
          <w:color w:val="auto"/>
          <w:sz w:val="24"/>
          <w:szCs w:val="24"/>
          <w:highlight w:val="none"/>
        </w:rPr>
        <w:t>认为</w:t>
      </w:r>
      <w:r>
        <w:rPr>
          <w:rFonts w:hint="eastAsia" w:ascii="宋体" w:hAnsi="宋体" w:eastAsia="宋体" w:cs="宋体"/>
          <w:color w:val="auto"/>
          <w:kern w:val="0"/>
          <w:sz w:val="24"/>
          <w:szCs w:val="24"/>
          <w:highlight w:val="none"/>
        </w:rPr>
        <w:t>磋商文件无需发生实质性变动的，磋商小组应当直接与响应文件审查合格的供应商就价格组织多轮磋商。</w:t>
      </w:r>
    </w:p>
    <w:p w14:paraId="185079EA">
      <w:pPr>
        <w:keepNext w:val="0"/>
        <w:keepLines w:val="0"/>
        <w:pageBreakBefore w:val="0"/>
        <w:widowControl w:val="0"/>
        <w:tabs>
          <w:tab w:val="left" w:pos="1080"/>
          <w:tab w:val="left" w:pos="1260"/>
        </w:tabs>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（1）磋商结束后，磋商小组应当要求所有继续参加磋商的供应商在磋商小组规定时间内提交最后报价。</w:t>
      </w:r>
    </w:p>
    <w:p w14:paraId="71E96141">
      <w:pPr>
        <w:keepNext w:val="0"/>
        <w:keepLines w:val="0"/>
        <w:pageBreakBefore w:val="0"/>
        <w:widowControl w:val="0"/>
        <w:tabs>
          <w:tab w:val="left" w:pos="1080"/>
          <w:tab w:val="left" w:pos="1260"/>
        </w:tabs>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（2）磋商文件明确可能发生实质性变动，但在磋商过程中</w:t>
      </w:r>
      <w:r>
        <w:rPr>
          <w:rFonts w:hint="eastAsia" w:ascii="宋体" w:hAnsi="宋体" w:eastAsia="宋体" w:cs="宋体"/>
          <w:color w:val="auto"/>
          <w:sz w:val="24"/>
          <w:szCs w:val="24"/>
          <w:highlight w:val="none"/>
        </w:rPr>
        <w:t>磋商小组</w:t>
      </w:r>
      <w:r>
        <w:rPr>
          <w:rFonts w:hint="eastAsia" w:ascii="宋体" w:hAnsi="宋体" w:eastAsia="宋体" w:cs="宋体"/>
          <w:color w:val="auto"/>
          <w:kern w:val="0"/>
          <w:sz w:val="24"/>
          <w:szCs w:val="24"/>
          <w:highlight w:val="none"/>
        </w:rPr>
        <w:t>根据磋商情况</w:t>
      </w:r>
      <w:r>
        <w:rPr>
          <w:rFonts w:hint="eastAsia" w:ascii="宋体" w:hAnsi="宋体" w:eastAsia="宋体" w:cs="宋体"/>
          <w:color w:val="auto"/>
          <w:sz w:val="24"/>
          <w:szCs w:val="24"/>
          <w:highlight w:val="none"/>
        </w:rPr>
        <w:t>认为</w:t>
      </w:r>
      <w:r>
        <w:rPr>
          <w:rFonts w:hint="eastAsia" w:ascii="宋体" w:hAnsi="宋体" w:eastAsia="宋体" w:cs="宋体"/>
          <w:color w:val="auto"/>
          <w:kern w:val="0"/>
          <w:sz w:val="24"/>
          <w:szCs w:val="24"/>
          <w:highlight w:val="none"/>
        </w:rPr>
        <w:t>磋商文件无需发生实质性变动的，磋商小组不另行通知。</w:t>
      </w:r>
    </w:p>
    <w:p w14:paraId="3E9DDDBD">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w:t>
      </w:r>
      <w:r>
        <w:rPr>
          <w:rFonts w:hint="eastAsia" w:ascii="宋体" w:hAnsi="宋体" w:eastAsia="宋体" w:cs="宋体"/>
          <w:color w:val="auto"/>
          <w:sz w:val="24"/>
          <w:szCs w:val="24"/>
          <w:highlight w:val="none"/>
        </w:rPr>
        <w:t>本章第10.2</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kern w:val="0"/>
          <w:sz w:val="24"/>
          <w:szCs w:val="24"/>
          <w:highlight w:val="none"/>
        </w:rPr>
        <w:t>明确磋商文件实质性变动内容的，</w:t>
      </w:r>
      <w:r>
        <w:rPr>
          <w:rFonts w:hint="eastAsia" w:ascii="宋体" w:hAnsi="宋体" w:eastAsia="宋体" w:cs="宋体"/>
          <w:color w:val="auto"/>
          <w:sz w:val="24"/>
          <w:szCs w:val="24"/>
          <w:highlight w:val="none"/>
        </w:rPr>
        <w:t>磋商小组</w:t>
      </w:r>
      <w:r>
        <w:rPr>
          <w:rFonts w:hint="eastAsia" w:ascii="宋体" w:hAnsi="宋体" w:eastAsia="宋体" w:cs="宋体"/>
          <w:color w:val="auto"/>
          <w:kern w:val="0"/>
          <w:sz w:val="24"/>
          <w:szCs w:val="24"/>
          <w:highlight w:val="none"/>
        </w:rPr>
        <w:t>可以组织多轮磋商。</w:t>
      </w:r>
      <w:r>
        <w:rPr>
          <w:rFonts w:hint="eastAsia" w:ascii="宋体" w:hAnsi="宋体" w:eastAsia="宋体" w:cs="宋体"/>
          <w:color w:val="auto"/>
          <w:sz w:val="24"/>
          <w:szCs w:val="24"/>
          <w:highlight w:val="none"/>
        </w:rPr>
        <w:t>在每一轮磋商中，磋商小组</w:t>
      </w:r>
      <w:r>
        <w:rPr>
          <w:rFonts w:hint="eastAsia" w:ascii="宋体" w:hAnsi="宋体" w:eastAsia="宋体" w:cs="宋体"/>
          <w:color w:val="auto"/>
          <w:kern w:val="0"/>
          <w:sz w:val="24"/>
          <w:szCs w:val="24"/>
          <w:highlight w:val="none"/>
        </w:rPr>
        <w:t>可以根据磋商文件规定和磋商情况，</w:t>
      </w:r>
      <w:r>
        <w:rPr>
          <w:rFonts w:hint="eastAsia" w:ascii="宋体" w:hAnsi="宋体" w:eastAsia="宋体" w:cs="宋体"/>
          <w:color w:val="auto"/>
          <w:sz w:val="24"/>
          <w:szCs w:val="24"/>
          <w:highlight w:val="none"/>
        </w:rPr>
        <w:t>对磋商文件的</w:t>
      </w:r>
      <w:r>
        <w:rPr>
          <w:rFonts w:hint="eastAsia" w:ascii="宋体" w:hAnsi="宋体" w:eastAsia="宋体" w:cs="宋体"/>
          <w:color w:val="auto"/>
          <w:kern w:val="0"/>
          <w:sz w:val="24"/>
          <w:szCs w:val="24"/>
          <w:highlight w:val="none"/>
        </w:rPr>
        <w:t>采购需求中的技术、服务要求以及合同草案条款</w:t>
      </w:r>
      <w:r>
        <w:rPr>
          <w:rFonts w:hint="eastAsia" w:ascii="宋体" w:hAnsi="宋体" w:eastAsia="宋体" w:cs="宋体"/>
          <w:color w:val="auto"/>
          <w:sz w:val="24"/>
          <w:szCs w:val="24"/>
          <w:highlight w:val="none"/>
        </w:rPr>
        <w:t>作实质性变动(磋商文件的实质性变动内容为磋商文件的组成部分)，并以书面形式要求</w:t>
      </w:r>
      <w:r>
        <w:rPr>
          <w:rFonts w:hint="eastAsia" w:ascii="宋体" w:hAnsi="宋体" w:eastAsia="宋体" w:cs="宋体"/>
          <w:color w:val="auto"/>
          <w:kern w:val="0"/>
          <w:sz w:val="24"/>
          <w:szCs w:val="24"/>
          <w:highlight w:val="none"/>
        </w:rPr>
        <w:t>响应文件审查合格</w:t>
      </w:r>
      <w:r>
        <w:rPr>
          <w:rFonts w:hint="eastAsia" w:ascii="宋体" w:hAnsi="宋体" w:eastAsia="宋体" w:cs="宋体"/>
          <w:color w:val="auto"/>
          <w:sz w:val="24"/>
          <w:szCs w:val="24"/>
          <w:highlight w:val="none"/>
        </w:rPr>
        <w:t>的供应商，在规定的</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sz w:val="24"/>
          <w:szCs w:val="24"/>
          <w:highlight w:val="none"/>
        </w:rPr>
        <w:t>重</w:t>
      </w:r>
      <w:r>
        <w:rPr>
          <w:rFonts w:hint="eastAsia" w:ascii="宋体" w:hAnsi="宋体" w:eastAsia="宋体" w:cs="宋体"/>
          <w:color w:val="auto"/>
          <w:kern w:val="0"/>
          <w:sz w:val="24"/>
          <w:szCs w:val="24"/>
          <w:highlight w:val="none"/>
        </w:rPr>
        <w:t>新提交响应文件</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磋商小组应当</w:t>
      </w:r>
      <w:r>
        <w:rPr>
          <w:rFonts w:hint="eastAsia" w:ascii="宋体" w:hAnsi="宋体" w:eastAsia="宋体" w:cs="宋体"/>
          <w:color w:val="auto"/>
          <w:sz w:val="24"/>
          <w:szCs w:val="24"/>
          <w:highlight w:val="none"/>
        </w:rPr>
        <w:t>根据本章第26.2</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对供应商重新提交的响应文件进行审查。供应商重新提交的响应文件审查不合格的，不得进入下一轮磋商，也不得要求提交最后报价。</w:t>
      </w:r>
    </w:p>
    <w:p w14:paraId="0D24BED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（1）磋商文件能够详细列明采购需求的技术、服务要求的，磋商结束后，磋商小组应当要求所有继续参加磋商的供应商在规定时间内提交最后报价。</w:t>
      </w:r>
    </w:p>
    <w:p w14:paraId="577C4A1C">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72A7E54">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30.3重</w:t>
      </w:r>
      <w:r>
        <w:rPr>
          <w:rFonts w:hint="eastAsia" w:ascii="宋体" w:hAnsi="宋体" w:eastAsia="宋体" w:cs="宋体"/>
          <w:color w:val="auto"/>
          <w:kern w:val="0"/>
          <w:sz w:val="24"/>
          <w:szCs w:val="24"/>
          <w:highlight w:val="none"/>
        </w:rPr>
        <w:t>新提交的响应文件</w:t>
      </w:r>
      <w:r>
        <w:rPr>
          <w:rFonts w:hint="eastAsia" w:ascii="宋体" w:hAnsi="宋体" w:eastAsia="宋体" w:cs="宋体"/>
          <w:color w:val="auto"/>
          <w:sz w:val="24"/>
          <w:szCs w:val="24"/>
          <w:highlight w:val="none"/>
        </w:rPr>
        <w:t>或者最后报价应按</w:t>
      </w:r>
      <w:r>
        <w:rPr>
          <w:rFonts w:hint="eastAsia" w:ascii="宋体" w:hAnsi="宋体" w:eastAsia="宋体" w:cs="宋体"/>
          <w:color w:val="auto"/>
          <w:kern w:val="0"/>
          <w:sz w:val="24"/>
          <w:szCs w:val="24"/>
          <w:highlight w:val="none"/>
        </w:rPr>
        <w:t>本章第</w:t>
      </w:r>
      <w:r>
        <w:rPr>
          <w:rFonts w:hint="eastAsia" w:ascii="宋体" w:hAnsi="宋体" w:eastAsia="宋体" w:cs="宋体"/>
          <w:color w:val="auto"/>
          <w:sz w:val="24"/>
          <w:szCs w:val="24"/>
          <w:highlight w:val="none"/>
        </w:rPr>
        <w:t>21.3</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由其法定代表人或其委托代理人签字或者加盖供应商单位章，在规定时间内密封递交给磋商小组</w:t>
      </w:r>
      <w:r>
        <w:rPr>
          <w:rFonts w:hint="eastAsia" w:ascii="宋体" w:hAnsi="宋体" w:eastAsia="宋体" w:cs="宋体"/>
          <w:color w:val="auto"/>
          <w:sz w:val="24"/>
          <w:szCs w:val="24"/>
          <w:highlight w:val="none"/>
        </w:rPr>
        <w:t>。</w:t>
      </w:r>
    </w:p>
    <w:p w14:paraId="07CF7DFB">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30.4</w:t>
      </w:r>
      <w:r>
        <w:rPr>
          <w:rFonts w:hint="eastAsia" w:ascii="宋体" w:hAnsi="宋体" w:eastAsia="宋体" w:cs="宋体"/>
          <w:color w:val="auto"/>
          <w:kern w:val="0"/>
          <w:sz w:val="24"/>
          <w:szCs w:val="24"/>
          <w:highlight w:val="none"/>
          <w:lang w:val="zh-CN"/>
        </w:rPr>
        <w:t>供应商的</w:t>
      </w:r>
      <w:r>
        <w:rPr>
          <w:rFonts w:hint="eastAsia" w:ascii="宋体" w:hAnsi="宋体" w:eastAsia="宋体" w:cs="宋体"/>
          <w:color w:val="auto"/>
          <w:sz w:val="24"/>
          <w:szCs w:val="24"/>
          <w:highlight w:val="none"/>
        </w:rPr>
        <w:t>最</w:t>
      </w:r>
      <w:r>
        <w:rPr>
          <w:rFonts w:hint="eastAsia" w:ascii="宋体" w:hAnsi="宋体" w:eastAsia="宋体" w:cs="宋体"/>
          <w:color w:val="auto"/>
          <w:kern w:val="0"/>
          <w:sz w:val="24"/>
          <w:szCs w:val="24"/>
          <w:highlight w:val="none"/>
          <w:lang w:val="zh-CN"/>
        </w:rPr>
        <w:t>后</w:t>
      </w:r>
      <w:r>
        <w:rPr>
          <w:rFonts w:hint="eastAsia" w:ascii="宋体" w:hAnsi="宋体" w:eastAsia="宋体" w:cs="宋体"/>
          <w:color w:val="auto"/>
          <w:sz w:val="24"/>
          <w:szCs w:val="24"/>
          <w:highlight w:val="none"/>
        </w:rPr>
        <w:t>报价及</w:t>
      </w:r>
      <w:r>
        <w:rPr>
          <w:rFonts w:hint="eastAsia" w:ascii="宋体" w:hAnsi="宋体" w:eastAsia="宋体" w:cs="宋体"/>
          <w:color w:val="auto"/>
          <w:kern w:val="0"/>
          <w:sz w:val="24"/>
          <w:szCs w:val="24"/>
          <w:highlight w:val="none"/>
        </w:rPr>
        <w:t>政府采购政策规定的价格扣除情况，磋商小组应召集所有参加最后报价的供应商当场开封</w:t>
      </w:r>
      <w:r>
        <w:rPr>
          <w:rFonts w:hint="eastAsia" w:ascii="宋体" w:hAnsi="宋体" w:eastAsia="宋体" w:cs="宋体"/>
          <w:color w:val="auto"/>
          <w:sz w:val="24"/>
          <w:szCs w:val="24"/>
          <w:highlight w:val="none"/>
        </w:rPr>
        <w:t>公布，并由供应商代表签字确认。</w:t>
      </w:r>
    </w:p>
    <w:p w14:paraId="60A2EB15">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30.5提交首次响应文件的供应商，在提交最后报价之前，可以根据磋商情况退出磋商，并书面通知采购代理机构或者磋商小组。</w:t>
      </w:r>
      <w:r>
        <w:rPr>
          <w:rFonts w:hint="eastAsia" w:ascii="宋体" w:hAnsi="宋体" w:eastAsia="宋体" w:cs="宋体"/>
          <w:color w:val="auto"/>
          <w:sz w:val="24"/>
          <w:szCs w:val="24"/>
          <w:highlight w:val="none"/>
        </w:rPr>
        <w:t>该通知由供应商法定代表人或其委托代理人签字。</w:t>
      </w:r>
      <w:r>
        <w:rPr>
          <w:rFonts w:hint="eastAsia" w:ascii="宋体" w:hAnsi="宋体" w:eastAsia="宋体" w:cs="宋体"/>
          <w:color w:val="auto"/>
          <w:kern w:val="0"/>
          <w:sz w:val="24"/>
          <w:szCs w:val="24"/>
          <w:highlight w:val="none"/>
        </w:rPr>
        <w:t>采购代理机构按本章第</w:t>
      </w:r>
      <w:r>
        <w:rPr>
          <w:rFonts w:hint="eastAsia" w:ascii="宋体" w:hAnsi="宋体" w:eastAsia="宋体" w:cs="宋体"/>
          <w:color w:val="auto"/>
          <w:sz w:val="24"/>
          <w:szCs w:val="24"/>
          <w:highlight w:val="none"/>
        </w:rPr>
        <w:t>19.4</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退还退出磋商的供应商的磋商保证金。</w:t>
      </w:r>
    </w:p>
    <w:p w14:paraId="0AC9BE28">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30.6</w:t>
      </w:r>
      <w:r>
        <w:rPr>
          <w:rFonts w:hint="eastAsia" w:ascii="宋体" w:hAnsi="宋体" w:eastAsia="宋体" w:cs="宋体"/>
          <w:color w:val="auto"/>
          <w:kern w:val="0"/>
          <w:sz w:val="24"/>
          <w:szCs w:val="24"/>
          <w:highlight w:val="none"/>
        </w:rPr>
        <w:t>提交首次响应文件的供应商，未按磋商文件规定及磋商小组要求提交最后报价(或者</w:t>
      </w:r>
      <w:r>
        <w:rPr>
          <w:rFonts w:hint="eastAsia" w:ascii="宋体" w:hAnsi="宋体" w:eastAsia="宋体" w:cs="宋体"/>
          <w:color w:val="auto"/>
          <w:sz w:val="24"/>
          <w:szCs w:val="24"/>
          <w:highlight w:val="none"/>
        </w:rPr>
        <w:t>重</w:t>
      </w:r>
      <w:r>
        <w:rPr>
          <w:rFonts w:hint="eastAsia" w:ascii="宋体" w:hAnsi="宋体" w:eastAsia="宋体" w:cs="宋体"/>
          <w:color w:val="auto"/>
          <w:kern w:val="0"/>
          <w:sz w:val="24"/>
          <w:szCs w:val="24"/>
          <w:highlight w:val="none"/>
        </w:rPr>
        <w:t>新提交的响应文件和最后报价)，且又未按本章第</w:t>
      </w:r>
      <w:r>
        <w:rPr>
          <w:rFonts w:hint="eastAsia" w:ascii="宋体" w:hAnsi="宋体" w:eastAsia="宋体" w:cs="宋体"/>
          <w:color w:val="auto"/>
          <w:sz w:val="24"/>
          <w:szCs w:val="24"/>
          <w:highlight w:val="none"/>
        </w:rPr>
        <w:t>30.5</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z w:val="24"/>
          <w:szCs w:val="24"/>
          <w:highlight w:val="none"/>
        </w:rPr>
        <w:t>规定</w:t>
      </w:r>
      <w:r>
        <w:rPr>
          <w:rFonts w:hint="eastAsia" w:ascii="宋体" w:hAnsi="宋体" w:eastAsia="宋体" w:cs="宋体"/>
          <w:color w:val="auto"/>
          <w:kern w:val="0"/>
          <w:sz w:val="24"/>
          <w:szCs w:val="24"/>
          <w:highlight w:val="none"/>
        </w:rPr>
        <w:t>退出磋商的，供应商的磋商保证金不予退还。</w:t>
      </w:r>
    </w:p>
    <w:p w14:paraId="784AE831">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31.响应文件评审</w:t>
      </w:r>
    </w:p>
    <w:p w14:paraId="338F49BA">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31.1经磋商确定最终采购需求和提交最后报价的供应商后，由磋商小组采用综合评分法对提交最后报价的供应商的响应文件和最后报价进行综合评价。</w:t>
      </w:r>
    </w:p>
    <w:p w14:paraId="5805028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w:t>
      </w:r>
    </w:p>
    <w:p w14:paraId="47E16D66">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sz w:val="24"/>
          <w:szCs w:val="24"/>
          <w:highlight w:val="none"/>
        </w:rPr>
        <w:t>评审时，磋商小组各成员应当独立对每个供应商的响应文件进行评价、评分，并按照政府采购优惠政策对最后报价进行价格扣除和价格、技术加分后，汇总各供应商的总得分。</w:t>
      </w:r>
    </w:p>
    <w:p w14:paraId="25FBFDC6">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z w:val="24"/>
          <w:szCs w:val="24"/>
          <w:highlight w:val="none"/>
        </w:rPr>
        <w:t>提出成交供应商</w:t>
      </w:r>
    </w:p>
    <w:p w14:paraId="550914BE">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w:t>
      </w:r>
      <w:r>
        <w:rPr>
          <w:rFonts w:hint="eastAsia" w:ascii="宋体" w:hAnsi="宋体" w:eastAsia="宋体" w:cs="宋体"/>
          <w:color w:val="auto"/>
          <w:sz w:val="24"/>
          <w:szCs w:val="24"/>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color w:val="auto"/>
          <w:kern w:val="0"/>
          <w:sz w:val="24"/>
          <w:szCs w:val="24"/>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color w:val="auto"/>
          <w:sz w:val="24"/>
          <w:szCs w:val="24"/>
          <w:highlight w:val="none"/>
        </w:rPr>
        <w:t>可以推荐2家成交候选供应商。</w:t>
      </w:r>
    </w:p>
    <w:p w14:paraId="73844726">
      <w:pPr>
        <w:keepNext w:val="0"/>
        <w:keepLines w:val="0"/>
        <w:pageBreakBefore w:val="0"/>
        <w:widowControl w:val="0"/>
        <w:tabs>
          <w:tab w:val="left" w:pos="0"/>
        </w:tabs>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33.确定成交供应商</w:t>
      </w:r>
    </w:p>
    <w:p w14:paraId="34057771">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33.1采购代理机构应当在评审结束后2个工作日内将评审报告送采购人确认。</w:t>
      </w:r>
    </w:p>
    <w:p w14:paraId="0FF8140A">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33.2采购人应当在收到评审报告后5个工作日内，从评审报告提出的成交候选供应商中，按照排序由高到低的原则确定成交供应商，也可以书面授权磋商小组直接确定成交供应商。</w:t>
      </w:r>
    </w:p>
    <w:p w14:paraId="2F6ADE1B">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hanging="723" w:hangingChars="3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34.磋商终止</w:t>
      </w:r>
    </w:p>
    <w:p w14:paraId="6ACD0B0E">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34.1</w:t>
      </w:r>
      <w:r>
        <w:rPr>
          <w:rFonts w:hint="eastAsia" w:ascii="宋体" w:hAnsi="宋体" w:eastAsia="宋体" w:cs="宋体"/>
          <w:color w:val="auto"/>
          <w:kern w:val="0"/>
          <w:sz w:val="24"/>
          <w:szCs w:val="24"/>
          <w:highlight w:val="none"/>
        </w:rPr>
        <w:t>出现下列情形之一的，采购人或者采购代理机构应当终止竞争性磋商采购活动，</w:t>
      </w:r>
      <w:r>
        <w:rPr>
          <w:rFonts w:hint="eastAsia" w:ascii="宋体" w:hAnsi="宋体" w:eastAsia="宋体" w:cs="宋体"/>
          <w:color w:val="auto"/>
          <w:sz w:val="24"/>
          <w:szCs w:val="24"/>
          <w:highlight w:val="none"/>
        </w:rPr>
        <w:t>在本章第37.1款指定的媒体上</w:t>
      </w:r>
      <w:r>
        <w:rPr>
          <w:rFonts w:hint="eastAsia" w:ascii="宋体" w:hAnsi="宋体" w:eastAsia="宋体" w:cs="宋体"/>
          <w:color w:val="auto"/>
          <w:kern w:val="0"/>
          <w:sz w:val="24"/>
          <w:szCs w:val="24"/>
          <w:highlight w:val="none"/>
        </w:rPr>
        <w:t>发布项目终止公告并说明原因，重新开展采购活动：</w:t>
      </w:r>
    </w:p>
    <w:p w14:paraId="38CAEDF0">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（1）因情况变化，不再符合规定的竞争性磋商采购方式适用情形的；</w:t>
      </w:r>
    </w:p>
    <w:p w14:paraId="31CA2119">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（2）出现影响采购公正的违法、违规行为的；</w:t>
      </w:r>
    </w:p>
    <w:p w14:paraId="0E93DB65">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rPr>
        <w:t>除《政府采购竞争性磋商采购方式管理暂行办法》(财库〔2014〕214号)</w:t>
      </w:r>
      <w:r>
        <w:rPr>
          <w:rFonts w:hint="eastAsia" w:ascii="宋体" w:hAnsi="宋体" w:eastAsia="宋体" w:cs="宋体"/>
          <w:color w:val="auto"/>
          <w:kern w:val="0"/>
          <w:sz w:val="24"/>
          <w:szCs w:val="24"/>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color w:val="auto"/>
          <w:sz w:val="24"/>
          <w:szCs w:val="24"/>
          <w:highlight w:val="none"/>
        </w:rPr>
        <w:t>情形外，在采购过程中符合要求的供应商或者报价未超过采购预算的供应商不足3家的；</w:t>
      </w:r>
    </w:p>
    <w:p w14:paraId="721D47D2">
      <w:pPr>
        <w:keepNext w:val="0"/>
        <w:keepLines w:val="0"/>
        <w:pageBreakBefore w:val="0"/>
        <w:widowControl w:val="0"/>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（4）因重大变故，采购任务取消的。</w:t>
      </w:r>
    </w:p>
    <w:p w14:paraId="6F72AB5E">
      <w:pPr>
        <w:keepNext w:val="0"/>
        <w:keepLines w:val="0"/>
        <w:pageBreakBefore w:val="0"/>
        <w:widowControl w:val="0"/>
        <w:kinsoku/>
        <w:wordWrap/>
        <w:overflowPunct/>
        <w:topLinePunct w:val="0"/>
        <w:autoSpaceDE/>
        <w:bidi w:val="0"/>
        <w:adjustRightInd w:val="0"/>
        <w:snapToGrid w:val="0"/>
        <w:spacing w:line="360" w:lineRule="auto"/>
        <w:ind w:left="0" w:right="0" w:rightChars="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35．重新评审</w:t>
      </w:r>
    </w:p>
    <w:p w14:paraId="4EF43D45">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4E46D1D3">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36.保密及串通行为</w:t>
      </w:r>
    </w:p>
    <w:p w14:paraId="6C80A3BB">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36.1磋商小组成员以及与评审工作有关的人员不得泄露评审情况以及评审过程中获悉的国家秘密、商业秘密。</w:t>
      </w:r>
    </w:p>
    <w:p w14:paraId="5E2824E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36.2</w:t>
      </w:r>
      <w:r>
        <w:rPr>
          <w:rFonts w:hint="eastAsia" w:ascii="宋体" w:hAnsi="宋体" w:eastAsia="宋体" w:cs="宋体"/>
          <w:color w:val="auto"/>
          <w:kern w:val="0"/>
          <w:sz w:val="24"/>
          <w:szCs w:val="24"/>
          <w:highlight w:val="none"/>
        </w:rPr>
        <w:t>供应商</w:t>
      </w:r>
      <w:r>
        <w:rPr>
          <w:rFonts w:hint="eastAsia" w:ascii="宋体" w:hAnsi="宋体" w:eastAsia="宋体" w:cs="宋体"/>
          <w:color w:val="auto"/>
          <w:sz w:val="24"/>
          <w:szCs w:val="24"/>
          <w:highlight w:val="none"/>
        </w:rPr>
        <w:t>不得与</w:t>
      </w:r>
      <w:r>
        <w:rPr>
          <w:rFonts w:hint="eastAsia" w:ascii="宋体" w:hAnsi="宋体" w:eastAsia="宋体" w:cs="宋体"/>
          <w:color w:val="auto"/>
          <w:kern w:val="0"/>
          <w:sz w:val="24"/>
          <w:szCs w:val="24"/>
          <w:highlight w:val="none"/>
        </w:rPr>
        <w:t>采购人、采购代理机构、其他供应商恶意</w:t>
      </w:r>
      <w:r>
        <w:rPr>
          <w:rFonts w:hint="eastAsia" w:ascii="宋体" w:hAnsi="宋体" w:eastAsia="宋体" w:cs="宋体"/>
          <w:color w:val="auto"/>
          <w:sz w:val="24"/>
          <w:szCs w:val="24"/>
          <w:highlight w:val="none"/>
        </w:rPr>
        <w:t>串通；不得向</w:t>
      </w:r>
      <w:r>
        <w:rPr>
          <w:rFonts w:hint="eastAsia" w:ascii="宋体" w:hAnsi="宋体" w:eastAsia="宋体" w:cs="宋体"/>
          <w:color w:val="auto"/>
          <w:kern w:val="0"/>
          <w:sz w:val="24"/>
          <w:szCs w:val="24"/>
          <w:highlight w:val="none"/>
        </w:rPr>
        <w:t>采购人、采购代理机构</w:t>
      </w:r>
      <w:r>
        <w:rPr>
          <w:rFonts w:hint="eastAsia" w:ascii="宋体" w:hAnsi="宋体" w:eastAsia="宋体" w:cs="宋体"/>
          <w:color w:val="auto"/>
          <w:sz w:val="24"/>
          <w:szCs w:val="24"/>
          <w:highlight w:val="none"/>
        </w:rPr>
        <w:t>或者磋商小组成员行贿或者提供其他不正当利益；不得提供虚假资料谋取成交；不得以任何方式干扰、影响采购工作。</w:t>
      </w:r>
    </w:p>
    <w:p w14:paraId="594D8BCD">
      <w:pPr>
        <w:pStyle w:val="20"/>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rPr>
        <w:t>36.3</w:t>
      </w:r>
      <w:r>
        <w:rPr>
          <w:rFonts w:hint="eastAsia" w:ascii="宋体" w:hAnsi="宋体" w:eastAsia="宋体" w:cs="宋体"/>
          <w:color w:val="auto"/>
          <w:highlight w:val="none"/>
          <w:lang w:val="zh-CN"/>
        </w:rPr>
        <w:t>有下列情形之一的，属于恶意串通，对供应商依照政府采购法第七十七条第一款的规定追究法律责任：</w:t>
      </w:r>
    </w:p>
    <w:p w14:paraId="45B15904">
      <w:pPr>
        <w:pStyle w:val="20"/>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（一）供应商直接或者间接从采购人或者采购代理机构处获得其他供应商的相关情况并修改其投标文件或者响应文件；</w:t>
      </w:r>
    </w:p>
    <w:p w14:paraId="3369D824">
      <w:pPr>
        <w:pStyle w:val="20"/>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（二）供应商按照采购人或者采购代理机构的授意撤换、修改投标文件或者响应文件；</w:t>
      </w:r>
    </w:p>
    <w:p w14:paraId="2547209C">
      <w:pPr>
        <w:pStyle w:val="20"/>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（三）供应商之间协商报价、技术方案等投标文件或者响应文件的实质性内容；</w:t>
      </w:r>
    </w:p>
    <w:p w14:paraId="4CF876FE">
      <w:pPr>
        <w:pStyle w:val="20"/>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（四）属于同一集团、协会、商会等组织成员的供应商按照该组织要求协同参加政府采购活动；</w:t>
      </w:r>
    </w:p>
    <w:p w14:paraId="1B57A36C">
      <w:pPr>
        <w:pStyle w:val="20"/>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（五）供应商之间事先约定由某一特定供应商成交、成交；</w:t>
      </w:r>
    </w:p>
    <w:p w14:paraId="2E43D22C">
      <w:pPr>
        <w:pStyle w:val="20"/>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（六）供应商之间商定部分供应商放弃参加政府采购活动或者放弃成交、成交；</w:t>
      </w:r>
    </w:p>
    <w:p w14:paraId="5397C6B4">
      <w:pPr>
        <w:pStyle w:val="20"/>
        <w:keepNext w:val="0"/>
        <w:keepLines w:val="0"/>
        <w:pageBreakBefore w:val="0"/>
        <w:widowControl w:val="0"/>
        <w:kinsoku/>
        <w:wordWrap/>
        <w:overflowPunct/>
        <w:topLinePunct w:val="0"/>
        <w:autoSpaceDE/>
        <w:bidi w:val="0"/>
        <w:adjustRightInd w:val="0"/>
        <w:snapToGrid w:val="0"/>
        <w:spacing w:before="0" w:beforeAutospacing="0" w:after="0" w:afterAutospacing="0" w:line="360" w:lineRule="auto"/>
        <w:ind w:left="0" w:right="0" w:rightChars="0" w:firstLine="48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highlight w:val="none"/>
          <w:lang w:val="zh-CN"/>
        </w:rPr>
        <w:t>（七）供应商与采购人或者采购代理机构之间、供应商相互之间，为谋求特定供应商成交、成交或者排斥其他供应商的其他串通行为。</w:t>
      </w:r>
    </w:p>
    <w:p w14:paraId="1618ED87">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textAlignment w:val="auto"/>
        <w:rPr>
          <w:rFonts w:hint="eastAsia" w:ascii="宋体" w:hAnsi="宋体" w:eastAsia="宋体" w:cs="宋体"/>
          <w:color w:val="auto"/>
          <w:highlight w:val="none"/>
        </w:rPr>
      </w:pPr>
      <w:bookmarkStart w:id="143" w:name="_Toc4496"/>
      <w:bookmarkStart w:id="144" w:name="_Toc3716"/>
      <w:r>
        <w:rPr>
          <w:rFonts w:hint="eastAsia" w:ascii="宋体" w:hAnsi="宋体" w:eastAsia="宋体" w:cs="宋体"/>
          <w:color w:val="auto"/>
          <w:highlight w:val="none"/>
        </w:rPr>
        <w:t>六、成交结果信息公布与授予合同</w:t>
      </w:r>
      <w:bookmarkEnd w:id="143"/>
      <w:bookmarkEnd w:id="144"/>
    </w:p>
    <w:p w14:paraId="31BEB4F5">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37.成交信息的公布</w:t>
      </w:r>
    </w:p>
    <w:p w14:paraId="43615476">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37.1成交供应商确定后2个工作日内，成交结果信息将在【</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】指定的媒体上公布。</w:t>
      </w:r>
    </w:p>
    <w:p w14:paraId="3F607401">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38.询问及质疑</w:t>
      </w:r>
    </w:p>
    <w:p w14:paraId="576BBA3D">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38.1供应商对政府采购活动事项有疑问的，可以向采购人或采购代理机构提出询问。</w:t>
      </w:r>
    </w:p>
    <w:p w14:paraId="36370637">
      <w:pPr>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38.2供应商若认为磋商文件、采购过程和成交结果使自己的权益受到损害，可以按法律、行政法规及湖南省财政厅规范性文件规定向采购人或采购代理机构提出质疑。</w:t>
      </w:r>
    </w:p>
    <w:p w14:paraId="5C4FB0F3">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39.成交通知</w:t>
      </w:r>
    </w:p>
    <w:p w14:paraId="45AB2635">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39.1成交供应商确定后，采购人或采购代理机构将以书面形式向成交供应商发出成交通知书。成交通知书对采购人和成交供应商具有同等法律效力。</w:t>
      </w:r>
    </w:p>
    <w:p w14:paraId="24D41CB9">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39.2成交通知书是合同文件的组成部分。</w:t>
      </w:r>
    </w:p>
    <w:p w14:paraId="110CC080">
      <w:pPr>
        <w:keepNext w:val="0"/>
        <w:keepLines w:val="0"/>
        <w:pageBreakBefore w:val="0"/>
        <w:widowControl w:val="0"/>
        <w:tabs>
          <w:tab w:val="left" w:pos="7560"/>
          <w:tab w:val="left" w:pos="7740"/>
          <w:tab w:val="left" w:pos="7920"/>
        </w:tabs>
        <w:kinsoku/>
        <w:wordWrap/>
        <w:overflowPunct/>
        <w:topLinePunct w:val="0"/>
        <w:autoSpaceDE/>
        <w:autoSpaceDN w:val="0"/>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39.3</w:t>
      </w:r>
      <w:r>
        <w:rPr>
          <w:rFonts w:hint="eastAsia" w:ascii="宋体" w:hAnsi="宋体" w:eastAsia="宋体" w:cs="宋体"/>
          <w:color w:val="auto"/>
          <w:sz w:val="24"/>
          <w:szCs w:val="24"/>
          <w:highlight w:val="none"/>
        </w:rPr>
        <w:t>成交供应商在收到采购代理机构的成交通知书后10日内，应按照【</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】的规定，向采购人提交履约担保。联合体成交的，履约担保由联合体各方或联合体中牵头人的名义提交。</w:t>
      </w:r>
    </w:p>
    <w:p w14:paraId="4BB413F3">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39.4成交供应商</w:t>
      </w:r>
      <w:r>
        <w:rPr>
          <w:rFonts w:hint="eastAsia" w:ascii="宋体" w:hAnsi="宋体" w:eastAsia="宋体" w:cs="宋体"/>
          <w:color w:val="auto"/>
          <w:spacing w:val="4"/>
          <w:sz w:val="24"/>
          <w:szCs w:val="24"/>
          <w:highlight w:val="none"/>
        </w:rPr>
        <w:t>没有按照本章第39.3</w:t>
      </w:r>
      <w:r>
        <w:rPr>
          <w:rFonts w:hint="eastAsia" w:ascii="宋体" w:hAnsi="宋体" w:eastAsia="宋体" w:cs="宋体"/>
          <w:color w:val="auto"/>
          <w:kern w:val="0"/>
          <w:sz w:val="24"/>
          <w:szCs w:val="24"/>
          <w:highlight w:val="none"/>
          <w:lang w:val="zh-CN"/>
        </w:rPr>
        <w:t>款</w:t>
      </w:r>
      <w:r>
        <w:rPr>
          <w:rFonts w:hint="eastAsia" w:ascii="宋体" w:hAnsi="宋体" w:eastAsia="宋体" w:cs="宋体"/>
          <w:color w:val="auto"/>
          <w:spacing w:val="4"/>
          <w:sz w:val="24"/>
          <w:szCs w:val="24"/>
          <w:highlight w:val="none"/>
        </w:rPr>
        <w:t>规定</w:t>
      </w:r>
      <w:r>
        <w:rPr>
          <w:rFonts w:hint="eastAsia" w:ascii="宋体" w:hAnsi="宋体" w:eastAsia="宋体" w:cs="宋体"/>
          <w:color w:val="auto"/>
          <w:sz w:val="24"/>
          <w:szCs w:val="24"/>
          <w:highlight w:val="none"/>
        </w:rPr>
        <w:t>提交履约担保的</w:t>
      </w:r>
      <w:r>
        <w:rPr>
          <w:rFonts w:hint="eastAsia" w:ascii="宋体" w:hAnsi="宋体" w:eastAsia="宋体" w:cs="宋体"/>
          <w:color w:val="auto"/>
          <w:spacing w:val="4"/>
          <w:sz w:val="24"/>
          <w:szCs w:val="24"/>
          <w:highlight w:val="none"/>
        </w:rPr>
        <w:t>，视为放弃</w:t>
      </w:r>
      <w:r>
        <w:rPr>
          <w:rFonts w:hint="eastAsia" w:ascii="宋体" w:hAnsi="宋体" w:eastAsia="宋体" w:cs="宋体"/>
          <w:color w:val="auto"/>
          <w:sz w:val="24"/>
          <w:szCs w:val="24"/>
          <w:highlight w:val="none"/>
        </w:rPr>
        <w:t>成交资格</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2"/>
          <w:sz w:val="24"/>
          <w:szCs w:val="24"/>
          <w:highlight w:val="none"/>
        </w:rPr>
        <w:t>其保证金不予退还。</w:t>
      </w:r>
    </w:p>
    <w:p w14:paraId="2F464082">
      <w:pPr>
        <w:keepNext w:val="0"/>
        <w:keepLines w:val="0"/>
        <w:pageBreakBefore w:val="0"/>
        <w:widowControl w:val="0"/>
        <w:kinsoku/>
        <w:wordWrap/>
        <w:overflowPunct/>
        <w:topLinePunct w:val="0"/>
        <w:autoSpaceDE/>
        <w:bidi w:val="0"/>
        <w:adjustRightInd w:val="0"/>
        <w:snapToGrid w:val="0"/>
        <w:spacing w:line="360" w:lineRule="auto"/>
        <w:ind w:left="0"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40.签订合同</w:t>
      </w:r>
    </w:p>
    <w:p w14:paraId="5F972947">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40.1成交供应商应当在成交通知书发出之日起2日内与采购人签订政府采购合同。</w:t>
      </w:r>
    </w:p>
    <w:p w14:paraId="24FC56C0">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40.2磋商文件、成交供应商的响应文件等均为签订政府采购合同的依据。</w:t>
      </w:r>
    </w:p>
    <w:p w14:paraId="6686A331">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40.3 成交供应商应当按照合同约定履行义务。成交供应商不得向他人转让成交项目，也不得将成交项目分包后分别向他人转让。</w:t>
      </w:r>
    </w:p>
    <w:p w14:paraId="4959A910">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40.4 成交供应商有下列情形之一的，责令限期改正，情节严重的，列入不良行为记录名单，在1至3年内禁止参加政府采购活动，并予以通报：</w:t>
      </w:r>
    </w:p>
    <w:p w14:paraId="399BD3C0">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（一）成交后无正当理由不与采购人签订合同的；</w:t>
      </w:r>
    </w:p>
    <w:p w14:paraId="1357960E">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（二）未按照采购文件确定的事项签订政府采购合同，或者与采购人另行订立背离合同实质性内容的协议的；</w:t>
      </w:r>
    </w:p>
    <w:p w14:paraId="5610BDB1">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（三）拒绝履行合同义务的；</w:t>
      </w:r>
    </w:p>
    <w:p w14:paraId="709513CE">
      <w:pPr>
        <w:pStyle w:val="13"/>
        <w:keepNext w:val="0"/>
        <w:keepLines w:val="0"/>
        <w:pageBreakBefore w:val="0"/>
        <w:widowControl w:val="0"/>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（四）</w:t>
      </w:r>
      <w:r>
        <w:rPr>
          <w:rFonts w:hint="eastAsia" w:ascii="宋体" w:hAnsi="宋体" w:eastAsia="宋体" w:cs="宋体"/>
          <w:color w:val="auto"/>
          <w:kern w:val="0"/>
          <w:sz w:val="24"/>
          <w:szCs w:val="24"/>
          <w:highlight w:val="none"/>
        </w:rPr>
        <w:t>违反法律、规章、规范性文件规定的。</w:t>
      </w:r>
    </w:p>
    <w:p w14:paraId="0BEDC637">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textAlignment w:val="auto"/>
        <w:rPr>
          <w:rFonts w:hint="eastAsia" w:ascii="宋体" w:hAnsi="宋体" w:eastAsia="宋体" w:cs="宋体"/>
          <w:color w:val="auto"/>
          <w:highlight w:val="none"/>
        </w:rPr>
      </w:pPr>
      <w:bookmarkStart w:id="145" w:name="_Toc13809"/>
      <w:bookmarkStart w:id="146" w:name="_Toc27956"/>
      <w:r>
        <w:rPr>
          <w:rFonts w:hint="eastAsia" w:ascii="宋体" w:hAnsi="宋体" w:eastAsia="宋体" w:cs="宋体"/>
          <w:color w:val="auto"/>
          <w:highlight w:val="none"/>
        </w:rPr>
        <w:t>七、其他规定</w:t>
      </w:r>
      <w:bookmarkEnd w:id="145"/>
      <w:bookmarkEnd w:id="146"/>
    </w:p>
    <w:p w14:paraId="18947154">
      <w:pPr>
        <w:keepNext w:val="0"/>
        <w:keepLines w:val="0"/>
        <w:pageBreakBefore w:val="0"/>
        <w:widowControl w:val="0"/>
        <w:tabs>
          <w:tab w:val="left" w:pos="420"/>
          <w:tab w:val="left" w:pos="7560"/>
          <w:tab w:val="left" w:pos="7740"/>
          <w:tab w:val="left" w:pos="7920"/>
        </w:tabs>
        <w:kinsoku/>
        <w:wordWrap/>
        <w:overflowPunct/>
        <w:topLinePunct w:val="0"/>
        <w:autoSpaceDE/>
        <w:bidi w:val="0"/>
        <w:adjustRightInd w:val="0"/>
        <w:snapToGrid w:val="0"/>
        <w:spacing w:line="360" w:lineRule="auto"/>
        <w:ind w:left="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.其他规定</w:t>
      </w:r>
    </w:p>
    <w:p w14:paraId="0069AE07">
      <w:pPr>
        <w:keepNext w:val="0"/>
        <w:keepLines w:val="0"/>
        <w:pageBreakBefore w:val="0"/>
        <w:widowControl w:val="0"/>
        <w:tabs>
          <w:tab w:val="left" w:pos="420"/>
          <w:tab w:val="left" w:pos="7560"/>
          <w:tab w:val="left" w:pos="7740"/>
          <w:tab w:val="left" w:pos="7920"/>
        </w:tabs>
        <w:kinsoku/>
        <w:wordWrap/>
        <w:overflowPunct/>
        <w:topLinePunct w:val="0"/>
        <w:autoSpaceDE/>
        <w:bidi w:val="0"/>
        <w:adjustRightInd w:val="0"/>
        <w:snapToGrid w:val="0"/>
        <w:spacing w:line="360" w:lineRule="auto"/>
        <w:ind w:left="0" w:right="0" w:righ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rPr>
        <w:t>42.1磋商文件的其他规定见【</w:t>
      </w:r>
      <w:r>
        <w:rPr>
          <w:rFonts w:hint="eastAsia" w:ascii="宋体" w:hAnsi="宋体" w:eastAsia="宋体" w:cs="宋体"/>
          <w:b/>
          <w:bCs/>
          <w:color w:val="auto"/>
          <w:sz w:val="24"/>
          <w:szCs w:val="24"/>
          <w:highlight w:val="none"/>
        </w:rPr>
        <w:t>磋商须知前附表</w:t>
      </w:r>
      <w:r>
        <w:rPr>
          <w:rFonts w:hint="eastAsia" w:ascii="宋体" w:hAnsi="宋体" w:eastAsia="宋体" w:cs="宋体"/>
          <w:color w:val="auto"/>
          <w:sz w:val="24"/>
          <w:szCs w:val="24"/>
          <w:highlight w:val="none"/>
        </w:rPr>
        <w:t>】。</w:t>
      </w:r>
    </w:p>
    <w:p w14:paraId="0192D811">
      <w:pPr>
        <w:keepNext w:val="0"/>
        <w:keepLines w:val="0"/>
        <w:pageBreakBefore w:val="0"/>
        <w:widowControl w:val="0"/>
        <w:kinsoku/>
        <w:overflowPunct/>
        <w:bidi w:val="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01CC2BD8">
      <w:pPr>
        <w:pStyle w:val="2"/>
        <w:keepNext w:val="0"/>
        <w:keepLines w:val="0"/>
        <w:pageBreakBefore w:val="0"/>
        <w:widowControl w:val="0"/>
        <w:kinsoku/>
        <w:overflowPunct/>
        <w:bidi w:val="0"/>
        <w:spacing w:before="0" w:after="0" w:line="480" w:lineRule="auto"/>
        <w:jc w:val="center"/>
        <w:textAlignment w:val="auto"/>
        <w:rPr>
          <w:rFonts w:hint="eastAsia" w:ascii="宋体" w:hAnsi="宋体" w:eastAsia="宋体" w:cs="宋体"/>
          <w:b/>
          <w:color w:val="auto"/>
          <w:sz w:val="32"/>
          <w:highlight w:val="none"/>
        </w:rPr>
      </w:pPr>
      <w:bookmarkStart w:id="147" w:name="_Toc25354"/>
      <w:bookmarkStart w:id="148" w:name="_Toc22976"/>
      <w:r>
        <w:rPr>
          <w:rFonts w:hint="eastAsia" w:ascii="宋体" w:hAnsi="宋体" w:eastAsia="宋体" w:cs="宋体"/>
          <w:color w:val="auto"/>
          <w:sz w:val="24"/>
          <w:szCs w:val="24"/>
          <w:highlight w:val="none"/>
        </w:rPr>
        <w:t>第三章  政府采购合同格式</w:t>
      </w:r>
      <w:bookmarkEnd w:id="147"/>
      <w:bookmarkEnd w:id="148"/>
    </w:p>
    <w:p w14:paraId="41BDFA4D">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jc w:val="center"/>
        <w:textAlignment w:val="auto"/>
        <w:rPr>
          <w:rFonts w:hint="eastAsia" w:ascii="宋体" w:hAnsi="宋体" w:eastAsia="宋体" w:cs="宋体"/>
          <w:color w:val="auto"/>
          <w:highlight w:val="none"/>
        </w:rPr>
      </w:pPr>
      <w:bookmarkStart w:id="149" w:name="_Toc29674"/>
      <w:bookmarkStart w:id="150" w:name="_Toc24200"/>
      <w:r>
        <w:rPr>
          <w:rFonts w:hint="eastAsia" w:ascii="宋体" w:hAnsi="宋体" w:eastAsia="宋体" w:cs="宋体"/>
          <w:color w:val="auto"/>
          <w:highlight w:val="none"/>
        </w:rPr>
        <w:t>第一部分合同协议书</w:t>
      </w:r>
      <w:bookmarkEnd w:id="149"/>
      <w:bookmarkEnd w:id="150"/>
    </w:p>
    <w:p w14:paraId="5A5CDE78">
      <w:pPr>
        <w:spacing w:line="420" w:lineRule="exact"/>
        <w:ind w:firstLine="5520" w:firstLineChars="2300"/>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采购合同编号：</w:t>
      </w:r>
      <w:r>
        <w:rPr>
          <w:rFonts w:hint="eastAsia" w:ascii="宋体" w:hAnsi="宋体" w:eastAsia="宋体" w:cs="宋体"/>
          <w:color w:val="auto"/>
          <w:sz w:val="24"/>
          <w:highlight w:val="none"/>
          <w:u w:val="single"/>
        </w:rPr>
        <w:t xml:space="preserve">               </w:t>
      </w:r>
    </w:p>
    <w:p w14:paraId="5BC9A7C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采购人</w:t>
      </w:r>
      <w:r>
        <w:rPr>
          <w:rFonts w:hint="eastAsia" w:ascii="宋体" w:hAnsi="宋体" w:eastAsia="宋体" w:cs="宋体"/>
          <w:b/>
          <w:color w:val="auto"/>
          <w:sz w:val="24"/>
          <w:szCs w:val="24"/>
          <w:highlight w:val="none"/>
        </w:rPr>
        <w:t>（全称）：</w:t>
      </w:r>
      <w:r>
        <w:rPr>
          <w:rFonts w:hint="eastAsia" w:ascii="宋体" w:hAnsi="宋体" w:eastAsia="宋体" w:cs="宋体"/>
          <w:b w:val="0"/>
          <w:bCs/>
          <w:color w:val="auto"/>
          <w:sz w:val="24"/>
          <w:szCs w:val="24"/>
          <w:highlight w:val="none"/>
          <w:u w:val="single"/>
          <w:lang w:eastAsia="zh-CN"/>
        </w:rPr>
        <w:t xml:space="preserve"> </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lang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none"/>
          <w:lang w:val="en-US" w:eastAsia="zh-CN"/>
        </w:rPr>
        <w:t>（甲方）</w:t>
      </w:r>
    </w:p>
    <w:p w14:paraId="6AA200A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val="en-US" w:eastAsia="zh-CN"/>
        </w:rPr>
        <w:t>供应商</w:t>
      </w:r>
      <w:r>
        <w:rPr>
          <w:rFonts w:hint="eastAsia" w:ascii="宋体" w:hAnsi="宋体" w:eastAsia="宋体" w:cs="宋体"/>
          <w:b/>
          <w:color w:val="auto"/>
          <w:sz w:val="24"/>
          <w:szCs w:val="24"/>
          <w:highlight w:val="none"/>
        </w:rPr>
        <w:t>（全称）：</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乙方</w:t>
      </w:r>
      <w:r>
        <w:rPr>
          <w:rFonts w:hint="eastAsia" w:ascii="宋体" w:hAnsi="宋体" w:eastAsia="宋体" w:cs="宋体"/>
          <w:b/>
          <w:color w:val="auto"/>
          <w:sz w:val="24"/>
          <w:szCs w:val="24"/>
          <w:highlight w:val="none"/>
          <w:lang w:eastAsia="zh-CN"/>
        </w:rPr>
        <w:t>）</w:t>
      </w:r>
    </w:p>
    <w:p w14:paraId="2B14FC2E">
      <w:pPr>
        <w:keepNext w:val="0"/>
        <w:keepLines w:val="0"/>
        <w:pageBreakBefore w:val="0"/>
        <w:widowControl w:val="0"/>
        <w:kinsoku/>
        <w:wordWrap/>
        <w:overflowPunct/>
        <w:topLinePunct w:val="0"/>
        <w:autoSpaceDE/>
        <w:autoSpaceDN/>
        <w:bidi w:val="0"/>
        <w:adjustRightInd w:val="0"/>
        <w:snapToGrid w:val="0"/>
        <w:spacing w:line="360" w:lineRule="auto"/>
        <w:ind w:firstLine="42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依据《中华人民共和国民法典》、《中华人民共和国政府采购法》</w:t>
      </w:r>
      <w:r>
        <w:rPr>
          <w:rFonts w:hint="eastAsia" w:ascii="宋体" w:hAnsi="宋体" w:eastAsia="宋体" w:cs="宋体"/>
          <w:color w:val="auto"/>
          <w:sz w:val="24"/>
          <w:szCs w:val="24"/>
          <w:highlight w:val="none"/>
          <w:lang w:eastAsia="zh-CN"/>
        </w:rPr>
        <w:t>、《中华人民共和国建筑法》</w:t>
      </w:r>
      <w:r>
        <w:rPr>
          <w:rFonts w:hint="eastAsia" w:ascii="宋体" w:hAnsi="宋体" w:eastAsia="宋体" w:cs="宋体"/>
          <w:color w:val="auto"/>
          <w:sz w:val="24"/>
          <w:szCs w:val="24"/>
          <w:highlight w:val="none"/>
        </w:rPr>
        <w:t>及其他有关法律、行政法规，遵循平等、自愿、公平和诚实信用的原则，双方就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古丈县古阳镇柑子坪村通组公路硬化项目</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rPr>
        <w:t>施工及有关事项协商一致，共同达成如下协议：</w:t>
      </w:r>
    </w:p>
    <w:p w14:paraId="5B2A6CE9">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一、项目信息</w:t>
      </w:r>
    </w:p>
    <w:p w14:paraId="2C66FAAA">
      <w:pPr>
        <w:pStyle w:val="9"/>
        <w:adjustRightInd w:val="0"/>
        <w:snapToGrid w:val="0"/>
        <w:spacing w:after="0" w:line="360" w:lineRule="auto"/>
        <w:ind w:left="0" w:leftChars="0" w:right="26" w:rightChars="11"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6ED6C90">
      <w:pPr>
        <w:pStyle w:val="9"/>
        <w:adjustRightInd w:val="0"/>
        <w:snapToGrid w:val="0"/>
        <w:spacing w:after="0" w:line="360" w:lineRule="auto"/>
        <w:ind w:left="0" w:leftChars="0"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D46D16A">
      <w:pPr>
        <w:adjustRightInd w:val="0"/>
        <w:snapToGrid w:val="0"/>
        <w:spacing w:line="360" w:lineRule="auto"/>
        <w:ind w:right="26" w:rightChars="11"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项目内容：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A99BDD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 xml:space="preserve">工程概况 </w:t>
      </w:r>
    </w:p>
    <w:p w14:paraId="4E66363D">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r>
        <w:rPr>
          <w:rFonts w:hint="eastAsia" w:ascii="宋体" w:hAnsi="宋体" w:eastAsia="宋体" w:cs="宋体"/>
          <w:color w:val="auto"/>
          <w:sz w:val="24"/>
          <w:szCs w:val="24"/>
          <w:highlight w:val="none"/>
          <w:u w:val="single"/>
        </w:rPr>
        <w:t xml:space="preserve">                             </w:t>
      </w:r>
    </w:p>
    <w:p w14:paraId="28011058">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工程地点：</w:t>
      </w:r>
      <w:r>
        <w:rPr>
          <w:rFonts w:hint="eastAsia" w:ascii="宋体" w:hAnsi="宋体" w:eastAsia="宋体" w:cs="宋体"/>
          <w:color w:val="auto"/>
          <w:sz w:val="24"/>
          <w:szCs w:val="24"/>
          <w:highlight w:val="none"/>
          <w:u w:val="single"/>
        </w:rPr>
        <w:t xml:space="preserve">                             </w:t>
      </w:r>
    </w:p>
    <w:p w14:paraId="52BE7764">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工程内容：</w:t>
      </w:r>
      <w:r>
        <w:rPr>
          <w:rFonts w:hint="eastAsia" w:ascii="宋体" w:hAnsi="宋体" w:eastAsia="宋体" w:cs="宋体"/>
          <w:color w:val="auto"/>
          <w:sz w:val="24"/>
          <w:szCs w:val="24"/>
          <w:highlight w:val="none"/>
          <w:u w:val="single"/>
        </w:rPr>
        <w:t xml:space="preserve">                             </w:t>
      </w:r>
    </w:p>
    <w:p w14:paraId="500F2DDA">
      <w:pPr>
        <w:adjustRightInd w:val="0"/>
        <w:snapToGrid w:val="0"/>
        <w:spacing w:line="360" w:lineRule="auto"/>
        <w:ind w:right="26" w:rightChars="11"/>
        <w:rPr>
          <w:rFonts w:hint="eastAsia"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工程承包范围：</w:t>
      </w:r>
      <w:r>
        <w:rPr>
          <w:rFonts w:hint="eastAsia" w:ascii="宋体" w:hAnsi="宋体" w:eastAsia="宋体" w:cs="宋体"/>
          <w:b/>
          <w:color w:val="auto"/>
          <w:sz w:val="24"/>
          <w:szCs w:val="24"/>
          <w:highlight w:val="none"/>
          <w:u w:val="single"/>
          <w:lang w:val="en-US" w:eastAsia="zh-CN"/>
        </w:rPr>
        <w:t xml:space="preserve">                                 </w:t>
      </w:r>
    </w:p>
    <w:p w14:paraId="2442CAAD">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合同工期</w:t>
      </w:r>
    </w:p>
    <w:p w14:paraId="31AB5B04">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401FD4D">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470106F">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合同工期总日历天数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w:t>
      </w:r>
    </w:p>
    <w:p w14:paraId="08FB27A6">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、质量标准</w:t>
      </w:r>
    </w:p>
    <w:p w14:paraId="24638D98">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工程质量标准：</w:t>
      </w:r>
      <w:r>
        <w:rPr>
          <w:rFonts w:hint="eastAsia" w:ascii="宋体" w:hAnsi="宋体" w:eastAsia="宋体" w:cs="宋体"/>
          <w:color w:val="auto"/>
          <w:sz w:val="24"/>
          <w:szCs w:val="24"/>
          <w:highlight w:val="none"/>
          <w:u w:val="single"/>
        </w:rPr>
        <w:t>符合《工程施工质量验收规范》要求验收合格</w:t>
      </w:r>
      <w:r>
        <w:rPr>
          <w:rFonts w:hint="eastAsia" w:ascii="宋体" w:hAnsi="宋体" w:eastAsia="宋体" w:cs="宋体"/>
          <w:color w:val="auto"/>
          <w:sz w:val="24"/>
          <w:szCs w:val="24"/>
          <w:highlight w:val="none"/>
          <w:u w:val="none"/>
        </w:rPr>
        <w:t xml:space="preserve">。  </w:t>
      </w:r>
    </w:p>
    <w:p w14:paraId="726EFEB8">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、合同价款</w:t>
      </w:r>
    </w:p>
    <w:p w14:paraId="46A6CE65">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本项目中标金额不能作为总价包干依据，最终结算价以市财政预决算投资评审中心审核的为准。供应商应根据项目要求和现场情况，详细列明项目所需的设备、材料以及所有人工、管理、财务等所有费用，如供应商遗漏</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文件所列工程量清单内容，均由成交人自负，采购人不再支付任何费用。</w:t>
      </w:r>
    </w:p>
    <w:p w14:paraId="08453BF1">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七</w:t>
      </w:r>
      <w:r>
        <w:rPr>
          <w:rFonts w:hint="eastAsia" w:ascii="宋体" w:hAnsi="宋体" w:eastAsia="宋体" w:cs="宋体"/>
          <w:b/>
          <w:color w:val="auto"/>
          <w:sz w:val="24"/>
          <w:szCs w:val="24"/>
          <w:highlight w:val="none"/>
        </w:rPr>
        <w:t>、付款人及付款方式：</w:t>
      </w:r>
    </w:p>
    <w:p w14:paraId="7908A287">
      <w:pPr>
        <w:pStyle w:val="3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 xml:space="preserve">    付款人：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none"/>
          <w:lang w:val="en-US" w:eastAsia="zh-CN"/>
        </w:rPr>
        <w:t>。</w:t>
      </w:r>
    </w:p>
    <w:p w14:paraId="058B8DA5">
      <w:pPr>
        <w:pStyle w:val="3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付款方式：</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rPr>
        <w:t>。</w:t>
      </w:r>
    </w:p>
    <w:p w14:paraId="23E6FC82">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八</w:t>
      </w:r>
      <w:r>
        <w:rPr>
          <w:rFonts w:hint="eastAsia" w:ascii="宋体" w:hAnsi="宋体" w:eastAsia="宋体" w:cs="宋体"/>
          <w:b/>
          <w:color w:val="auto"/>
          <w:sz w:val="24"/>
          <w:szCs w:val="24"/>
          <w:highlight w:val="none"/>
        </w:rPr>
        <w:t>、解决合同纠纷方式</w:t>
      </w:r>
    </w:p>
    <w:p w14:paraId="71F136F8">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首先通过双方协商解决，协商解决不成，则向甲方所在地人民法院提起诉讼。</w:t>
      </w:r>
    </w:p>
    <w:p w14:paraId="758484F8">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、组成合同的文件</w:t>
      </w:r>
    </w:p>
    <w:p w14:paraId="1B53FC5E">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组成本合同的文件包括：</w:t>
      </w:r>
    </w:p>
    <w:p w14:paraId="782952B5">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(1)本合同协议书</w:t>
      </w:r>
    </w:p>
    <w:p w14:paraId="5465D815">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w:t>
      </w:r>
    </w:p>
    <w:p w14:paraId="5FDF25C3">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(3)投标书及其附件</w:t>
      </w:r>
    </w:p>
    <w:p w14:paraId="119038BC">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(4)本合同专用条款</w:t>
      </w:r>
    </w:p>
    <w:p w14:paraId="76D34332">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(5)本合同通用条款</w:t>
      </w:r>
    </w:p>
    <w:p w14:paraId="7A556358">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(6)标准、规范及有关技术文件</w:t>
      </w:r>
    </w:p>
    <w:p w14:paraId="720AA30A">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(7)图纸</w:t>
      </w:r>
    </w:p>
    <w:p w14:paraId="7ABC053F">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(8)工程报价单或预算书。</w:t>
      </w:r>
    </w:p>
    <w:p w14:paraId="559D3E3A">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双方有关工程的洽商、变更等书面协议或文件均视为本合同的组成部分。</w:t>
      </w:r>
    </w:p>
    <w:p w14:paraId="5E51144B">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本协议书中有关词语含义与本合同第二部分《通用条款》中分别赋予它们的定义相同。</w:t>
      </w:r>
    </w:p>
    <w:p w14:paraId="1E795204">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十一</w:t>
      </w:r>
      <w:r>
        <w:rPr>
          <w:rFonts w:hint="eastAsia" w:ascii="宋体" w:hAnsi="宋体" w:eastAsia="宋体" w:cs="宋体"/>
          <w:color w:val="auto"/>
          <w:sz w:val="24"/>
          <w:szCs w:val="24"/>
          <w:highlight w:val="none"/>
        </w:rPr>
        <w:t>、承包人向发包人承诺按照合同约定进行施工、竣工并在质量保修期内承担工程质量保修责任。</w:t>
      </w:r>
    </w:p>
    <w:p w14:paraId="2E074E11">
      <w:pPr>
        <w:adjustRightInd w:val="0"/>
        <w:snapToGrid w:val="0"/>
        <w:spacing w:line="360" w:lineRule="auto"/>
        <w:ind w:right="26" w:rightChars="11"/>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十二</w:t>
      </w:r>
      <w:r>
        <w:rPr>
          <w:rFonts w:hint="eastAsia" w:ascii="宋体" w:hAnsi="宋体" w:eastAsia="宋体" w:cs="宋体"/>
          <w:color w:val="auto"/>
          <w:sz w:val="24"/>
          <w:szCs w:val="24"/>
          <w:highlight w:val="none"/>
        </w:rPr>
        <w:t>、发包人向承包人承诺按照合同约定的期限和方式支付合同价款及其他应当支付的款项。</w:t>
      </w:r>
    </w:p>
    <w:p w14:paraId="491AFE3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十三</w:t>
      </w: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生效。</w:t>
      </w:r>
    </w:p>
    <w:p w14:paraId="60E9C594">
      <w:pPr>
        <w:adjustRightInd w:val="0"/>
        <w:snapToGrid w:val="0"/>
        <w:spacing w:line="360" w:lineRule="auto"/>
        <w:ind w:right="26" w:rightChars="1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十四</w:t>
      </w:r>
      <w:r>
        <w:rPr>
          <w:rFonts w:hint="eastAsia" w:ascii="宋体" w:hAnsi="宋体" w:eastAsia="宋体" w:cs="宋体"/>
          <w:b/>
          <w:color w:val="auto"/>
          <w:sz w:val="24"/>
          <w:szCs w:val="24"/>
          <w:highlight w:val="none"/>
        </w:rPr>
        <w:t>、合同份数</w:t>
      </w:r>
    </w:p>
    <w:p w14:paraId="7FD5631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val="0"/>
          <w:bCs w:val="0"/>
          <w:i w:val="0"/>
          <w:iCs w:val="0"/>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份，均具有同等法律效力，发包人执</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份，承包人执</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份，招标代理</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53F30776">
      <w:pPr>
        <w:adjustRightInd w:val="0"/>
        <w:snapToGrid w:val="0"/>
        <w:spacing w:line="360" w:lineRule="auto"/>
        <w:rPr>
          <w:rFonts w:hint="eastAsia" w:ascii="宋体" w:hAnsi="宋体" w:eastAsia="宋体" w:cs="宋体"/>
          <w:color w:val="auto"/>
          <w:sz w:val="24"/>
          <w:highlight w:val="none"/>
        </w:rPr>
      </w:pPr>
    </w:p>
    <w:p w14:paraId="323627D9">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合同订立时间：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046721B">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合同订立地点：</w:t>
      </w:r>
      <w:r>
        <w:rPr>
          <w:rFonts w:hint="eastAsia" w:ascii="宋体" w:hAnsi="宋体" w:eastAsia="宋体" w:cs="宋体"/>
          <w:color w:val="auto"/>
          <w:sz w:val="24"/>
          <w:highlight w:val="none"/>
          <w:u w:val="single"/>
        </w:rPr>
        <w:t xml:space="preserve">                           </w:t>
      </w:r>
    </w:p>
    <w:p w14:paraId="62447F2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十五、</w:t>
      </w:r>
      <w:r>
        <w:rPr>
          <w:rFonts w:hint="eastAsia" w:ascii="宋体" w:hAnsi="宋体" w:eastAsia="宋体" w:cs="宋体"/>
          <w:b/>
          <w:color w:val="auto"/>
          <w:sz w:val="24"/>
          <w:szCs w:val="24"/>
          <w:highlight w:val="none"/>
        </w:rPr>
        <w:t>补充协议</w:t>
      </w:r>
      <w:r>
        <w:rPr>
          <w:rFonts w:hint="eastAsia" w:ascii="宋体" w:hAnsi="宋体" w:eastAsia="宋体" w:cs="宋体"/>
          <w:b/>
          <w:color w:val="auto"/>
          <w:sz w:val="24"/>
          <w:szCs w:val="24"/>
          <w:highlight w:val="none"/>
          <w:lang w:eastAsia="zh-CN"/>
        </w:rPr>
        <w:t>：</w:t>
      </w:r>
      <w:r>
        <w:rPr>
          <w:rFonts w:hint="eastAsia" w:ascii="宋体" w:hAnsi="宋体" w:eastAsia="宋体" w:cs="宋体"/>
          <w:color w:val="auto"/>
          <w:sz w:val="24"/>
          <w:szCs w:val="24"/>
          <w:highlight w:val="none"/>
        </w:rPr>
        <w:t>合同未尽事宜，合同当事人另行签订补充协议，补充协议是合同的组成部分。</w:t>
      </w:r>
    </w:p>
    <w:p w14:paraId="33DC500D">
      <w:pPr>
        <w:adjustRightInd w:val="0"/>
        <w:snapToGrid w:val="0"/>
        <w:spacing w:line="360" w:lineRule="auto"/>
        <w:rPr>
          <w:rFonts w:hint="eastAsia" w:ascii="宋体" w:hAnsi="宋体" w:eastAsia="宋体" w:cs="宋体"/>
          <w:color w:val="auto"/>
          <w:sz w:val="24"/>
          <w:highlight w:val="none"/>
        </w:rPr>
      </w:pPr>
    </w:p>
    <w:p w14:paraId="0003C886">
      <w:pPr>
        <w:pStyle w:val="8"/>
        <w:rPr>
          <w:rFonts w:hint="eastAsia" w:ascii="宋体" w:hAnsi="宋体" w:eastAsia="宋体" w:cs="宋体"/>
          <w:color w:val="auto"/>
          <w:highlight w:val="none"/>
        </w:rPr>
      </w:pPr>
    </w:p>
    <w:p w14:paraId="7D802CB3">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甲      方：（公章）                    乙      方：（公章）</w:t>
      </w:r>
    </w:p>
    <w:p w14:paraId="2E74AA80">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p>
    <w:p w14:paraId="60CDBA48">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委托代理人：</w:t>
      </w:r>
      <w:r>
        <w:rPr>
          <w:rFonts w:hint="eastAsia" w:ascii="宋体" w:hAnsi="宋体" w:eastAsia="宋体" w:cs="宋体"/>
          <w:color w:val="auto"/>
          <w:sz w:val="24"/>
          <w:highlight w:val="none"/>
          <w:u w:val="single"/>
        </w:rPr>
        <w:t xml:space="preserve">                </w:t>
      </w:r>
    </w:p>
    <w:p w14:paraId="0C64C5B4">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电      话：</w:t>
      </w:r>
      <w:r>
        <w:rPr>
          <w:rFonts w:hint="eastAsia" w:ascii="宋体" w:hAnsi="宋体" w:eastAsia="宋体" w:cs="宋体"/>
          <w:color w:val="auto"/>
          <w:sz w:val="24"/>
          <w:highlight w:val="none"/>
          <w:u w:val="single"/>
        </w:rPr>
        <w:t xml:space="preserve">                </w:t>
      </w:r>
    </w:p>
    <w:p w14:paraId="0C40F38B">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传      真：</w:t>
      </w:r>
      <w:r>
        <w:rPr>
          <w:rFonts w:hint="eastAsia" w:ascii="宋体" w:hAnsi="宋体" w:eastAsia="宋体" w:cs="宋体"/>
          <w:color w:val="auto"/>
          <w:sz w:val="24"/>
          <w:highlight w:val="none"/>
          <w:u w:val="single"/>
        </w:rPr>
        <w:t xml:space="preserve">                </w:t>
      </w:r>
    </w:p>
    <w:p w14:paraId="17A283C3">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开 户银 行：</w:t>
      </w:r>
      <w:r>
        <w:rPr>
          <w:rFonts w:hint="eastAsia" w:ascii="宋体" w:hAnsi="宋体" w:eastAsia="宋体" w:cs="宋体"/>
          <w:color w:val="auto"/>
          <w:sz w:val="24"/>
          <w:highlight w:val="none"/>
          <w:u w:val="single"/>
        </w:rPr>
        <w:t xml:space="preserve">                </w:t>
      </w:r>
    </w:p>
    <w:p w14:paraId="70632C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帐      号：</w:t>
      </w:r>
      <w:r>
        <w:rPr>
          <w:rFonts w:hint="eastAsia" w:ascii="宋体" w:hAnsi="宋体" w:eastAsia="宋体" w:cs="宋体"/>
          <w:color w:val="auto"/>
          <w:sz w:val="24"/>
          <w:highlight w:val="none"/>
          <w:u w:val="single"/>
        </w:rPr>
        <w:t xml:space="preserve">                </w:t>
      </w:r>
    </w:p>
    <w:p w14:paraId="21562A2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highlight w:val="none"/>
        </w:rPr>
      </w:pPr>
    </w:p>
    <w:p w14:paraId="2C8A45BF">
      <w:pPr>
        <w:pStyle w:val="8"/>
        <w:rPr>
          <w:rFonts w:hint="eastAsia" w:ascii="宋体" w:hAnsi="宋体" w:eastAsia="宋体" w:cs="宋体"/>
          <w:color w:val="auto"/>
          <w:highlight w:val="none"/>
        </w:rPr>
      </w:pPr>
    </w:p>
    <w:p w14:paraId="3381008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1"/>
          <w:highlight w:val="none"/>
        </w:rPr>
      </w:pPr>
    </w:p>
    <w:p w14:paraId="2055759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注：本合同参照《建设工程施工合同》（GF-2017-0201）版本仅为合同的参考文本，合同签订双方可根据项目的具体要求进行修订。</w:t>
      </w:r>
    </w:p>
    <w:p w14:paraId="230B4718">
      <w:pPr>
        <w:rPr>
          <w:rFonts w:hint="eastAsia" w:ascii="宋体" w:hAnsi="宋体" w:eastAsia="宋体" w:cs="宋体"/>
          <w:b/>
          <w:color w:val="auto"/>
          <w:sz w:val="44"/>
          <w:highlight w:val="none"/>
        </w:rPr>
      </w:pPr>
      <w:r>
        <w:rPr>
          <w:rFonts w:hint="eastAsia" w:ascii="宋体" w:hAnsi="宋体" w:eastAsia="宋体" w:cs="宋体"/>
          <w:b/>
          <w:color w:val="auto"/>
          <w:sz w:val="44"/>
          <w:highlight w:val="none"/>
        </w:rPr>
        <w:br w:type="page"/>
      </w:r>
    </w:p>
    <w:p w14:paraId="2C4A3202">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jc w:val="center"/>
        <w:textAlignment w:val="auto"/>
        <w:rPr>
          <w:rFonts w:hint="eastAsia" w:ascii="宋体" w:hAnsi="宋体" w:eastAsia="宋体" w:cs="宋体"/>
          <w:color w:val="auto"/>
          <w:highlight w:val="none"/>
        </w:rPr>
      </w:pPr>
      <w:bookmarkStart w:id="151" w:name="_Toc23803"/>
      <w:bookmarkStart w:id="152" w:name="_Toc11099"/>
      <w:r>
        <w:rPr>
          <w:rFonts w:hint="eastAsia" w:ascii="宋体" w:hAnsi="宋体" w:eastAsia="宋体" w:cs="宋体"/>
          <w:color w:val="auto"/>
          <w:highlight w:val="none"/>
        </w:rPr>
        <w:t>第二部分</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通用合同条款（略）</w:t>
      </w:r>
      <w:bookmarkEnd w:id="151"/>
      <w:bookmarkEnd w:id="152"/>
    </w:p>
    <w:p w14:paraId="531FE06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按建设工程施工合同（示范文本）（</w:t>
      </w:r>
      <w:r>
        <w:rPr>
          <w:rFonts w:hint="eastAsia" w:ascii="宋体" w:hAnsi="宋体" w:eastAsia="宋体" w:cs="宋体"/>
          <w:color w:val="auto"/>
          <w:sz w:val="24"/>
          <w:szCs w:val="24"/>
          <w:highlight w:val="none"/>
          <w:lang w:val="en-US" w:eastAsia="zh-CN"/>
        </w:rPr>
        <w:t>GF</w:t>
      </w:r>
      <w:r>
        <w:rPr>
          <w:rFonts w:hint="eastAsia" w:ascii="宋体" w:hAnsi="宋体" w:eastAsia="宋体" w:cs="宋体"/>
          <w:color w:val="auto"/>
          <w:sz w:val="24"/>
          <w:szCs w:val="24"/>
          <w:highlight w:val="none"/>
        </w:rPr>
        <w:t>-201</w:t>
      </w:r>
      <w:r>
        <w:rPr>
          <w:rFonts w:hint="eastAsia" w:ascii="宋体" w:hAnsi="宋体" w:eastAsia="宋体" w:cs="宋体"/>
          <w:color w:val="auto"/>
          <w:sz w:val="24"/>
          <w:szCs w:val="24"/>
          <w:highlight w:val="none"/>
          <w:lang w:val="en-US" w:eastAsia="zh-CN"/>
        </w:rPr>
        <w:t>7-0201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通用合同条款</w:t>
      </w:r>
      <w:r>
        <w:rPr>
          <w:rFonts w:hint="eastAsia" w:ascii="宋体" w:hAnsi="宋体" w:eastAsia="宋体" w:cs="宋体"/>
          <w:color w:val="auto"/>
          <w:sz w:val="24"/>
          <w:szCs w:val="24"/>
          <w:highlight w:val="none"/>
        </w:rPr>
        <w:t>执行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详见湖南住房和建设网(www：hunanjs.gov.cn)。</w:t>
      </w:r>
    </w:p>
    <w:p w14:paraId="07DEFE71">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4D569771">
      <w:pPr>
        <w:pStyle w:val="3"/>
        <w:keepNext w:val="0"/>
        <w:keepLines w:val="0"/>
        <w:pageBreakBefore w:val="0"/>
        <w:widowControl w:val="0"/>
        <w:kinsoku/>
        <w:wordWrap/>
        <w:overflowPunct/>
        <w:topLinePunct w:val="0"/>
        <w:autoSpaceDE/>
        <w:bidi w:val="0"/>
        <w:adjustRightInd w:val="0"/>
        <w:snapToGrid w:val="0"/>
        <w:spacing w:before="0" w:after="0" w:line="360" w:lineRule="auto"/>
        <w:ind w:left="0" w:right="0" w:rightChars="0"/>
        <w:jc w:val="center"/>
        <w:textAlignment w:val="auto"/>
        <w:rPr>
          <w:rFonts w:hint="eastAsia" w:ascii="宋体" w:hAnsi="宋体" w:eastAsia="宋体" w:cs="宋体"/>
          <w:color w:val="auto"/>
          <w:highlight w:val="none"/>
        </w:rPr>
      </w:pPr>
      <w:bookmarkStart w:id="153" w:name="_Toc28462"/>
      <w:bookmarkStart w:id="154" w:name="_Toc14094"/>
      <w:r>
        <w:rPr>
          <w:rFonts w:hint="eastAsia" w:ascii="宋体" w:hAnsi="宋体" w:eastAsia="宋体" w:cs="宋体"/>
          <w:color w:val="auto"/>
          <w:highlight w:val="none"/>
        </w:rPr>
        <w:t>工程质量保修书</w:t>
      </w:r>
      <w:bookmarkEnd w:id="153"/>
      <w:bookmarkEnd w:id="154"/>
    </w:p>
    <w:p w14:paraId="05ABB90E">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采购人（采购人）：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古丈县古阳镇人民政府</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（甲方）</w:t>
      </w:r>
    </w:p>
    <w:p w14:paraId="12DCD8CF">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供应商（成交供应商）：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（乙方）</w:t>
      </w:r>
    </w:p>
    <w:p w14:paraId="20A2AEE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和</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根据《中华人民共和国建筑法》和《建设工程质量管理条例》，经协商一致就</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古丈县古阳镇柑子坪村通组公路硬化项目</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rPr>
        <w:t>签订工程质量保修书。</w:t>
      </w:r>
    </w:p>
    <w:p w14:paraId="1533204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一、工程质量保修范围和内容</w:t>
      </w:r>
    </w:p>
    <w:p w14:paraId="0EC953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承包人在质量保修期内，按照有关法律规定和合同约定，承担工程质量保修责任。</w:t>
      </w:r>
    </w:p>
    <w:p w14:paraId="4F647DB6">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59D1CA9A">
      <w:pPr>
        <w:adjustRightInd w:val="0"/>
        <w:snapToGrid w:val="0"/>
        <w:spacing w:line="360" w:lineRule="auto"/>
        <w:ind w:right="26" w:rightChars="11"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w:t>
      </w:r>
    </w:p>
    <w:p w14:paraId="22A4A645">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 xml:space="preserve">                                                             </w:t>
      </w:r>
    </w:p>
    <w:p w14:paraId="6254D4AD">
      <w:pPr>
        <w:adjustRightInd w:val="0"/>
        <w:snapToGrid w:val="0"/>
        <w:spacing w:line="360" w:lineRule="auto"/>
        <w:ind w:right="26" w:rightChars="1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F6221D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二、质量保修期</w:t>
      </w:r>
    </w:p>
    <w:p w14:paraId="40DCB4E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5FA103A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1．地基基础工程和主体结构工程为设计文件规定的工程合理使用年限；</w:t>
      </w:r>
    </w:p>
    <w:p w14:paraId="46F64E0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2.屋面防水工程、有防水要求的卫生间、房间和外墙面的防渗漏为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14:paraId="0938911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3．装修工程为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14:paraId="3AE6683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4.电气管线、给排水管道、设备安装工程为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14:paraId="23C9D01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5.供热与供冷系统为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个采暖期、供冷期；</w:t>
      </w:r>
    </w:p>
    <w:p w14:paraId="5B4C8B8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6.住宅小区内的给排水设施、道路等配套工程为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14:paraId="79BA80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7.其他项目保修期限约定如下：</w:t>
      </w:r>
      <w:r>
        <w:rPr>
          <w:rFonts w:hint="eastAsia" w:ascii="宋体" w:hAnsi="宋体" w:eastAsia="宋体" w:cs="宋体"/>
          <w:color w:val="auto"/>
          <w:sz w:val="24"/>
          <w:szCs w:val="24"/>
          <w:highlight w:val="none"/>
          <w:u w:val="single"/>
        </w:rPr>
        <w:t>根据国家相关规定执行</w:t>
      </w:r>
      <w:r>
        <w:rPr>
          <w:rFonts w:hint="eastAsia" w:ascii="宋体" w:hAnsi="宋体" w:eastAsia="宋体" w:cs="宋体"/>
          <w:color w:val="auto"/>
          <w:sz w:val="24"/>
          <w:szCs w:val="24"/>
          <w:highlight w:val="none"/>
        </w:rPr>
        <w:t>。</w:t>
      </w:r>
    </w:p>
    <w:p w14:paraId="151426C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质量保修期自工程竣工验收合格之日起计算。</w:t>
      </w:r>
    </w:p>
    <w:p w14:paraId="4D8D8F3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三、缺陷责任期</w:t>
      </w:r>
    </w:p>
    <w:p w14:paraId="7DA577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个月，缺陷责任期自工程通过竣工验收之日起计算。单位工程先于全部工程进行验收，单位工程缺陷责任期自单位工程验收合格之日起算。</w:t>
      </w:r>
    </w:p>
    <w:p w14:paraId="79FECD2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缺陷责任期终止后，发包人应退还剩余的质量保证金（质量保修金）。</w:t>
      </w:r>
    </w:p>
    <w:p w14:paraId="4070C13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四、质量保修责任</w:t>
      </w:r>
    </w:p>
    <w:p w14:paraId="418F7B5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1.属于保修范围、内容的项目，承包人应当在接到保修通知之日起7天内派人保修。承包人不在约定期限内派人保修的，发包人可以委托他人修理。</w:t>
      </w:r>
    </w:p>
    <w:p w14:paraId="0A7CF6F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2.发生紧急事故需抢修的，承包人在接到事故通知后，应当立即到达事故现场抢修。</w:t>
      </w:r>
    </w:p>
    <w:p w14:paraId="63CE02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对于涉及结构安全的质量问题，应当按照《建设工程质量管理条例》的规定，立即向当地建设行政主管部门和有关部门报告，采取安全防范措施，并由原设计人或者具有相应资质等级的设计人提出保修方案，承包人实施保修。 </w:t>
      </w:r>
    </w:p>
    <w:p w14:paraId="64AC367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4.质量保修完成后，由发包人组织验收。</w:t>
      </w:r>
    </w:p>
    <w:p w14:paraId="7AD3D2D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五、保修费用</w:t>
      </w:r>
    </w:p>
    <w:p w14:paraId="4102AD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保修费用由造成质量缺陷的责任方承担。</w:t>
      </w:r>
    </w:p>
    <w:p w14:paraId="389CB89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六、双方约定的其他工程质量保修事项：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85F216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p w14:paraId="26C002AE">
      <w:pPr>
        <w:pStyle w:val="8"/>
        <w:rPr>
          <w:rFonts w:hint="eastAsia" w:ascii="宋体" w:hAnsi="宋体" w:eastAsia="宋体" w:cs="宋体"/>
          <w:color w:val="auto"/>
          <w:highlight w:val="none"/>
        </w:rPr>
      </w:pP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00"/>
        <w:gridCol w:w="4700"/>
      </w:tblGrid>
      <w:tr w14:paraId="4C88E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36" w:hRule="atLeast"/>
        </w:trPr>
        <w:tc>
          <w:tcPr>
            <w:tcW w:w="2500" w:type="pct"/>
          </w:tcPr>
          <w:p w14:paraId="60E72806">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发包人：(公章)</w:t>
            </w:r>
          </w:p>
        </w:tc>
        <w:tc>
          <w:tcPr>
            <w:tcW w:w="2500" w:type="pct"/>
          </w:tcPr>
          <w:p w14:paraId="7BB3C2B5">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承包人：(公章)</w:t>
            </w:r>
          </w:p>
        </w:tc>
      </w:tr>
      <w:tr w14:paraId="0C92F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trPr>
        <w:tc>
          <w:tcPr>
            <w:tcW w:w="2500" w:type="pct"/>
          </w:tcPr>
          <w:p w14:paraId="21EE37AB">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签字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p w14:paraId="3A663727">
            <w:pPr>
              <w:pStyle w:val="8"/>
              <w:keepNext w:val="0"/>
              <w:keepLines w:val="0"/>
              <w:pageBreakBefore w:val="0"/>
              <w:widowControl w:val="0"/>
              <w:kinsoku/>
              <w:wordWrap/>
              <w:overflowPunct/>
              <w:topLinePunct w:val="0"/>
              <w:autoSpaceDE/>
              <w:autoSpaceDN/>
              <w:bidi w:val="0"/>
              <w:spacing w:after="0" w:afterLines="0" w:line="336"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u w:val="single"/>
                <w:lang w:val="en-US" w:eastAsia="zh-CN"/>
              </w:rPr>
              <w:t xml:space="preserve">                                         </w:t>
            </w:r>
          </w:p>
        </w:tc>
        <w:tc>
          <w:tcPr>
            <w:tcW w:w="2500" w:type="pct"/>
          </w:tcPr>
          <w:p w14:paraId="61182E92">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签字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p w14:paraId="3EFBC83A">
            <w:pPr>
              <w:pStyle w:val="8"/>
              <w:keepNext w:val="0"/>
              <w:keepLines w:val="0"/>
              <w:pageBreakBefore w:val="0"/>
              <w:widowControl w:val="0"/>
              <w:kinsoku/>
              <w:wordWrap/>
              <w:overflowPunct/>
              <w:topLinePunct w:val="0"/>
              <w:autoSpaceDE/>
              <w:autoSpaceDN/>
              <w:bidi w:val="0"/>
              <w:spacing w:after="0" w:afterLines="0" w:line="336" w:lineRule="auto"/>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u w:val="single"/>
                <w:lang w:val="en-US" w:eastAsia="zh-CN"/>
              </w:rPr>
              <w:t xml:space="preserve">                                             </w:t>
            </w:r>
          </w:p>
        </w:tc>
      </w:tr>
      <w:tr w14:paraId="214D5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500" w:type="pct"/>
          </w:tcPr>
          <w:p w14:paraId="3A1998E3">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c>
          <w:tcPr>
            <w:tcW w:w="2500" w:type="pct"/>
          </w:tcPr>
          <w:p w14:paraId="57A9F88C">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tc>
      </w:tr>
      <w:tr w14:paraId="00484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64CFC0CE">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3512AE79">
            <w:pPr>
              <w:pStyle w:val="8"/>
              <w:keepNext w:val="0"/>
              <w:keepLines w:val="0"/>
              <w:pageBreakBefore w:val="0"/>
              <w:widowControl w:val="0"/>
              <w:kinsoku/>
              <w:wordWrap/>
              <w:overflowPunct/>
              <w:topLinePunct w:val="0"/>
              <w:autoSpaceDE/>
              <w:autoSpaceDN/>
              <w:bidi w:val="0"/>
              <w:spacing w:after="0" w:afterLines="0" w:line="336" w:lineRule="auto"/>
              <w:textAlignment w:val="auto"/>
              <w:rPr>
                <w:rFonts w:hint="eastAsia" w:ascii="宋体" w:hAnsi="宋体" w:eastAsia="宋体" w:cs="宋体"/>
                <w:color w:val="auto"/>
                <w:highlight w:val="none"/>
                <w:u w:val="none"/>
                <w:lang w:val="en-US" w:eastAsia="zh-CN"/>
              </w:rPr>
            </w:pPr>
            <w:r>
              <w:rPr>
                <w:rFonts w:hint="eastAsia" w:ascii="宋体" w:hAnsi="宋体" w:eastAsia="宋体" w:cs="宋体"/>
                <w:color w:val="auto"/>
                <w:sz w:val="24"/>
                <w:szCs w:val="24"/>
                <w:highlight w:val="none"/>
                <w:u w:val="single"/>
                <w:lang w:val="en-US" w:eastAsia="zh-CN"/>
              </w:rPr>
              <w:t xml:space="preserve">                                             </w:t>
            </w:r>
          </w:p>
        </w:tc>
        <w:tc>
          <w:tcPr>
            <w:tcW w:w="2500" w:type="pct"/>
          </w:tcPr>
          <w:p w14:paraId="031BAB21">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7F427380">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u w:val="single"/>
                <w:lang w:val="en-US" w:eastAsia="zh-CN"/>
              </w:rPr>
              <w:t xml:space="preserve">                                             </w:t>
            </w:r>
          </w:p>
        </w:tc>
      </w:tr>
      <w:tr w14:paraId="47FC4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5C27A8AE">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tc>
        <w:tc>
          <w:tcPr>
            <w:tcW w:w="2500" w:type="pct"/>
          </w:tcPr>
          <w:p w14:paraId="794E1CA8">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r>
      <w:tr w14:paraId="2CFB5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46CE842B">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c>
          <w:tcPr>
            <w:tcW w:w="2500" w:type="pct"/>
          </w:tcPr>
          <w:p w14:paraId="1BF2DBD7">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r>
      <w:tr w14:paraId="699A4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3B928279">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tc>
        <w:tc>
          <w:tcPr>
            <w:tcW w:w="2500" w:type="pct"/>
          </w:tcPr>
          <w:p w14:paraId="7552C5A5">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r>
      <w:tr w14:paraId="1F287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5D2CF3F3">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tc>
        <w:tc>
          <w:tcPr>
            <w:tcW w:w="2500" w:type="pct"/>
          </w:tcPr>
          <w:p w14:paraId="69799097">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c>
      </w:tr>
      <w:tr w14:paraId="1F2AD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40C27BAA">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c>
          <w:tcPr>
            <w:tcW w:w="2500" w:type="pct"/>
          </w:tcPr>
          <w:p w14:paraId="12049340">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tc>
      </w:tr>
      <w:tr w14:paraId="04D70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6938297E">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7660E4B">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c>
          <w:tcPr>
            <w:tcW w:w="2500" w:type="pct"/>
          </w:tcPr>
          <w:p w14:paraId="0EAFFEB6">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64452AD">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tc>
      </w:tr>
      <w:tr w14:paraId="3F8A0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7A8EE3E5">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c>
          <w:tcPr>
            <w:tcW w:w="2500" w:type="pct"/>
          </w:tcPr>
          <w:p w14:paraId="6D376AA0">
            <w:pPr>
              <w:keepNext w:val="0"/>
              <w:keepLines w:val="0"/>
              <w:pageBreakBefore w:val="0"/>
              <w:widowControl w:val="0"/>
              <w:kinsoku/>
              <w:wordWrap/>
              <w:overflowPunct/>
              <w:topLinePunct w:val="0"/>
              <w:autoSpaceDE/>
              <w:autoSpaceDN/>
              <w:bidi w:val="0"/>
              <w:adjustRightInd w:val="0"/>
              <w:snapToGrid w:val="0"/>
              <w:spacing w:line="336" w:lineRule="auto"/>
              <w:jc w:val="both"/>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tc>
      </w:tr>
    </w:tbl>
    <w:p w14:paraId="4DB217E3">
      <w:pPr>
        <w:pStyle w:val="2"/>
        <w:keepNext w:val="0"/>
        <w:keepLines w:val="0"/>
        <w:pageBreakBefore w:val="0"/>
        <w:widowControl w:val="0"/>
        <w:kinsoku/>
        <w:overflowPunct/>
        <w:bidi w:val="0"/>
        <w:spacing w:before="0" w:after="0"/>
        <w:textAlignment w:val="auto"/>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155" w:name="_Toc12661"/>
      <w:bookmarkStart w:id="156" w:name="_Toc28676"/>
      <w:r>
        <w:rPr>
          <w:rFonts w:hint="eastAsia" w:ascii="宋体" w:hAnsi="宋体" w:eastAsia="宋体" w:cs="宋体"/>
          <w:color w:val="auto"/>
          <w:highlight w:val="none"/>
        </w:rPr>
        <w:t>第四章 采购需求</w:t>
      </w:r>
      <w:bookmarkEnd w:id="155"/>
      <w:bookmarkEnd w:id="156"/>
    </w:p>
    <w:p w14:paraId="71A061CF">
      <w:pPr>
        <w:bidi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一、项目名称：</w:t>
      </w:r>
      <w:r>
        <w:rPr>
          <w:rFonts w:hint="eastAsia" w:ascii="宋体" w:hAnsi="宋体" w:cs="宋体"/>
          <w:color w:val="auto"/>
          <w:sz w:val="24"/>
          <w:szCs w:val="24"/>
          <w:highlight w:val="none"/>
          <w:u w:val="none"/>
          <w:lang w:val="en-US" w:eastAsia="zh-CN"/>
        </w:rPr>
        <w:t>古丈县古阳镇柑子坪村通组公路硬化项目</w:t>
      </w:r>
    </w:p>
    <w:p w14:paraId="79F0E350">
      <w:pPr>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highlight w:val="none"/>
        </w:rPr>
        <w:t>建设单位：</w:t>
      </w:r>
      <w:r>
        <w:rPr>
          <w:rFonts w:hint="eastAsia" w:ascii="宋体" w:hAnsi="宋体" w:cs="宋体"/>
          <w:color w:val="auto"/>
          <w:sz w:val="24"/>
          <w:szCs w:val="24"/>
          <w:highlight w:val="none"/>
          <w:lang w:val="en-US" w:eastAsia="zh-CN"/>
        </w:rPr>
        <w:t>古丈县古阳镇人民政府</w:t>
      </w:r>
    </w:p>
    <w:p w14:paraId="6E0D6D3B">
      <w:pPr>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highlight w:val="none"/>
        </w:rPr>
        <w:t>建设内容：</w:t>
      </w:r>
    </w:p>
    <w:p w14:paraId="60F6C4DF">
      <w:pPr>
        <w:numPr>
          <w:ilvl w:val="0"/>
          <w:numId w:val="0"/>
        </w:numPr>
        <w:bidi w:val="0"/>
        <w:spacing w:line="360" w:lineRule="auto"/>
        <w:ind w:leftChars="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新建4.5米宽20cm厚C25混凝土硬化路2340米；新建3.5米宽20cm厚C25混凝土硬化路800米；新建路肩挡土墙3处以及混凝土排水沟等，具体</w:t>
      </w:r>
      <w:r>
        <w:rPr>
          <w:rFonts w:hint="eastAsia" w:ascii="宋体" w:hAnsi="宋体" w:cs="宋体"/>
          <w:color w:val="auto"/>
          <w:sz w:val="24"/>
          <w:highlight w:val="none"/>
          <w:lang w:val="en-US" w:eastAsia="zh-CN"/>
        </w:rPr>
        <w:t>内容详见工程量清单及</w:t>
      </w:r>
      <w:r>
        <w:rPr>
          <w:rFonts w:hint="eastAsia" w:ascii="宋体" w:hAnsi="宋体" w:eastAsia="宋体" w:cs="宋体"/>
          <w:color w:val="auto"/>
          <w:sz w:val="24"/>
          <w:highlight w:val="none"/>
          <w:lang w:val="en-US" w:eastAsia="zh-CN"/>
        </w:rPr>
        <w:t>施工图。</w:t>
      </w:r>
    </w:p>
    <w:p w14:paraId="53CCCAB7">
      <w:pPr>
        <w:numPr>
          <w:ilvl w:val="0"/>
          <w:numId w:val="0"/>
        </w:numPr>
        <w:bidi w:val="0"/>
        <w:spacing w:line="360" w:lineRule="auto"/>
        <w:ind w:leftChars="0"/>
        <w:rPr>
          <w:rFonts w:hint="eastAsia" w:ascii="宋体" w:hAnsi="宋体" w:eastAsia="宋体" w:cs="宋体"/>
          <w:b/>
          <w:bCs/>
          <w:color w:val="auto"/>
          <w:sz w:val="24"/>
          <w:highlight w:val="none"/>
          <w:u w:val="none"/>
        </w:rPr>
      </w:pPr>
      <w:r>
        <w:rPr>
          <w:rFonts w:hint="eastAsia" w:ascii="宋体" w:hAnsi="宋体" w:eastAsia="宋体" w:cs="宋体"/>
          <w:b/>
          <w:bCs/>
          <w:color w:val="auto"/>
          <w:sz w:val="24"/>
          <w:highlight w:val="none"/>
          <w:u w:val="none"/>
          <w:lang w:val="en-US" w:eastAsia="zh-CN"/>
        </w:rPr>
        <w:t>四、</w:t>
      </w:r>
      <w:r>
        <w:rPr>
          <w:rFonts w:hint="eastAsia" w:ascii="宋体" w:hAnsi="宋体" w:eastAsia="宋体" w:cs="宋体"/>
          <w:b/>
          <w:bCs/>
          <w:color w:val="auto"/>
          <w:sz w:val="24"/>
          <w:highlight w:val="none"/>
          <w:u w:val="none"/>
        </w:rPr>
        <w:t>承包方式：</w:t>
      </w:r>
    </w:p>
    <w:p w14:paraId="11A25B07">
      <w:pPr>
        <w:numPr>
          <w:ilvl w:val="0"/>
          <w:numId w:val="0"/>
        </w:numPr>
        <w:bidi w:val="0"/>
        <w:spacing w:line="360" w:lineRule="auto"/>
        <w:ind w:leftChars="0"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应按竞争性</w:t>
      </w:r>
      <w:r>
        <w:rPr>
          <w:rFonts w:hint="eastAsia" w:ascii="宋体" w:hAnsi="宋体" w:eastAsia="宋体" w:cs="宋体"/>
          <w:color w:val="auto"/>
          <w:sz w:val="24"/>
          <w:highlight w:val="none"/>
          <w:lang w:eastAsia="zh-CN"/>
        </w:rPr>
        <w:t>磋商文件</w:t>
      </w:r>
      <w:r>
        <w:rPr>
          <w:rFonts w:hint="eastAsia" w:ascii="宋体" w:hAnsi="宋体" w:eastAsia="宋体" w:cs="宋体"/>
          <w:color w:val="auto"/>
          <w:sz w:val="24"/>
          <w:highlight w:val="none"/>
        </w:rPr>
        <w:t>及施工规范等文件资料，结合现场实际情况进行响应，包工、包料、包质量、包工期、包安全文明施工、包验收</w:t>
      </w:r>
      <w:r>
        <w:rPr>
          <w:rFonts w:hint="eastAsia" w:ascii="宋体" w:hAnsi="宋体" w:eastAsia="宋体" w:cs="宋体"/>
          <w:color w:val="auto"/>
          <w:sz w:val="24"/>
          <w:highlight w:val="none"/>
          <w:lang w:val="en-US" w:eastAsia="zh-CN"/>
        </w:rPr>
        <w:t>等</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报价是全部费用，包括分部分项工程费、措施项目费、其他项目费、规费、利润和税金、材料设备的市场涨价风险等。其投标报价由</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根据自身企业综合实力、工程实际情况及市场因素，自行计算投标报价。</w:t>
      </w:r>
    </w:p>
    <w:p w14:paraId="7D5B2BD2">
      <w:pPr>
        <w:bidi w:val="0"/>
        <w:spacing w:line="360" w:lineRule="auto"/>
        <w:rPr>
          <w:rFonts w:hint="eastAsia" w:ascii="宋体" w:hAnsi="宋体" w:eastAsia="宋体" w:cs="宋体"/>
          <w:color w:val="auto"/>
          <w:sz w:val="24"/>
          <w:szCs w:val="24"/>
          <w:highlight w:val="none"/>
          <w:lang w:eastAsia="zh-CN"/>
        </w:rPr>
      </w:pPr>
      <w:bookmarkStart w:id="157" w:name="_Toc26484"/>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、工程量清单：</w:t>
      </w:r>
      <w:r>
        <w:rPr>
          <w:rFonts w:hint="eastAsia" w:ascii="宋体" w:hAnsi="宋体" w:eastAsia="宋体" w:cs="宋体"/>
          <w:b w:val="0"/>
          <w:bCs w:val="0"/>
          <w:color w:val="auto"/>
          <w:sz w:val="24"/>
          <w:szCs w:val="24"/>
          <w:highlight w:val="none"/>
          <w:lang w:val="en-US" w:eastAsia="zh-CN"/>
        </w:rPr>
        <w:t>详</w:t>
      </w:r>
      <w:r>
        <w:rPr>
          <w:rFonts w:hint="eastAsia" w:ascii="宋体" w:hAnsi="宋体" w:eastAsia="宋体" w:cs="宋体"/>
          <w:b w:val="0"/>
          <w:bCs w:val="0"/>
          <w:color w:val="auto"/>
          <w:sz w:val="24"/>
          <w:szCs w:val="24"/>
          <w:highlight w:val="none"/>
        </w:rPr>
        <w:t>见附件</w:t>
      </w:r>
      <w:r>
        <w:rPr>
          <w:rFonts w:hint="eastAsia" w:ascii="宋体" w:hAnsi="宋体" w:eastAsia="宋体" w:cs="宋体"/>
          <w:b w:val="0"/>
          <w:bCs w:val="0"/>
          <w:color w:val="auto"/>
          <w:sz w:val="24"/>
          <w:szCs w:val="24"/>
          <w:highlight w:val="none"/>
          <w:lang w:eastAsia="zh-CN"/>
        </w:rPr>
        <w:t>。</w:t>
      </w:r>
      <w:bookmarkEnd w:id="157"/>
    </w:p>
    <w:p w14:paraId="0DEFB280">
      <w:pPr>
        <w:numPr>
          <w:ilvl w:val="0"/>
          <w:numId w:val="0"/>
        </w:numPr>
        <w:bidi w:val="0"/>
        <w:spacing w:line="360" w:lineRule="auto"/>
        <w:ind w:leftChars="0"/>
        <w:rPr>
          <w:rFonts w:hint="eastAsia" w:ascii="宋体" w:hAnsi="宋体" w:eastAsia="宋体" w:cs="宋体"/>
          <w:b/>
          <w:bCs/>
          <w:color w:val="auto"/>
          <w:sz w:val="24"/>
          <w:highlight w:val="none"/>
          <w:lang w:val="en-US" w:eastAsia="zh-CN"/>
        </w:rPr>
      </w:pPr>
      <w:bookmarkStart w:id="158" w:name="_Toc28288"/>
      <w:bookmarkStart w:id="159" w:name="_Toc13844"/>
      <w:bookmarkStart w:id="160" w:name="_Toc20297"/>
      <w:r>
        <w:rPr>
          <w:rFonts w:hint="eastAsia" w:ascii="宋体" w:hAnsi="宋体" w:eastAsia="宋体" w:cs="宋体"/>
          <w:b/>
          <w:bCs/>
          <w:color w:val="auto"/>
          <w:sz w:val="24"/>
          <w:highlight w:val="none"/>
          <w:lang w:val="en-US" w:eastAsia="zh-CN"/>
        </w:rPr>
        <w:t>六、投标报价：</w:t>
      </w:r>
      <w:bookmarkEnd w:id="158"/>
      <w:bookmarkEnd w:id="159"/>
      <w:bookmarkEnd w:id="160"/>
    </w:p>
    <w:p w14:paraId="045E9240">
      <w:pPr>
        <w:numPr>
          <w:ilvl w:val="0"/>
          <w:numId w:val="0"/>
        </w:numPr>
        <w:bidi w:val="0"/>
        <w:spacing w:line="360" w:lineRule="auto"/>
        <w:ind w:leftChars="0" w:firstLine="480" w:firstLineChars="200"/>
        <w:rPr>
          <w:rFonts w:hint="eastAsia" w:ascii="宋体" w:hAnsi="宋体" w:eastAsia="宋体" w:cs="宋体"/>
          <w:color w:val="auto"/>
          <w:sz w:val="24"/>
          <w:highlight w:val="none"/>
        </w:rPr>
      </w:pPr>
      <w:bookmarkStart w:id="161" w:name="_Toc11341"/>
      <w:bookmarkStart w:id="162" w:name="_Toc17485"/>
      <w:bookmarkStart w:id="163" w:name="_Toc5444"/>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投标人</w:t>
      </w:r>
      <w:r>
        <w:rPr>
          <w:rFonts w:hint="eastAsia" w:ascii="宋体" w:hAnsi="宋体" w:eastAsia="宋体" w:cs="宋体"/>
          <w:color w:val="auto"/>
          <w:sz w:val="24"/>
          <w:highlight w:val="none"/>
        </w:rPr>
        <w:t>对本项目的总报价最高不超过预算价</w:t>
      </w:r>
      <w:r>
        <w:rPr>
          <w:rFonts w:hint="eastAsia" w:ascii="宋体" w:hAnsi="宋体" w:eastAsia="宋体" w:cs="宋体"/>
          <w:color w:val="auto"/>
          <w:sz w:val="24"/>
          <w:highlight w:val="none"/>
          <w:lang w:val="en-US" w:eastAsia="zh-CN"/>
        </w:rPr>
        <w:t>和最高限价</w:t>
      </w:r>
      <w:r>
        <w:rPr>
          <w:rFonts w:hint="eastAsia" w:ascii="宋体" w:hAnsi="宋体" w:eastAsia="宋体" w:cs="宋体"/>
          <w:color w:val="auto"/>
          <w:sz w:val="24"/>
          <w:highlight w:val="none"/>
        </w:rPr>
        <w:t>，否则其投标将被视为无效投标；评标委员会认为</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的报价明显低于其他通过资格审查</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的报价，有可能影响</w:t>
      </w:r>
      <w:r>
        <w:rPr>
          <w:rFonts w:hint="eastAsia" w:ascii="宋体" w:hAnsi="宋体" w:eastAsia="宋体" w:cs="宋体"/>
          <w:color w:val="auto"/>
          <w:sz w:val="24"/>
          <w:highlight w:val="none"/>
          <w:lang w:val="en-US" w:eastAsia="zh-CN"/>
        </w:rPr>
        <w:t>工程</w:t>
      </w:r>
      <w:r>
        <w:rPr>
          <w:rFonts w:hint="eastAsia" w:ascii="宋体" w:hAnsi="宋体" w:eastAsia="宋体" w:cs="宋体"/>
          <w:color w:val="auto"/>
          <w:sz w:val="24"/>
          <w:highlight w:val="none"/>
        </w:rPr>
        <w:t>质量或者不能诚信履约</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应启动以下程序</w:t>
      </w:r>
      <w:r>
        <w:rPr>
          <w:rFonts w:hint="eastAsia" w:ascii="宋体" w:hAnsi="宋体" w:eastAsia="宋体" w:cs="宋体"/>
          <w:color w:val="auto"/>
          <w:sz w:val="24"/>
          <w:highlight w:val="none"/>
        </w:rPr>
        <w:t>。</w:t>
      </w:r>
      <w:bookmarkEnd w:id="161"/>
      <w:bookmarkEnd w:id="162"/>
      <w:bookmarkStart w:id="164" w:name="_Toc25872"/>
      <w:bookmarkStart w:id="165" w:name="_Toc15401"/>
    </w:p>
    <w:p w14:paraId="476F419E">
      <w:pPr>
        <w:keepNext w:val="0"/>
        <w:keepLines w:val="0"/>
        <w:pageBreakBefore w:val="0"/>
        <w:kinsoku/>
        <w:wordWrap/>
        <w:overflowPunct/>
        <w:topLinePunct w:val="0"/>
        <w:autoSpaceDE/>
        <w:autoSpaceDN/>
        <w:bidi w:val="0"/>
        <w:spacing w:line="360" w:lineRule="auto"/>
        <w:ind w:firstLine="420" w:firstLineChars="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（1）若投标供应商的报价超过最高限价，则为无效报价，按无效投标处理；</w:t>
      </w:r>
    </w:p>
    <w:p w14:paraId="154DA80A">
      <w:pPr>
        <w:keepNext w:val="0"/>
        <w:keepLines w:val="0"/>
        <w:pageBreakBefore w:val="0"/>
        <w:kinsoku/>
        <w:wordWrap/>
        <w:overflowPunct/>
        <w:topLinePunct w:val="0"/>
        <w:autoSpaceDE/>
        <w:autoSpaceDN/>
        <w:bidi w:val="0"/>
        <w:spacing w:line="360" w:lineRule="auto"/>
        <w:ind w:firstLine="420" w:firstLineChars="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评标委员会认为投标供应商的报价明显低于其他通过资格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p w14:paraId="307B74FC">
      <w:pPr>
        <w:keepNext w:val="0"/>
        <w:keepLines w:val="0"/>
        <w:pageBreakBefore w:val="0"/>
        <w:kinsoku/>
        <w:wordWrap/>
        <w:overflowPunct/>
        <w:topLinePunct w:val="0"/>
        <w:autoSpaceDE/>
        <w:autoSpaceDN/>
        <w:bidi w:val="0"/>
        <w:spacing w:line="360" w:lineRule="auto"/>
        <w:ind w:firstLine="420" w:firstLineChars="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（3）评审中出现下列情形之一的，评审委员会应当启动异常低价投标（响应）审查程序：</w:t>
      </w:r>
    </w:p>
    <w:p w14:paraId="76E18CE2">
      <w:pPr>
        <w:keepNext w:val="0"/>
        <w:keepLines w:val="0"/>
        <w:pageBreakBefore w:val="0"/>
        <w:kinsoku/>
        <w:wordWrap/>
        <w:overflowPunct/>
        <w:topLinePunct w:val="0"/>
        <w:autoSpaceDE/>
        <w:autoSpaceDN/>
        <w:bidi w:val="0"/>
        <w:spacing w:line="360" w:lineRule="auto"/>
        <w:ind w:firstLine="720" w:firstLineChars="3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①投标（响应）报价低于全部通过符合性审查供应商投标（响应）报价平均值50%的，即投标（响应）报价小于全部通过符合性审查供应商投标（响应）报价平均值×50%；</w:t>
      </w:r>
    </w:p>
    <w:p w14:paraId="034C5802">
      <w:pPr>
        <w:keepNext w:val="0"/>
        <w:keepLines w:val="0"/>
        <w:pageBreakBefore w:val="0"/>
        <w:kinsoku/>
        <w:wordWrap/>
        <w:overflowPunct/>
        <w:topLinePunct w:val="0"/>
        <w:autoSpaceDE/>
        <w:autoSpaceDN/>
        <w:bidi w:val="0"/>
        <w:spacing w:line="360" w:lineRule="auto"/>
        <w:ind w:firstLine="720" w:firstLineChars="3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②投标（响应）报价低于通过符合性审查的次低报价供应商投标（响应）报价50%的，即投标（响应）报价小于通过符合性审查的次低报价供应商投标（响应）报价×50%；</w:t>
      </w:r>
    </w:p>
    <w:p w14:paraId="0712D538">
      <w:pPr>
        <w:keepNext w:val="0"/>
        <w:keepLines w:val="0"/>
        <w:pageBreakBefore w:val="0"/>
        <w:kinsoku/>
        <w:wordWrap/>
        <w:overflowPunct/>
        <w:topLinePunct w:val="0"/>
        <w:autoSpaceDE/>
        <w:autoSpaceDN/>
        <w:bidi w:val="0"/>
        <w:spacing w:line="360" w:lineRule="auto"/>
        <w:ind w:firstLine="720" w:firstLineChars="3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③投标（响应）报价低于采购项目最高限价50%的，即投标（响应）报价小于采购项目最高限价×50%；</w:t>
      </w:r>
    </w:p>
    <w:p w14:paraId="5139C810">
      <w:pPr>
        <w:keepNext w:val="0"/>
        <w:keepLines w:val="0"/>
        <w:pageBreakBefore w:val="0"/>
        <w:kinsoku/>
        <w:wordWrap/>
        <w:overflowPunct/>
        <w:topLinePunct w:val="0"/>
        <w:autoSpaceDE/>
        <w:autoSpaceDN/>
        <w:bidi w:val="0"/>
        <w:spacing w:line="360" w:lineRule="auto"/>
        <w:ind w:firstLine="720" w:firstLineChars="3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④评审委员会基于专业判断，认为供应商报价过低，有可能影响产品质量或者不能诚信履约的其他情形。</w:t>
      </w:r>
    </w:p>
    <w:p w14:paraId="2992574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CED1FE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987BFE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6179FF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总报价包括所需项目的所有材料费、税费、运输费、安装及调试费、建人工费、装卸费、保险费、付款方式导致的资金占用利息费、产品质量验收检测所需的一切费用、其它相关服务及售后服务费等，如一旦成交，在项目实施中出现任何遗漏，均由成交供应商免费提供，采购人不再另行支付任何费用。</w:t>
      </w:r>
      <w:bookmarkEnd w:id="164"/>
      <w:bookmarkEnd w:id="165"/>
    </w:p>
    <w:p w14:paraId="514727B8">
      <w:pPr>
        <w:bidi w:val="0"/>
        <w:spacing w:line="360" w:lineRule="auto"/>
        <w:rPr>
          <w:rFonts w:hint="eastAsia" w:ascii="宋体" w:hAnsi="宋体" w:eastAsia="宋体" w:cs="宋体"/>
          <w:b/>
          <w:bCs/>
          <w:color w:val="auto"/>
          <w:sz w:val="24"/>
          <w:szCs w:val="24"/>
          <w:highlight w:val="none"/>
          <w:lang w:val="en-US" w:eastAsia="zh-CN"/>
        </w:rPr>
      </w:pPr>
      <w:bookmarkStart w:id="166" w:name="_Toc19774"/>
      <w:bookmarkStart w:id="167" w:name="_Toc1317"/>
      <w:r>
        <w:rPr>
          <w:rFonts w:hint="eastAsia" w:ascii="宋体" w:hAnsi="宋体" w:eastAsia="宋体" w:cs="宋体"/>
          <w:b/>
          <w:bCs/>
          <w:color w:val="auto"/>
          <w:sz w:val="24"/>
          <w:szCs w:val="24"/>
          <w:highlight w:val="none"/>
          <w:lang w:val="en-US" w:eastAsia="zh-CN"/>
        </w:rPr>
        <w:t>七、工期及</w:t>
      </w:r>
      <w:r>
        <w:rPr>
          <w:rFonts w:hint="eastAsia" w:ascii="宋体" w:hAnsi="宋体" w:eastAsia="宋体" w:cs="宋体"/>
          <w:b/>
          <w:bCs/>
          <w:color w:val="auto"/>
          <w:sz w:val="24"/>
          <w:szCs w:val="24"/>
          <w:highlight w:val="none"/>
        </w:rPr>
        <w:t>质量要求：</w:t>
      </w:r>
      <w:bookmarkEnd w:id="166"/>
      <w:bookmarkEnd w:id="167"/>
    </w:p>
    <w:p w14:paraId="0165F85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Cs/>
          <w:color w:val="auto"/>
          <w:sz w:val="24"/>
          <w:szCs w:val="24"/>
        </w:rPr>
      </w:pPr>
      <w:bookmarkStart w:id="168" w:name="_Toc8278"/>
      <w:bookmarkStart w:id="169" w:name="_Toc17380"/>
      <w:bookmarkStart w:id="170" w:name="_Toc4296"/>
      <w:r>
        <w:rPr>
          <w:rFonts w:hint="eastAsia" w:ascii="宋体" w:hAnsi="宋体" w:eastAsia="宋体" w:cs="宋体"/>
          <w:bCs/>
          <w:color w:val="auto"/>
          <w:sz w:val="24"/>
          <w:szCs w:val="24"/>
        </w:rPr>
        <w:t>1、工期</w:t>
      </w:r>
      <w:r>
        <w:rPr>
          <w:rFonts w:hint="eastAsia" w:ascii="宋体" w:hAnsi="宋体" w:eastAsia="宋体" w:cs="宋体"/>
          <w:bCs/>
          <w:color w:val="auto"/>
          <w:sz w:val="24"/>
          <w:szCs w:val="24"/>
          <w:lang w:val="en-US" w:eastAsia="zh-CN"/>
        </w:rPr>
        <w:t>要求</w:t>
      </w:r>
      <w:r>
        <w:rPr>
          <w:rFonts w:hint="eastAsia" w:ascii="宋体" w:hAnsi="宋体" w:eastAsia="宋体" w:cs="宋体"/>
          <w:bCs/>
          <w:color w:val="auto"/>
          <w:sz w:val="24"/>
          <w:szCs w:val="24"/>
        </w:rPr>
        <w:t>：</w:t>
      </w:r>
      <w:r>
        <w:rPr>
          <w:rFonts w:hint="eastAsia" w:ascii="宋体" w:hAnsi="宋体" w:eastAsia="宋体" w:cs="宋体"/>
          <w:bCs/>
          <w:color w:val="auto"/>
          <w:sz w:val="24"/>
          <w:szCs w:val="24"/>
          <w:u w:val="single"/>
          <w:lang w:eastAsia="zh-CN"/>
        </w:rPr>
        <w:t>采购合同签订起45日历天工程竣工验收备案</w:t>
      </w:r>
      <w:r>
        <w:rPr>
          <w:rFonts w:hint="eastAsia" w:ascii="宋体" w:hAnsi="宋体" w:eastAsia="宋体" w:cs="宋体"/>
          <w:bCs/>
          <w:color w:val="auto"/>
          <w:sz w:val="24"/>
          <w:szCs w:val="24"/>
          <w:u w:val="single"/>
        </w:rPr>
        <w:t>。</w:t>
      </w:r>
      <w:bookmarkEnd w:id="168"/>
      <w:bookmarkEnd w:id="169"/>
      <w:bookmarkEnd w:id="170"/>
    </w:p>
    <w:p w14:paraId="1B1BAD7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Cs/>
          <w:color w:val="auto"/>
          <w:sz w:val="24"/>
          <w:szCs w:val="24"/>
          <w:u w:val="none"/>
          <w:lang w:eastAsia="zh-CN"/>
        </w:rPr>
      </w:pPr>
      <w:bookmarkStart w:id="171" w:name="_Toc871"/>
      <w:bookmarkStart w:id="172" w:name="_Toc1824"/>
      <w:bookmarkStart w:id="173" w:name="_Toc5911"/>
      <w:r>
        <w:rPr>
          <w:rFonts w:hint="eastAsia" w:ascii="宋体" w:hAnsi="宋体" w:eastAsia="宋体" w:cs="宋体"/>
          <w:bCs/>
          <w:color w:val="auto"/>
          <w:sz w:val="24"/>
          <w:szCs w:val="24"/>
          <w:u w:val="none"/>
          <w:lang w:val="en-US" w:eastAsia="zh-CN"/>
        </w:rPr>
        <w:t>2</w:t>
      </w:r>
      <w:r>
        <w:rPr>
          <w:rFonts w:hint="eastAsia" w:ascii="宋体" w:hAnsi="宋体" w:eastAsia="宋体" w:cs="宋体"/>
          <w:bCs/>
          <w:color w:val="auto"/>
          <w:sz w:val="24"/>
          <w:szCs w:val="24"/>
          <w:u w:val="none"/>
          <w:lang w:eastAsia="zh-CN"/>
        </w:rPr>
        <w:t>、质量标准：</w:t>
      </w:r>
      <w:r>
        <w:rPr>
          <w:rFonts w:hint="eastAsia" w:ascii="宋体" w:hAnsi="宋体" w:eastAsia="宋体" w:cs="宋体"/>
          <w:bCs/>
          <w:color w:val="auto"/>
          <w:sz w:val="24"/>
          <w:szCs w:val="24"/>
          <w:u w:val="single"/>
          <w:lang w:eastAsia="zh-CN"/>
        </w:rPr>
        <w:t>符合《工程施工质量验收规范》要求验收合格。</w:t>
      </w:r>
      <w:bookmarkEnd w:id="163"/>
      <w:bookmarkEnd w:id="171"/>
      <w:bookmarkEnd w:id="172"/>
      <w:bookmarkEnd w:id="173"/>
    </w:p>
    <w:p w14:paraId="0A30D851">
      <w:pPr>
        <w:bidi w:val="0"/>
        <w:spacing w:line="360" w:lineRule="auto"/>
        <w:rPr>
          <w:rFonts w:hint="eastAsia" w:ascii="宋体" w:hAnsi="宋体" w:eastAsia="宋体" w:cs="宋体"/>
          <w:b/>
          <w:bCs/>
          <w:color w:val="auto"/>
          <w:sz w:val="24"/>
          <w:szCs w:val="24"/>
          <w:highlight w:val="none"/>
          <w:lang w:val="en-US" w:eastAsia="zh-CN"/>
        </w:rPr>
      </w:pPr>
      <w:bookmarkStart w:id="174" w:name="_Toc20740"/>
      <w:r>
        <w:rPr>
          <w:rFonts w:hint="eastAsia" w:ascii="宋体" w:hAnsi="宋体" w:eastAsia="宋体" w:cs="宋体"/>
          <w:b/>
          <w:bCs/>
          <w:color w:val="auto"/>
          <w:sz w:val="24"/>
          <w:szCs w:val="24"/>
          <w:highlight w:val="none"/>
          <w:lang w:val="en-US" w:eastAsia="zh-CN"/>
        </w:rPr>
        <w:t>八、</w:t>
      </w:r>
      <w:bookmarkStart w:id="175" w:name="_Toc11756"/>
      <w:r>
        <w:rPr>
          <w:rFonts w:hint="eastAsia" w:ascii="宋体" w:hAnsi="宋体" w:eastAsia="宋体" w:cs="宋体"/>
          <w:b/>
          <w:bCs/>
          <w:color w:val="auto"/>
          <w:sz w:val="24"/>
          <w:szCs w:val="24"/>
          <w:highlight w:val="none"/>
          <w:lang w:val="en-US" w:eastAsia="zh-CN"/>
        </w:rPr>
        <w:t>项目实施要求：</w:t>
      </w:r>
      <w:bookmarkEnd w:id="174"/>
      <w:bookmarkEnd w:id="175"/>
    </w:p>
    <w:p w14:paraId="538153E9">
      <w:pPr>
        <w:pStyle w:val="8"/>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1、项目人员配置：</w:t>
      </w:r>
      <w:r>
        <w:rPr>
          <w:rFonts w:hint="eastAsia" w:ascii="宋体" w:hAnsi="宋体" w:eastAsia="宋体" w:cs="宋体"/>
          <w:color w:val="auto"/>
          <w:sz w:val="24"/>
          <w:szCs w:val="24"/>
          <w:highlight w:val="none"/>
          <w:lang w:val="en-US" w:eastAsia="zh-CN"/>
        </w:rPr>
        <w:t>待项目成交后，成交供应商需</w:t>
      </w:r>
      <w:r>
        <w:rPr>
          <w:rFonts w:hint="eastAsia" w:ascii="宋体" w:hAnsi="宋体" w:eastAsia="宋体" w:cs="宋体"/>
          <w:color w:val="auto"/>
          <w:sz w:val="24"/>
          <w:szCs w:val="24"/>
          <w:highlight w:val="none"/>
        </w:rPr>
        <w:t>按照湘建建〔2020〕208号文件要求配备建设工程施工项目部关键岗位人员，施工项目部关键岗位人员不得同时在其他建设工程项目中任职。</w:t>
      </w:r>
    </w:p>
    <w:p w14:paraId="779A64E8">
      <w:pPr>
        <w:spacing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项目负责人、技术负责人、专职安全员原则上不得更换人员，如因特殊情况需要更换人员的，必须经过采购人的同意方可更换。</w:t>
      </w:r>
    </w:p>
    <w:p w14:paraId="43AB6BE4">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、建筑材料运输、保管及保险：</w:t>
      </w:r>
    </w:p>
    <w:p w14:paraId="09B4D707">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.1成交供应商负责建筑材料到施工地点的全部运输，包括装卸及现场搬运等。</w:t>
      </w:r>
    </w:p>
    <w:p w14:paraId="0ABD66D3">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.2成交供应商负责建筑材料在施工地点的保管，直至项目验收合格。</w:t>
      </w:r>
    </w:p>
    <w:p w14:paraId="10F8AA65">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.3成交供应商负责其派出的施工人员的人身意外保险。</w:t>
      </w:r>
    </w:p>
    <w:p w14:paraId="6D22A773">
      <w:pPr>
        <w:spacing w:line="400" w:lineRule="exact"/>
        <w:ind w:right="26" w:rightChars="11"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、施工要求：</w:t>
      </w:r>
    </w:p>
    <w:p w14:paraId="7C958EC9">
      <w:pPr>
        <w:spacing w:line="400" w:lineRule="exact"/>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.1成交供应商须加强施工的组织管理，所有施工人员须遵守文明安全施工的有关规章制度，持证上岗。</w:t>
      </w:r>
    </w:p>
    <w:p w14:paraId="40FD43B5">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.2项目实施具体地点和范围及相关资料由采购人提供和确认。</w:t>
      </w:r>
    </w:p>
    <w:p w14:paraId="7D77D322">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、验收要求：</w:t>
      </w:r>
      <w:r>
        <w:rPr>
          <w:rFonts w:hint="eastAsia" w:ascii="宋体" w:hAnsi="宋体" w:eastAsia="宋体" w:cs="宋体"/>
          <w:color w:val="auto"/>
          <w:sz w:val="24"/>
          <w:szCs w:val="24"/>
          <w:highlight w:val="none"/>
        </w:rPr>
        <w:t>由采购人组织验收。</w:t>
      </w:r>
    </w:p>
    <w:p w14:paraId="34114453">
      <w:pPr>
        <w:spacing w:line="360" w:lineRule="auto"/>
        <w:ind w:right="26" w:rightChars="11"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、质量要求：</w:t>
      </w:r>
    </w:p>
    <w:p w14:paraId="3BEDB326">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.1本工程质量符合《工程施工质量验收规范》要求验收合格。</w:t>
      </w:r>
    </w:p>
    <w:p w14:paraId="70CF5360">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.2施工期间，应接受采购人的监督管理，遵守有关规定。</w:t>
      </w:r>
    </w:p>
    <w:p w14:paraId="23160269">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.3质量保修：</w:t>
      </w:r>
      <w:r>
        <w:rPr>
          <w:rFonts w:hint="eastAsia" w:ascii="宋体" w:hAnsi="宋体" w:eastAsia="宋体" w:cs="宋体"/>
          <w:b/>
          <w:bCs/>
          <w:color w:val="auto"/>
          <w:sz w:val="24"/>
          <w:szCs w:val="24"/>
          <w:highlight w:val="none"/>
          <w:u w:val="single"/>
        </w:rPr>
        <w:t>保修期一年</w:t>
      </w:r>
      <w:r>
        <w:rPr>
          <w:rFonts w:hint="eastAsia" w:ascii="宋体" w:hAnsi="宋体" w:eastAsia="宋体" w:cs="宋体"/>
          <w:color w:val="auto"/>
          <w:sz w:val="24"/>
          <w:szCs w:val="24"/>
          <w:highlight w:val="none"/>
        </w:rPr>
        <w:t>，保修期间进场维修，保证无偿修理完好，否则，由采购人安排维修，维修费在质保金中双倍扣除。</w:t>
      </w:r>
    </w:p>
    <w:p w14:paraId="2C9B822F">
      <w:pPr>
        <w:spacing w:line="360" w:lineRule="auto"/>
        <w:ind w:right="26" w:rightChars="11" w:firstLine="4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6.4工程质量保修期内，从接到业主保修通知之时起，总承包单位维修人员8小时内到达现场检查情况；在业主发出要求修补指示后，24小时内进行并完成修补；对生命财产有危险的紧急事件以及涉及结构安全或严重影响使用功能及运行操作的紧急抢修事故，在接到保修通知后，应立即到达现场抢修处理；保修工作以业主满意为原则。</w:t>
      </w:r>
    </w:p>
    <w:p w14:paraId="1EB91C34">
      <w:pPr>
        <w:spacing w:line="360" w:lineRule="auto"/>
        <w:ind w:right="26" w:rightChars="11" w:firstLine="42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7、逾期交工：</w:t>
      </w:r>
      <w:r>
        <w:rPr>
          <w:rFonts w:hint="eastAsia" w:ascii="宋体" w:hAnsi="宋体" w:eastAsia="宋体" w:cs="宋体"/>
          <w:color w:val="auto"/>
          <w:sz w:val="24"/>
          <w:szCs w:val="24"/>
          <w:highlight w:val="none"/>
          <w:u w:val="single"/>
          <w:lang w:val="en-US" w:eastAsia="zh-CN"/>
        </w:rPr>
        <w:t>按合同约定</w:t>
      </w:r>
      <w:r>
        <w:rPr>
          <w:rFonts w:hint="eastAsia" w:ascii="宋体" w:hAnsi="宋体" w:eastAsia="宋体" w:cs="宋体"/>
          <w:color w:val="auto"/>
          <w:sz w:val="24"/>
          <w:szCs w:val="24"/>
          <w:highlight w:val="none"/>
          <w:lang w:val="en-US" w:eastAsia="zh-CN"/>
        </w:rPr>
        <w:t>。</w:t>
      </w:r>
    </w:p>
    <w:p w14:paraId="461D97AE">
      <w:pPr>
        <w:adjustRightInd w:val="0"/>
        <w:snapToGrid w:val="0"/>
        <w:spacing w:line="360" w:lineRule="auto"/>
        <w:ind w:right="26" w:rightChars="11"/>
        <w:rPr>
          <w:rFonts w:hint="eastAsia" w:ascii="宋体" w:hAnsi="宋体" w:eastAsia="宋体" w:cs="宋体"/>
          <w:b/>
          <w:bCs/>
          <w:color w:val="auto"/>
          <w:sz w:val="24"/>
          <w:szCs w:val="24"/>
          <w:highlight w:val="none"/>
        </w:rPr>
      </w:pPr>
      <w:bookmarkStart w:id="176" w:name="_Toc225336551"/>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、项目特别说明</w:t>
      </w:r>
      <w:bookmarkEnd w:id="176"/>
      <w:r>
        <w:rPr>
          <w:rFonts w:hint="eastAsia" w:ascii="宋体" w:hAnsi="宋体" w:eastAsia="宋体" w:cs="宋体"/>
          <w:b/>
          <w:bCs/>
          <w:color w:val="auto"/>
          <w:sz w:val="24"/>
          <w:szCs w:val="24"/>
          <w:highlight w:val="none"/>
        </w:rPr>
        <w:t>:</w:t>
      </w:r>
    </w:p>
    <w:p w14:paraId="07D0E4DF">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
          <w:bCs/>
          <w:color w:val="auto"/>
          <w:sz w:val="24"/>
          <w:szCs w:val="24"/>
          <w:highlight w:val="none"/>
        </w:rPr>
        <w:t>实施时间及地点:</w:t>
      </w:r>
    </w:p>
    <w:p w14:paraId="153C00EB">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1.1实施时间：成交供应商在收到采购人开工通知之日起，15个日历日内材料及施工人员进场。</w:t>
      </w:r>
    </w:p>
    <w:p w14:paraId="3B75448F">
      <w:pPr>
        <w:adjustRightInd w:val="0"/>
        <w:snapToGrid w:val="0"/>
        <w:spacing w:line="360" w:lineRule="auto"/>
        <w:ind w:right="26" w:rightChars="11"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1.2实施地点：采购人指定地点</w:t>
      </w:r>
      <w:r>
        <w:rPr>
          <w:rFonts w:hint="eastAsia" w:ascii="宋体" w:hAnsi="宋体" w:eastAsia="宋体" w:cs="宋体"/>
          <w:color w:val="auto"/>
          <w:sz w:val="24"/>
          <w:szCs w:val="24"/>
          <w:highlight w:val="none"/>
          <w:lang w:eastAsia="zh-CN"/>
        </w:rPr>
        <w:t>。</w:t>
      </w:r>
    </w:p>
    <w:p w14:paraId="37D7D5BA">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b/>
          <w:bCs/>
          <w:color w:val="auto"/>
          <w:sz w:val="24"/>
          <w:szCs w:val="24"/>
          <w:highlight w:val="none"/>
        </w:rPr>
        <w:t>结算方法:</w:t>
      </w:r>
    </w:p>
    <w:p w14:paraId="2DC99A09">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2.1支付方式：</w:t>
      </w:r>
      <w:r>
        <w:rPr>
          <w:rFonts w:hint="eastAsia" w:ascii="宋体" w:hAnsi="宋体" w:eastAsia="宋体" w:cs="宋体"/>
          <w:color w:val="auto"/>
          <w:sz w:val="24"/>
          <w:szCs w:val="24"/>
          <w:highlight w:val="none"/>
          <w:u w:val="single"/>
        </w:rPr>
        <w:t>银行电汇</w:t>
      </w:r>
      <w:r>
        <w:rPr>
          <w:rFonts w:hint="eastAsia" w:ascii="宋体" w:hAnsi="宋体" w:eastAsia="宋体" w:cs="宋体"/>
          <w:color w:val="auto"/>
          <w:sz w:val="24"/>
          <w:szCs w:val="24"/>
          <w:highlight w:val="none"/>
        </w:rPr>
        <w:t>。</w:t>
      </w:r>
    </w:p>
    <w:p w14:paraId="7161B838">
      <w:pPr>
        <w:pStyle w:val="7"/>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2.2付款方式：</w:t>
      </w:r>
      <w:r>
        <w:rPr>
          <w:rFonts w:hint="eastAsia" w:ascii="宋体" w:hAnsi="宋体" w:cs="宋体"/>
          <w:color w:val="auto"/>
          <w:sz w:val="24"/>
          <w:highlight w:val="none"/>
          <w:u w:val="single"/>
          <w:lang w:val="en-US" w:eastAsia="zh-CN"/>
        </w:rPr>
        <w:t>整体工程实施完成70%可支付进度款，支付进度款比例以完成工程量的80%，支付合同总金额的30％，审计结算完成后支付至合同总金额的97％，预留3%作为质保金，待工程交付使用保修期完成后（无质量及其他经济法律纠纷）不计息付清</w:t>
      </w:r>
      <w:r>
        <w:rPr>
          <w:rFonts w:hint="eastAsia" w:ascii="宋体" w:hAnsi="宋体" w:eastAsia="宋体" w:cs="宋体"/>
          <w:color w:val="auto"/>
          <w:sz w:val="24"/>
          <w:highlight w:val="none"/>
          <w:u w:val="none"/>
        </w:rPr>
        <w:t>。</w:t>
      </w:r>
    </w:p>
    <w:p w14:paraId="780D0E25">
      <w:pPr>
        <w:pStyle w:val="7"/>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本项目中标金额不能作为总价包干依据，最终结算价以审定金额为准。成交供应商应根据项目要求和现场情况，应详细列明项目所需的设备、材料以及人工、管理、财务等所有费用，采购人不再另行支付任何费用。</w:t>
      </w:r>
    </w:p>
    <w:p w14:paraId="6CA6AFF4">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r>
        <w:rPr>
          <w:rFonts w:hint="eastAsia" w:ascii="宋体" w:hAnsi="宋体" w:eastAsia="宋体" w:cs="宋体"/>
          <w:b/>
          <w:bCs/>
          <w:color w:val="auto"/>
          <w:sz w:val="24"/>
          <w:szCs w:val="24"/>
          <w:highlight w:val="none"/>
        </w:rPr>
        <w:t>工程变更:</w:t>
      </w:r>
    </w:p>
    <w:p w14:paraId="5FDA6654">
      <w:pPr>
        <w:spacing w:line="360" w:lineRule="auto"/>
        <w:ind w:right="26" w:rightChars="11" w:firstLine="420"/>
        <w:rPr>
          <w:rFonts w:hint="eastAsia" w:ascii="宋体" w:hAnsi="宋体" w:eastAsia="宋体" w:cs="宋体"/>
          <w:color w:val="auto"/>
          <w:spacing w:val="-4"/>
          <w:sz w:val="24"/>
          <w:szCs w:val="24"/>
          <w:highlight w:val="none"/>
        </w:rPr>
      </w:pPr>
      <w:r>
        <w:rPr>
          <w:rFonts w:hint="eastAsia" w:ascii="宋体" w:hAnsi="宋体" w:eastAsia="宋体" w:cs="宋体"/>
          <w:color w:val="auto"/>
          <w:sz w:val="24"/>
          <w:szCs w:val="24"/>
          <w:highlight w:val="none"/>
        </w:rPr>
        <w:t>2.4.1</w:t>
      </w:r>
      <w:r>
        <w:rPr>
          <w:rFonts w:hint="eastAsia" w:ascii="宋体" w:hAnsi="宋体" w:eastAsia="宋体" w:cs="宋体"/>
          <w:color w:val="auto"/>
          <w:spacing w:val="-4"/>
          <w:sz w:val="24"/>
          <w:szCs w:val="24"/>
          <w:highlight w:val="none"/>
        </w:rPr>
        <w:t>当发生工程变更、工程量增减时，由采购人进行审核。</w:t>
      </w:r>
    </w:p>
    <w:p w14:paraId="31105EBD">
      <w:pPr>
        <w:pStyle w:val="8"/>
        <w:spacing w:line="360" w:lineRule="auto"/>
        <w:ind w:firstLine="464" w:firstLineChars="20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2.5工程变更计价条款</w:t>
      </w:r>
    </w:p>
    <w:p w14:paraId="4DC7A4D7">
      <w:pPr>
        <w:spacing w:line="360" w:lineRule="auto"/>
        <w:ind w:right="26" w:rightChars="11"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3、工程竣工结算:</w:t>
      </w:r>
    </w:p>
    <w:p w14:paraId="66D4E6E8">
      <w:pPr>
        <w:spacing w:line="360" w:lineRule="auto"/>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工程竣工后双方应及时办理工程结算，未办理完结算不再支付剩余工程款。</w:t>
      </w:r>
    </w:p>
    <w:p w14:paraId="30834163">
      <w:pPr>
        <w:numPr>
          <w:ilvl w:val="0"/>
          <w:numId w:val="3"/>
        </w:numPr>
        <w:spacing w:line="360" w:lineRule="auto"/>
        <w:ind w:right="26" w:rightChars="11"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工程竣工资料移交</w:t>
      </w:r>
    </w:p>
    <w:p w14:paraId="09E661CD">
      <w:pPr>
        <w:pStyle w:val="3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工程竣工验收后，成交供应商应在10天内提交完整齐备的工程竣工资料和验收资料装订成册交采购人四套存档，并必须保证所有归档资料的真实性。</w:t>
      </w:r>
    </w:p>
    <w:p w14:paraId="4CB5E4D5">
      <w:pPr>
        <w:spacing w:line="400" w:lineRule="exact"/>
        <w:ind w:right="26" w:rightChars="11"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5、争议的解决:</w:t>
      </w:r>
    </w:p>
    <w:p w14:paraId="72231C4E">
      <w:pPr>
        <w:spacing w:line="400" w:lineRule="exact"/>
        <w:ind w:right="26" w:rightChars="11"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本合同在履行过程中发生争议，双方应及时协商解决，协商不成时，可向采购人所在地人民法院提起诉讼。</w:t>
      </w:r>
    </w:p>
    <w:p w14:paraId="46485D1A">
      <w:pPr>
        <w:spacing w:line="360" w:lineRule="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十</w:t>
      </w:r>
      <w:r>
        <w:rPr>
          <w:rFonts w:hint="eastAsia" w:ascii="宋体" w:hAnsi="宋体" w:eastAsia="宋体" w:cs="宋体"/>
          <w:b/>
          <w:bCs/>
          <w:color w:val="auto"/>
          <w:kern w:val="0"/>
          <w:sz w:val="24"/>
          <w:szCs w:val="24"/>
          <w:highlight w:val="none"/>
        </w:rPr>
        <w:t>、其他说明：</w:t>
      </w:r>
    </w:p>
    <w:p w14:paraId="0F78F21B">
      <w:pPr>
        <w:pStyle w:val="13"/>
        <w:spacing w:line="360" w:lineRule="auto"/>
        <w:ind w:firstLine="480" w:firstLineChars="200"/>
        <w:jc w:val="left"/>
        <w:rPr>
          <w:rFonts w:hint="eastAsia" w:ascii="宋体" w:hAnsi="宋体" w:eastAsia="宋体" w:cs="宋体"/>
          <w:color w:val="auto"/>
          <w:sz w:val="76"/>
          <w:szCs w:val="84"/>
          <w:highlight w:val="none"/>
        </w:rPr>
      </w:pPr>
      <w:r>
        <w:rPr>
          <w:rFonts w:hint="eastAsia" w:ascii="宋体" w:hAnsi="宋体" w:eastAsia="宋体" w:cs="宋体"/>
          <w:color w:val="auto"/>
          <w:kern w:val="0"/>
          <w:sz w:val="24"/>
          <w:szCs w:val="24"/>
          <w:highlight w:val="none"/>
        </w:rPr>
        <w:t>现场踏勘：采购人不另行组织现场踏勘，有关踏勘事宜由供应商与采购人联系，自行处理。</w:t>
      </w:r>
    </w:p>
    <w:p w14:paraId="39EA3F71">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4D19A0C6">
      <w:pPr>
        <w:pStyle w:val="8"/>
        <w:rPr>
          <w:rFonts w:hint="eastAsia" w:ascii="宋体" w:hAnsi="宋体" w:eastAsia="宋体" w:cs="宋体"/>
          <w:b/>
          <w:bCs/>
          <w:color w:val="auto"/>
          <w:sz w:val="24"/>
          <w:szCs w:val="24"/>
          <w:highlight w:val="none"/>
          <w:lang w:val="en-US" w:eastAsia="zh-CN"/>
        </w:rPr>
      </w:pPr>
    </w:p>
    <w:p w14:paraId="04FDA8BE">
      <w:pPr>
        <w:pStyle w:val="2"/>
        <w:keepNext w:val="0"/>
        <w:keepLines w:val="0"/>
        <w:pageBreakBefore w:val="0"/>
        <w:widowControl w:val="0"/>
        <w:kinsoku/>
        <w:overflowPunct/>
        <w:bidi w:val="0"/>
        <w:spacing w:before="0" w:after="0" w:line="28" w:lineRule="atLeast"/>
        <w:jc w:val="center"/>
        <w:textAlignment w:val="auto"/>
        <w:rPr>
          <w:rFonts w:hint="eastAsia" w:ascii="宋体" w:hAnsi="宋体" w:eastAsia="宋体" w:cs="宋体"/>
          <w:color w:val="auto"/>
          <w:highlight w:val="none"/>
        </w:rPr>
      </w:pPr>
      <w:bookmarkStart w:id="177" w:name="_Toc7374"/>
      <w:bookmarkStart w:id="178" w:name="_Toc22853"/>
      <w:bookmarkStart w:id="179" w:name="_Toc25465"/>
      <w:r>
        <w:rPr>
          <w:rFonts w:hint="eastAsia" w:ascii="宋体" w:hAnsi="宋体" w:eastAsia="宋体" w:cs="宋体"/>
          <w:color w:val="auto"/>
          <w:highlight w:val="none"/>
        </w:rPr>
        <w:t>第五章 响应文件组成</w:t>
      </w:r>
      <w:bookmarkEnd w:id="177"/>
      <w:bookmarkEnd w:id="178"/>
    </w:p>
    <w:p w14:paraId="1BF16DB0">
      <w:pPr>
        <w:spacing w:line="480" w:lineRule="auto"/>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一、</w:t>
      </w:r>
      <w:r>
        <w:rPr>
          <w:rFonts w:hint="eastAsia" w:ascii="宋体" w:hAnsi="宋体" w:eastAsia="宋体" w:cs="宋体"/>
          <w:color w:val="auto"/>
          <w:highlight w:val="none"/>
        </w:rPr>
        <w:t>供应商资格声明</w:t>
      </w:r>
    </w:p>
    <w:p w14:paraId="08A151B9">
      <w:pPr>
        <w:spacing w:line="480" w:lineRule="auto"/>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法定代表人（单位负责人）身份证明</w:t>
      </w:r>
    </w:p>
    <w:p w14:paraId="5C30624F">
      <w:pPr>
        <w:spacing w:line="480" w:lineRule="auto"/>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法定代表人（单位负责人）授权委托书</w:t>
      </w:r>
    </w:p>
    <w:p w14:paraId="4EC4895E">
      <w:pPr>
        <w:spacing w:line="480" w:lineRule="auto"/>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磋商响应声明</w:t>
      </w:r>
    </w:p>
    <w:p w14:paraId="4838444A">
      <w:pPr>
        <w:spacing w:line="480" w:lineRule="auto"/>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五、</w:t>
      </w:r>
      <w:r>
        <w:rPr>
          <w:rFonts w:hint="eastAsia" w:ascii="宋体" w:hAnsi="宋体" w:eastAsia="宋体" w:cs="宋体"/>
          <w:color w:val="auto"/>
          <w:highlight w:val="none"/>
        </w:rPr>
        <w:t>采购需求响应</w:t>
      </w:r>
    </w:p>
    <w:p w14:paraId="299DB9AC">
      <w:pPr>
        <w:spacing w:line="480" w:lineRule="auto"/>
        <w:ind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六、施工及技术方案</w:t>
      </w:r>
    </w:p>
    <w:p w14:paraId="7C7520A0">
      <w:pPr>
        <w:spacing w:line="480" w:lineRule="auto"/>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不拖欠民工工资承诺书</w:t>
      </w:r>
    </w:p>
    <w:p w14:paraId="6B83E31C">
      <w:pPr>
        <w:spacing w:line="480" w:lineRule="auto"/>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八、</w:t>
      </w:r>
      <w:r>
        <w:rPr>
          <w:rFonts w:hint="eastAsia" w:ascii="宋体" w:hAnsi="宋体" w:eastAsia="宋体" w:cs="宋体"/>
          <w:color w:val="auto"/>
          <w:highlight w:val="none"/>
        </w:rPr>
        <w:t>合同条款偏离表</w:t>
      </w:r>
    </w:p>
    <w:p w14:paraId="1FD33F51">
      <w:pPr>
        <w:spacing w:line="480" w:lineRule="auto"/>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lang w:eastAsia="zh-CN"/>
        </w:rPr>
        <w:t>九、</w:t>
      </w:r>
      <w:r>
        <w:rPr>
          <w:rFonts w:hint="eastAsia" w:ascii="宋体" w:hAnsi="宋体" w:eastAsia="宋体" w:cs="宋体"/>
          <w:color w:val="auto"/>
          <w:highlight w:val="none"/>
        </w:rPr>
        <w:t>采购需求偏离表</w:t>
      </w:r>
    </w:p>
    <w:p w14:paraId="0B4887A0">
      <w:pPr>
        <w:spacing w:line="480" w:lineRule="auto"/>
        <w:ind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十</w:t>
      </w:r>
      <w:r>
        <w:rPr>
          <w:rFonts w:hint="eastAsia" w:ascii="宋体" w:hAnsi="宋体" w:eastAsia="宋体" w:cs="宋体"/>
          <w:color w:val="auto"/>
          <w:highlight w:val="none"/>
          <w:lang w:eastAsia="zh-CN"/>
        </w:rPr>
        <w:t>、报价一览表及报价文件</w:t>
      </w:r>
    </w:p>
    <w:p w14:paraId="63D0ACB6">
      <w:pPr>
        <w:spacing w:line="480" w:lineRule="auto"/>
        <w:ind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十一、享受政府采购政策优惠的证明资料</w:t>
      </w:r>
    </w:p>
    <w:p w14:paraId="595086E8">
      <w:pPr>
        <w:spacing w:line="480" w:lineRule="auto"/>
        <w:ind w:firstLine="42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lang w:eastAsia="zh-CN"/>
        </w:rPr>
        <w:t>、投标人认为需要提供的其它资料</w:t>
      </w:r>
    </w:p>
    <w:p w14:paraId="2BB0C7F7">
      <w:pPr>
        <w:spacing w:line="480" w:lineRule="auto"/>
        <w:ind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十</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、最后报价</w:t>
      </w:r>
      <w:r>
        <w:rPr>
          <w:rFonts w:hint="eastAsia" w:ascii="宋体" w:hAnsi="宋体" w:eastAsia="宋体" w:cs="宋体"/>
          <w:color w:val="auto"/>
          <w:highlight w:val="none"/>
          <w:lang w:val="en-US" w:eastAsia="zh-CN"/>
        </w:rPr>
        <w:t>表</w:t>
      </w:r>
    </w:p>
    <w:p w14:paraId="55889D58">
      <w:pPr>
        <w:spacing w:line="360" w:lineRule="auto"/>
        <w:ind w:firstLine="420" w:firstLineChars="0"/>
        <w:rPr>
          <w:rFonts w:hint="eastAsia" w:ascii="宋体" w:hAnsi="宋体" w:eastAsia="宋体" w:cs="宋体"/>
          <w:color w:val="auto"/>
          <w:highlight w:val="none"/>
        </w:rPr>
      </w:pPr>
    </w:p>
    <w:p w14:paraId="18086BFA">
      <w:pPr>
        <w:pStyle w:val="8"/>
        <w:keepNext w:val="0"/>
        <w:keepLines w:val="0"/>
        <w:pageBreakBefore w:val="0"/>
        <w:widowControl w:val="0"/>
        <w:kinsoku/>
        <w:overflowPunct/>
        <w:bidi w:val="0"/>
        <w:textAlignment w:val="auto"/>
        <w:rPr>
          <w:rFonts w:hint="eastAsia" w:ascii="宋体" w:hAnsi="宋体" w:eastAsia="宋体" w:cs="宋体"/>
          <w:color w:val="auto"/>
          <w:sz w:val="24"/>
          <w:szCs w:val="24"/>
          <w:highlight w:val="none"/>
        </w:rPr>
      </w:pPr>
    </w:p>
    <w:p w14:paraId="188722FA">
      <w:pPr>
        <w:pStyle w:val="8"/>
        <w:keepNext w:val="0"/>
        <w:keepLines w:val="0"/>
        <w:pageBreakBefore w:val="0"/>
        <w:widowControl w:val="0"/>
        <w:kinsoku/>
        <w:overflowPunct/>
        <w:bidi w:val="0"/>
        <w:textAlignment w:val="auto"/>
        <w:rPr>
          <w:rFonts w:hint="eastAsia" w:ascii="宋体" w:hAnsi="宋体" w:eastAsia="宋体" w:cs="宋体"/>
          <w:color w:val="auto"/>
          <w:sz w:val="24"/>
          <w:szCs w:val="24"/>
          <w:highlight w:val="none"/>
        </w:rPr>
      </w:pPr>
    </w:p>
    <w:p w14:paraId="0494117D">
      <w:pPr>
        <w:pStyle w:val="8"/>
        <w:keepNext w:val="0"/>
        <w:keepLines w:val="0"/>
        <w:pageBreakBefore w:val="0"/>
        <w:widowControl w:val="0"/>
        <w:kinsoku/>
        <w:overflowPunct/>
        <w:bidi w:val="0"/>
        <w:textAlignment w:val="auto"/>
        <w:rPr>
          <w:rFonts w:hint="eastAsia" w:ascii="宋体" w:hAnsi="宋体" w:eastAsia="宋体" w:cs="宋体"/>
          <w:color w:val="auto"/>
          <w:sz w:val="24"/>
          <w:szCs w:val="24"/>
          <w:highlight w:val="none"/>
        </w:rPr>
      </w:pPr>
    </w:p>
    <w:p w14:paraId="498C54E9">
      <w:pPr>
        <w:pStyle w:val="8"/>
        <w:keepNext w:val="0"/>
        <w:keepLines w:val="0"/>
        <w:pageBreakBefore w:val="0"/>
        <w:widowControl w:val="0"/>
        <w:kinsoku/>
        <w:overflowPunct/>
        <w:bidi w:val="0"/>
        <w:textAlignment w:val="auto"/>
        <w:rPr>
          <w:rFonts w:hint="eastAsia" w:ascii="宋体" w:hAnsi="宋体" w:eastAsia="宋体" w:cs="宋体"/>
          <w:color w:val="auto"/>
          <w:sz w:val="24"/>
          <w:szCs w:val="24"/>
          <w:highlight w:val="none"/>
        </w:rPr>
      </w:pPr>
    </w:p>
    <w:p w14:paraId="5902FDB2">
      <w:pPr>
        <w:pStyle w:val="13"/>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highlight w:val="none"/>
        </w:rPr>
      </w:pPr>
      <w:bookmarkStart w:id="180" w:name="_Toc24542"/>
      <w:r>
        <w:rPr>
          <w:rFonts w:hint="eastAsia" w:ascii="宋体" w:hAnsi="宋体" w:eastAsia="宋体" w:cs="宋体"/>
          <w:color w:val="auto"/>
          <w:highlight w:val="none"/>
        </w:rPr>
        <w:br w:type="page"/>
      </w:r>
    </w:p>
    <w:p w14:paraId="4005145B">
      <w:pPr>
        <w:pStyle w:val="13"/>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highlight w:val="none"/>
        </w:rPr>
      </w:pPr>
    </w:p>
    <w:p w14:paraId="7D2FF15B">
      <w:pPr>
        <w:pStyle w:val="13"/>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color w:val="auto"/>
          <w:highlight w:val="none"/>
        </w:rPr>
      </w:pPr>
    </w:p>
    <w:p w14:paraId="78B08D38">
      <w:pPr>
        <w:pStyle w:val="13"/>
        <w:keepNext w:val="0"/>
        <w:keepLines w:val="0"/>
        <w:pageBreakBefore w:val="0"/>
        <w:widowControl w:val="0"/>
        <w:kinsoku/>
        <w:overflowPunct/>
        <w:bidi w:val="0"/>
        <w:adjustRightInd w:val="0"/>
        <w:snapToGrid w:val="0"/>
        <w:spacing w:line="360" w:lineRule="auto"/>
        <w:jc w:val="center"/>
        <w:textAlignment w:val="auto"/>
        <w:rPr>
          <w:rFonts w:hint="eastAsia" w:ascii="宋体" w:hAnsi="宋体" w:eastAsia="宋体" w:cs="宋体"/>
          <w:b/>
          <w:bCs w:val="0"/>
          <w:color w:val="auto"/>
          <w:sz w:val="72"/>
          <w:szCs w:val="72"/>
          <w:highlight w:val="none"/>
        </w:rPr>
      </w:pPr>
    </w:p>
    <w:p w14:paraId="64E59293">
      <w:pPr>
        <w:pStyle w:val="13"/>
        <w:keepNext w:val="0"/>
        <w:keepLines w:val="0"/>
        <w:pageBreakBefore w:val="0"/>
        <w:widowControl w:val="0"/>
        <w:kinsoku/>
        <w:overflowPunct/>
        <w:bidi w:val="0"/>
        <w:jc w:val="center"/>
        <w:textAlignment w:val="auto"/>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lang w:val="en-US" w:eastAsia="zh-CN"/>
        </w:rPr>
        <w:t>湘西州</w:t>
      </w:r>
      <w:r>
        <w:rPr>
          <w:rFonts w:hint="eastAsia" w:ascii="宋体" w:hAnsi="宋体" w:eastAsia="宋体" w:cs="宋体"/>
          <w:b/>
          <w:bCs/>
          <w:color w:val="auto"/>
          <w:sz w:val="84"/>
          <w:szCs w:val="84"/>
          <w:highlight w:val="none"/>
        </w:rPr>
        <w:t>政府采购</w:t>
      </w:r>
    </w:p>
    <w:p w14:paraId="50BEDC35">
      <w:pPr>
        <w:pStyle w:val="13"/>
        <w:keepNext w:val="0"/>
        <w:keepLines w:val="0"/>
        <w:pageBreakBefore w:val="0"/>
        <w:widowControl w:val="0"/>
        <w:kinsoku/>
        <w:overflowPunct/>
        <w:bidi w:val="0"/>
        <w:jc w:val="center"/>
        <w:textAlignment w:val="auto"/>
        <w:rPr>
          <w:rFonts w:hint="eastAsia" w:ascii="宋体" w:hAnsi="宋体" w:eastAsia="宋体" w:cs="宋体"/>
          <w:b/>
          <w:color w:val="auto"/>
          <w:sz w:val="84"/>
          <w:szCs w:val="84"/>
          <w:highlight w:val="none"/>
        </w:rPr>
      </w:pPr>
      <w:r>
        <w:rPr>
          <w:rFonts w:hint="eastAsia" w:ascii="宋体" w:hAnsi="宋体" w:eastAsia="宋体" w:cs="宋体"/>
          <w:b/>
          <w:bCs/>
          <w:color w:val="auto"/>
          <w:sz w:val="84"/>
          <w:szCs w:val="84"/>
          <w:highlight w:val="none"/>
          <w:lang w:val="en-US" w:eastAsia="zh-CN"/>
        </w:rPr>
        <w:t>电子</w:t>
      </w:r>
      <w:r>
        <w:rPr>
          <w:rFonts w:hint="eastAsia" w:ascii="宋体" w:hAnsi="宋体" w:eastAsia="宋体" w:cs="宋体"/>
          <w:b/>
          <w:bCs/>
          <w:color w:val="auto"/>
          <w:sz w:val="84"/>
          <w:szCs w:val="84"/>
          <w:highlight w:val="none"/>
          <w:lang w:eastAsia="zh-CN"/>
        </w:rPr>
        <w:t>响应</w:t>
      </w:r>
      <w:r>
        <w:rPr>
          <w:rFonts w:hint="eastAsia" w:ascii="宋体" w:hAnsi="宋体" w:eastAsia="宋体" w:cs="宋体"/>
          <w:b/>
          <w:bCs/>
          <w:color w:val="auto"/>
          <w:sz w:val="84"/>
          <w:szCs w:val="84"/>
          <w:highlight w:val="none"/>
        </w:rPr>
        <w:t>文件</w:t>
      </w:r>
    </w:p>
    <w:p w14:paraId="23B47B88">
      <w:pPr>
        <w:pStyle w:val="13"/>
        <w:keepNext w:val="0"/>
        <w:keepLines w:val="0"/>
        <w:pageBreakBefore w:val="0"/>
        <w:widowControl w:val="0"/>
        <w:kinsoku/>
        <w:wordWrap/>
        <w:overflowPunct/>
        <w:bidi w:val="0"/>
        <w:adjustRightInd w:val="0"/>
        <w:snapToGrid w:val="0"/>
        <w:spacing w:line="360" w:lineRule="auto"/>
        <w:jc w:val="both"/>
        <w:textAlignment w:val="auto"/>
        <w:rPr>
          <w:rFonts w:hint="eastAsia" w:ascii="宋体" w:hAnsi="宋体" w:eastAsia="宋体" w:cs="宋体"/>
          <w:b/>
          <w:color w:val="auto"/>
          <w:sz w:val="36"/>
          <w:szCs w:val="36"/>
          <w:highlight w:val="none"/>
        </w:rPr>
      </w:pPr>
    </w:p>
    <w:p w14:paraId="06CC6F66">
      <w:pPr>
        <w:pStyle w:val="13"/>
        <w:keepNext w:val="0"/>
        <w:keepLines w:val="0"/>
        <w:pageBreakBefore w:val="0"/>
        <w:widowControl w:val="0"/>
        <w:kinsoku/>
        <w:wordWrap/>
        <w:overflowPunct/>
        <w:bidi w:val="0"/>
        <w:adjustRightInd w:val="0"/>
        <w:snapToGrid w:val="0"/>
        <w:spacing w:line="360" w:lineRule="auto"/>
        <w:jc w:val="both"/>
        <w:textAlignment w:val="auto"/>
        <w:rPr>
          <w:rFonts w:hint="eastAsia" w:ascii="宋体" w:hAnsi="宋体" w:eastAsia="宋体" w:cs="宋体"/>
          <w:b/>
          <w:color w:val="auto"/>
          <w:sz w:val="36"/>
          <w:szCs w:val="36"/>
          <w:highlight w:val="none"/>
        </w:rPr>
      </w:pPr>
    </w:p>
    <w:p w14:paraId="74F3F424">
      <w:pPr>
        <w:pStyle w:val="13"/>
        <w:keepNext w:val="0"/>
        <w:keepLines w:val="0"/>
        <w:pageBreakBefore w:val="0"/>
        <w:widowControl w:val="0"/>
        <w:kinsoku/>
        <w:wordWrap/>
        <w:overflowPunct/>
        <w:bidi w:val="0"/>
        <w:adjustRightInd w:val="0"/>
        <w:snapToGrid w:val="0"/>
        <w:spacing w:line="360" w:lineRule="auto"/>
        <w:jc w:val="both"/>
        <w:textAlignment w:val="auto"/>
        <w:rPr>
          <w:rFonts w:hint="eastAsia" w:ascii="宋体" w:hAnsi="宋体" w:eastAsia="宋体" w:cs="宋体"/>
          <w:b/>
          <w:color w:val="auto"/>
          <w:sz w:val="36"/>
          <w:szCs w:val="36"/>
          <w:highlight w:val="none"/>
        </w:rPr>
      </w:pPr>
    </w:p>
    <w:p w14:paraId="50A902A2">
      <w:pPr>
        <w:pStyle w:val="13"/>
        <w:keepNext w:val="0"/>
        <w:keepLines w:val="0"/>
        <w:pageBreakBefore w:val="0"/>
        <w:widowControl w:val="0"/>
        <w:kinsoku/>
        <w:wordWrap/>
        <w:overflowPunct/>
        <w:bidi w:val="0"/>
        <w:adjustRightInd w:val="0"/>
        <w:snapToGrid w:val="0"/>
        <w:spacing w:line="360" w:lineRule="auto"/>
        <w:jc w:val="both"/>
        <w:textAlignment w:val="auto"/>
        <w:rPr>
          <w:rFonts w:hint="eastAsia" w:ascii="宋体" w:hAnsi="宋体" w:eastAsia="宋体" w:cs="宋体"/>
          <w:b/>
          <w:color w:val="auto"/>
          <w:sz w:val="36"/>
          <w:szCs w:val="36"/>
          <w:highlight w:val="none"/>
        </w:rPr>
      </w:pPr>
    </w:p>
    <w:tbl>
      <w:tblPr>
        <w:tblStyle w:val="23"/>
        <w:tblW w:w="5173" w:type="pct"/>
        <w:tblInd w:w="-3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53"/>
        <w:gridCol w:w="551"/>
        <w:gridCol w:w="6721"/>
      </w:tblGrid>
      <w:tr w14:paraId="7CD93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1261" w:type="pct"/>
            <w:noWrap w:val="0"/>
            <w:vAlign w:val="center"/>
          </w:tcPr>
          <w:p w14:paraId="202E8588">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采购项目名称</w:t>
            </w:r>
          </w:p>
        </w:tc>
        <w:tc>
          <w:tcPr>
            <w:tcW w:w="283" w:type="pct"/>
            <w:noWrap w:val="0"/>
            <w:vAlign w:val="center"/>
          </w:tcPr>
          <w:p w14:paraId="7F3D676D">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0"/>
                <w:sz w:val="32"/>
                <w:szCs w:val="32"/>
                <w:highlight w:val="none"/>
                <w:lang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kern w:val="0"/>
                <w:sz w:val="32"/>
                <w:szCs w:val="32"/>
                <w:highlight w:val="none"/>
                <w:lang w:eastAsia="zh-CN"/>
                <w14:shadow w14:blurRad="50800" w14:dist="38100" w14:dir="2700000" w14:sx="100000" w14:sy="100000" w14:kx="0" w14:ky="0" w14:algn="tl">
                  <w14:srgbClr w14:val="000000">
                    <w14:alpha w14:val="60000"/>
                  </w14:srgbClr>
                </w14:shadow>
              </w:rPr>
              <w:t>：</w:t>
            </w:r>
          </w:p>
        </w:tc>
        <w:tc>
          <w:tcPr>
            <w:tcW w:w="3454" w:type="pct"/>
            <w:noWrap w:val="0"/>
            <w:vAlign w:val="center"/>
          </w:tcPr>
          <w:p w14:paraId="29D19CE7">
            <w:pPr>
              <w:keepNext w:val="0"/>
              <w:keepLines w:val="0"/>
              <w:pageBreakBefore w:val="0"/>
              <w:widowControl w:val="0"/>
              <w:overflowPunct/>
              <w:bidi w:val="0"/>
              <w:snapToGrid/>
              <w:spacing w:line="360" w:lineRule="atLeast"/>
              <w:jc w:val="left"/>
              <w:textAlignment w:val="baseline"/>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t xml:space="preserve">                                              </w:t>
            </w:r>
          </w:p>
        </w:tc>
      </w:tr>
      <w:tr w14:paraId="14509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1" w:type="pct"/>
            <w:noWrap w:val="0"/>
            <w:vAlign w:val="center"/>
          </w:tcPr>
          <w:p w14:paraId="597C1D04">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采   购   人</w:t>
            </w:r>
          </w:p>
        </w:tc>
        <w:tc>
          <w:tcPr>
            <w:tcW w:w="283" w:type="pct"/>
            <w:noWrap w:val="0"/>
            <w:vAlign w:val="center"/>
          </w:tcPr>
          <w:p w14:paraId="67508CEA">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t>:</w:t>
            </w:r>
          </w:p>
        </w:tc>
        <w:tc>
          <w:tcPr>
            <w:tcW w:w="3454" w:type="pct"/>
            <w:noWrap w:val="0"/>
            <w:vAlign w:val="center"/>
          </w:tcPr>
          <w:p w14:paraId="30D16954">
            <w:pPr>
              <w:keepNext w:val="0"/>
              <w:keepLines w:val="0"/>
              <w:pageBreakBefore w:val="0"/>
              <w:widowControl w:val="0"/>
              <w:overflowPunct/>
              <w:bidi w:val="0"/>
              <w:snapToGrid/>
              <w:spacing w:line="360" w:lineRule="atLeast"/>
              <w:jc w:val="left"/>
              <w:textAlignment w:val="baseline"/>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t xml:space="preserve">                                              </w:t>
            </w:r>
          </w:p>
        </w:tc>
      </w:tr>
      <w:tr w14:paraId="0D8E8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1" w:type="pct"/>
            <w:noWrap w:val="0"/>
            <w:vAlign w:val="center"/>
          </w:tcPr>
          <w:p w14:paraId="0FBC9951">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政府采购编号</w:t>
            </w:r>
          </w:p>
        </w:tc>
        <w:tc>
          <w:tcPr>
            <w:tcW w:w="283" w:type="pct"/>
            <w:noWrap w:val="0"/>
            <w:vAlign w:val="center"/>
          </w:tcPr>
          <w:p w14:paraId="659C6CAC">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t>:</w:t>
            </w:r>
          </w:p>
        </w:tc>
        <w:tc>
          <w:tcPr>
            <w:tcW w:w="3454" w:type="pct"/>
            <w:noWrap w:val="0"/>
            <w:vAlign w:val="center"/>
          </w:tcPr>
          <w:p w14:paraId="561B1334">
            <w:pPr>
              <w:keepNext w:val="0"/>
              <w:keepLines w:val="0"/>
              <w:pageBreakBefore w:val="0"/>
              <w:widowControl w:val="0"/>
              <w:overflowPunct/>
              <w:bidi w:val="0"/>
              <w:snapToGrid/>
              <w:spacing w:line="360" w:lineRule="atLeast"/>
              <w:jc w:val="left"/>
              <w:textAlignment w:val="baseline"/>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t xml:space="preserve">                                             </w:t>
            </w:r>
          </w:p>
        </w:tc>
      </w:tr>
      <w:tr w14:paraId="7C314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61" w:type="pct"/>
            <w:noWrap w:val="0"/>
            <w:vAlign w:val="center"/>
          </w:tcPr>
          <w:p w14:paraId="6C77635B">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采购代理机构</w:t>
            </w:r>
          </w:p>
        </w:tc>
        <w:tc>
          <w:tcPr>
            <w:tcW w:w="283" w:type="pct"/>
            <w:noWrap w:val="0"/>
            <w:vAlign w:val="center"/>
          </w:tcPr>
          <w:p w14:paraId="74E68064">
            <w:pPr>
              <w:keepNext w:val="0"/>
              <w:keepLines w:val="0"/>
              <w:pageBreakBefore w:val="0"/>
              <w:widowControl w:val="0"/>
              <w:overflowPunct/>
              <w:bidi w:val="0"/>
              <w:snapToGrid/>
              <w:spacing w:line="360" w:lineRule="atLeast"/>
              <w:jc w:val="center"/>
              <w:textAlignment w:val="baseline"/>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kern w:val="0"/>
                <w:sz w:val="32"/>
                <w:szCs w:val="32"/>
                <w:highlight w:val="none"/>
                <w:lang w:val="en-US" w:eastAsia="zh-CN"/>
                <w14:shadow w14:blurRad="50800" w14:dist="38100" w14:dir="2700000" w14:sx="100000" w14:sy="100000" w14:kx="0" w14:ky="0" w14:algn="tl">
                  <w14:srgbClr w14:val="000000">
                    <w14:alpha w14:val="60000"/>
                  </w14:srgbClr>
                </w14:shadow>
              </w:rPr>
              <w:t>:</w:t>
            </w:r>
          </w:p>
        </w:tc>
        <w:tc>
          <w:tcPr>
            <w:tcW w:w="3454" w:type="pct"/>
            <w:noWrap w:val="0"/>
            <w:vAlign w:val="center"/>
          </w:tcPr>
          <w:p w14:paraId="038007F1">
            <w:pPr>
              <w:keepNext w:val="0"/>
              <w:keepLines w:val="0"/>
              <w:pageBreakBefore w:val="0"/>
              <w:widowControl w:val="0"/>
              <w:overflowPunct/>
              <w:bidi w:val="0"/>
              <w:snapToGrid/>
              <w:spacing w:line="360" w:lineRule="atLeast"/>
              <w:jc w:val="left"/>
              <w:textAlignment w:val="baseline"/>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kern w:val="0"/>
                <w:sz w:val="32"/>
                <w:szCs w:val="32"/>
                <w:highlight w:val="none"/>
                <w:lang w:val="en-US" w:eastAsia="zh-CN"/>
                <w14:shadow w14:blurRad="50800" w14:dist="38100" w14:dir="2700000" w14:sx="100000" w14:sy="100000" w14:kx="0" w14:ky="0" w14:algn="tl">
                  <w14:srgbClr w14:val="000000">
                    <w14:alpha w14:val="60000"/>
                  </w14:srgbClr>
                </w14:shadow>
              </w:rPr>
              <w:t xml:space="preserve">                                             </w:t>
            </w:r>
          </w:p>
        </w:tc>
      </w:tr>
    </w:tbl>
    <w:p w14:paraId="295EBCF2">
      <w:pPr>
        <w:pStyle w:val="13"/>
        <w:keepNext w:val="0"/>
        <w:keepLines w:val="0"/>
        <w:pageBreakBefore w:val="0"/>
        <w:widowControl w:val="0"/>
        <w:kinsoku/>
        <w:wordWrap/>
        <w:overflowPunct/>
        <w:bidi w:val="0"/>
        <w:adjustRightInd w:val="0"/>
        <w:snapToGrid w:val="0"/>
        <w:spacing w:line="360" w:lineRule="auto"/>
        <w:jc w:val="both"/>
        <w:textAlignment w:val="auto"/>
        <w:rPr>
          <w:rFonts w:hint="eastAsia" w:ascii="宋体" w:hAnsi="宋体" w:eastAsia="宋体" w:cs="宋体"/>
          <w:b/>
          <w:color w:val="auto"/>
          <w:sz w:val="32"/>
          <w:highlight w:val="none"/>
        </w:rPr>
      </w:pPr>
    </w:p>
    <w:p w14:paraId="2BBFAD57">
      <w:pPr>
        <w:pStyle w:val="13"/>
        <w:keepNext w:val="0"/>
        <w:keepLines w:val="0"/>
        <w:pageBreakBefore w:val="0"/>
        <w:widowControl w:val="0"/>
        <w:kinsoku/>
        <w:wordWrap/>
        <w:overflowPunct/>
        <w:topLinePunct w:val="0"/>
        <w:autoSpaceDE/>
        <w:autoSpaceDN/>
        <w:bidi w:val="0"/>
        <w:adjustRightInd w:val="0"/>
        <w:snapToGrid w:val="0"/>
        <w:spacing w:line="360" w:lineRule="auto"/>
        <w:ind w:firstLine="2249" w:firstLineChars="700"/>
        <w:jc w:val="both"/>
        <w:textAlignment w:val="auto"/>
        <w:rPr>
          <w:rFonts w:hint="eastAsia" w:ascii="宋体" w:hAnsi="宋体" w:eastAsia="宋体" w:cs="宋体"/>
          <w:b/>
          <w:color w:val="auto"/>
          <w:sz w:val="32"/>
          <w:highlight w:val="none"/>
        </w:rPr>
      </w:pPr>
      <w:r>
        <w:rPr>
          <w:rFonts w:hint="eastAsia" w:ascii="宋体" w:hAnsi="宋体" w:eastAsia="宋体" w:cs="宋体"/>
          <w:b/>
          <w:bCs/>
          <w:color w:val="auto"/>
          <w:kern w:val="2"/>
          <w:sz w:val="32"/>
          <w:szCs w:val="32"/>
          <w:highlight w:val="none"/>
          <w:lang w:val="en-US" w:eastAsia="zh-CN" w:bidi="ar-SA"/>
        </w:rPr>
        <w:t>投标人：</w:t>
      </w:r>
      <w:r>
        <w:rPr>
          <w:rFonts w:hint="eastAsia" w:ascii="宋体" w:hAnsi="宋体" w:eastAsia="宋体" w:cs="宋体"/>
          <w:color w:val="auto"/>
          <w:kern w:val="0"/>
          <w:sz w:val="32"/>
          <w:szCs w:val="32"/>
          <w:highlight w:val="none"/>
          <w:u w:val="single"/>
          <w:lang w:val="en-US" w:eastAsia="zh-CN"/>
          <w14:shadow w14:blurRad="50800" w14:dist="38100" w14:dir="2700000" w14:sx="100000" w14:sy="100000" w14:kx="0" w14:ky="0" w14:algn="tl">
            <w14:srgbClr w14:val="000000">
              <w14:alpha w14:val="60000"/>
            </w14:srgbClr>
          </w14:shadow>
        </w:rPr>
        <w:t xml:space="preserve">                       </w:t>
      </w:r>
    </w:p>
    <w:p w14:paraId="6808FF98">
      <w:pPr>
        <w:keepNext w:val="0"/>
        <w:keepLines w:val="0"/>
        <w:pageBreakBefore w:val="0"/>
        <w:widowControl w:val="0"/>
        <w:kinsoku/>
        <w:overflowPunct/>
        <w:bidi w:val="0"/>
        <w:ind w:firstLine="2570" w:firstLineChars="800"/>
        <w:jc w:val="both"/>
        <w:textAlignment w:val="auto"/>
        <w:rPr>
          <w:rFonts w:hint="eastAsia" w:ascii="宋体" w:hAnsi="宋体" w:eastAsia="宋体" w:cs="宋体"/>
          <w:color w:val="auto"/>
          <w:highlight w:val="none"/>
        </w:rPr>
      </w:pPr>
      <w:r>
        <w:rPr>
          <w:rFonts w:hint="eastAsia" w:ascii="宋体" w:hAnsi="宋体" w:eastAsia="宋体" w:cs="宋体"/>
          <w:b/>
          <w:bCs/>
          <w:color w:val="auto"/>
          <w:kern w:val="2"/>
          <w:sz w:val="32"/>
          <w:szCs w:val="32"/>
          <w:highlight w:val="none"/>
          <w:lang w:val="en-US" w:eastAsia="zh-CN" w:bidi="ar-SA"/>
        </w:rPr>
        <w:t>日期：</w:t>
      </w:r>
      <w:r>
        <w:rPr>
          <w:rFonts w:hint="eastAsia" w:ascii="宋体" w:hAnsi="宋体" w:eastAsia="宋体" w:cs="宋体"/>
          <w:color w:val="auto"/>
          <w:kern w:val="0"/>
          <w:sz w:val="32"/>
          <w:szCs w:val="32"/>
          <w:highlight w:val="none"/>
          <w:u w:val="single"/>
          <w:lang w:val="en-US" w:eastAsia="zh-CN" w:bidi="ar-SA"/>
          <w14:shadow w14:blurRad="50800" w14:dist="38100" w14:dir="2700000" w14:sx="100000" w14:sy="100000" w14:kx="0" w14:ky="0" w14:algn="tl">
            <w14:srgbClr w14:val="000000">
              <w14:alpha w14:val="60000"/>
            </w14:srgbClr>
          </w14:shadow>
        </w:rPr>
        <w:t xml:space="preserve">                       </w:t>
      </w:r>
      <w:r>
        <w:rPr>
          <w:rFonts w:hint="eastAsia" w:ascii="宋体" w:hAnsi="宋体" w:eastAsia="宋体" w:cs="宋体"/>
          <w:color w:val="auto"/>
          <w:highlight w:val="none"/>
        </w:rPr>
        <w:br w:type="page"/>
      </w:r>
    </w:p>
    <w:bookmarkEnd w:id="179"/>
    <w:bookmarkEnd w:id="180"/>
    <w:p w14:paraId="45D49B75">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rPr>
      </w:pPr>
      <w:bookmarkStart w:id="181" w:name="_Toc29156"/>
      <w:bookmarkStart w:id="182" w:name="_Toc17116"/>
      <w:bookmarkStart w:id="183" w:name="_Toc25606"/>
      <w:bookmarkStart w:id="184" w:name="_Toc3753"/>
      <w:r>
        <w:rPr>
          <w:rFonts w:hint="eastAsia" w:ascii="宋体" w:hAnsi="宋体" w:eastAsia="宋体" w:cs="宋体"/>
          <w:color w:val="auto"/>
          <w:highlight w:val="none"/>
        </w:rPr>
        <w:t>一、供应商资格声明(格式)</w:t>
      </w:r>
      <w:bookmarkEnd w:id="181"/>
      <w:bookmarkEnd w:id="182"/>
      <w:bookmarkEnd w:id="183"/>
      <w:bookmarkEnd w:id="184"/>
    </w:p>
    <w:p w14:paraId="59A8EC3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lang w:eastAsia="zh-CN"/>
        </w:rPr>
        <w:t>代理机构</w:t>
      </w:r>
      <w:r>
        <w:rPr>
          <w:rFonts w:hint="eastAsia" w:ascii="宋体" w:hAnsi="宋体" w:eastAsia="宋体" w:cs="宋体"/>
          <w:color w:val="auto"/>
          <w:szCs w:val="21"/>
          <w:highlight w:val="none"/>
        </w:rPr>
        <w:t>)：</w:t>
      </w:r>
    </w:p>
    <w:p w14:paraId="52E60B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按照《中华人民共和国政府采购法》及实施条例和</w:t>
      </w:r>
      <w:r>
        <w:rPr>
          <w:rFonts w:hint="eastAsia" w:ascii="宋体" w:hAnsi="宋体" w:eastAsia="宋体" w:cs="宋体"/>
          <w:b w:val="0"/>
          <w:bCs w:val="0"/>
          <w:color w:val="auto"/>
          <w:szCs w:val="21"/>
          <w:highlight w:val="none"/>
          <w:u w:val="none"/>
          <w:lang w:eastAsia="zh-CN"/>
        </w:rPr>
        <w:t>磋商文件</w:t>
      </w:r>
      <w:r>
        <w:rPr>
          <w:rFonts w:hint="eastAsia" w:ascii="宋体" w:hAnsi="宋体" w:eastAsia="宋体" w:cs="宋体"/>
          <w:color w:val="auto"/>
          <w:szCs w:val="21"/>
          <w:highlight w:val="none"/>
        </w:rPr>
        <w:t>的规定，我单位郑重声明如下：</w:t>
      </w:r>
    </w:p>
    <w:p w14:paraId="6A23CDCC">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一、我单位是按照中华人民共和国法律规定登记注册的，注册地点为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，全称为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，统一社会信用代码为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，法定代表人</w:t>
      </w:r>
      <w:r>
        <w:rPr>
          <w:rFonts w:hint="eastAsia" w:ascii="宋体" w:hAnsi="宋体" w:eastAsia="宋体" w:cs="宋体"/>
          <w:color w:val="auto"/>
          <w:kern w:val="0"/>
          <w:szCs w:val="21"/>
          <w:highlight w:val="none"/>
        </w:rPr>
        <w:t>（</w:t>
      </w:r>
      <w:r>
        <w:rPr>
          <w:rFonts w:hint="eastAsia" w:ascii="宋体" w:hAnsi="宋体" w:eastAsia="宋体" w:cs="宋体"/>
          <w:color w:val="auto"/>
          <w:spacing w:val="-2"/>
          <w:kern w:val="0"/>
          <w:szCs w:val="21"/>
          <w:highlight w:val="none"/>
        </w:rPr>
        <w:t>单</w:t>
      </w:r>
      <w:r>
        <w:rPr>
          <w:rFonts w:hint="eastAsia" w:ascii="宋体" w:hAnsi="宋体" w:eastAsia="宋体" w:cs="宋体"/>
          <w:color w:val="auto"/>
          <w:kern w:val="0"/>
          <w:szCs w:val="21"/>
          <w:highlight w:val="none"/>
        </w:rPr>
        <w:t>位</w:t>
      </w:r>
      <w:r>
        <w:rPr>
          <w:rFonts w:hint="eastAsia" w:ascii="宋体" w:hAnsi="宋体" w:eastAsia="宋体" w:cs="宋体"/>
          <w:color w:val="auto"/>
          <w:spacing w:val="-2"/>
          <w:kern w:val="0"/>
          <w:szCs w:val="21"/>
          <w:highlight w:val="none"/>
        </w:rPr>
        <w:t>负</w:t>
      </w:r>
      <w:r>
        <w:rPr>
          <w:rFonts w:hint="eastAsia" w:ascii="宋体" w:hAnsi="宋体" w:eastAsia="宋体" w:cs="宋体"/>
          <w:color w:val="auto"/>
          <w:kern w:val="0"/>
          <w:szCs w:val="21"/>
          <w:highlight w:val="none"/>
        </w:rPr>
        <w:t>责人</w:t>
      </w:r>
      <w:r>
        <w:rPr>
          <w:rFonts w:hint="eastAsia" w:ascii="宋体" w:hAnsi="宋体" w:eastAsia="宋体" w:cs="宋体"/>
          <w:color w:val="auto"/>
          <w:spacing w:val="-2"/>
          <w:kern w:val="0"/>
          <w:szCs w:val="21"/>
          <w:highlight w:val="none"/>
        </w:rPr>
        <w:t>）</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，具有独立承担民事责任的能力。</w:t>
      </w:r>
    </w:p>
    <w:p w14:paraId="1F587A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二、我单位具有良好的商业信誉和健全的财务会计制度。</w:t>
      </w:r>
    </w:p>
    <w:p w14:paraId="6C76A4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三、我</w:t>
      </w:r>
      <w:r>
        <w:rPr>
          <w:rFonts w:hint="eastAsia" w:ascii="宋体" w:hAnsi="宋体" w:eastAsia="宋体" w:cs="宋体"/>
          <w:color w:val="auto"/>
          <w:szCs w:val="21"/>
          <w:highlight w:val="none"/>
        </w:rPr>
        <w:t>单位</w:t>
      </w:r>
      <w:r>
        <w:rPr>
          <w:rFonts w:hint="eastAsia" w:ascii="宋体" w:hAnsi="宋体" w:eastAsia="宋体" w:cs="宋体"/>
          <w:color w:val="auto"/>
          <w:kern w:val="0"/>
          <w:szCs w:val="21"/>
          <w:highlight w:val="none"/>
        </w:rPr>
        <w:t>依法进行纳税和社会保险申报并实际履行了义务。</w:t>
      </w:r>
    </w:p>
    <w:p w14:paraId="701FDD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w:t>
      </w:r>
      <w:r>
        <w:rPr>
          <w:rFonts w:hint="eastAsia" w:ascii="宋体" w:hAnsi="宋体" w:eastAsia="宋体" w:cs="宋体"/>
          <w:color w:val="auto"/>
          <w:szCs w:val="21"/>
          <w:highlight w:val="none"/>
        </w:rPr>
        <w:t>我单位具有履行本项目采购合同所必需的设备和专业技术能力，并具有履行合同的良好记录。</w:t>
      </w:r>
    </w:p>
    <w:p w14:paraId="2471E2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21FDA2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供应商在参加政府采购活动前3年内因违法经营被禁止在一定期限内参加政府采购活动，期限届满的，可以参加政府采购活动。</w:t>
      </w:r>
    </w:p>
    <w:p w14:paraId="2CCC74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六、我单位具备法律、行政法规规定的其他条件。</w:t>
      </w:r>
    </w:p>
    <w:p w14:paraId="1E688C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七、与我单位存在“单位负责人为同一人或者存在直接控股、管理关系”的其他单位信息如下（如无，填写“无”）：</w:t>
      </w:r>
    </w:p>
    <w:p w14:paraId="6414A0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1、与我单位的法定代表人（单位负责人）为同一人的其他单位如下：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5BF9A2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2、我单位直接控股的其他单位如下：</w:t>
      </w:r>
      <w:r>
        <w:rPr>
          <w:rFonts w:hint="eastAsia" w:ascii="宋体" w:hAnsi="宋体" w:eastAsia="宋体" w:cs="宋体"/>
          <w:color w:val="auto"/>
          <w:szCs w:val="21"/>
          <w:highlight w:val="none"/>
          <w:u w:val="single"/>
        </w:rPr>
        <w:t xml:space="preserve">               </w:t>
      </w:r>
    </w:p>
    <w:p w14:paraId="211A86D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3、与我单位存在管理关系的其他单位如下：</w:t>
      </w:r>
      <w:r>
        <w:rPr>
          <w:rFonts w:hint="eastAsia" w:ascii="宋体" w:hAnsi="宋体" w:eastAsia="宋体" w:cs="宋体"/>
          <w:color w:val="auto"/>
          <w:szCs w:val="21"/>
          <w:highlight w:val="none"/>
          <w:u w:val="single"/>
        </w:rPr>
        <w:t xml:space="preserve">               </w:t>
      </w:r>
    </w:p>
    <w:p w14:paraId="4C8D91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八、</w:t>
      </w:r>
      <w:r>
        <w:rPr>
          <w:rFonts w:hint="eastAsia" w:ascii="宋体" w:hAnsi="宋体" w:eastAsia="宋体" w:cs="宋体"/>
          <w:color w:val="auto"/>
          <w:szCs w:val="21"/>
          <w:highlight w:val="none"/>
        </w:rPr>
        <w:t>我单位不属于为本项目提供整体设计、规范编制或者项目管理、监理、检测等服务的供应商。</w:t>
      </w:r>
    </w:p>
    <w:p w14:paraId="1EC999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九、我单位无以下不良信用记录情形：</w:t>
      </w:r>
    </w:p>
    <w:p w14:paraId="206881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1、在“信用中国”网站被列入失信被执行人和重大税收违法案件当事人名单；</w:t>
      </w:r>
    </w:p>
    <w:p w14:paraId="526124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2、在“中国政府采购网”网站被列入政府采购严重违法失信行为记录名单；</w:t>
      </w:r>
    </w:p>
    <w:p w14:paraId="533D0E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3、不符合《政府采购法》第二十二条规定的条件。</w:t>
      </w:r>
    </w:p>
    <w:p w14:paraId="3BCD9B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我单位保证上述声明的事项都是真实的，如有虚假，我单位愿意承担相应的法律责任，并承担因此所造成的一切损失。</w:t>
      </w:r>
    </w:p>
    <w:p w14:paraId="4E8DF32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注：第三条“良好的商业信誉”是指供应商经营状况良好，无本承诺函第九条情形。</w:t>
      </w:r>
    </w:p>
    <w:p w14:paraId="6BCE5130">
      <w:pPr>
        <w:keepNext w:val="0"/>
        <w:keepLines w:val="0"/>
        <w:pageBreakBefore w:val="0"/>
        <w:widowControl w:val="0"/>
        <w:overflowPunct/>
        <w:bidi w:val="0"/>
        <w:adjustRightInd w:val="0"/>
        <w:snapToGrid w:val="0"/>
        <w:spacing w:before="156" w:beforeLines="50" w:line="360" w:lineRule="auto"/>
        <w:jc w:val="left"/>
        <w:rPr>
          <w:rFonts w:hint="eastAsia" w:ascii="宋体" w:hAnsi="宋体" w:eastAsia="宋体" w:cs="宋体"/>
          <w:color w:val="auto"/>
          <w:szCs w:val="21"/>
          <w:highlight w:val="none"/>
        </w:rPr>
      </w:pPr>
    </w:p>
    <w:p w14:paraId="5983095B">
      <w:pPr>
        <w:keepNext w:val="0"/>
        <w:keepLines w:val="0"/>
        <w:pageBreakBefore w:val="0"/>
        <w:widowControl w:val="0"/>
        <w:overflowPunct/>
        <w:bidi w:val="0"/>
        <w:adjustRightInd w:val="0"/>
        <w:snapToGrid w:val="0"/>
        <w:spacing w:line="360" w:lineRule="auto"/>
        <w:jc w:val="left"/>
        <w:rPr>
          <w:rFonts w:hint="eastAsia" w:ascii="宋体" w:hAnsi="宋体" w:eastAsia="宋体" w:cs="宋体"/>
          <w:b/>
          <w:bCs/>
          <w:color w:val="auto"/>
          <w:kern w:val="0"/>
          <w:szCs w:val="21"/>
          <w:highlight w:val="none"/>
          <w:u w:val="single"/>
          <w:lang w:val="en-US" w:eastAsia="zh-CN"/>
        </w:rPr>
      </w:pPr>
      <w:r>
        <w:rPr>
          <w:rFonts w:hint="eastAsia" w:ascii="宋体" w:hAnsi="宋体" w:eastAsia="宋体" w:cs="宋体"/>
          <w:b/>
          <w:bCs/>
          <w:color w:val="auto"/>
          <w:szCs w:val="21"/>
          <w:highlight w:val="none"/>
          <w:lang w:val="en-US" w:eastAsia="zh-CN"/>
        </w:rPr>
        <w:t>投标人</w:t>
      </w:r>
      <w:r>
        <w:rPr>
          <w:rFonts w:hint="eastAsia" w:ascii="宋体" w:hAnsi="宋体" w:eastAsia="宋体" w:cs="宋体"/>
          <w:b/>
          <w:bCs/>
          <w:color w:val="auto"/>
          <w:szCs w:val="21"/>
          <w:highlight w:val="none"/>
        </w:rPr>
        <w:t>名称（盖单位公章）：</w:t>
      </w:r>
      <w:r>
        <w:rPr>
          <w:rFonts w:hint="eastAsia" w:ascii="宋体" w:hAnsi="宋体" w:eastAsia="宋体" w:cs="宋体"/>
          <w:b/>
          <w:bCs/>
          <w:color w:val="auto"/>
          <w:szCs w:val="21"/>
          <w:highlight w:val="none"/>
          <w:u w:val="single"/>
          <w:lang w:val="en-US" w:eastAsia="zh-CN"/>
        </w:rPr>
        <w:t xml:space="preserve">                  </w:t>
      </w:r>
    </w:p>
    <w:p w14:paraId="23340890">
      <w:pPr>
        <w:keepNext w:val="0"/>
        <w:keepLines w:val="0"/>
        <w:pageBreakBefore w:val="0"/>
        <w:widowControl w:val="0"/>
        <w:overflowPunct/>
        <w:bidi w:val="0"/>
        <w:adjustRightInd w:val="0"/>
        <w:snapToGrid w:val="0"/>
        <w:spacing w:line="360" w:lineRule="auto"/>
        <w:jc w:val="left"/>
        <w:rPr>
          <w:rFonts w:hint="eastAsia" w:ascii="宋体" w:hAnsi="宋体" w:eastAsia="宋体" w:cs="宋体"/>
          <w:b/>
          <w:bCs/>
          <w:color w:val="auto"/>
          <w:kern w:val="0"/>
          <w:sz w:val="44"/>
          <w:szCs w:val="44"/>
          <w:highlight w:val="none"/>
        </w:rPr>
      </w:pPr>
      <w:r>
        <w:rPr>
          <w:rFonts w:hint="eastAsia" w:ascii="宋体" w:hAnsi="宋体" w:eastAsia="宋体" w:cs="宋体"/>
          <w:b/>
          <w:bCs/>
          <w:color w:val="auto"/>
          <w:spacing w:val="-2"/>
          <w:kern w:val="0"/>
          <w:szCs w:val="21"/>
          <w:highlight w:val="none"/>
        </w:rPr>
        <w:t>法</w:t>
      </w:r>
      <w:r>
        <w:rPr>
          <w:rFonts w:hint="eastAsia" w:ascii="宋体" w:hAnsi="宋体" w:eastAsia="宋体" w:cs="宋体"/>
          <w:b/>
          <w:bCs/>
          <w:color w:val="auto"/>
          <w:kern w:val="0"/>
          <w:szCs w:val="21"/>
          <w:highlight w:val="none"/>
        </w:rPr>
        <w:t>定</w:t>
      </w:r>
      <w:r>
        <w:rPr>
          <w:rFonts w:hint="eastAsia" w:ascii="宋体" w:hAnsi="宋体" w:eastAsia="宋体" w:cs="宋体"/>
          <w:b/>
          <w:bCs/>
          <w:color w:val="auto"/>
          <w:spacing w:val="-2"/>
          <w:kern w:val="0"/>
          <w:szCs w:val="21"/>
          <w:highlight w:val="none"/>
        </w:rPr>
        <w:t>代</w:t>
      </w:r>
      <w:r>
        <w:rPr>
          <w:rFonts w:hint="eastAsia" w:ascii="宋体" w:hAnsi="宋体" w:eastAsia="宋体" w:cs="宋体"/>
          <w:b/>
          <w:bCs/>
          <w:color w:val="auto"/>
          <w:kern w:val="0"/>
          <w:szCs w:val="21"/>
          <w:highlight w:val="none"/>
        </w:rPr>
        <w:t>表</w:t>
      </w:r>
      <w:r>
        <w:rPr>
          <w:rFonts w:hint="eastAsia" w:ascii="宋体" w:hAnsi="宋体" w:eastAsia="宋体" w:cs="宋体"/>
          <w:b/>
          <w:bCs/>
          <w:color w:val="auto"/>
          <w:spacing w:val="-2"/>
          <w:kern w:val="0"/>
          <w:szCs w:val="21"/>
          <w:highlight w:val="none"/>
        </w:rPr>
        <w:t>人</w:t>
      </w:r>
      <w:r>
        <w:rPr>
          <w:rFonts w:hint="eastAsia" w:ascii="宋体" w:hAnsi="宋体" w:eastAsia="宋体" w:cs="宋体"/>
          <w:b/>
          <w:bCs/>
          <w:color w:val="auto"/>
          <w:kern w:val="0"/>
          <w:szCs w:val="21"/>
          <w:highlight w:val="none"/>
        </w:rPr>
        <w:t>（</w:t>
      </w:r>
      <w:r>
        <w:rPr>
          <w:rFonts w:hint="eastAsia" w:ascii="宋体" w:hAnsi="宋体" w:eastAsia="宋体" w:cs="宋体"/>
          <w:b/>
          <w:bCs/>
          <w:color w:val="auto"/>
          <w:spacing w:val="-2"/>
          <w:kern w:val="0"/>
          <w:szCs w:val="21"/>
          <w:highlight w:val="none"/>
        </w:rPr>
        <w:t>单</w:t>
      </w:r>
      <w:r>
        <w:rPr>
          <w:rFonts w:hint="eastAsia" w:ascii="宋体" w:hAnsi="宋体" w:eastAsia="宋体" w:cs="宋体"/>
          <w:b/>
          <w:bCs/>
          <w:color w:val="auto"/>
          <w:kern w:val="0"/>
          <w:szCs w:val="21"/>
          <w:highlight w:val="none"/>
        </w:rPr>
        <w:t>位</w:t>
      </w:r>
      <w:r>
        <w:rPr>
          <w:rFonts w:hint="eastAsia" w:ascii="宋体" w:hAnsi="宋体" w:eastAsia="宋体" w:cs="宋体"/>
          <w:b/>
          <w:bCs/>
          <w:color w:val="auto"/>
          <w:spacing w:val="-2"/>
          <w:kern w:val="0"/>
          <w:szCs w:val="21"/>
          <w:highlight w:val="none"/>
        </w:rPr>
        <w:t>负</w:t>
      </w:r>
      <w:r>
        <w:rPr>
          <w:rFonts w:hint="eastAsia" w:ascii="宋体" w:hAnsi="宋体" w:eastAsia="宋体" w:cs="宋体"/>
          <w:b/>
          <w:bCs/>
          <w:color w:val="auto"/>
          <w:kern w:val="0"/>
          <w:szCs w:val="21"/>
          <w:highlight w:val="none"/>
        </w:rPr>
        <w:t>责人</w:t>
      </w:r>
      <w:r>
        <w:rPr>
          <w:rFonts w:hint="eastAsia" w:ascii="宋体" w:hAnsi="宋体" w:eastAsia="宋体" w:cs="宋体"/>
          <w:b/>
          <w:bCs/>
          <w:color w:val="auto"/>
          <w:spacing w:val="-2"/>
          <w:kern w:val="0"/>
          <w:szCs w:val="21"/>
          <w:highlight w:val="none"/>
        </w:rPr>
        <w:t>）</w:t>
      </w:r>
      <w:r>
        <w:rPr>
          <w:rFonts w:hint="eastAsia" w:ascii="宋体" w:hAnsi="宋体" w:eastAsia="宋体" w:cs="宋体"/>
          <w:b/>
          <w:bCs/>
          <w:color w:val="auto"/>
          <w:highlight w:val="none"/>
        </w:rPr>
        <w:t>或委托代理人（签字或印章）：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5C377D9C">
      <w:pPr>
        <w:keepNext w:val="0"/>
        <w:keepLines w:val="0"/>
        <w:pageBreakBefore w:val="0"/>
        <w:widowControl w:val="0"/>
        <w:overflowPunct/>
        <w:bidi w:val="0"/>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日</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日</w:t>
      </w:r>
    </w:p>
    <w:p w14:paraId="285EEB63">
      <w:pPr>
        <w:pStyle w:val="8"/>
        <w:keepNext w:val="0"/>
        <w:keepLines w:val="0"/>
        <w:pageBreakBefore w:val="0"/>
        <w:widowControl w:val="0"/>
        <w:kinsoku/>
        <w:overflowPunct/>
        <w:bidi w:val="0"/>
        <w:textAlignment w:val="auto"/>
        <w:rPr>
          <w:rFonts w:hint="eastAsia" w:ascii="宋体" w:hAnsi="宋体" w:eastAsia="宋体" w:cs="宋体"/>
          <w:color w:val="auto"/>
          <w:sz w:val="24"/>
          <w:szCs w:val="24"/>
          <w:highlight w:val="none"/>
        </w:rPr>
      </w:pPr>
    </w:p>
    <w:p w14:paraId="5D56A426">
      <w:pPr>
        <w:rPr>
          <w:rFonts w:hint="eastAsia" w:ascii="宋体" w:hAnsi="宋体" w:eastAsia="宋体" w:cs="宋体"/>
          <w:b/>
          <w:bCs/>
          <w:color w:val="auto"/>
          <w:sz w:val="21"/>
          <w:szCs w:val="21"/>
          <w:highlight w:val="none"/>
        </w:rPr>
      </w:pPr>
      <w:bookmarkStart w:id="185" w:name="_Toc23500"/>
      <w:r>
        <w:rPr>
          <w:rFonts w:hint="eastAsia" w:ascii="宋体" w:hAnsi="宋体" w:eastAsia="宋体" w:cs="宋体"/>
          <w:b/>
          <w:bCs/>
          <w:color w:val="auto"/>
          <w:sz w:val="21"/>
          <w:szCs w:val="21"/>
          <w:highlight w:val="none"/>
        </w:rPr>
        <w:br w:type="page"/>
      </w:r>
    </w:p>
    <w:p w14:paraId="799A9E28">
      <w:pPr>
        <w:bidi w:val="0"/>
        <w:spacing w:line="360" w:lineRule="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lang w:val="en-US" w:eastAsia="zh-CN"/>
        </w:rPr>
        <w:t>附件1-1：</w:t>
      </w:r>
    </w:p>
    <w:p w14:paraId="6CBD511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法人或者其他组织的营业执照等主体资格证明文件，自然人的身份证明</w:t>
      </w:r>
    </w:p>
    <w:p w14:paraId="03CC46F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为营利法人的，应提交营业执照的复印件；</w:t>
      </w:r>
    </w:p>
    <w:p w14:paraId="479DA11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为依法允许经营的事业单位的，应提交事业单位法人证书复印件；</w:t>
      </w:r>
    </w:p>
    <w:p w14:paraId="3004640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为非法人组织的，应提交依法登记证书复印件；</w:t>
      </w:r>
    </w:p>
    <w:p w14:paraId="03BBBA2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为个体工商户的，应提交个体工商户营业执照复印件；</w:t>
      </w:r>
    </w:p>
    <w:p w14:paraId="006E10C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为自然人的，应提交自然人的身份证明复印件。</w:t>
      </w:r>
    </w:p>
    <w:p w14:paraId="79E73144">
      <w:pPr>
        <w:bidi w:val="0"/>
        <w:rPr>
          <w:rFonts w:hint="eastAsia" w:ascii="宋体" w:hAnsi="宋体" w:eastAsia="宋体" w:cs="宋体"/>
          <w:b w:val="0"/>
          <w:color w:val="auto"/>
          <w:sz w:val="24"/>
          <w:szCs w:val="24"/>
          <w:highlight w:val="none"/>
        </w:rPr>
      </w:pPr>
      <w:r>
        <w:rPr>
          <w:rFonts w:hint="eastAsia" w:ascii="宋体" w:hAnsi="宋体" w:eastAsia="宋体" w:cs="宋体"/>
          <w:b/>
          <w:bCs/>
          <w:color w:val="auto"/>
          <w:kern w:val="2"/>
          <w:sz w:val="18"/>
          <w:szCs w:val="18"/>
          <w:highlight w:val="none"/>
          <w:lang w:val="en-US" w:eastAsia="zh-CN" w:bidi="ar-SA"/>
        </w:rPr>
        <w:br w:type="page"/>
      </w:r>
      <w:r>
        <w:rPr>
          <w:rFonts w:hint="eastAsia" w:ascii="宋体" w:hAnsi="宋体" w:eastAsia="宋体" w:cs="宋体"/>
          <w:b/>
          <w:bCs/>
          <w:color w:val="auto"/>
          <w:kern w:val="2"/>
          <w:sz w:val="18"/>
          <w:szCs w:val="18"/>
          <w:highlight w:val="none"/>
          <w:lang w:val="en-US" w:eastAsia="zh-CN" w:bidi="ar-SA"/>
        </w:rPr>
        <w:t>附件1-2：</w:t>
      </w:r>
    </w:p>
    <w:p w14:paraId="75EB9477">
      <w:pPr>
        <w:pStyle w:val="8"/>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符合特定资格条件证明材料复印件</w:t>
      </w:r>
    </w:p>
    <w:p w14:paraId="6A3E4D07">
      <w:pPr>
        <w:adjustRightInd w:val="0"/>
        <w:snapToGrid w:val="0"/>
        <w:spacing w:line="360" w:lineRule="auto"/>
        <w:ind w:firstLine="480" w:firstLineChars="200"/>
        <w:rPr>
          <w:rFonts w:hint="eastAsia" w:ascii="宋体" w:hAnsi="宋体" w:eastAsia="宋体" w:cs="宋体"/>
          <w:color w:val="auto"/>
          <w:szCs w:val="21"/>
          <w:highlight w:val="none"/>
        </w:rPr>
      </w:pPr>
    </w:p>
    <w:p w14:paraId="7CAA5D31">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1）具备建设行政主管部门颁发的公路工程施工总承包叁级及以上资质；具备有效的安全生产许可证；</w:t>
      </w:r>
    </w:p>
    <w:p w14:paraId="0D02A3F7">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2）拟任项目经理具备公路工程专业贰级注册建造师执业资格，具备交通运输部（或省级及以上交通运输主管部门）颁发的安全生产“三类人员”B类证书，在其他项目任关键岗位人员(简称：在建)情况：</w:t>
      </w:r>
    </w:p>
    <w:p w14:paraId="37A5A236">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投标截止时，投标人应当在响应文件中如实填写项目经理在建情况，并承诺本采购项目成交结果公示期满之前，项目经理能按时到岗履职。评标期间，响应文件中没有承诺能够按时到岗履职的，评标委员会应当否决其投标。</w:t>
      </w:r>
    </w:p>
    <w:p w14:paraId="73DE8D1E">
      <w:pPr>
        <w:keepNext w:val="0"/>
        <w:keepLines w:val="0"/>
        <w:pageBreakBefore w:val="0"/>
        <w:widowControl w:val="0"/>
        <w:kinsoku/>
        <w:overflowPunct/>
        <w:bidi w:val="0"/>
        <w:adjustRightInd w:val="0"/>
        <w:snapToGrid w:val="0"/>
        <w:spacing w:line="360" w:lineRule="auto"/>
        <w:ind w:right="0"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本采购项目成交结果公示期满之前，项目经理不能按时到岗履职(含不能从其他项目按期撤离)的采购人应提请相关部门依法认定为失信行为，并依规进行处罚，对于取得成交资格的，还应取消其成交资格。</w:t>
      </w:r>
    </w:p>
    <w:p w14:paraId="08F9EF8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2CDD409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color w:val="auto"/>
          <w:sz w:val="18"/>
          <w:szCs w:val="18"/>
          <w:highlight w:val="none"/>
          <w:lang w:eastAsia="zh-CN"/>
        </w:rPr>
      </w:pPr>
      <w:r>
        <w:rPr>
          <w:rFonts w:hint="eastAsia" w:ascii="宋体" w:hAnsi="宋体" w:eastAsia="宋体" w:cs="宋体"/>
          <w:b/>
          <w:bCs/>
          <w:color w:val="auto"/>
          <w:kern w:val="2"/>
          <w:sz w:val="18"/>
          <w:szCs w:val="18"/>
          <w:highlight w:val="none"/>
          <w:lang w:val="en-US" w:eastAsia="zh-CN" w:bidi="ar-SA"/>
        </w:rPr>
        <w:t>附件1-3：</w:t>
      </w:r>
    </w:p>
    <w:p w14:paraId="19D76C2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eastAsia="zh-CN"/>
        </w:rPr>
        <w:t>湖南省政府采购供应商资格承诺函</w:t>
      </w:r>
      <w:r>
        <w:rPr>
          <w:rFonts w:hint="eastAsia" w:ascii="宋体" w:hAnsi="宋体" w:eastAsia="宋体" w:cs="宋体"/>
          <w:b/>
          <w:color w:val="auto"/>
          <w:sz w:val="28"/>
          <w:szCs w:val="28"/>
          <w:highlight w:val="none"/>
        </w:rPr>
        <w:t>(格式)</w:t>
      </w:r>
    </w:p>
    <w:p w14:paraId="4D2AF3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FA2C8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按照《政府采购促进中小企业发展管理办法》(财库〔2020〕46号),本公司企业规模为:</w:t>
      </w:r>
      <w:r>
        <w:rPr>
          <w:rFonts w:hint="eastAsia" w:ascii="宋体" w:hAnsi="宋体" w:eastAsia="宋体" w:cs="宋体"/>
          <w:b/>
          <w:bCs/>
          <w:color w:val="auto"/>
          <w:sz w:val="24"/>
          <w:szCs w:val="24"/>
          <w:highlight w:val="none"/>
          <w:u w:val="single"/>
        </w:rPr>
        <w:t>口大型</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口中型</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rPr>
        <w:t>小型</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□微型</w:t>
      </w:r>
      <w:r>
        <w:rPr>
          <w:rFonts w:hint="eastAsia" w:ascii="宋体" w:hAnsi="宋体" w:eastAsia="宋体" w:cs="宋体"/>
          <w:color w:val="auto"/>
          <w:sz w:val="24"/>
          <w:szCs w:val="24"/>
          <w:highlight w:val="none"/>
        </w:rPr>
        <w:t>。</w:t>
      </w:r>
    </w:p>
    <w:p w14:paraId="3762FB11">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公司(单位)名称(盖章)</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single"/>
          <w:lang w:val="en-US" w:eastAsia="zh-CN"/>
        </w:rPr>
        <w:t xml:space="preserve">                                                        </w:t>
      </w:r>
    </w:p>
    <w:p w14:paraId="5A18D71B">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机构代码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6D1A202F">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注册登记机构</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4166A7FF">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lang w:eastAsia="zh-CN"/>
        </w:rPr>
        <w:t>注册</w:t>
      </w:r>
      <w:r>
        <w:rPr>
          <w:rFonts w:hint="eastAsia" w:ascii="宋体" w:hAnsi="宋体" w:eastAsia="宋体" w:cs="宋体"/>
          <w:b/>
          <w:bCs/>
          <w:color w:val="auto"/>
          <w:sz w:val="24"/>
          <w:szCs w:val="24"/>
          <w:highlight w:val="none"/>
        </w:rPr>
        <w:t>日期</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55AD3F6C">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有效期</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170B01DF">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注册资本</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36EE3D9F">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bCs/>
          <w:color w:val="auto"/>
          <w:sz w:val="24"/>
          <w:szCs w:val="24"/>
          <w:highlight w:val="none"/>
        </w:rPr>
        <w:t>地 址</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10440131">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rPr>
        <w:t>经济行业</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77432958">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经济性质</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0F7CFF36">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法定代表人(负责人)姓名(签字)</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32C5838B">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身份证号</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379D9F4A">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手机号:</w:t>
      </w:r>
      <w:r>
        <w:rPr>
          <w:rFonts w:hint="eastAsia" w:ascii="宋体" w:hAnsi="宋体" w:eastAsia="宋体" w:cs="宋体"/>
          <w:b w:val="0"/>
          <w:bCs w:val="0"/>
          <w:color w:val="auto"/>
          <w:sz w:val="24"/>
          <w:szCs w:val="24"/>
          <w:highlight w:val="none"/>
          <w:u w:val="single"/>
          <w:lang w:val="en-US" w:eastAsia="zh-CN"/>
        </w:rPr>
        <w:t xml:space="preserve">                                                                            </w:t>
      </w:r>
    </w:p>
    <w:p w14:paraId="5716AE7E">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授权代表人姓名(签字)</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74474A06">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身份证号</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u w:val="single"/>
          <w:lang w:val="en-US" w:eastAsia="zh-CN"/>
        </w:rPr>
        <w:t xml:space="preserve">                                                                          </w:t>
      </w:r>
    </w:p>
    <w:p w14:paraId="06225121">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rPr>
        <w:t>手机号:</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p>
    <w:p w14:paraId="4205A3F4">
      <w:pPr>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u w:val="single"/>
          <w:lang w:val="en-US" w:eastAsia="zh-CN"/>
        </w:rPr>
        <w:br w:type="page"/>
      </w:r>
    </w:p>
    <w:p w14:paraId="51D7F26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color w:val="auto"/>
          <w:sz w:val="18"/>
          <w:szCs w:val="18"/>
          <w:highlight w:val="none"/>
          <w:lang w:eastAsia="zh-CN"/>
        </w:rPr>
      </w:pPr>
      <w:r>
        <w:rPr>
          <w:rFonts w:hint="eastAsia" w:ascii="宋体" w:hAnsi="宋体" w:eastAsia="宋体" w:cs="宋体"/>
          <w:b/>
          <w:bCs/>
          <w:color w:val="auto"/>
          <w:kern w:val="2"/>
          <w:sz w:val="18"/>
          <w:szCs w:val="18"/>
          <w:highlight w:val="none"/>
          <w:lang w:val="en-US" w:eastAsia="zh-CN" w:bidi="ar-SA"/>
        </w:rPr>
        <w:t>附件1-4：</w:t>
      </w:r>
    </w:p>
    <w:p w14:paraId="405DD236">
      <w:pPr>
        <w:keepNext w:val="0"/>
        <w:keepLines w:val="0"/>
        <w:pageBreakBefore w:val="0"/>
        <w:widowControl w:val="0"/>
        <w:kinsoku/>
        <w:overflowPunct/>
        <w:bidi w:val="0"/>
        <w:jc w:val="center"/>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供应商信用记录</w:t>
      </w:r>
    </w:p>
    <w:p w14:paraId="7CBA0C75">
      <w:pPr>
        <w:keepNext w:val="0"/>
        <w:keepLines w:val="0"/>
        <w:pageBreakBefore w:val="0"/>
        <w:widowControl w:val="0"/>
        <w:tabs>
          <w:tab w:val="left" w:pos="1080"/>
        </w:tabs>
        <w:kinsoku/>
        <w:wordWrap/>
        <w:overflowPunct/>
        <w:autoSpaceDE/>
        <w:autoSpaceDN/>
        <w:bidi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查询渠道：信用中国网站www.creditchina.gov.cn</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中国政府采购网www.ccgp.gov.cn；</w:t>
      </w:r>
    </w:p>
    <w:p w14:paraId="4216B50B">
      <w:pPr>
        <w:keepNext w:val="0"/>
        <w:keepLines w:val="0"/>
        <w:pageBreakBefore w:val="0"/>
        <w:widowControl w:val="0"/>
        <w:tabs>
          <w:tab w:val="left" w:pos="900"/>
          <w:tab w:val="left" w:pos="1980"/>
        </w:tabs>
        <w:kinsoku/>
        <w:wordWrap/>
        <w:overflowPunct/>
        <w:autoSpaceDE/>
        <w:autoSpaceDN/>
        <w:bidi w:val="0"/>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查询时间</w:t>
      </w:r>
      <w:r>
        <w:rPr>
          <w:rFonts w:hint="eastAsia" w:ascii="宋体" w:hAnsi="宋体" w:eastAsia="宋体" w:cs="宋体"/>
          <w:color w:val="auto"/>
          <w:sz w:val="24"/>
          <w:szCs w:val="24"/>
          <w:highlight w:val="none"/>
        </w:rPr>
        <w:t>：投标截止时间</w:t>
      </w:r>
      <w:r>
        <w:rPr>
          <w:rFonts w:hint="eastAsia" w:ascii="宋体" w:hAnsi="宋体" w:eastAsia="宋体" w:cs="宋体"/>
          <w:color w:val="auto"/>
          <w:sz w:val="24"/>
          <w:szCs w:val="24"/>
          <w:highlight w:val="none"/>
          <w:lang w:val="en-US" w:eastAsia="zh-CN"/>
        </w:rPr>
        <w:t>前；</w:t>
      </w:r>
    </w:p>
    <w:p w14:paraId="507583B1">
      <w:pPr>
        <w:pStyle w:val="21"/>
        <w:spacing w:line="36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查询人：</w:t>
      </w:r>
      <w:r>
        <w:rPr>
          <w:rFonts w:hint="eastAsia" w:ascii="宋体" w:hAnsi="宋体" w:eastAsia="宋体" w:cs="宋体"/>
          <w:color w:val="auto"/>
          <w:sz w:val="24"/>
          <w:szCs w:val="24"/>
          <w:highlight w:val="none"/>
          <w:lang w:val="en-US" w:eastAsia="zh-CN"/>
        </w:rPr>
        <w:t>投标人</w:t>
      </w:r>
    </w:p>
    <w:p w14:paraId="2CCB6BB8">
      <w:pPr>
        <w:keepNext w:val="0"/>
        <w:keepLines w:val="0"/>
        <w:pageBreakBefore w:val="0"/>
        <w:widowControl w:val="0"/>
        <w:tabs>
          <w:tab w:val="left" w:pos="900"/>
          <w:tab w:val="left" w:pos="1980"/>
        </w:tabs>
        <w:kinsoku/>
        <w:wordWrap/>
        <w:overflowPunct/>
        <w:autoSpaceDE/>
        <w:autoSpaceDN/>
        <w:bidi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信用信息查询记录和证据留存具体方式：查询结果网页打印页作为查询记录和证据，与其他采购文件一并保存；</w:t>
      </w:r>
    </w:p>
    <w:p w14:paraId="71C1142A">
      <w:pPr>
        <w:keepNext w:val="0"/>
        <w:keepLines w:val="0"/>
        <w:pageBreakBefore w:val="0"/>
        <w:widowControl w:val="0"/>
        <w:kinsoku/>
        <w:overflowPunct/>
        <w:bidi w:val="0"/>
        <w:spacing w:line="360" w:lineRule="auto"/>
        <w:jc w:val="both"/>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4"/>
          <w:szCs w:val="24"/>
          <w:highlight w:val="none"/>
        </w:rPr>
        <w:t>信用信息的使用原则：供应商在“信用中国”网站被列入失信被执行人和重大税收违法案件当事人名单，或在“中国政府采购网”网站被列入政府采购严重违法失信行为记录名单。供应商有上述不良信用记录的，其</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。联合体形式投标的，联合体成员存在不良信用记录，视同联合体存在不良信用记录。</w:t>
      </w:r>
      <w:r>
        <w:rPr>
          <w:rFonts w:hint="eastAsia" w:ascii="宋体" w:hAnsi="宋体" w:eastAsia="宋体" w:cs="宋体"/>
          <w:b/>
          <w:bCs/>
          <w:color w:val="auto"/>
          <w:sz w:val="21"/>
          <w:szCs w:val="21"/>
          <w:highlight w:val="none"/>
        </w:rPr>
        <w:br w:type="page"/>
      </w:r>
    </w:p>
    <w:bookmarkEnd w:id="185"/>
    <w:p w14:paraId="0F430BC4">
      <w:pPr>
        <w:pStyle w:val="3"/>
        <w:keepNext w:val="0"/>
        <w:keepLines w:val="0"/>
        <w:pageBreakBefore w:val="0"/>
        <w:widowControl w:val="0"/>
        <w:overflowPunct/>
        <w:bidi w:val="0"/>
        <w:jc w:val="center"/>
        <w:rPr>
          <w:rFonts w:hint="eastAsia" w:ascii="宋体" w:hAnsi="宋体" w:eastAsia="宋体" w:cs="宋体"/>
          <w:color w:val="auto"/>
          <w:highlight w:val="none"/>
        </w:rPr>
      </w:pPr>
      <w:bookmarkStart w:id="186" w:name="_Toc19697"/>
      <w:bookmarkStart w:id="187" w:name="_Toc10086"/>
      <w:bookmarkStart w:id="188" w:name="_Toc25647"/>
      <w:bookmarkStart w:id="189" w:name="_Toc22903"/>
      <w:bookmarkStart w:id="190" w:name="_Toc30841"/>
      <w:bookmarkStart w:id="191" w:name="_Toc13948"/>
      <w:bookmarkStart w:id="192" w:name="_Toc9005"/>
      <w:bookmarkStart w:id="193" w:name="_Toc21156"/>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法定代表人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单位负责人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身份证明</w:t>
      </w:r>
      <w:bookmarkEnd w:id="186"/>
      <w:bookmarkEnd w:id="187"/>
      <w:bookmarkEnd w:id="188"/>
    </w:p>
    <w:p w14:paraId="7002BF15">
      <w:pPr>
        <w:keepNext w:val="0"/>
        <w:keepLines w:val="0"/>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kern w:val="0"/>
          <w:sz w:val="24"/>
          <w:szCs w:val="24"/>
          <w:highlight w:val="none"/>
        </w:rPr>
        <w:t>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p>
    <w:p w14:paraId="225D62AA">
      <w:pPr>
        <w:keepNext w:val="0"/>
        <w:keepLines w:val="0"/>
        <w:pageBreakBefore w:val="0"/>
        <w:widowControl w:val="0"/>
        <w:tabs>
          <w:tab w:val="left" w:pos="2400"/>
          <w:tab w:val="left" w:pos="3880"/>
          <w:tab w:val="left" w:pos="5340"/>
          <w:tab w:val="left" w:pos="6820"/>
        </w:tabs>
        <w:overflowPunct/>
        <w:autoSpaceDE w:val="0"/>
        <w:autoSpaceDN w:val="0"/>
        <w:bidi w:val="0"/>
        <w:adjustRightInd w:val="0"/>
        <w:snapToGrid w:val="0"/>
        <w:spacing w:line="360" w:lineRule="auto"/>
        <w:ind w:right="-20"/>
        <w:jc w:val="left"/>
        <w:rPr>
          <w:rFonts w:hint="eastAsia" w:ascii="宋体" w:hAnsi="宋体" w:eastAsia="宋体" w:cs="宋体"/>
          <w:color w:val="auto"/>
          <w:kern w:val="0"/>
          <w:position w:val="-2"/>
          <w:sz w:val="24"/>
          <w:szCs w:val="24"/>
          <w:highlight w:val="none"/>
        </w:rPr>
      </w:pPr>
      <w:r>
        <w:rPr>
          <w:rFonts w:hint="eastAsia" w:ascii="宋体" w:hAnsi="宋体" w:eastAsia="宋体" w:cs="宋体"/>
          <w:color w:val="auto"/>
          <w:kern w:val="0"/>
          <w:position w:val="-2"/>
          <w:sz w:val="24"/>
          <w:szCs w:val="24"/>
          <w:highlight w:val="none"/>
        </w:rPr>
        <w:t>统一社会信用代码：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BD11A88">
      <w:pPr>
        <w:keepNext w:val="0"/>
        <w:keepLines w:val="0"/>
        <w:pageBreakBefore w:val="0"/>
        <w:widowControl w:val="0"/>
        <w:tabs>
          <w:tab w:val="left" w:pos="2400"/>
          <w:tab w:val="left" w:pos="3880"/>
          <w:tab w:val="left" w:pos="5340"/>
          <w:tab w:val="left" w:pos="6820"/>
        </w:tabs>
        <w:overflowPunct/>
        <w:autoSpaceDE w:val="0"/>
        <w:autoSpaceDN w:val="0"/>
        <w:bidi w:val="0"/>
        <w:adjustRightInd w:val="0"/>
        <w:snapToGrid w:val="0"/>
        <w:spacing w:line="360" w:lineRule="auto"/>
        <w:ind w:right="-20"/>
        <w:jc w:val="left"/>
        <w:rPr>
          <w:rFonts w:hint="eastAsia" w:ascii="宋体" w:hAnsi="宋体" w:eastAsia="宋体" w:cs="宋体"/>
          <w:color w:val="auto"/>
          <w:kern w:val="0"/>
          <w:position w:val="-2"/>
          <w:sz w:val="24"/>
          <w:szCs w:val="24"/>
          <w:highlight w:val="none"/>
        </w:rPr>
      </w:pPr>
      <w:r>
        <w:rPr>
          <w:rFonts w:hint="eastAsia" w:ascii="宋体" w:hAnsi="宋体" w:eastAsia="宋体" w:cs="宋体"/>
          <w:color w:val="auto"/>
          <w:kern w:val="0"/>
          <w:position w:val="-2"/>
          <w:sz w:val="24"/>
          <w:szCs w:val="24"/>
          <w:highlight w:val="none"/>
        </w:rPr>
        <w:t>注册地址：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3362905">
      <w:pPr>
        <w:keepNext w:val="0"/>
        <w:keepLines w:val="0"/>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姓名：</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性别：</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年龄：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kern w:val="0"/>
          <w:sz w:val="24"/>
          <w:szCs w:val="24"/>
          <w:highlight w:val="none"/>
        </w:rPr>
        <w:t>名称）的法定代表人（</w:t>
      </w:r>
      <w:r>
        <w:rPr>
          <w:rFonts w:hint="eastAsia" w:ascii="宋体" w:hAnsi="宋体" w:eastAsia="宋体" w:cs="宋体"/>
          <w:color w:val="auto"/>
          <w:spacing w:val="-2"/>
          <w:kern w:val="0"/>
          <w:sz w:val="24"/>
          <w:szCs w:val="24"/>
          <w:highlight w:val="none"/>
        </w:rPr>
        <w:t>单</w:t>
      </w:r>
      <w:r>
        <w:rPr>
          <w:rFonts w:hint="eastAsia" w:ascii="宋体" w:hAnsi="宋体" w:eastAsia="宋体" w:cs="宋体"/>
          <w:color w:val="auto"/>
          <w:kern w:val="0"/>
          <w:sz w:val="24"/>
          <w:szCs w:val="24"/>
          <w:highlight w:val="none"/>
        </w:rPr>
        <w:t>位</w:t>
      </w:r>
      <w:r>
        <w:rPr>
          <w:rFonts w:hint="eastAsia" w:ascii="宋体" w:hAnsi="宋体" w:eastAsia="宋体" w:cs="宋体"/>
          <w:color w:val="auto"/>
          <w:spacing w:val="-2"/>
          <w:kern w:val="0"/>
          <w:sz w:val="24"/>
          <w:szCs w:val="24"/>
          <w:highlight w:val="none"/>
        </w:rPr>
        <w:t>负</w:t>
      </w:r>
      <w:r>
        <w:rPr>
          <w:rFonts w:hint="eastAsia" w:ascii="宋体" w:hAnsi="宋体" w:eastAsia="宋体" w:cs="宋体"/>
          <w:color w:val="auto"/>
          <w:kern w:val="0"/>
          <w:sz w:val="24"/>
          <w:szCs w:val="24"/>
          <w:highlight w:val="none"/>
        </w:rPr>
        <w:t>责人</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w:t>
      </w:r>
    </w:p>
    <w:p w14:paraId="4D6DF68C">
      <w:pPr>
        <w:keepNext w:val="0"/>
        <w:keepLines w:val="0"/>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特此证明。</w:t>
      </w:r>
    </w:p>
    <w:p w14:paraId="79824D3C">
      <w:pPr>
        <w:keepNext w:val="0"/>
        <w:keepLines w:val="0"/>
        <w:pageBreakBefore w:val="0"/>
        <w:widowControl w:val="0"/>
        <w:kinsoku/>
        <w:wordWrap/>
        <w:overflowPunct/>
        <w:autoSpaceDE w:val="0"/>
        <w:autoSpaceDN w:val="0"/>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附：法定代表人</w:t>
      </w:r>
      <w:r>
        <w:rPr>
          <w:rFonts w:hint="eastAsia" w:ascii="宋体" w:hAnsi="宋体" w:eastAsia="宋体" w:cs="宋体"/>
          <w:color w:val="auto"/>
          <w:spacing w:val="-2"/>
          <w:kern w:val="0"/>
          <w:sz w:val="24"/>
          <w:szCs w:val="24"/>
          <w:highlight w:val="none"/>
          <w:lang w:eastAsia="zh-CN"/>
        </w:rPr>
        <w:t>（单位负责人）</w:t>
      </w:r>
      <w:r>
        <w:rPr>
          <w:rFonts w:hint="eastAsia" w:ascii="宋体" w:hAnsi="宋体" w:eastAsia="宋体" w:cs="宋体"/>
          <w:color w:val="auto"/>
          <w:sz w:val="24"/>
          <w:szCs w:val="24"/>
          <w:highlight w:val="none"/>
        </w:rPr>
        <w:t>身份证复印件</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4"/>
        <w:gridCol w:w="4294"/>
      </w:tblGrid>
      <w:tr w14:paraId="6BB3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trPr>
        <w:tc>
          <w:tcPr>
            <w:tcW w:w="2715" w:type="pct"/>
            <w:tcBorders>
              <w:tl2br w:val="nil"/>
              <w:tr2bl w:val="nil"/>
            </w:tcBorders>
            <w:vAlign w:val="center"/>
          </w:tcPr>
          <w:p w14:paraId="2F9776BD">
            <w:pPr>
              <w:keepNext w:val="0"/>
              <w:keepLines w:val="0"/>
              <w:pageBreakBefore w:val="0"/>
              <w:widowControl w:val="0"/>
              <w:overflowPunct/>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身份证（正面）</w:t>
            </w:r>
            <w:r>
              <w:rPr>
                <w:rFonts w:hint="eastAsia" w:ascii="宋体" w:hAnsi="宋体" w:eastAsia="宋体" w:cs="宋体"/>
                <w:color w:val="auto"/>
                <w:spacing w:val="-2"/>
                <w:kern w:val="0"/>
                <w:sz w:val="24"/>
                <w:szCs w:val="24"/>
                <w:highlight w:val="none"/>
              </w:rPr>
              <w:t>复</w:t>
            </w:r>
            <w:r>
              <w:rPr>
                <w:rFonts w:hint="eastAsia" w:ascii="宋体" w:hAnsi="宋体" w:eastAsia="宋体" w:cs="宋体"/>
                <w:color w:val="auto"/>
                <w:kern w:val="0"/>
                <w:sz w:val="24"/>
                <w:szCs w:val="24"/>
                <w:highlight w:val="none"/>
              </w:rPr>
              <w:t>印</w:t>
            </w:r>
            <w:r>
              <w:rPr>
                <w:rFonts w:hint="eastAsia" w:ascii="宋体" w:hAnsi="宋体" w:eastAsia="宋体" w:cs="宋体"/>
                <w:color w:val="auto"/>
                <w:spacing w:val="-2"/>
                <w:kern w:val="0"/>
                <w:sz w:val="24"/>
                <w:szCs w:val="24"/>
                <w:highlight w:val="none"/>
              </w:rPr>
              <w:t>件</w:t>
            </w:r>
          </w:p>
        </w:tc>
        <w:tc>
          <w:tcPr>
            <w:tcW w:w="2284" w:type="pct"/>
            <w:tcBorders>
              <w:tl2br w:val="nil"/>
              <w:tr2bl w:val="nil"/>
            </w:tcBorders>
            <w:vAlign w:val="center"/>
          </w:tcPr>
          <w:p w14:paraId="7882CD0F">
            <w:pPr>
              <w:keepNext w:val="0"/>
              <w:keepLines w:val="0"/>
              <w:pageBreakBefore w:val="0"/>
              <w:widowControl w:val="0"/>
              <w:overflowPunct/>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身份证（反面）</w:t>
            </w:r>
            <w:r>
              <w:rPr>
                <w:rFonts w:hint="eastAsia" w:ascii="宋体" w:hAnsi="宋体" w:eastAsia="宋体" w:cs="宋体"/>
                <w:color w:val="auto"/>
                <w:spacing w:val="-2"/>
                <w:kern w:val="0"/>
                <w:sz w:val="24"/>
                <w:szCs w:val="24"/>
                <w:highlight w:val="none"/>
              </w:rPr>
              <w:t>复</w:t>
            </w:r>
            <w:r>
              <w:rPr>
                <w:rFonts w:hint="eastAsia" w:ascii="宋体" w:hAnsi="宋体" w:eastAsia="宋体" w:cs="宋体"/>
                <w:color w:val="auto"/>
                <w:kern w:val="0"/>
                <w:sz w:val="24"/>
                <w:szCs w:val="24"/>
                <w:highlight w:val="none"/>
              </w:rPr>
              <w:t>印</w:t>
            </w:r>
            <w:r>
              <w:rPr>
                <w:rFonts w:hint="eastAsia" w:ascii="宋体" w:hAnsi="宋体" w:eastAsia="宋体" w:cs="宋体"/>
                <w:color w:val="auto"/>
                <w:spacing w:val="-2"/>
                <w:kern w:val="0"/>
                <w:sz w:val="24"/>
                <w:szCs w:val="24"/>
                <w:highlight w:val="none"/>
              </w:rPr>
              <w:t>件</w:t>
            </w:r>
          </w:p>
        </w:tc>
      </w:tr>
    </w:tbl>
    <w:p w14:paraId="004F9807">
      <w:pPr>
        <w:keepNext w:val="0"/>
        <w:keepLines w:val="0"/>
        <w:pageBreakBefore w:val="0"/>
        <w:widowControl w:val="0"/>
        <w:overflowPunct/>
        <w:bidi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代表为法定代表人（单位负责人）的提供。</w:t>
      </w:r>
    </w:p>
    <w:p w14:paraId="785F298D">
      <w:pPr>
        <w:keepNext w:val="0"/>
        <w:keepLines w:val="0"/>
        <w:pageBreakBefore w:val="0"/>
        <w:widowControl w:val="0"/>
        <w:kinsoku/>
        <w:wordWrap/>
        <w:overflowPunct/>
        <w:bidi w:val="0"/>
        <w:adjustRightInd w:val="0"/>
        <w:snapToGrid w:val="0"/>
        <w:spacing w:line="480" w:lineRule="auto"/>
        <w:textAlignment w:val="auto"/>
        <w:rPr>
          <w:rFonts w:hint="eastAsia" w:ascii="宋体" w:hAnsi="宋体" w:eastAsia="宋体" w:cs="宋体"/>
          <w:color w:val="auto"/>
          <w:sz w:val="24"/>
          <w:szCs w:val="24"/>
          <w:highlight w:val="none"/>
        </w:rPr>
      </w:pPr>
    </w:p>
    <w:p w14:paraId="78D1678F">
      <w:pPr>
        <w:keepNext w:val="0"/>
        <w:keepLines w:val="0"/>
        <w:pageBreakBefore w:val="0"/>
        <w:widowControl w:val="0"/>
        <w:kinsoku/>
        <w:wordWrap/>
        <w:overflowPunct/>
        <w:bidi w:val="0"/>
        <w:adjustRightInd w:val="0"/>
        <w:snapToGrid w:val="0"/>
        <w:textAlignment w:val="auto"/>
        <w:rPr>
          <w:rFonts w:hint="eastAsia" w:ascii="宋体" w:hAnsi="宋体" w:eastAsia="宋体" w:cs="宋体"/>
          <w:color w:val="auto"/>
          <w:sz w:val="24"/>
          <w:szCs w:val="24"/>
          <w:highlight w:val="none"/>
        </w:rPr>
      </w:pPr>
    </w:p>
    <w:p w14:paraId="25DBDBEC">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color w:val="auto"/>
          <w:sz w:val="24"/>
          <w:szCs w:val="24"/>
          <w:highlight w:val="none"/>
        </w:rPr>
      </w:pPr>
    </w:p>
    <w:p w14:paraId="537E6F94">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color w:val="auto"/>
          <w:sz w:val="24"/>
          <w:szCs w:val="24"/>
          <w:highlight w:val="none"/>
        </w:rPr>
        <w:t>名称（盖单位章）：</w:t>
      </w:r>
      <w:r>
        <w:rPr>
          <w:rFonts w:hint="eastAsia" w:ascii="宋体" w:hAnsi="宋体" w:eastAsia="宋体" w:cs="宋体"/>
          <w:b/>
          <w:bCs/>
          <w:color w:val="auto"/>
          <w:sz w:val="24"/>
          <w:szCs w:val="24"/>
          <w:highlight w:val="none"/>
          <w:u w:val="single"/>
          <w:lang w:val="en-US" w:eastAsia="zh-CN"/>
        </w:rPr>
        <w:t xml:space="preserve">                    </w:t>
      </w:r>
    </w:p>
    <w:p w14:paraId="3E4715ED">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6474E48B">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b/>
          <w:bCs w:val="0"/>
          <w:color w:val="auto"/>
          <w:sz w:val="18"/>
          <w:szCs w:val="18"/>
          <w:highlight w:val="none"/>
          <w:lang w:val="en-US"/>
        </w:rPr>
      </w:pPr>
      <w:r>
        <w:rPr>
          <w:rFonts w:hint="eastAsia" w:ascii="宋体" w:hAnsi="宋体" w:eastAsia="宋体" w:cs="宋体"/>
          <w:color w:val="auto"/>
          <w:sz w:val="24"/>
          <w:szCs w:val="24"/>
          <w:highlight w:val="none"/>
        </w:rPr>
        <w:br w:type="page"/>
      </w:r>
    </w:p>
    <w:p w14:paraId="7BDD84CD">
      <w:pPr>
        <w:pStyle w:val="3"/>
        <w:keepNext w:val="0"/>
        <w:keepLines w:val="0"/>
        <w:pageBreakBefore w:val="0"/>
        <w:widowControl w:val="0"/>
        <w:overflowPunct/>
        <w:bidi w:val="0"/>
        <w:jc w:val="center"/>
        <w:rPr>
          <w:rFonts w:hint="eastAsia" w:ascii="宋体" w:hAnsi="宋体" w:eastAsia="宋体" w:cs="宋体"/>
          <w:color w:val="auto"/>
          <w:highlight w:val="none"/>
          <w:lang w:eastAsia="zh-CN"/>
        </w:rPr>
      </w:pPr>
      <w:bookmarkStart w:id="194" w:name="_Toc23591"/>
      <w:bookmarkStart w:id="195" w:name="_Toc6495"/>
      <w:bookmarkStart w:id="196" w:name="_Toc21463"/>
      <w:bookmarkStart w:id="197" w:name="_Toc11991"/>
      <w:bookmarkStart w:id="198" w:name="_Toc2535"/>
      <w:bookmarkStart w:id="199" w:name="_Toc18430"/>
      <w:bookmarkStart w:id="200" w:name="_Toc19660"/>
      <w:bookmarkStart w:id="201" w:name="_Toc30771"/>
      <w:bookmarkStart w:id="202" w:name="_Toc31411"/>
      <w:bookmarkStart w:id="203" w:name="_Toc21534"/>
      <w:bookmarkStart w:id="204" w:name="_Toc20727"/>
      <w:r>
        <w:rPr>
          <w:rFonts w:hint="eastAsia" w:ascii="宋体" w:hAnsi="宋体" w:eastAsia="宋体" w:cs="宋体"/>
          <w:color w:val="auto"/>
          <w:highlight w:val="none"/>
          <w:lang w:eastAsia="zh-CN"/>
        </w:rPr>
        <w:t>三、法定代表人（单位负责人）授权委托书</w:t>
      </w:r>
      <w:bookmarkEnd w:id="194"/>
      <w:bookmarkEnd w:id="195"/>
      <w:bookmarkEnd w:id="196"/>
      <w:bookmarkEnd w:id="197"/>
      <w:bookmarkEnd w:id="198"/>
      <w:bookmarkEnd w:id="199"/>
      <w:bookmarkEnd w:id="200"/>
      <w:bookmarkEnd w:id="201"/>
      <w:bookmarkEnd w:id="202"/>
      <w:bookmarkEnd w:id="203"/>
      <w:bookmarkEnd w:id="204"/>
    </w:p>
    <w:p w14:paraId="70DF8216">
      <w:pPr>
        <w:keepNext w:val="0"/>
        <w:keepLines w:val="0"/>
        <w:pageBreakBefore w:val="0"/>
        <w:widowControl w:val="0"/>
        <w:kinsoku/>
        <w:wordWrap/>
        <w:overflowPunct/>
        <w:autoSpaceDE w:val="0"/>
        <w:autoSpaceDN w:val="0"/>
        <w:bidi w:val="0"/>
        <w:adjustRightInd w:val="0"/>
        <w:snapToGrid w:val="0"/>
        <w:spacing w:before="156" w:beforeLines="50"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sz w:val="24"/>
          <w:szCs w:val="24"/>
          <w:highlight w:val="none"/>
          <w:lang w:eastAsia="zh-CN"/>
        </w:rPr>
        <w:t>投标人名称</w:t>
      </w:r>
      <w:r>
        <w:rPr>
          <w:rFonts w:hint="eastAsia" w:ascii="宋体" w:hAnsi="宋体" w:eastAsia="宋体" w:cs="宋体"/>
          <w:color w:val="auto"/>
          <w:kern w:val="0"/>
          <w:sz w:val="24"/>
          <w:szCs w:val="24"/>
          <w:highlight w:val="none"/>
        </w:rPr>
        <w:t>）的法定代表人（</w:t>
      </w:r>
      <w:r>
        <w:rPr>
          <w:rFonts w:hint="eastAsia" w:ascii="宋体" w:hAnsi="宋体" w:eastAsia="宋体" w:cs="宋体"/>
          <w:color w:val="auto"/>
          <w:spacing w:val="-2"/>
          <w:kern w:val="0"/>
          <w:sz w:val="24"/>
          <w:szCs w:val="24"/>
          <w:highlight w:val="none"/>
        </w:rPr>
        <w:t>单</w:t>
      </w:r>
      <w:r>
        <w:rPr>
          <w:rFonts w:hint="eastAsia" w:ascii="宋体" w:hAnsi="宋体" w:eastAsia="宋体" w:cs="宋体"/>
          <w:color w:val="auto"/>
          <w:kern w:val="0"/>
          <w:sz w:val="24"/>
          <w:szCs w:val="24"/>
          <w:highlight w:val="none"/>
        </w:rPr>
        <w:t>位</w:t>
      </w:r>
      <w:r>
        <w:rPr>
          <w:rFonts w:hint="eastAsia" w:ascii="宋体" w:hAnsi="宋体" w:eastAsia="宋体" w:cs="宋体"/>
          <w:color w:val="auto"/>
          <w:spacing w:val="-2"/>
          <w:kern w:val="0"/>
          <w:sz w:val="24"/>
          <w:szCs w:val="24"/>
          <w:highlight w:val="none"/>
        </w:rPr>
        <w:t>负</w:t>
      </w:r>
      <w:r>
        <w:rPr>
          <w:rFonts w:hint="eastAsia" w:ascii="宋体" w:hAnsi="宋体" w:eastAsia="宋体" w:cs="宋体"/>
          <w:color w:val="auto"/>
          <w:kern w:val="0"/>
          <w:sz w:val="24"/>
          <w:szCs w:val="24"/>
          <w:highlight w:val="none"/>
        </w:rPr>
        <w:t>责人</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，现授权</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（姓名、职务）为我方代理人。代理人根据授权，以我方名义：(1)签署、澄清、补正、修改、撤回、提交</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rPr>
        <w:t>政府</w:t>
      </w:r>
      <w:r>
        <w:rPr>
          <w:rFonts w:hint="eastAsia" w:ascii="宋体" w:hAnsi="宋体" w:eastAsia="宋体" w:cs="宋体"/>
          <w:color w:val="auto"/>
          <w:kern w:val="0"/>
          <w:sz w:val="24"/>
          <w:szCs w:val="24"/>
          <w:highlight w:val="none"/>
        </w:rPr>
        <w:t>采购编号、</w:t>
      </w:r>
      <w:r>
        <w:rPr>
          <w:rFonts w:hint="eastAsia" w:ascii="宋体" w:hAnsi="宋体" w:eastAsia="宋体" w:cs="宋体"/>
          <w:color w:val="auto"/>
          <w:kern w:val="0"/>
          <w:sz w:val="24"/>
          <w:szCs w:val="24"/>
          <w:highlight w:val="none"/>
          <w:lang w:eastAsia="zh-CN"/>
        </w:rPr>
        <w:t>采购代理编号</w:t>
      </w:r>
      <w:r>
        <w:rPr>
          <w:rFonts w:hint="eastAsia" w:ascii="宋体" w:hAnsi="宋体" w:eastAsia="宋体" w:cs="宋体"/>
          <w:color w:val="auto"/>
          <w:kern w:val="0"/>
          <w:sz w:val="24"/>
          <w:szCs w:val="24"/>
          <w:highlight w:val="none"/>
        </w:rPr>
        <w:t>）响应文件；(2)签署并重新提交响应文件及最后报价；(3)签订合同和处理有关事宜，其法律后果由我方承担。</w:t>
      </w:r>
    </w:p>
    <w:p w14:paraId="5E918C45">
      <w:pPr>
        <w:keepNext w:val="0"/>
        <w:keepLines w:val="0"/>
        <w:pageBreakBefore w:val="0"/>
        <w:widowControl w:val="0"/>
        <w:kinsoku/>
        <w:wordWrap/>
        <w:overflowPunct/>
        <w:autoSpaceDE w:val="0"/>
        <w:autoSpaceDN w:val="0"/>
        <w:bidi w:val="0"/>
        <w:adjustRightInd w:val="0"/>
        <w:snapToGrid w:val="0"/>
        <w:spacing w:before="156" w:beforeLines="50"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委托期限：</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p w14:paraId="4B2B63F4">
      <w:pPr>
        <w:keepNext w:val="0"/>
        <w:keepLines w:val="0"/>
        <w:pageBreakBefore w:val="0"/>
        <w:widowControl w:val="0"/>
        <w:kinsoku/>
        <w:wordWrap/>
        <w:overflowPunct/>
        <w:bidi w:val="0"/>
        <w:adjustRightInd w:val="0"/>
        <w:snapToGrid w:val="0"/>
        <w:spacing w:line="480" w:lineRule="auto"/>
        <w:ind w:firstLine="435"/>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代理人无转委托权。</w:t>
      </w:r>
    </w:p>
    <w:p w14:paraId="6437B239">
      <w:pPr>
        <w:keepNext w:val="0"/>
        <w:keepLines w:val="0"/>
        <w:pageBreakBefore w:val="0"/>
        <w:widowControl w:val="0"/>
        <w:kinsoku/>
        <w:wordWrap/>
        <w:overflowPunct/>
        <w:bidi w:val="0"/>
        <w:adjustRightInd w:val="0"/>
        <w:snapToGrid w:val="0"/>
        <w:spacing w:line="48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4"/>
        <w:gridCol w:w="4194"/>
      </w:tblGrid>
      <w:tr w14:paraId="3AD6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2768" w:type="pct"/>
            <w:tcBorders>
              <w:tl2br w:val="nil"/>
              <w:tr2bl w:val="nil"/>
            </w:tcBorders>
            <w:vAlign w:val="center"/>
          </w:tcPr>
          <w:p w14:paraId="00219702">
            <w:pPr>
              <w:keepNext w:val="0"/>
              <w:keepLines w:val="0"/>
              <w:pageBreakBefore w:val="0"/>
              <w:widowControl w:val="0"/>
              <w:overflowPunct/>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授权委托人</w:t>
            </w:r>
            <w:r>
              <w:rPr>
                <w:rFonts w:hint="eastAsia" w:ascii="宋体" w:hAnsi="宋体" w:eastAsia="宋体" w:cs="宋体"/>
                <w:color w:val="auto"/>
                <w:sz w:val="24"/>
                <w:szCs w:val="24"/>
                <w:highlight w:val="none"/>
              </w:rPr>
              <w:t>身份证（正面）</w:t>
            </w:r>
            <w:r>
              <w:rPr>
                <w:rFonts w:hint="eastAsia" w:ascii="宋体" w:hAnsi="宋体" w:eastAsia="宋体" w:cs="宋体"/>
                <w:color w:val="auto"/>
                <w:spacing w:val="-2"/>
                <w:kern w:val="0"/>
                <w:sz w:val="24"/>
                <w:szCs w:val="24"/>
                <w:highlight w:val="none"/>
              </w:rPr>
              <w:t>复</w:t>
            </w:r>
            <w:r>
              <w:rPr>
                <w:rFonts w:hint="eastAsia" w:ascii="宋体" w:hAnsi="宋体" w:eastAsia="宋体" w:cs="宋体"/>
                <w:color w:val="auto"/>
                <w:kern w:val="0"/>
                <w:sz w:val="24"/>
                <w:szCs w:val="24"/>
                <w:highlight w:val="none"/>
              </w:rPr>
              <w:t>印</w:t>
            </w:r>
            <w:r>
              <w:rPr>
                <w:rFonts w:hint="eastAsia" w:ascii="宋体" w:hAnsi="宋体" w:eastAsia="宋体" w:cs="宋体"/>
                <w:color w:val="auto"/>
                <w:spacing w:val="-2"/>
                <w:kern w:val="0"/>
                <w:sz w:val="24"/>
                <w:szCs w:val="24"/>
                <w:highlight w:val="none"/>
              </w:rPr>
              <w:t>件</w:t>
            </w:r>
          </w:p>
        </w:tc>
        <w:tc>
          <w:tcPr>
            <w:tcW w:w="2231" w:type="pct"/>
            <w:tcBorders>
              <w:tl2br w:val="nil"/>
              <w:tr2bl w:val="nil"/>
            </w:tcBorders>
            <w:vAlign w:val="center"/>
          </w:tcPr>
          <w:p w14:paraId="3A52CD98">
            <w:pPr>
              <w:keepNext w:val="0"/>
              <w:keepLines w:val="0"/>
              <w:pageBreakBefore w:val="0"/>
              <w:widowControl w:val="0"/>
              <w:overflowPunct/>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授权委托人</w:t>
            </w:r>
            <w:r>
              <w:rPr>
                <w:rFonts w:hint="eastAsia" w:ascii="宋体" w:hAnsi="宋体" w:eastAsia="宋体" w:cs="宋体"/>
                <w:color w:val="auto"/>
                <w:sz w:val="24"/>
                <w:szCs w:val="24"/>
                <w:highlight w:val="none"/>
              </w:rPr>
              <w:t>身份证（反面）</w:t>
            </w:r>
            <w:r>
              <w:rPr>
                <w:rFonts w:hint="eastAsia" w:ascii="宋体" w:hAnsi="宋体" w:eastAsia="宋体" w:cs="宋体"/>
                <w:color w:val="auto"/>
                <w:spacing w:val="-2"/>
                <w:kern w:val="0"/>
                <w:sz w:val="24"/>
                <w:szCs w:val="24"/>
                <w:highlight w:val="none"/>
              </w:rPr>
              <w:t>复</w:t>
            </w:r>
            <w:r>
              <w:rPr>
                <w:rFonts w:hint="eastAsia" w:ascii="宋体" w:hAnsi="宋体" w:eastAsia="宋体" w:cs="宋体"/>
                <w:color w:val="auto"/>
                <w:kern w:val="0"/>
                <w:sz w:val="24"/>
                <w:szCs w:val="24"/>
                <w:highlight w:val="none"/>
              </w:rPr>
              <w:t>印</w:t>
            </w:r>
            <w:r>
              <w:rPr>
                <w:rFonts w:hint="eastAsia" w:ascii="宋体" w:hAnsi="宋体" w:eastAsia="宋体" w:cs="宋体"/>
                <w:color w:val="auto"/>
                <w:spacing w:val="-2"/>
                <w:kern w:val="0"/>
                <w:sz w:val="24"/>
                <w:szCs w:val="24"/>
                <w:highlight w:val="none"/>
              </w:rPr>
              <w:t>件</w:t>
            </w:r>
          </w:p>
        </w:tc>
      </w:tr>
    </w:tbl>
    <w:p w14:paraId="4D155C8E">
      <w:pPr>
        <w:keepNext w:val="0"/>
        <w:keepLines w:val="0"/>
        <w:pageBreakBefore w:val="0"/>
        <w:widowControl w:val="0"/>
        <w:overflowPunct/>
        <w:bidi w:val="0"/>
        <w:adjustRightInd w:val="0"/>
        <w:snapToGrid w:val="0"/>
        <w:spacing w:line="360" w:lineRule="auto"/>
        <w:rPr>
          <w:rFonts w:hint="eastAsia" w:ascii="宋体" w:hAnsi="宋体" w:eastAsia="宋体" w:cs="宋体"/>
          <w:color w:val="auto"/>
          <w:sz w:val="24"/>
          <w:szCs w:val="24"/>
          <w:highlight w:val="none"/>
        </w:rPr>
      </w:pPr>
    </w:p>
    <w:p w14:paraId="1D800133">
      <w:pPr>
        <w:keepNext w:val="0"/>
        <w:keepLines w:val="0"/>
        <w:pageBreakBefore w:val="0"/>
        <w:widowControl w:val="0"/>
        <w:overflowPunct/>
        <w:bidi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代表不是</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的法定代表人</w:t>
      </w:r>
      <w:r>
        <w:rPr>
          <w:rFonts w:hint="eastAsia" w:ascii="宋体" w:hAnsi="宋体" w:eastAsia="宋体" w:cs="宋体"/>
          <w:color w:val="auto"/>
          <w:spacing w:val="-2"/>
          <w:kern w:val="0"/>
          <w:sz w:val="24"/>
          <w:szCs w:val="24"/>
          <w:highlight w:val="none"/>
          <w:lang w:eastAsia="zh-CN"/>
        </w:rPr>
        <w:t>（单位负责人）</w:t>
      </w:r>
      <w:r>
        <w:rPr>
          <w:rFonts w:hint="eastAsia" w:ascii="宋体" w:hAnsi="宋体" w:eastAsia="宋体" w:cs="宋体"/>
          <w:color w:val="auto"/>
          <w:sz w:val="24"/>
          <w:szCs w:val="24"/>
          <w:highlight w:val="none"/>
        </w:rPr>
        <w:t>的提供。</w:t>
      </w:r>
    </w:p>
    <w:p w14:paraId="3C1D093D">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color w:val="auto"/>
          <w:sz w:val="24"/>
          <w:szCs w:val="24"/>
          <w:highlight w:val="none"/>
        </w:rPr>
      </w:pPr>
    </w:p>
    <w:p w14:paraId="2AC7F65C">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color w:val="auto"/>
          <w:sz w:val="24"/>
          <w:szCs w:val="24"/>
          <w:highlight w:val="none"/>
        </w:rPr>
      </w:pPr>
    </w:p>
    <w:p w14:paraId="66A506DD">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color w:val="auto"/>
          <w:sz w:val="24"/>
          <w:szCs w:val="24"/>
          <w:highlight w:val="none"/>
        </w:rPr>
        <w:t>名称（盖单位章）：</w:t>
      </w:r>
      <w:r>
        <w:rPr>
          <w:rFonts w:hint="eastAsia" w:ascii="宋体" w:hAnsi="宋体" w:eastAsia="宋体" w:cs="宋体"/>
          <w:b/>
          <w:bCs/>
          <w:color w:val="auto"/>
          <w:sz w:val="24"/>
          <w:szCs w:val="24"/>
          <w:highlight w:val="none"/>
          <w:u w:val="single"/>
          <w:lang w:val="en-US" w:eastAsia="zh-CN"/>
        </w:rPr>
        <w:t xml:space="preserve">                    </w:t>
      </w:r>
    </w:p>
    <w:p w14:paraId="1B2B5F1D">
      <w:pPr>
        <w:keepNext w:val="0"/>
        <w:keepLines w:val="0"/>
        <w:pageBreakBefore w:val="0"/>
        <w:widowControl w:val="0"/>
        <w:overflowPunct/>
        <w:bidi w:val="0"/>
        <w:adjustRightInd w:val="0"/>
        <w:snapToGrid w:val="0"/>
        <w:spacing w:line="360" w:lineRule="auto"/>
        <w:ind w:right="420"/>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kern w:val="0"/>
          <w:sz w:val="24"/>
          <w:szCs w:val="24"/>
          <w:highlight w:val="none"/>
        </w:rPr>
        <w:t>法</w:t>
      </w:r>
      <w:r>
        <w:rPr>
          <w:rFonts w:hint="eastAsia" w:ascii="宋体" w:hAnsi="宋体" w:eastAsia="宋体" w:cs="宋体"/>
          <w:b/>
          <w:bCs/>
          <w:color w:val="auto"/>
          <w:kern w:val="0"/>
          <w:sz w:val="24"/>
          <w:szCs w:val="24"/>
          <w:highlight w:val="none"/>
        </w:rPr>
        <w:t>定</w:t>
      </w:r>
      <w:r>
        <w:rPr>
          <w:rFonts w:hint="eastAsia" w:ascii="宋体" w:hAnsi="宋体" w:eastAsia="宋体" w:cs="宋体"/>
          <w:b/>
          <w:bCs/>
          <w:color w:val="auto"/>
          <w:spacing w:val="-2"/>
          <w:kern w:val="0"/>
          <w:sz w:val="24"/>
          <w:szCs w:val="24"/>
          <w:highlight w:val="none"/>
        </w:rPr>
        <w:t>代</w:t>
      </w:r>
      <w:r>
        <w:rPr>
          <w:rFonts w:hint="eastAsia" w:ascii="宋体" w:hAnsi="宋体" w:eastAsia="宋体" w:cs="宋体"/>
          <w:b/>
          <w:bCs/>
          <w:color w:val="auto"/>
          <w:kern w:val="0"/>
          <w:sz w:val="24"/>
          <w:szCs w:val="24"/>
          <w:highlight w:val="none"/>
        </w:rPr>
        <w:t>表</w:t>
      </w:r>
      <w:r>
        <w:rPr>
          <w:rFonts w:hint="eastAsia" w:ascii="宋体" w:hAnsi="宋体" w:eastAsia="宋体" w:cs="宋体"/>
          <w:b/>
          <w:bCs/>
          <w:color w:val="auto"/>
          <w:spacing w:val="-2"/>
          <w:kern w:val="0"/>
          <w:sz w:val="24"/>
          <w:szCs w:val="24"/>
          <w:highlight w:val="none"/>
        </w:rPr>
        <w:t>人</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pacing w:val="-2"/>
          <w:kern w:val="0"/>
          <w:sz w:val="24"/>
          <w:szCs w:val="24"/>
          <w:highlight w:val="none"/>
        </w:rPr>
        <w:t>单</w:t>
      </w:r>
      <w:r>
        <w:rPr>
          <w:rFonts w:hint="eastAsia" w:ascii="宋体" w:hAnsi="宋体" w:eastAsia="宋体" w:cs="宋体"/>
          <w:b/>
          <w:bCs/>
          <w:color w:val="auto"/>
          <w:kern w:val="0"/>
          <w:sz w:val="24"/>
          <w:szCs w:val="24"/>
          <w:highlight w:val="none"/>
        </w:rPr>
        <w:t>位</w:t>
      </w:r>
      <w:r>
        <w:rPr>
          <w:rFonts w:hint="eastAsia" w:ascii="宋体" w:hAnsi="宋体" w:eastAsia="宋体" w:cs="宋体"/>
          <w:b/>
          <w:bCs/>
          <w:color w:val="auto"/>
          <w:spacing w:val="-2"/>
          <w:kern w:val="0"/>
          <w:sz w:val="24"/>
          <w:szCs w:val="24"/>
          <w:highlight w:val="none"/>
        </w:rPr>
        <w:t>负</w:t>
      </w:r>
      <w:r>
        <w:rPr>
          <w:rFonts w:hint="eastAsia" w:ascii="宋体" w:hAnsi="宋体" w:eastAsia="宋体" w:cs="宋体"/>
          <w:b/>
          <w:bCs/>
          <w:color w:val="auto"/>
          <w:kern w:val="0"/>
          <w:sz w:val="24"/>
          <w:szCs w:val="24"/>
          <w:highlight w:val="none"/>
        </w:rPr>
        <w:t>责人</w:t>
      </w:r>
      <w:r>
        <w:rPr>
          <w:rFonts w:hint="eastAsia" w:ascii="宋体" w:hAnsi="宋体" w:eastAsia="宋体" w:cs="宋体"/>
          <w:b/>
          <w:bCs/>
          <w:color w:val="auto"/>
          <w:spacing w:val="-2"/>
          <w:kern w:val="0"/>
          <w:sz w:val="24"/>
          <w:szCs w:val="24"/>
          <w:highlight w:val="none"/>
        </w:rPr>
        <w:t>）</w:t>
      </w:r>
      <w:r>
        <w:rPr>
          <w:rFonts w:hint="eastAsia" w:ascii="宋体" w:hAnsi="宋体" w:eastAsia="宋体" w:cs="宋体"/>
          <w:b/>
          <w:bCs/>
          <w:color w:val="auto"/>
          <w:sz w:val="24"/>
          <w:szCs w:val="24"/>
          <w:highlight w:val="none"/>
        </w:rPr>
        <w:t>（签字或印章）：</w:t>
      </w:r>
      <w:r>
        <w:rPr>
          <w:rFonts w:hint="eastAsia" w:ascii="宋体" w:hAnsi="宋体" w:eastAsia="宋体" w:cs="宋体"/>
          <w:b/>
          <w:bCs/>
          <w:color w:val="auto"/>
          <w:sz w:val="24"/>
          <w:szCs w:val="24"/>
          <w:highlight w:val="none"/>
          <w:u w:val="single"/>
        </w:rPr>
        <w:t xml:space="preserve">                     </w:t>
      </w:r>
    </w:p>
    <w:p w14:paraId="756948FF">
      <w:pPr>
        <w:keepNext w:val="0"/>
        <w:keepLines w:val="0"/>
        <w:pageBreakBefore w:val="0"/>
        <w:widowControl w:val="0"/>
        <w:kinsoku/>
        <w:wordWrap/>
        <w:overflowPunct/>
        <w:bidi w:val="0"/>
        <w:adjustRightInd w:val="0"/>
        <w:snapToGrid w:val="0"/>
        <w:spacing w:line="360" w:lineRule="auto"/>
        <w:ind w:right="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委托代理人（签字或印章）：</w:t>
      </w:r>
      <w:r>
        <w:rPr>
          <w:rFonts w:hint="eastAsia" w:ascii="宋体" w:hAnsi="宋体" w:eastAsia="宋体" w:cs="宋体"/>
          <w:b/>
          <w:bCs/>
          <w:color w:val="auto"/>
          <w:sz w:val="24"/>
          <w:szCs w:val="24"/>
          <w:highlight w:val="none"/>
          <w:u w:val="single"/>
        </w:rPr>
        <w:t xml:space="preserve">                  </w:t>
      </w:r>
    </w:p>
    <w:p w14:paraId="3A1793F7">
      <w:pPr>
        <w:keepNext w:val="0"/>
        <w:keepLines w:val="0"/>
        <w:pageBreakBefore w:val="0"/>
        <w:widowControl w:val="0"/>
        <w:kinsoku/>
        <w:wordWrap/>
        <w:overflowPunct/>
        <w:bidi w:val="0"/>
        <w:adjustRightInd w:val="0"/>
        <w:snapToGrid w:val="0"/>
        <w:spacing w:line="360" w:lineRule="auto"/>
        <w:ind w:right="24"/>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37167B97">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2253CBB3">
      <w:pPr>
        <w:pStyle w:val="3"/>
        <w:keepNext w:val="0"/>
        <w:keepLines w:val="0"/>
        <w:pageBreakBefore w:val="0"/>
        <w:widowControl w:val="0"/>
        <w:overflowPunct/>
        <w:bidi w:val="0"/>
        <w:spacing w:line="360" w:lineRule="auto"/>
        <w:jc w:val="center"/>
        <w:rPr>
          <w:rFonts w:hint="eastAsia" w:ascii="宋体" w:hAnsi="宋体" w:eastAsia="宋体" w:cs="宋体"/>
          <w:color w:val="auto"/>
          <w:highlight w:val="none"/>
          <w:lang w:eastAsia="zh-CN"/>
        </w:rPr>
      </w:pPr>
      <w:bookmarkStart w:id="205" w:name="_Toc25233"/>
      <w:bookmarkStart w:id="206" w:name="_Toc14382"/>
      <w:bookmarkStart w:id="207" w:name="_Toc32444"/>
      <w:bookmarkStart w:id="208" w:name="_Toc8117"/>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响应声明</w:t>
      </w:r>
      <w:bookmarkEnd w:id="205"/>
      <w:bookmarkEnd w:id="206"/>
      <w:bookmarkEnd w:id="207"/>
      <w:bookmarkEnd w:id="208"/>
    </w:p>
    <w:p w14:paraId="6B2EC0F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(采购人、</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lang w:eastAsia="zh-CN"/>
        </w:rPr>
        <w:t>代理机构</w:t>
      </w:r>
      <w:r>
        <w:rPr>
          <w:rFonts w:hint="eastAsia" w:ascii="宋体" w:hAnsi="宋体" w:eastAsia="宋体" w:cs="宋体"/>
          <w:color w:val="auto"/>
          <w:szCs w:val="21"/>
          <w:highlight w:val="none"/>
        </w:rPr>
        <w:t>)：</w:t>
      </w:r>
    </w:p>
    <w:p w14:paraId="116F014A">
      <w:pPr>
        <w:keepNext w:val="0"/>
        <w:keepLines w:val="0"/>
        <w:pageBreakBefore w:val="0"/>
        <w:widowControl w:val="0"/>
        <w:kinsoku/>
        <w:wordWrap/>
        <w:overflowPunct/>
        <w:topLinePunct w:val="0"/>
        <w:autoSpaceDE/>
        <w:autoSpaceDN/>
        <w:bidi w:val="0"/>
        <w:adjustRightInd w:val="0"/>
        <w:snapToGrid w:val="0"/>
        <w:spacing w:line="360" w:lineRule="auto"/>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邀请（</w:t>
      </w:r>
      <w:r>
        <w:rPr>
          <w:rFonts w:hint="eastAsia" w:ascii="宋体" w:hAnsi="宋体" w:eastAsia="宋体" w:cs="宋体"/>
          <w:color w:val="auto"/>
          <w:highlight w:val="none"/>
        </w:rPr>
        <w:t>政府</w:t>
      </w:r>
      <w:r>
        <w:rPr>
          <w:rFonts w:hint="eastAsia" w:ascii="宋体" w:hAnsi="宋体" w:eastAsia="宋体" w:cs="宋体"/>
          <w:iCs/>
          <w:color w:val="auto"/>
          <w:highlight w:val="none"/>
        </w:rPr>
        <w:t>采购编号：</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u w:val="single"/>
          <w:lang w:val="en-US" w:eastAsia="zh-CN"/>
        </w:rPr>
        <w:t xml:space="preserve">        </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w:t>
      </w:r>
      <w:r>
        <w:rPr>
          <w:rFonts w:hint="eastAsia" w:ascii="宋体" w:hAnsi="宋体" w:eastAsia="宋体" w:cs="宋体"/>
          <w:color w:val="auto"/>
          <w:szCs w:val="21"/>
          <w:highlight w:val="none"/>
          <w:lang w:eastAsia="zh-CN"/>
        </w:rPr>
        <w:t>采购代理编号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），签字代表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（姓名、职务）经正式授权并代表供应商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投标人名称</w:t>
      </w:r>
      <w:r>
        <w:rPr>
          <w:rFonts w:hint="eastAsia" w:ascii="宋体" w:hAnsi="宋体" w:eastAsia="宋体" w:cs="宋体"/>
          <w:color w:val="auto"/>
          <w:szCs w:val="21"/>
          <w:highlight w:val="none"/>
        </w:rPr>
        <w:t>）提交响应文件电子文档：</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val="en-US" w:eastAsia="zh-CN"/>
        </w:rPr>
        <w:t xml:space="preserve">一  </w:t>
      </w:r>
      <w:r>
        <w:rPr>
          <w:rFonts w:hint="eastAsia" w:ascii="宋体" w:hAnsi="宋体" w:eastAsia="宋体" w:cs="宋体"/>
          <w:color w:val="auto"/>
          <w:szCs w:val="21"/>
          <w:highlight w:val="none"/>
        </w:rPr>
        <w:t>份，参加采购项目第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包</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，并在此声明，所递交的响应文件内容完整、真实。</w:t>
      </w:r>
    </w:p>
    <w:p w14:paraId="4D3C1612">
      <w:pPr>
        <w:pStyle w:val="1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一、我方已详细审查</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文件。我们完全理解并同意放弃对这方面有不明及误解的权力。</w:t>
      </w:r>
    </w:p>
    <w:p w14:paraId="0C44F6A2">
      <w:pPr>
        <w:pStyle w:val="1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二、我方愿意向贵方提供任何与本项采购有关的数据、情况和技术资料。若贵方需要，我方愿意提供我方作出的一切承诺的证明材料。</w:t>
      </w:r>
    </w:p>
    <w:p w14:paraId="45EB692E">
      <w:pPr>
        <w:pStyle w:val="1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三、我方愿意按</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文件规定和</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小组要求重新提交响应文件和最后报价。</w:t>
      </w:r>
    </w:p>
    <w:p w14:paraId="5129E614">
      <w:pPr>
        <w:pStyle w:val="1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四、我方同意在</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文件中规定的提交首次响应文件截止时间起</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b/>
          <w:bCs/>
          <w:color w:val="auto"/>
          <w:highlight w:val="none"/>
          <w:u w:val="single"/>
          <w:lang w:val="en-US" w:eastAsia="zh-CN"/>
        </w:rPr>
        <w:t>90</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日内(响应文件有效期)遵守本响应文件中的承诺且在此期限期满之前均具有法律约束力。</w:t>
      </w:r>
    </w:p>
    <w:p w14:paraId="09242A9B">
      <w:pPr>
        <w:pStyle w:val="1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五、我方承诺遵守《政府采购法》及实施条例、《政府采购</w:t>
      </w:r>
      <w:r>
        <w:rPr>
          <w:rFonts w:hint="eastAsia" w:ascii="宋体" w:hAnsi="宋体" w:eastAsia="宋体" w:cs="宋体"/>
          <w:color w:val="auto"/>
          <w:highlight w:val="none"/>
          <w:lang w:eastAsia="zh-CN"/>
        </w:rPr>
        <w:t>竞争性磋商采购方式</w:t>
      </w:r>
      <w:r>
        <w:rPr>
          <w:rFonts w:hint="eastAsia" w:ascii="宋体" w:hAnsi="宋体" w:eastAsia="宋体" w:cs="宋体"/>
          <w:color w:val="auto"/>
          <w:highlight w:val="none"/>
        </w:rPr>
        <w:t>管理</w:t>
      </w:r>
      <w:r>
        <w:rPr>
          <w:rFonts w:hint="eastAsia" w:ascii="宋体" w:hAnsi="宋体" w:eastAsia="宋体" w:cs="宋体"/>
          <w:color w:val="auto"/>
          <w:highlight w:val="none"/>
          <w:lang w:eastAsia="zh-CN"/>
        </w:rPr>
        <w:t>暂行</w:t>
      </w:r>
      <w:r>
        <w:rPr>
          <w:rFonts w:hint="eastAsia" w:ascii="宋体" w:hAnsi="宋体" w:eastAsia="宋体" w:cs="宋体"/>
          <w:color w:val="auto"/>
          <w:highlight w:val="none"/>
        </w:rPr>
        <w:t>办法》（财</w:t>
      </w:r>
      <w:r>
        <w:rPr>
          <w:rFonts w:hint="eastAsia" w:ascii="宋体" w:hAnsi="宋体" w:eastAsia="宋体" w:cs="宋体"/>
          <w:color w:val="auto"/>
          <w:highlight w:val="none"/>
          <w:lang w:eastAsia="zh-CN"/>
        </w:rPr>
        <w:t>库</w:t>
      </w:r>
      <w:r>
        <w:rPr>
          <w:rFonts w:hint="eastAsia" w:ascii="宋体" w:hAnsi="宋体" w:eastAsia="宋体" w:cs="宋体"/>
          <w:color w:val="auto"/>
          <w:highlight w:val="none"/>
          <w:lang w:val="en-US" w:eastAsia="zh-CN"/>
        </w:rPr>
        <w:t>[2014]214</w:t>
      </w:r>
      <w:r>
        <w:rPr>
          <w:rFonts w:hint="eastAsia" w:ascii="宋体" w:hAnsi="宋体" w:eastAsia="宋体" w:cs="宋体"/>
          <w:color w:val="auto"/>
          <w:highlight w:val="none"/>
        </w:rPr>
        <w:t>号）的有关规定，保证在获得成交资格后，按照</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文件确定的事项签订政府采购合同，履行双方所签订的合同，并承担合同规定的责任和义务。</w:t>
      </w:r>
    </w:p>
    <w:p w14:paraId="796B41D1">
      <w:pPr>
        <w:pStyle w:val="1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六、我方承诺在参与竞争性</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过程中，若出现《政府采购法》第七十七条、《政府采购法实施条例》第七十二条规定之情形，我方同意接受条款规定作出的处罚。</w:t>
      </w:r>
    </w:p>
    <w:p w14:paraId="2E72B5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七、我方的联系方式：</w:t>
      </w:r>
    </w:p>
    <w:p w14:paraId="384550CC">
      <w:pPr>
        <w:keepNext w:val="0"/>
        <w:keepLines w:val="0"/>
        <w:pageBreakBefore w:val="0"/>
        <w:widowControl w:val="0"/>
        <w:overflowPunct/>
        <w:bidi w:val="0"/>
        <w:adjustRightInd w:val="0"/>
        <w:snapToGrid w:val="0"/>
        <w:spacing w:before="156" w:beforeLines="50"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；电子邮箱：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C2A71E2">
      <w:pPr>
        <w:pStyle w:val="13"/>
        <w:keepNext w:val="0"/>
        <w:keepLines w:val="0"/>
        <w:pageBreakBefore w:val="0"/>
        <w:widowControl w:val="0"/>
        <w:overflowPunct/>
        <w:bidi w:val="0"/>
        <w:adjustRightInd w:val="0"/>
        <w:snapToGrid w:val="0"/>
        <w:spacing w:before="156" w:beforeLines="50" w:line="360" w:lineRule="auto"/>
        <w:rPr>
          <w:rFonts w:hint="eastAsia" w:ascii="宋体" w:hAnsi="宋体" w:eastAsia="宋体" w:cs="宋体"/>
          <w:color w:val="auto"/>
          <w:highlight w:val="none"/>
          <w:lang w:val="en-US" w:eastAsia="zh-CN"/>
        </w:rPr>
      </w:pPr>
    </w:p>
    <w:p w14:paraId="3119387F">
      <w:pPr>
        <w:shd w:val="clear" w:color="auto" w:fill="auto"/>
        <w:adjustRightInd w:val="0"/>
        <w:snapToGrid w:val="0"/>
        <w:spacing w:before="50" w:line="360" w:lineRule="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投标人名称（</w:t>
      </w:r>
      <w:r>
        <w:rPr>
          <w:rFonts w:hint="eastAsia" w:ascii="宋体" w:hAnsi="宋体" w:eastAsia="宋体" w:cs="宋体"/>
          <w:b/>
          <w:bCs/>
          <w:color w:val="auto"/>
          <w:sz w:val="24"/>
          <w:szCs w:val="24"/>
          <w:highlight w:val="none"/>
          <w:lang w:eastAsia="zh-CN"/>
        </w:rPr>
        <w:t>盖单位公章</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p>
    <w:p w14:paraId="14E36B8D">
      <w:pPr>
        <w:keepNext w:val="0"/>
        <w:keepLines w:val="0"/>
        <w:pageBreakBefore w:val="0"/>
        <w:widowControl w:val="0"/>
        <w:overflowPunct/>
        <w:bidi w:val="0"/>
        <w:adjustRightInd w:val="0"/>
        <w:snapToGrid w:val="0"/>
        <w:spacing w:before="156" w:beforeLines="50" w:line="360" w:lineRule="auto"/>
        <w:rPr>
          <w:rFonts w:hint="eastAsia" w:ascii="宋体" w:hAnsi="宋体" w:eastAsia="宋体" w:cs="宋体"/>
          <w:b/>
          <w:bCs/>
          <w:color w:val="auto"/>
          <w:szCs w:val="21"/>
          <w:highlight w:val="none"/>
          <w:u w:val="single"/>
        </w:rPr>
      </w:pPr>
      <w:r>
        <w:rPr>
          <w:rFonts w:hint="eastAsia" w:ascii="宋体" w:hAnsi="宋体" w:eastAsia="宋体" w:cs="宋体"/>
          <w:b/>
          <w:bCs/>
          <w:color w:val="auto"/>
          <w:spacing w:val="-2"/>
          <w:kern w:val="0"/>
          <w:szCs w:val="21"/>
          <w:highlight w:val="none"/>
        </w:rPr>
        <w:t>法</w:t>
      </w:r>
      <w:r>
        <w:rPr>
          <w:rFonts w:hint="eastAsia" w:ascii="宋体" w:hAnsi="宋体" w:eastAsia="宋体" w:cs="宋体"/>
          <w:b/>
          <w:bCs/>
          <w:color w:val="auto"/>
          <w:kern w:val="0"/>
          <w:szCs w:val="21"/>
          <w:highlight w:val="none"/>
        </w:rPr>
        <w:t>定</w:t>
      </w:r>
      <w:r>
        <w:rPr>
          <w:rFonts w:hint="eastAsia" w:ascii="宋体" w:hAnsi="宋体" w:eastAsia="宋体" w:cs="宋体"/>
          <w:b/>
          <w:bCs/>
          <w:color w:val="auto"/>
          <w:spacing w:val="-2"/>
          <w:kern w:val="0"/>
          <w:szCs w:val="21"/>
          <w:highlight w:val="none"/>
        </w:rPr>
        <w:t>代</w:t>
      </w:r>
      <w:r>
        <w:rPr>
          <w:rFonts w:hint="eastAsia" w:ascii="宋体" w:hAnsi="宋体" w:eastAsia="宋体" w:cs="宋体"/>
          <w:b/>
          <w:bCs/>
          <w:color w:val="auto"/>
          <w:kern w:val="0"/>
          <w:szCs w:val="21"/>
          <w:highlight w:val="none"/>
        </w:rPr>
        <w:t>表</w:t>
      </w:r>
      <w:r>
        <w:rPr>
          <w:rFonts w:hint="eastAsia" w:ascii="宋体" w:hAnsi="宋体" w:eastAsia="宋体" w:cs="宋体"/>
          <w:b/>
          <w:bCs/>
          <w:color w:val="auto"/>
          <w:spacing w:val="-2"/>
          <w:kern w:val="0"/>
          <w:szCs w:val="21"/>
          <w:highlight w:val="none"/>
        </w:rPr>
        <w:t>人</w:t>
      </w:r>
      <w:r>
        <w:rPr>
          <w:rFonts w:hint="eastAsia" w:ascii="宋体" w:hAnsi="宋体" w:eastAsia="宋体" w:cs="宋体"/>
          <w:b/>
          <w:bCs/>
          <w:color w:val="auto"/>
          <w:kern w:val="0"/>
          <w:szCs w:val="21"/>
          <w:highlight w:val="none"/>
        </w:rPr>
        <w:t>（</w:t>
      </w:r>
      <w:r>
        <w:rPr>
          <w:rFonts w:hint="eastAsia" w:ascii="宋体" w:hAnsi="宋体" w:eastAsia="宋体" w:cs="宋体"/>
          <w:b/>
          <w:bCs/>
          <w:color w:val="auto"/>
          <w:spacing w:val="-2"/>
          <w:kern w:val="0"/>
          <w:szCs w:val="21"/>
          <w:highlight w:val="none"/>
        </w:rPr>
        <w:t>单</w:t>
      </w:r>
      <w:r>
        <w:rPr>
          <w:rFonts w:hint="eastAsia" w:ascii="宋体" w:hAnsi="宋体" w:eastAsia="宋体" w:cs="宋体"/>
          <w:b/>
          <w:bCs/>
          <w:color w:val="auto"/>
          <w:kern w:val="0"/>
          <w:szCs w:val="21"/>
          <w:highlight w:val="none"/>
        </w:rPr>
        <w:t>位</w:t>
      </w:r>
      <w:r>
        <w:rPr>
          <w:rFonts w:hint="eastAsia" w:ascii="宋体" w:hAnsi="宋体" w:eastAsia="宋体" w:cs="宋体"/>
          <w:b/>
          <w:bCs/>
          <w:color w:val="auto"/>
          <w:spacing w:val="-2"/>
          <w:kern w:val="0"/>
          <w:szCs w:val="21"/>
          <w:highlight w:val="none"/>
        </w:rPr>
        <w:t>负</w:t>
      </w:r>
      <w:r>
        <w:rPr>
          <w:rFonts w:hint="eastAsia" w:ascii="宋体" w:hAnsi="宋体" w:eastAsia="宋体" w:cs="宋体"/>
          <w:b/>
          <w:bCs/>
          <w:color w:val="auto"/>
          <w:kern w:val="0"/>
          <w:szCs w:val="21"/>
          <w:highlight w:val="none"/>
        </w:rPr>
        <w:t>责人</w:t>
      </w:r>
      <w:r>
        <w:rPr>
          <w:rFonts w:hint="eastAsia" w:ascii="宋体" w:hAnsi="宋体" w:eastAsia="宋体" w:cs="宋体"/>
          <w:b/>
          <w:bCs/>
          <w:color w:val="auto"/>
          <w:spacing w:val="-2"/>
          <w:kern w:val="0"/>
          <w:szCs w:val="21"/>
          <w:highlight w:val="none"/>
        </w:rPr>
        <w:t>）</w:t>
      </w:r>
      <w:r>
        <w:rPr>
          <w:rFonts w:hint="eastAsia" w:ascii="宋体" w:hAnsi="宋体" w:eastAsia="宋体" w:cs="宋体"/>
          <w:b/>
          <w:bCs/>
          <w:color w:val="auto"/>
          <w:szCs w:val="21"/>
          <w:highlight w:val="none"/>
        </w:rPr>
        <w:t>或其授权的代理人（签字或印章）：</w:t>
      </w:r>
      <w:r>
        <w:rPr>
          <w:rFonts w:hint="eastAsia" w:ascii="宋体" w:hAnsi="宋体" w:eastAsia="宋体" w:cs="宋体"/>
          <w:b/>
          <w:bCs/>
          <w:color w:val="auto"/>
          <w:szCs w:val="21"/>
          <w:highlight w:val="none"/>
          <w:u w:val="single"/>
        </w:rPr>
        <w:t xml:space="preserve">               </w:t>
      </w:r>
    </w:p>
    <w:p w14:paraId="369C231E">
      <w:pPr>
        <w:keepNext w:val="0"/>
        <w:keepLines w:val="0"/>
        <w:pageBreakBefore w:val="0"/>
        <w:widowControl w:val="0"/>
        <w:overflowPunct/>
        <w:bidi w:val="0"/>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日</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日</w:t>
      </w:r>
    </w:p>
    <w:p w14:paraId="73B4468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35ABC85B">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0" w:after="0"/>
        <w:jc w:val="center"/>
        <w:textAlignment w:val="auto"/>
        <w:rPr>
          <w:rFonts w:hint="eastAsia" w:ascii="宋体" w:hAnsi="宋体" w:eastAsia="宋体" w:cs="宋体"/>
          <w:color w:val="auto"/>
          <w:sz w:val="28"/>
          <w:szCs w:val="28"/>
          <w:highlight w:val="none"/>
          <w:lang w:eastAsia="zh-CN"/>
        </w:rPr>
      </w:pPr>
      <w:bookmarkStart w:id="209" w:name="_Toc107998045"/>
      <w:bookmarkStart w:id="210" w:name="_Toc3953"/>
      <w:bookmarkStart w:id="211" w:name="_Toc28788"/>
      <w:bookmarkStart w:id="212" w:name="_Toc1632"/>
      <w:bookmarkStart w:id="213" w:name="_Toc24652"/>
      <w:bookmarkStart w:id="214" w:name="_Toc22315"/>
      <w:bookmarkStart w:id="215" w:name="_Toc990"/>
      <w:r>
        <w:rPr>
          <w:rFonts w:hint="eastAsia" w:ascii="宋体" w:hAnsi="宋体" w:eastAsia="宋体" w:cs="宋体"/>
          <w:color w:val="auto"/>
          <w:sz w:val="28"/>
          <w:szCs w:val="28"/>
          <w:highlight w:val="none"/>
          <w:lang w:eastAsia="zh-CN"/>
        </w:rPr>
        <w:t>五、采购需求响应</w:t>
      </w:r>
      <w:bookmarkEnd w:id="209"/>
      <w:bookmarkEnd w:id="210"/>
      <w:bookmarkEnd w:id="211"/>
      <w:bookmarkEnd w:id="212"/>
      <w:bookmarkEnd w:id="213"/>
    </w:p>
    <w:p w14:paraId="24BE2AB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编制说明：响应投标人应按磋商文件第四章采购需求编写采购需求响应文件，格式自拟。</w:t>
      </w:r>
    </w:p>
    <w:p w14:paraId="2047AECC">
      <w:pPr>
        <w:keepNext w:val="0"/>
        <w:keepLines w:val="0"/>
        <w:pageBreakBefore w:val="0"/>
        <w:widowControl w:val="0"/>
        <w:overflowPunct/>
        <w:bidi w:val="0"/>
        <w:spacing w:line="360" w:lineRule="auto"/>
        <w:rPr>
          <w:rFonts w:hint="eastAsia" w:ascii="宋体" w:hAnsi="宋体" w:eastAsia="宋体" w:cs="宋体"/>
          <w:color w:val="auto"/>
          <w:highlight w:val="none"/>
        </w:rPr>
      </w:pPr>
    </w:p>
    <w:p w14:paraId="6CBE186E">
      <w:pPr>
        <w:keepNext w:val="0"/>
        <w:keepLines w:val="0"/>
        <w:pageBreakBefore w:val="0"/>
        <w:widowControl w:val="0"/>
        <w:overflowPunct/>
        <w:bidi w:val="0"/>
        <w:spacing w:line="360" w:lineRule="auto"/>
        <w:rPr>
          <w:rFonts w:hint="eastAsia" w:ascii="宋体" w:hAnsi="宋体" w:eastAsia="宋体" w:cs="宋体"/>
          <w:color w:val="auto"/>
          <w:highlight w:val="none"/>
        </w:rPr>
      </w:pPr>
    </w:p>
    <w:p w14:paraId="4D66FE94">
      <w:pPr>
        <w:keepNext w:val="0"/>
        <w:keepLines w:val="0"/>
        <w:pageBreakBefore w:val="0"/>
        <w:widowControl w:val="0"/>
        <w:overflowPunct/>
        <w:bidi w:val="0"/>
        <w:spacing w:line="360" w:lineRule="auto"/>
        <w:rPr>
          <w:rFonts w:hint="eastAsia" w:ascii="宋体" w:hAnsi="宋体" w:eastAsia="宋体" w:cs="宋体"/>
          <w:color w:val="auto"/>
          <w:highlight w:val="none"/>
        </w:rPr>
      </w:pPr>
    </w:p>
    <w:p w14:paraId="5601298C">
      <w:pPr>
        <w:keepNext w:val="0"/>
        <w:keepLines w:val="0"/>
        <w:pageBreakBefore w:val="0"/>
        <w:widowControl w:val="0"/>
        <w:overflowPunct/>
        <w:bidi w:val="0"/>
        <w:spacing w:line="360" w:lineRule="auto"/>
        <w:rPr>
          <w:rFonts w:hint="eastAsia" w:ascii="宋体" w:hAnsi="宋体" w:eastAsia="宋体" w:cs="宋体"/>
          <w:color w:val="auto"/>
          <w:highlight w:val="none"/>
        </w:rPr>
      </w:pPr>
    </w:p>
    <w:p w14:paraId="0C7BC7C7">
      <w:pPr>
        <w:keepNext w:val="0"/>
        <w:keepLines w:val="0"/>
        <w:pageBreakBefore w:val="0"/>
        <w:widowControl w:val="0"/>
        <w:overflowPunct/>
        <w:bidi w:val="0"/>
        <w:spacing w:line="360" w:lineRule="auto"/>
        <w:rPr>
          <w:rFonts w:hint="eastAsia" w:ascii="宋体" w:hAnsi="宋体" w:eastAsia="宋体" w:cs="宋体"/>
          <w:color w:val="auto"/>
          <w:highlight w:val="none"/>
        </w:rPr>
      </w:pPr>
    </w:p>
    <w:p w14:paraId="0BA48BDF">
      <w:pPr>
        <w:pStyle w:val="8"/>
        <w:rPr>
          <w:rFonts w:hint="eastAsia" w:ascii="宋体" w:hAnsi="宋体" w:eastAsia="宋体" w:cs="宋体"/>
          <w:color w:val="auto"/>
          <w:highlight w:val="none"/>
        </w:rPr>
      </w:pPr>
    </w:p>
    <w:p w14:paraId="4EE6F8D7">
      <w:pPr>
        <w:keepNext w:val="0"/>
        <w:keepLines w:val="0"/>
        <w:pageBreakBefore w:val="0"/>
        <w:widowControl w:val="0"/>
        <w:overflowPunct/>
        <w:bidi w:val="0"/>
        <w:spacing w:line="360" w:lineRule="auto"/>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r>
        <w:rPr>
          <w:rFonts w:hint="eastAsia" w:ascii="宋体" w:hAnsi="宋体" w:eastAsia="宋体" w:cs="宋体"/>
          <w:b/>
          <w:bCs/>
          <w:color w:val="auto"/>
          <w:highlight w:val="none"/>
          <w:u w:val="single"/>
          <w:lang w:val="en-US" w:eastAsia="zh-CN"/>
        </w:rPr>
        <w:t xml:space="preserve">                       </w:t>
      </w:r>
    </w:p>
    <w:p w14:paraId="3ADAD5FE">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或其委托代理人(签字或印章)：</w:t>
      </w:r>
      <w:r>
        <w:rPr>
          <w:rFonts w:hint="eastAsia" w:ascii="宋体" w:hAnsi="宋体" w:eastAsia="宋体" w:cs="宋体"/>
          <w:b/>
          <w:bCs/>
          <w:color w:val="auto"/>
          <w:highlight w:val="none"/>
          <w:u w:val="single"/>
        </w:rPr>
        <w:t xml:space="preserve">                   </w:t>
      </w:r>
    </w:p>
    <w:p w14:paraId="567F8BBA">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日</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rPr>
        <w:t>期：</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年</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月</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日</w:t>
      </w:r>
    </w:p>
    <w:p w14:paraId="4819A08C">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237F727F">
      <w:pPr>
        <w:pStyle w:val="3"/>
        <w:keepNext w:val="0"/>
        <w:keepLines w:val="0"/>
        <w:pageBreakBefore w:val="0"/>
        <w:widowControl w:val="0"/>
        <w:kinsoku/>
        <w:wordWrap/>
        <w:overflowPunct/>
        <w:topLinePunct w:val="0"/>
        <w:autoSpaceDE/>
        <w:autoSpaceDN/>
        <w:bidi w:val="0"/>
        <w:spacing w:before="0" w:after="0"/>
        <w:ind w:right="0" w:rightChars="0"/>
        <w:jc w:val="center"/>
        <w:textAlignment w:val="auto"/>
        <w:rPr>
          <w:rFonts w:hint="eastAsia" w:ascii="宋体" w:hAnsi="宋体" w:eastAsia="宋体" w:cs="宋体"/>
          <w:color w:val="auto"/>
          <w:highlight w:val="none"/>
          <w:lang w:eastAsia="zh-CN"/>
        </w:rPr>
      </w:pPr>
      <w:bookmarkStart w:id="216" w:name="_Toc30367"/>
      <w:bookmarkStart w:id="217" w:name="_Toc31459"/>
      <w:bookmarkStart w:id="218" w:name="_Toc5095"/>
      <w:r>
        <w:rPr>
          <w:rFonts w:hint="eastAsia" w:ascii="宋体" w:hAnsi="宋体" w:eastAsia="宋体" w:cs="宋体"/>
          <w:color w:val="auto"/>
          <w:highlight w:val="none"/>
          <w:lang w:eastAsia="zh-CN"/>
        </w:rPr>
        <w:t>六</w:t>
      </w:r>
      <w:r>
        <w:rPr>
          <w:rFonts w:hint="eastAsia" w:ascii="宋体" w:hAnsi="宋体" w:eastAsia="宋体" w:cs="宋体"/>
          <w:color w:val="auto"/>
          <w:highlight w:val="none"/>
        </w:rPr>
        <w:t>、</w:t>
      </w:r>
      <w:bookmarkEnd w:id="214"/>
      <w:bookmarkEnd w:id="215"/>
      <w:bookmarkEnd w:id="216"/>
      <w:r>
        <w:rPr>
          <w:rFonts w:hint="eastAsia" w:ascii="宋体" w:hAnsi="宋体" w:eastAsia="宋体" w:cs="宋体"/>
          <w:color w:val="auto"/>
          <w:highlight w:val="none"/>
          <w:lang w:eastAsia="zh-CN"/>
        </w:rPr>
        <w:t>施工及技术方案</w:t>
      </w:r>
      <w:bookmarkEnd w:id="217"/>
      <w:bookmarkEnd w:id="218"/>
    </w:p>
    <w:p w14:paraId="70867417">
      <w:pPr>
        <w:keepNext w:val="0"/>
        <w:keepLines w:val="0"/>
        <w:pageBreakBefore w:val="0"/>
        <w:widowControl w:val="0"/>
        <w:kinsoku/>
        <w:overflowPunct/>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根据采购人的需求和项目具体内容并结合评分要求及自身情况制定项</w:t>
      </w:r>
      <w:r>
        <w:rPr>
          <w:rFonts w:hint="eastAsia" w:ascii="宋体" w:hAnsi="宋体" w:eastAsia="宋体" w:cs="宋体"/>
          <w:color w:val="auto"/>
          <w:sz w:val="24"/>
          <w:szCs w:val="24"/>
          <w:highlight w:val="none"/>
          <w:lang w:eastAsia="zh-CN"/>
        </w:rPr>
        <w:t>施工及技术方案</w:t>
      </w:r>
      <w:r>
        <w:rPr>
          <w:rFonts w:hint="eastAsia" w:ascii="宋体" w:hAnsi="宋体" w:eastAsia="宋体" w:cs="宋体"/>
          <w:color w:val="auto"/>
          <w:sz w:val="24"/>
          <w:szCs w:val="24"/>
          <w:highlight w:val="none"/>
        </w:rPr>
        <w:t>。项目实施方案应当是基于项目现场情况提出来的方案。</w:t>
      </w:r>
    </w:p>
    <w:p w14:paraId="1A4B360F">
      <w:pPr>
        <w:keepNext w:val="0"/>
        <w:keepLines w:val="0"/>
        <w:pageBreakBefore w:val="0"/>
        <w:widowControl w:val="0"/>
        <w:kinsoku/>
        <w:wordWrap/>
        <w:overflowPunct/>
        <w:topLinePunct w:val="0"/>
        <w:autoSpaceDE/>
        <w:autoSpaceDN/>
        <w:bidi w:val="0"/>
        <w:adjustRightInd w:val="0"/>
        <w:snapToGrid w:val="0"/>
        <w:spacing w:line="360" w:lineRule="auto"/>
        <w:ind w:right="0" w:rightChars="0"/>
        <w:textAlignment w:val="auto"/>
        <w:rPr>
          <w:rFonts w:hint="eastAsia" w:ascii="宋体" w:hAnsi="宋体" w:eastAsia="宋体" w:cs="宋体"/>
          <w:color w:val="auto"/>
          <w:sz w:val="24"/>
          <w:szCs w:val="24"/>
          <w:highlight w:val="none"/>
        </w:rPr>
      </w:pPr>
    </w:p>
    <w:p w14:paraId="7D5369F8">
      <w:pPr>
        <w:pStyle w:val="8"/>
        <w:rPr>
          <w:rFonts w:hint="eastAsia" w:ascii="宋体" w:hAnsi="宋体" w:eastAsia="宋体" w:cs="宋体"/>
          <w:color w:val="auto"/>
          <w:sz w:val="24"/>
          <w:szCs w:val="24"/>
          <w:highlight w:val="none"/>
        </w:rPr>
      </w:pPr>
    </w:p>
    <w:p w14:paraId="79F2C137">
      <w:pPr>
        <w:rPr>
          <w:rFonts w:hint="eastAsia" w:ascii="宋体" w:hAnsi="宋体" w:eastAsia="宋体" w:cs="宋体"/>
          <w:color w:val="auto"/>
          <w:sz w:val="24"/>
          <w:szCs w:val="24"/>
          <w:highlight w:val="none"/>
        </w:rPr>
      </w:pPr>
    </w:p>
    <w:p w14:paraId="3919E1D7">
      <w:pPr>
        <w:pStyle w:val="8"/>
        <w:rPr>
          <w:rFonts w:hint="eastAsia" w:ascii="宋体" w:hAnsi="宋体" w:eastAsia="宋体" w:cs="宋体"/>
          <w:color w:val="auto"/>
          <w:sz w:val="24"/>
          <w:szCs w:val="24"/>
          <w:highlight w:val="none"/>
        </w:rPr>
      </w:pPr>
    </w:p>
    <w:p w14:paraId="092817A2">
      <w:pPr>
        <w:rPr>
          <w:rFonts w:hint="eastAsia" w:ascii="宋体" w:hAnsi="宋体" w:eastAsia="宋体" w:cs="宋体"/>
          <w:color w:val="auto"/>
          <w:sz w:val="24"/>
          <w:szCs w:val="24"/>
          <w:highlight w:val="none"/>
        </w:rPr>
      </w:pPr>
    </w:p>
    <w:p w14:paraId="06691724">
      <w:pPr>
        <w:pStyle w:val="8"/>
        <w:rPr>
          <w:rFonts w:hint="eastAsia" w:ascii="宋体" w:hAnsi="宋体" w:eastAsia="宋体" w:cs="宋体"/>
          <w:color w:val="auto"/>
          <w:sz w:val="24"/>
          <w:szCs w:val="24"/>
          <w:highlight w:val="none"/>
        </w:rPr>
      </w:pPr>
    </w:p>
    <w:p w14:paraId="6808A585">
      <w:pPr>
        <w:rPr>
          <w:rFonts w:hint="eastAsia" w:ascii="宋体" w:hAnsi="宋体" w:eastAsia="宋体" w:cs="宋体"/>
          <w:color w:val="auto"/>
          <w:sz w:val="24"/>
          <w:szCs w:val="24"/>
          <w:highlight w:val="none"/>
        </w:rPr>
      </w:pPr>
    </w:p>
    <w:p w14:paraId="6D40B717">
      <w:pPr>
        <w:keepNext w:val="0"/>
        <w:keepLines w:val="0"/>
        <w:pageBreakBefore w:val="0"/>
        <w:widowControl w:val="0"/>
        <w:kinsoku/>
        <w:wordWrap/>
        <w:overflowPunct/>
        <w:topLinePunct w:val="0"/>
        <w:autoSpaceDE/>
        <w:autoSpaceDN/>
        <w:bidi w:val="0"/>
        <w:spacing w:line="360" w:lineRule="auto"/>
        <w:ind w:right="0" w:rightChars="0"/>
        <w:textAlignment w:val="auto"/>
        <w:rPr>
          <w:rFonts w:hint="eastAsia" w:ascii="宋体" w:hAnsi="宋体" w:eastAsia="宋体" w:cs="宋体"/>
          <w:b/>
          <w:bCs/>
          <w:color w:val="auto"/>
          <w:highlight w:val="none"/>
        </w:rPr>
      </w:pPr>
      <w:bookmarkStart w:id="219" w:name="_Toc8531"/>
      <w:bookmarkStart w:id="220" w:name="_Toc20913"/>
      <w:bookmarkStart w:id="221" w:name="_Toc29580"/>
      <w:bookmarkStart w:id="222" w:name="_Toc17678"/>
      <w:bookmarkStart w:id="223" w:name="_Toc18139"/>
      <w:bookmarkStart w:id="224" w:name="_Toc4290"/>
      <w:bookmarkStart w:id="225" w:name="_Toc6424"/>
      <w:bookmarkStart w:id="226" w:name="_Toc15426"/>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bookmarkEnd w:id="219"/>
      <w:bookmarkEnd w:id="220"/>
      <w:bookmarkEnd w:id="221"/>
      <w:bookmarkEnd w:id="222"/>
      <w:bookmarkEnd w:id="223"/>
      <w:bookmarkEnd w:id="224"/>
      <w:bookmarkEnd w:id="225"/>
      <w:bookmarkEnd w:id="226"/>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750729B7">
      <w:pPr>
        <w:keepNext w:val="0"/>
        <w:keepLines w:val="0"/>
        <w:pageBreakBefore w:val="0"/>
        <w:widowControl w:val="0"/>
        <w:kinsoku/>
        <w:wordWrap/>
        <w:overflowPunct/>
        <w:topLinePunct w:val="0"/>
        <w:autoSpaceDE/>
        <w:autoSpaceDN/>
        <w:bidi w:val="0"/>
        <w:spacing w:line="360" w:lineRule="auto"/>
        <w:ind w:right="0" w:rightChars="0"/>
        <w:textAlignment w:val="auto"/>
        <w:rPr>
          <w:rFonts w:hint="eastAsia" w:ascii="宋体" w:hAnsi="宋体" w:eastAsia="宋体" w:cs="宋体"/>
          <w:b/>
          <w:bCs/>
          <w:color w:val="auto"/>
          <w:highlight w:val="none"/>
        </w:rPr>
      </w:pPr>
      <w:bookmarkStart w:id="227" w:name="_Toc29591"/>
      <w:bookmarkStart w:id="228" w:name="_Toc27160"/>
      <w:bookmarkStart w:id="229" w:name="_Toc17053"/>
      <w:bookmarkStart w:id="230" w:name="_Toc17592"/>
      <w:bookmarkStart w:id="231" w:name="_Toc4643"/>
      <w:bookmarkStart w:id="232" w:name="_Toc28425"/>
      <w:bookmarkStart w:id="233" w:name="_Toc23042"/>
      <w:bookmarkStart w:id="234" w:name="_Toc21358"/>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或其委托代理人(签字或印章)：</w:t>
      </w:r>
      <w:bookmarkEnd w:id="227"/>
      <w:bookmarkEnd w:id="228"/>
      <w:bookmarkEnd w:id="229"/>
      <w:bookmarkEnd w:id="230"/>
      <w:bookmarkEnd w:id="231"/>
      <w:bookmarkEnd w:id="232"/>
      <w:bookmarkEnd w:id="233"/>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bookmarkEnd w:id="234"/>
    </w:p>
    <w:p w14:paraId="0C0927A0">
      <w:pPr>
        <w:keepNext w:val="0"/>
        <w:keepLines w:val="0"/>
        <w:pageBreakBefore w:val="0"/>
        <w:widowControl w:val="0"/>
        <w:kinsoku/>
        <w:wordWrap/>
        <w:overflowPunct/>
        <w:topLinePunct w:val="0"/>
        <w:autoSpaceDE/>
        <w:autoSpaceDN/>
        <w:bidi w:val="0"/>
        <w:spacing w:line="360" w:lineRule="auto"/>
        <w:ind w:right="0" w:rightChars="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日</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rPr>
        <w:t>期：</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年</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月</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rPr>
        <w:t>日</w:t>
      </w:r>
    </w:p>
    <w:p w14:paraId="0AFF73F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D5BB3BC">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附件6-1：</w:t>
      </w:r>
    </w:p>
    <w:p w14:paraId="7E70F4AE">
      <w:pPr>
        <w:widowControl w:val="0"/>
        <w:spacing w:after="120"/>
        <w:ind w:left="0" w:leftChars="0" w:firstLine="0" w:firstLineChars="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项目管理机构</w:t>
      </w:r>
    </w:p>
    <w:tbl>
      <w:tblPr>
        <w:tblStyle w:val="40"/>
        <w:tblW w:w="917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3"/>
        <w:gridCol w:w="702"/>
        <w:gridCol w:w="1170"/>
        <w:gridCol w:w="888"/>
        <w:gridCol w:w="936"/>
        <w:gridCol w:w="795"/>
        <w:gridCol w:w="2340"/>
        <w:gridCol w:w="1664"/>
      </w:tblGrid>
      <w:tr w14:paraId="46B0B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83" w:type="dxa"/>
            <w:vMerge w:val="restart"/>
            <w:tcBorders>
              <w:bottom w:val="nil"/>
            </w:tcBorders>
            <w:textDirection w:val="tbRlV"/>
            <w:vAlign w:val="top"/>
          </w:tcPr>
          <w:p w14:paraId="62D7905D">
            <w:pPr>
              <w:kinsoku w:val="0"/>
              <w:autoSpaceDE w:val="0"/>
              <w:autoSpaceDN w:val="0"/>
              <w:adjustRightInd w:val="0"/>
              <w:snapToGrid w:val="0"/>
              <w:spacing w:before="202" w:line="208" w:lineRule="auto"/>
              <w:ind w:left="219"/>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1"/>
                <w:kern w:val="0"/>
                <w:sz w:val="21"/>
                <w:szCs w:val="21"/>
                <w:highlight w:val="none"/>
                <w:lang w:val="en-US" w:eastAsia="en-US" w:bidi="ar-SA"/>
              </w:rPr>
              <w:t>姓名</w:t>
            </w:r>
          </w:p>
        </w:tc>
        <w:tc>
          <w:tcPr>
            <w:tcW w:w="702" w:type="dxa"/>
            <w:vMerge w:val="restart"/>
            <w:tcBorders>
              <w:bottom w:val="nil"/>
            </w:tcBorders>
            <w:vAlign w:val="top"/>
          </w:tcPr>
          <w:p w14:paraId="4FB5CCED">
            <w:pPr>
              <w:widowControl/>
              <w:kinsoku w:val="0"/>
              <w:autoSpaceDE w:val="0"/>
              <w:autoSpaceDN w:val="0"/>
              <w:adjustRightInd w:val="0"/>
              <w:snapToGrid w:val="0"/>
              <w:spacing w:line="285" w:lineRule="auto"/>
              <w:jc w:val="left"/>
              <w:textAlignment w:val="baseline"/>
              <w:rPr>
                <w:rFonts w:hint="eastAsia" w:ascii="宋体" w:hAnsi="宋体" w:eastAsia="宋体" w:cs="宋体"/>
                <w:snapToGrid w:val="0"/>
                <w:color w:val="auto"/>
                <w:kern w:val="0"/>
                <w:sz w:val="21"/>
                <w:highlight w:val="none"/>
                <w:lang w:eastAsia="en-US"/>
              </w:rPr>
            </w:pPr>
          </w:p>
          <w:p w14:paraId="61B0243D">
            <w:pPr>
              <w:kinsoku w:val="0"/>
              <w:autoSpaceDE w:val="0"/>
              <w:autoSpaceDN w:val="0"/>
              <w:adjustRightInd w:val="0"/>
              <w:snapToGrid w:val="0"/>
              <w:spacing w:before="69" w:line="220" w:lineRule="auto"/>
              <w:ind w:left="11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性别</w:t>
            </w:r>
          </w:p>
        </w:tc>
        <w:tc>
          <w:tcPr>
            <w:tcW w:w="6129" w:type="dxa"/>
            <w:gridSpan w:val="5"/>
            <w:vAlign w:val="top"/>
          </w:tcPr>
          <w:p w14:paraId="2F6C3981">
            <w:pPr>
              <w:kinsoku w:val="0"/>
              <w:autoSpaceDE w:val="0"/>
              <w:autoSpaceDN w:val="0"/>
              <w:adjustRightInd w:val="0"/>
              <w:snapToGrid w:val="0"/>
              <w:spacing w:before="123" w:line="220" w:lineRule="auto"/>
              <w:ind w:left="1843"/>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1"/>
                <w:kern w:val="0"/>
                <w:sz w:val="21"/>
                <w:szCs w:val="21"/>
                <w:highlight w:val="none"/>
                <w:lang w:val="en-US" w:eastAsia="en-US" w:bidi="ar-SA"/>
              </w:rPr>
              <w:t>执业或岗位资格证明</w:t>
            </w:r>
          </w:p>
        </w:tc>
        <w:tc>
          <w:tcPr>
            <w:tcW w:w="1664" w:type="dxa"/>
            <w:vMerge w:val="restart"/>
            <w:tcBorders>
              <w:bottom w:val="nil"/>
            </w:tcBorders>
            <w:vAlign w:val="top"/>
          </w:tcPr>
          <w:p w14:paraId="66E7E6C6">
            <w:pPr>
              <w:kinsoku w:val="0"/>
              <w:autoSpaceDE w:val="0"/>
              <w:autoSpaceDN w:val="0"/>
              <w:adjustRightInd w:val="0"/>
              <w:snapToGrid w:val="0"/>
              <w:spacing w:before="220" w:line="241" w:lineRule="auto"/>
              <w:ind w:left="130" w:right="119"/>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拟在本项目担任的工作岗位</w:t>
            </w:r>
          </w:p>
        </w:tc>
      </w:tr>
      <w:tr w14:paraId="661E2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Merge w:val="continue"/>
            <w:tcBorders>
              <w:top w:val="nil"/>
            </w:tcBorders>
            <w:textDirection w:val="tbRlV"/>
            <w:vAlign w:val="top"/>
          </w:tcPr>
          <w:p w14:paraId="6CC8C7C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Merge w:val="continue"/>
            <w:tcBorders>
              <w:top w:val="nil"/>
            </w:tcBorders>
            <w:vAlign w:val="top"/>
          </w:tcPr>
          <w:p w14:paraId="16C0179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79D47ED9">
            <w:pPr>
              <w:kinsoku w:val="0"/>
              <w:autoSpaceDE w:val="0"/>
              <w:autoSpaceDN w:val="0"/>
              <w:adjustRightInd w:val="0"/>
              <w:snapToGrid w:val="0"/>
              <w:spacing w:before="119" w:line="219" w:lineRule="auto"/>
              <w:ind w:left="11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证书名称</w:t>
            </w:r>
          </w:p>
        </w:tc>
        <w:tc>
          <w:tcPr>
            <w:tcW w:w="888" w:type="dxa"/>
            <w:vAlign w:val="top"/>
          </w:tcPr>
          <w:p w14:paraId="2CD63394">
            <w:pPr>
              <w:kinsoku w:val="0"/>
              <w:autoSpaceDE w:val="0"/>
              <w:autoSpaceDN w:val="0"/>
              <w:adjustRightInd w:val="0"/>
              <w:snapToGrid w:val="0"/>
              <w:spacing w:before="119" w:line="220" w:lineRule="auto"/>
              <w:ind w:left="198"/>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级别</w:t>
            </w:r>
          </w:p>
        </w:tc>
        <w:tc>
          <w:tcPr>
            <w:tcW w:w="936" w:type="dxa"/>
            <w:vAlign w:val="top"/>
          </w:tcPr>
          <w:p w14:paraId="619ED8E0">
            <w:pPr>
              <w:kinsoku w:val="0"/>
              <w:autoSpaceDE w:val="0"/>
              <w:autoSpaceDN w:val="0"/>
              <w:adjustRightInd w:val="0"/>
              <w:snapToGrid w:val="0"/>
              <w:spacing w:before="119" w:line="221" w:lineRule="auto"/>
              <w:ind w:left="218"/>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证号</w:t>
            </w:r>
          </w:p>
        </w:tc>
        <w:tc>
          <w:tcPr>
            <w:tcW w:w="795" w:type="dxa"/>
            <w:vAlign w:val="top"/>
          </w:tcPr>
          <w:p w14:paraId="56FCFF8B">
            <w:pPr>
              <w:kinsoku w:val="0"/>
              <w:autoSpaceDE w:val="0"/>
              <w:autoSpaceDN w:val="0"/>
              <w:adjustRightInd w:val="0"/>
              <w:snapToGrid w:val="0"/>
              <w:spacing w:before="119" w:line="220" w:lineRule="auto"/>
              <w:ind w:left="15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专业</w:t>
            </w:r>
          </w:p>
        </w:tc>
        <w:tc>
          <w:tcPr>
            <w:tcW w:w="2340" w:type="dxa"/>
            <w:vAlign w:val="top"/>
          </w:tcPr>
          <w:p w14:paraId="3B967E4F">
            <w:pPr>
              <w:kinsoku w:val="0"/>
              <w:autoSpaceDE w:val="0"/>
              <w:autoSpaceDN w:val="0"/>
              <w:adjustRightInd w:val="0"/>
              <w:snapToGrid w:val="0"/>
              <w:spacing w:before="119" w:line="220" w:lineRule="auto"/>
              <w:ind w:left="548"/>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身份证号码</w:t>
            </w:r>
          </w:p>
        </w:tc>
        <w:tc>
          <w:tcPr>
            <w:tcW w:w="1664" w:type="dxa"/>
            <w:vMerge w:val="continue"/>
            <w:tcBorders>
              <w:top w:val="nil"/>
            </w:tcBorders>
            <w:vAlign w:val="top"/>
          </w:tcPr>
          <w:p w14:paraId="1488471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62DFF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795810F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4170AFA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5EB39B9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6BC9F76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7D653C8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34BD841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569763F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145B7DC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4A083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6189DA3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51209B4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1AF6062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666E4C1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4E032B1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45378FA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6DF3BF6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50611D2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04AFD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5B93A9B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594A884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317D3A7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6D97C3E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32C12D9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33AD48E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651ECEA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4474DB4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59C70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4CC3A42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09935D0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4AF4B08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36EFEA4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79F7CFA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69D6D15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2E25E5A7">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75E73C2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1D544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59070D1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69D676B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51AC910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73559AD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6A8BCFE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4C530C3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207D3C0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1DCCA6E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57C64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26C021E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0515CC6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1FEDDE0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7F16979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049DC34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5EC2FC9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330B36A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19560E7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678C3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799F825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03DE7D1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138BAE3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208DC22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4326622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0D67FB3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66AF1B4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7775702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00FE5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683" w:type="dxa"/>
            <w:vAlign w:val="top"/>
          </w:tcPr>
          <w:p w14:paraId="38BF66B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4A81B30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2E92FE6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3A3BC917">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21087C7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414B0A3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55FECE2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4D6066C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1856D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83" w:type="dxa"/>
            <w:vAlign w:val="top"/>
          </w:tcPr>
          <w:p w14:paraId="2720E5B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02" w:type="dxa"/>
            <w:vAlign w:val="top"/>
          </w:tcPr>
          <w:p w14:paraId="2ABC74D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170" w:type="dxa"/>
            <w:vAlign w:val="top"/>
          </w:tcPr>
          <w:p w14:paraId="3ABF17E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888" w:type="dxa"/>
            <w:vAlign w:val="top"/>
          </w:tcPr>
          <w:p w14:paraId="05A2EFD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936" w:type="dxa"/>
            <w:vAlign w:val="top"/>
          </w:tcPr>
          <w:p w14:paraId="725CE42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795" w:type="dxa"/>
            <w:vAlign w:val="top"/>
          </w:tcPr>
          <w:p w14:paraId="21E330C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340" w:type="dxa"/>
            <w:vAlign w:val="top"/>
          </w:tcPr>
          <w:p w14:paraId="1A6AF88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664" w:type="dxa"/>
            <w:vAlign w:val="top"/>
          </w:tcPr>
          <w:p w14:paraId="1840F19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bl>
    <w:p w14:paraId="0FA16057">
      <w:pPr>
        <w:widowControl/>
        <w:ind w:firstLine="420"/>
        <w:jc w:val="left"/>
        <w:rPr>
          <w:rFonts w:hint="eastAsia" w:ascii="宋体" w:hAnsi="宋体" w:eastAsia="宋体" w:cs="宋体"/>
          <w:color w:val="auto"/>
          <w:kern w:val="0"/>
          <w:sz w:val="20"/>
          <w:szCs w:val="20"/>
          <w:highlight w:val="none"/>
          <w:lang w:val="en-US" w:eastAsia="zh-CN" w:bidi="ar-SA"/>
        </w:rPr>
      </w:pPr>
    </w:p>
    <w:p w14:paraId="55D1B13E">
      <w:pPr>
        <w:adjustRightInd w:val="0"/>
        <w:snapToGrid w:val="0"/>
        <w:spacing w:line="360" w:lineRule="auto"/>
        <w:rPr>
          <w:rFonts w:hint="eastAsia" w:ascii="宋体" w:hAnsi="宋体" w:eastAsia="宋体" w:cs="宋体"/>
          <w:b/>
          <w:bCs/>
          <w:color w:val="auto"/>
          <w:sz w:val="24"/>
          <w:szCs w:val="24"/>
          <w:highlight w:val="none"/>
          <w:lang w:val="en-US" w:eastAsia="zh-CN"/>
        </w:rPr>
      </w:pPr>
    </w:p>
    <w:p w14:paraId="4C93A097">
      <w:pPr>
        <w:adjustRightInd w:val="0"/>
        <w:snapToGrid w:val="0"/>
        <w:spacing w:line="360" w:lineRule="auto"/>
        <w:rPr>
          <w:rFonts w:hint="eastAsia" w:ascii="宋体" w:hAnsi="宋体" w:eastAsia="宋体" w:cs="宋体"/>
          <w:b/>
          <w:bCs/>
          <w:color w:val="auto"/>
          <w:sz w:val="24"/>
          <w:szCs w:val="24"/>
          <w:highlight w:val="none"/>
        </w:rPr>
      </w:pPr>
    </w:p>
    <w:p w14:paraId="4B767890">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p>
    <w:p w14:paraId="7BB139BB">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或其委托代理人(签字或印章)：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45B0985D">
      <w:pPr>
        <w:keepNext w:val="0"/>
        <w:keepLines w:val="0"/>
        <w:pageBreakBefore w:val="0"/>
        <w:widowControl w:val="0"/>
        <w:kinsoku/>
        <w:wordWrap/>
        <w:overflowPunct/>
        <w:bidi w:val="0"/>
        <w:adjustRightInd w:val="0"/>
        <w:snapToGrid w:val="0"/>
        <w:spacing w:line="36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73570657">
      <w:pPr>
        <w:pStyle w:val="4"/>
        <w:bidi w:val="0"/>
        <w:rPr>
          <w:rFonts w:hint="eastAsia" w:ascii="宋体" w:hAnsi="宋体" w:eastAsia="宋体" w:cs="宋体"/>
          <w:b/>
          <w:bCs/>
          <w:color w:val="auto"/>
          <w:kern w:val="2"/>
          <w:szCs w:val="24"/>
          <w:highlight w:val="none"/>
          <w:lang w:val="en-US" w:eastAsia="zh-CN" w:bidi="ar-SA"/>
        </w:rPr>
      </w:pPr>
      <w:r>
        <w:rPr>
          <w:rFonts w:hint="eastAsia" w:ascii="宋体" w:hAnsi="宋体" w:eastAsia="宋体" w:cs="宋体"/>
          <w:color w:val="auto"/>
          <w:szCs w:val="24"/>
          <w:highlight w:val="none"/>
        </w:rPr>
        <w:br w:type="page"/>
      </w:r>
      <w:bookmarkStart w:id="235" w:name="_Toc6716"/>
      <w:r>
        <w:rPr>
          <w:rFonts w:hint="eastAsia" w:asciiTheme="minorEastAsia" w:hAnsiTheme="minorEastAsia" w:eastAsiaTheme="minorEastAsia" w:cstheme="minorEastAsia"/>
          <w:color w:val="auto"/>
          <w:sz w:val="24"/>
          <w:szCs w:val="24"/>
          <w:lang w:val="en-US" w:eastAsia="zh-CN"/>
        </w:rPr>
        <w:t>附件6-2：拟任项目经理简历表</w:t>
      </w:r>
      <w:bookmarkEnd w:id="235"/>
    </w:p>
    <w:p w14:paraId="3515FD91">
      <w:pPr>
        <w:bidi w:val="0"/>
        <w:spacing w:line="360" w:lineRule="auto"/>
        <w:jc w:val="center"/>
        <w:rPr>
          <w:rFonts w:hint="eastAsia"/>
          <w:b/>
          <w:bCs/>
          <w:color w:val="auto"/>
          <w:lang w:eastAsia="en-US"/>
        </w:rPr>
      </w:pPr>
      <w:r>
        <w:rPr>
          <w:rFonts w:hint="eastAsia"/>
          <w:b/>
          <w:bCs/>
          <w:color w:val="auto"/>
          <w:lang w:eastAsia="en-US"/>
        </w:rPr>
        <w:t>拟任项目经理简历表</w:t>
      </w:r>
    </w:p>
    <w:tbl>
      <w:tblPr>
        <w:tblStyle w:val="40"/>
        <w:tblW w:w="90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2"/>
        <w:gridCol w:w="965"/>
        <w:gridCol w:w="96"/>
        <w:gridCol w:w="1143"/>
        <w:gridCol w:w="255"/>
        <w:gridCol w:w="1330"/>
        <w:gridCol w:w="1442"/>
        <w:gridCol w:w="2572"/>
      </w:tblGrid>
      <w:tr w14:paraId="0CF94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282" w:type="dxa"/>
            <w:vAlign w:val="top"/>
          </w:tcPr>
          <w:p w14:paraId="03D8C319">
            <w:pPr>
              <w:kinsoku w:val="0"/>
              <w:autoSpaceDE w:val="0"/>
              <w:autoSpaceDN w:val="0"/>
              <w:adjustRightInd w:val="0"/>
              <w:snapToGrid w:val="0"/>
              <w:spacing w:before="179" w:line="220" w:lineRule="auto"/>
              <w:ind w:left="43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姓名</w:t>
            </w:r>
          </w:p>
        </w:tc>
        <w:tc>
          <w:tcPr>
            <w:tcW w:w="965" w:type="dxa"/>
            <w:vAlign w:val="top"/>
          </w:tcPr>
          <w:p w14:paraId="2C401E59">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239" w:type="dxa"/>
            <w:gridSpan w:val="2"/>
            <w:vAlign w:val="top"/>
          </w:tcPr>
          <w:p w14:paraId="0423AC9D">
            <w:pPr>
              <w:kinsoku w:val="0"/>
              <w:autoSpaceDE w:val="0"/>
              <w:autoSpaceDN w:val="0"/>
              <w:adjustRightInd w:val="0"/>
              <w:snapToGrid w:val="0"/>
              <w:spacing w:before="179" w:line="220" w:lineRule="auto"/>
              <w:ind w:left="41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年龄</w:t>
            </w:r>
          </w:p>
        </w:tc>
        <w:tc>
          <w:tcPr>
            <w:tcW w:w="1585" w:type="dxa"/>
            <w:gridSpan w:val="2"/>
            <w:vAlign w:val="top"/>
          </w:tcPr>
          <w:p w14:paraId="05D8731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55ADE76C">
            <w:pPr>
              <w:kinsoku w:val="0"/>
              <w:autoSpaceDE w:val="0"/>
              <w:autoSpaceDN w:val="0"/>
              <w:adjustRightInd w:val="0"/>
              <w:snapToGrid w:val="0"/>
              <w:spacing w:before="180" w:line="221" w:lineRule="auto"/>
              <w:ind w:left="52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4"/>
                <w:kern w:val="0"/>
                <w:sz w:val="21"/>
                <w:szCs w:val="21"/>
                <w:highlight w:val="none"/>
                <w:lang w:val="en-US" w:eastAsia="en-US" w:bidi="ar-SA"/>
              </w:rPr>
              <w:t>学历</w:t>
            </w:r>
          </w:p>
        </w:tc>
        <w:tc>
          <w:tcPr>
            <w:tcW w:w="2572" w:type="dxa"/>
            <w:vAlign w:val="top"/>
          </w:tcPr>
          <w:p w14:paraId="0B80661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75D59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4B37676F">
            <w:pPr>
              <w:kinsoku w:val="0"/>
              <w:autoSpaceDE w:val="0"/>
              <w:autoSpaceDN w:val="0"/>
              <w:adjustRightInd w:val="0"/>
              <w:snapToGrid w:val="0"/>
              <w:spacing w:before="176" w:line="220" w:lineRule="auto"/>
              <w:ind w:left="435"/>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性别</w:t>
            </w:r>
          </w:p>
        </w:tc>
        <w:tc>
          <w:tcPr>
            <w:tcW w:w="965" w:type="dxa"/>
            <w:vAlign w:val="top"/>
          </w:tcPr>
          <w:p w14:paraId="1A4C32C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239" w:type="dxa"/>
            <w:gridSpan w:val="2"/>
            <w:vAlign w:val="top"/>
          </w:tcPr>
          <w:p w14:paraId="35640D9B">
            <w:pPr>
              <w:kinsoku w:val="0"/>
              <w:autoSpaceDE w:val="0"/>
              <w:autoSpaceDN w:val="0"/>
              <w:adjustRightInd w:val="0"/>
              <w:snapToGrid w:val="0"/>
              <w:spacing w:before="175" w:line="220" w:lineRule="auto"/>
              <w:ind w:left="41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职务</w:t>
            </w:r>
          </w:p>
        </w:tc>
        <w:tc>
          <w:tcPr>
            <w:tcW w:w="1585" w:type="dxa"/>
            <w:gridSpan w:val="2"/>
            <w:vAlign w:val="top"/>
          </w:tcPr>
          <w:p w14:paraId="3ACCE94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1E742749">
            <w:pPr>
              <w:kinsoku w:val="0"/>
              <w:autoSpaceDE w:val="0"/>
              <w:autoSpaceDN w:val="0"/>
              <w:adjustRightInd w:val="0"/>
              <w:snapToGrid w:val="0"/>
              <w:spacing w:before="39" w:line="227" w:lineRule="auto"/>
              <w:ind w:left="307" w:right="188" w:hanging="8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7"/>
                <w:kern w:val="0"/>
                <w:sz w:val="21"/>
                <w:szCs w:val="21"/>
                <w:highlight w:val="none"/>
                <w:lang w:val="en-US" w:eastAsia="en-US" w:bidi="ar-SA"/>
              </w:rPr>
              <w:t>电子证书使</w:t>
            </w:r>
            <w:r>
              <w:rPr>
                <w:rFonts w:hint="eastAsia" w:ascii="宋体" w:hAnsi="宋体" w:eastAsia="宋体" w:cs="宋体"/>
                <w:snapToGrid w:val="0"/>
                <w:color w:val="auto"/>
                <w:spacing w:val="-2"/>
                <w:kern w:val="0"/>
                <w:sz w:val="21"/>
                <w:szCs w:val="21"/>
                <w:highlight w:val="none"/>
                <w:lang w:val="en-US" w:eastAsia="en-US" w:bidi="ar-SA"/>
              </w:rPr>
              <w:t>用有效期</w:t>
            </w:r>
          </w:p>
        </w:tc>
        <w:tc>
          <w:tcPr>
            <w:tcW w:w="2572" w:type="dxa"/>
            <w:vAlign w:val="top"/>
          </w:tcPr>
          <w:p w14:paraId="521C174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4BA25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64F54D79">
            <w:pPr>
              <w:kinsoku w:val="0"/>
              <w:autoSpaceDE w:val="0"/>
              <w:autoSpaceDN w:val="0"/>
              <w:adjustRightInd w:val="0"/>
              <w:snapToGrid w:val="0"/>
              <w:spacing w:before="176" w:line="220" w:lineRule="auto"/>
              <w:ind w:left="22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毕业学校</w:t>
            </w:r>
          </w:p>
        </w:tc>
        <w:tc>
          <w:tcPr>
            <w:tcW w:w="7803" w:type="dxa"/>
            <w:gridSpan w:val="7"/>
            <w:vAlign w:val="top"/>
          </w:tcPr>
          <w:p w14:paraId="0889C4DE">
            <w:pPr>
              <w:tabs>
                <w:tab w:val="left" w:pos="444"/>
              </w:tabs>
              <w:kinsoku w:val="0"/>
              <w:autoSpaceDE w:val="0"/>
              <w:autoSpaceDN w:val="0"/>
              <w:adjustRightInd w:val="0"/>
              <w:snapToGrid w:val="0"/>
              <w:spacing w:before="176" w:line="216" w:lineRule="auto"/>
              <w:ind w:left="325"/>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u w:val="single" w:color="auto"/>
                <w:lang w:val="en-US" w:eastAsia="en-US" w:bidi="ar-SA"/>
              </w:rPr>
              <w:tab/>
            </w:r>
            <w:r>
              <w:rPr>
                <w:rFonts w:hint="eastAsia" w:ascii="宋体" w:hAnsi="宋体" w:eastAsia="宋体" w:cs="宋体"/>
                <w:snapToGrid w:val="0"/>
                <w:color w:val="auto"/>
                <w:spacing w:val="-6"/>
                <w:kern w:val="0"/>
                <w:sz w:val="21"/>
                <w:szCs w:val="21"/>
                <w:highlight w:val="none"/>
                <w:u w:val="single" w:color="auto"/>
                <w:lang w:val="en-US" w:eastAsia="en-US" w:bidi="ar-SA"/>
              </w:rPr>
              <w:t>（       年）</w:t>
            </w:r>
            <w:r>
              <w:rPr>
                <w:rFonts w:hint="eastAsia" w:ascii="宋体" w:hAnsi="宋体" w:eastAsia="宋体" w:cs="宋体"/>
                <w:snapToGrid w:val="0"/>
                <w:color w:val="auto"/>
                <w:spacing w:val="-6"/>
                <w:kern w:val="0"/>
                <w:sz w:val="21"/>
                <w:szCs w:val="21"/>
                <w:highlight w:val="none"/>
                <w:lang w:val="en-US" w:eastAsia="en-US" w:bidi="ar-SA"/>
              </w:rPr>
              <w:t>毕业于</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kern w:val="0"/>
                <w:position w:val="-3"/>
                <w:sz w:val="21"/>
                <w:szCs w:val="21"/>
                <w:highlight w:val="none"/>
                <w:lang w:val="en-US" w:eastAsia="en-US" w:bidi="ar-SA"/>
              </w:rPr>
              <w:drawing>
                <wp:inline distT="0" distB="0" distL="0" distR="0">
                  <wp:extent cx="600075" cy="635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6"/>
                          <a:stretch>
                            <a:fillRect/>
                          </a:stretch>
                        </pic:blipFill>
                        <pic:spPr>
                          <a:xfrm>
                            <a:off x="0" y="0"/>
                            <a:ext cx="600075" cy="6667"/>
                          </a:xfrm>
                          <a:prstGeom prst="rect">
                            <a:avLst/>
                          </a:prstGeom>
                        </pic:spPr>
                      </pic:pic>
                    </a:graphicData>
                  </a:graphic>
                </wp:inline>
              </w:drawing>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6"/>
                <w:kern w:val="0"/>
                <w:sz w:val="21"/>
                <w:szCs w:val="21"/>
                <w:highlight w:val="none"/>
                <w:lang w:val="en-US" w:eastAsia="en-US" w:bidi="ar-SA"/>
              </w:rPr>
              <w:t>学校</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74"/>
                <w:kern w:val="0"/>
                <w:sz w:val="21"/>
                <w:szCs w:val="21"/>
                <w:highlight w:val="none"/>
                <w:lang w:val="en-US" w:eastAsia="en-US" w:bidi="ar-SA"/>
              </w:rPr>
              <w:t xml:space="preserve"> </w:t>
            </w:r>
            <w:r>
              <w:rPr>
                <w:rFonts w:hint="eastAsia" w:ascii="宋体" w:hAnsi="宋体" w:eastAsia="宋体" w:cs="宋体"/>
                <w:snapToGrid w:val="0"/>
                <w:color w:val="auto"/>
                <w:kern w:val="0"/>
                <w:position w:val="-3"/>
                <w:sz w:val="21"/>
                <w:szCs w:val="21"/>
                <w:highlight w:val="none"/>
                <w:lang w:val="en-US" w:eastAsia="en-US" w:bidi="ar-SA"/>
              </w:rPr>
              <w:drawing>
                <wp:inline distT="0" distB="0" distL="0" distR="0">
                  <wp:extent cx="400050" cy="635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7"/>
                          <a:stretch>
                            <a:fillRect/>
                          </a:stretch>
                        </pic:blipFill>
                        <pic:spPr>
                          <a:xfrm>
                            <a:off x="0" y="0"/>
                            <a:ext cx="400050" cy="6667"/>
                          </a:xfrm>
                          <a:prstGeom prst="rect">
                            <a:avLst/>
                          </a:prstGeom>
                        </pic:spPr>
                      </pic:pic>
                    </a:graphicData>
                  </a:graphic>
                </wp:inline>
              </w:drawing>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6"/>
                <w:kern w:val="0"/>
                <w:sz w:val="21"/>
                <w:szCs w:val="21"/>
                <w:highlight w:val="none"/>
                <w:lang w:val="en-US" w:eastAsia="en-US" w:bidi="ar-SA"/>
              </w:rPr>
              <w:t>专业（毕业证上列信息）</w:t>
            </w:r>
          </w:p>
        </w:tc>
      </w:tr>
      <w:tr w14:paraId="355F4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085" w:type="dxa"/>
            <w:gridSpan w:val="8"/>
            <w:vAlign w:val="top"/>
          </w:tcPr>
          <w:p w14:paraId="76E4BE22">
            <w:pPr>
              <w:kinsoku w:val="0"/>
              <w:autoSpaceDE w:val="0"/>
              <w:autoSpaceDN w:val="0"/>
              <w:adjustRightInd w:val="0"/>
              <w:snapToGrid w:val="0"/>
              <w:spacing w:before="177" w:line="220" w:lineRule="auto"/>
              <w:ind w:left="391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类似工程业绩</w:t>
            </w:r>
          </w:p>
        </w:tc>
      </w:tr>
      <w:tr w14:paraId="7EE67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282" w:type="dxa"/>
            <w:vAlign w:val="top"/>
          </w:tcPr>
          <w:p w14:paraId="5614599D">
            <w:pPr>
              <w:kinsoku w:val="0"/>
              <w:autoSpaceDE w:val="0"/>
              <w:autoSpaceDN w:val="0"/>
              <w:adjustRightInd w:val="0"/>
              <w:snapToGrid w:val="0"/>
              <w:spacing w:before="304" w:line="220" w:lineRule="auto"/>
              <w:ind w:left="223"/>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开工日期</w:t>
            </w:r>
          </w:p>
        </w:tc>
        <w:tc>
          <w:tcPr>
            <w:tcW w:w="1061" w:type="dxa"/>
            <w:gridSpan w:val="2"/>
            <w:vAlign w:val="top"/>
          </w:tcPr>
          <w:p w14:paraId="6152943C">
            <w:pPr>
              <w:kinsoku w:val="0"/>
              <w:autoSpaceDE w:val="0"/>
              <w:autoSpaceDN w:val="0"/>
              <w:adjustRightInd w:val="0"/>
              <w:snapToGrid w:val="0"/>
              <w:spacing w:before="303" w:line="220" w:lineRule="auto"/>
              <w:ind w:left="11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验收日期</w:t>
            </w:r>
          </w:p>
        </w:tc>
        <w:tc>
          <w:tcPr>
            <w:tcW w:w="1398" w:type="dxa"/>
            <w:gridSpan w:val="2"/>
            <w:vAlign w:val="top"/>
          </w:tcPr>
          <w:p w14:paraId="1BE8079C">
            <w:pPr>
              <w:kinsoku w:val="0"/>
              <w:autoSpaceDE w:val="0"/>
              <w:autoSpaceDN w:val="0"/>
              <w:adjustRightInd w:val="0"/>
              <w:snapToGrid w:val="0"/>
              <w:spacing w:before="32" w:line="220" w:lineRule="auto"/>
              <w:ind w:left="179"/>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项目经理在</w:t>
            </w:r>
          </w:p>
          <w:p w14:paraId="08E8C106">
            <w:pPr>
              <w:kinsoku w:val="0"/>
              <w:autoSpaceDE w:val="0"/>
              <w:autoSpaceDN w:val="0"/>
              <w:adjustRightInd w:val="0"/>
              <w:snapToGrid w:val="0"/>
              <w:spacing w:before="21" w:line="219" w:lineRule="auto"/>
              <w:ind w:left="17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本项目的任</w:t>
            </w:r>
          </w:p>
          <w:p w14:paraId="6A741763">
            <w:pPr>
              <w:kinsoku w:val="0"/>
              <w:autoSpaceDE w:val="0"/>
              <w:autoSpaceDN w:val="0"/>
              <w:adjustRightInd w:val="0"/>
              <w:snapToGrid w:val="0"/>
              <w:spacing w:before="23" w:line="202" w:lineRule="auto"/>
              <w:ind w:left="176"/>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职起止日期</w:t>
            </w:r>
          </w:p>
        </w:tc>
        <w:tc>
          <w:tcPr>
            <w:tcW w:w="1330" w:type="dxa"/>
            <w:vAlign w:val="top"/>
          </w:tcPr>
          <w:p w14:paraId="036188DA">
            <w:pPr>
              <w:kinsoku w:val="0"/>
              <w:autoSpaceDE w:val="0"/>
              <w:autoSpaceDN w:val="0"/>
              <w:adjustRightInd w:val="0"/>
              <w:snapToGrid w:val="0"/>
              <w:spacing w:before="167" w:line="242" w:lineRule="auto"/>
              <w:ind w:left="356" w:right="135" w:hanging="213"/>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类似工程业</w:t>
            </w:r>
            <w:r>
              <w:rPr>
                <w:rFonts w:hint="eastAsia" w:ascii="宋体" w:hAnsi="宋体" w:eastAsia="宋体" w:cs="宋体"/>
                <w:snapToGrid w:val="0"/>
                <w:color w:val="auto"/>
                <w:spacing w:val="-3"/>
                <w:kern w:val="0"/>
                <w:sz w:val="21"/>
                <w:szCs w:val="21"/>
                <w:highlight w:val="none"/>
                <w:lang w:val="en-US" w:eastAsia="en-US" w:bidi="ar-SA"/>
              </w:rPr>
              <w:t>绩名称</w:t>
            </w:r>
          </w:p>
        </w:tc>
        <w:tc>
          <w:tcPr>
            <w:tcW w:w="1442" w:type="dxa"/>
            <w:vAlign w:val="top"/>
          </w:tcPr>
          <w:p w14:paraId="560346CC">
            <w:pPr>
              <w:kinsoku w:val="0"/>
              <w:autoSpaceDE w:val="0"/>
              <w:autoSpaceDN w:val="0"/>
              <w:adjustRightInd w:val="0"/>
              <w:snapToGrid w:val="0"/>
              <w:spacing w:before="303" w:line="220" w:lineRule="auto"/>
              <w:ind w:left="307"/>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担任职务</w:t>
            </w:r>
          </w:p>
        </w:tc>
        <w:tc>
          <w:tcPr>
            <w:tcW w:w="2572" w:type="dxa"/>
            <w:vAlign w:val="top"/>
          </w:tcPr>
          <w:p w14:paraId="1EBBB926">
            <w:pPr>
              <w:kinsoku w:val="0"/>
              <w:autoSpaceDE w:val="0"/>
              <w:autoSpaceDN w:val="0"/>
              <w:adjustRightInd w:val="0"/>
              <w:snapToGrid w:val="0"/>
              <w:spacing w:before="167" w:line="243" w:lineRule="auto"/>
              <w:ind w:left="872" w:right="859" w:firstLine="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发包人及联系电话</w:t>
            </w:r>
          </w:p>
        </w:tc>
      </w:tr>
      <w:tr w14:paraId="61281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3D78B5D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061" w:type="dxa"/>
            <w:gridSpan w:val="2"/>
            <w:vAlign w:val="top"/>
          </w:tcPr>
          <w:p w14:paraId="36794E6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98" w:type="dxa"/>
            <w:gridSpan w:val="2"/>
            <w:vAlign w:val="top"/>
          </w:tcPr>
          <w:p w14:paraId="418DEF3B">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30" w:type="dxa"/>
            <w:vAlign w:val="top"/>
          </w:tcPr>
          <w:p w14:paraId="0123EAD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233B15F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572" w:type="dxa"/>
            <w:vAlign w:val="top"/>
          </w:tcPr>
          <w:p w14:paraId="3DFD1DD6">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4DC10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82" w:type="dxa"/>
            <w:vAlign w:val="top"/>
          </w:tcPr>
          <w:p w14:paraId="7295DEA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061" w:type="dxa"/>
            <w:gridSpan w:val="2"/>
            <w:vAlign w:val="top"/>
          </w:tcPr>
          <w:p w14:paraId="68B34AC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98" w:type="dxa"/>
            <w:gridSpan w:val="2"/>
            <w:vAlign w:val="top"/>
          </w:tcPr>
          <w:p w14:paraId="2477F657">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30" w:type="dxa"/>
            <w:vAlign w:val="top"/>
          </w:tcPr>
          <w:p w14:paraId="083DA2A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71FC9284">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572" w:type="dxa"/>
            <w:vAlign w:val="top"/>
          </w:tcPr>
          <w:p w14:paraId="5E4DC0A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007FC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1E487747">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061" w:type="dxa"/>
            <w:gridSpan w:val="2"/>
            <w:vAlign w:val="top"/>
          </w:tcPr>
          <w:p w14:paraId="62A4761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98" w:type="dxa"/>
            <w:gridSpan w:val="2"/>
            <w:vAlign w:val="top"/>
          </w:tcPr>
          <w:p w14:paraId="5B1E368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30" w:type="dxa"/>
            <w:vAlign w:val="top"/>
          </w:tcPr>
          <w:p w14:paraId="6F237A3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75245EA8">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572" w:type="dxa"/>
            <w:vAlign w:val="top"/>
          </w:tcPr>
          <w:p w14:paraId="13B10FA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r w14:paraId="5DCDD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085" w:type="dxa"/>
            <w:gridSpan w:val="8"/>
            <w:vAlign w:val="top"/>
          </w:tcPr>
          <w:p w14:paraId="756DCCD2">
            <w:pPr>
              <w:kinsoku w:val="0"/>
              <w:autoSpaceDE w:val="0"/>
              <w:autoSpaceDN w:val="0"/>
              <w:adjustRightInd w:val="0"/>
              <w:snapToGrid w:val="0"/>
              <w:spacing w:before="181" w:line="220" w:lineRule="auto"/>
              <w:ind w:left="3707"/>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人员变更情况说明</w:t>
            </w:r>
          </w:p>
        </w:tc>
      </w:tr>
      <w:tr w14:paraId="3F32E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282" w:type="dxa"/>
            <w:vAlign w:val="top"/>
          </w:tcPr>
          <w:p w14:paraId="754F6DFC">
            <w:pPr>
              <w:kinsoku w:val="0"/>
              <w:autoSpaceDE w:val="0"/>
              <w:autoSpaceDN w:val="0"/>
              <w:adjustRightInd w:val="0"/>
              <w:snapToGrid w:val="0"/>
              <w:spacing w:before="183" w:line="221" w:lineRule="auto"/>
              <w:ind w:left="321"/>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变更时间</w:t>
            </w:r>
          </w:p>
        </w:tc>
        <w:tc>
          <w:tcPr>
            <w:tcW w:w="2459" w:type="dxa"/>
            <w:gridSpan w:val="4"/>
            <w:vAlign w:val="top"/>
          </w:tcPr>
          <w:p w14:paraId="73D6FD65">
            <w:pPr>
              <w:kinsoku w:val="0"/>
              <w:autoSpaceDE w:val="0"/>
              <w:autoSpaceDN w:val="0"/>
              <w:adjustRightInd w:val="0"/>
              <w:snapToGrid w:val="0"/>
              <w:spacing w:before="183" w:line="220" w:lineRule="auto"/>
              <w:ind w:left="814"/>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项目名称</w:t>
            </w:r>
          </w:p>
        </w:tc>
        <w:tc>
          <w:tcPr>
            <w:tcW w:w="1330" w:type="dxa"/>
            <w:vAlign w:val="top"/>
          </w:tcPr>
          <w:p w14:paraId="12DEA996">
            <w:pPr>
              <w:kinsoku w:val="0"/>
              <w:autoSpaceDE w:val="0"/>
              <w:autoSpaceDN w:val="0"/>
              <w:adjustRightInd w:val="0"/>
              <w:snapToGrid w:val="0"/>
              <w:spacing w:before="183" w:line="221" w:lineRule="auto"/>
              <w:ind w:left="248"/>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变更原因</w:t>
            </w:r>
          </w:p>
        </w:tc>
        <w:tc>
          <w:tcPr>
            <w:tcW w:w="1442" w:type="dxa"/>
            <w:vAlign w:val="top"/>
          </w:tcPr>
          <w:p w14:paraId="20D19395">
            <w:pPr>
              <w:kinsoku w:val="0"/>
              <w:autoSpaceDE w:val="0"/>
              <w:autoSpaceDN w:val="0"/>
              <w:adjustRightInd w:val="0"/>
              <w:snapToGrid w:val="0"/>
              <w:spacing w:before="182" w:line="220" w:lineRule="auto"/>
              <w:ind w:left="307"/>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担任职务</w:t>
            </w:r>
          </w:p>
        </w:tc>
        <w:tc>
          <w:tcPr>
            <w:tcW w:w="2572" w:type="dxa"/>
            <w:vAlign w:val="top"/>
          </w:tcPr>
          <w:p w14:paraId="2751A1DD">
            <w:pPr>
              <w:kinsoku w:val="0"/>
              <w:autoSpaceDE w:val="0"/>
              <w:autoSpaceDN w:val="0"/>
              <w:adjustRightInd w:val="0"/>
              <w:snapToGrid w:val="0"/>
              <w:spacing w:before="47" w:line="220" w:lineRule="auto"/>
              <w:ind w:left="874"/>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en-US" w:bidi="ar-SA"/>
              </w:rPr>
              <w:t>发包人及</w:t>
            </w:r>
          </w:p>
          <w:p w14:paraId="3FB45068">
            <w:pPr>
              <w:kinsoku w:val="0"/>
              <w:autoSpaceDE w:val="0"/>
              <w:autoSpaceDN w:val="0"/>
              <w:adjustRightInd w:val="0"/>
              <w:snapToGrid w:val="0"/>
              <w:spacing w:before="21" w:line="208" w:lineRule="auto"/>
              <w:ind w:left="87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en-US" w:bidi="ar-SA"/>
              </w:rPr>
              <w:t>联系电话</w:t>
            </w:r>
          </w:p>
        </w:tc>
      </w:tr>
      <w:tr w14:paraId="6C8C8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282" w:type="dxa"/>
            <w:vAlign w:val="top"/>
          </w:tcPr>
          <w:p w14:paraId="012CE4C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459" w:type="dxa"/>
            <w:gridSpan w:val="4"/>
            <w:vAlign w:val="top"/>
          </w:tcPr>
          <w:p w14:paraId="1773881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330" w:type="dxa"/>
            <w:vAlign w:val="top"/>
          </w:tcPr>
          <w:p w14:paraId="35D87405">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1442" w:type="dxa"/>
            <w:vAlign w:val="top"/>
          </w:tcPr>
          <w:p w14:paraId="7FE849A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c>
          <w:tcPr>
            <w:tcW w:w="2572" w:type="dxa"/>
            <w:vAlign w:val="top"/>
          </w:tcPr>
          <w:p w14:paraId="492E64EE">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auto"/>
                <w:kern w:val="0"/>
                <w:sz w:val="21"/>
                <w:highlight w:val="none"/>
                <w:lang w:eastAsia="en-US"/>
              </w:rPr>
            </w:pPr>
          </w:p>
        </w:tc>
      </w:tr>
    </w:tbl>
    <w:p w14:paraId="1417915B">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p>
    <w:p w14:paraId="787E0334">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p>
    <w:p w14:paraId="7A3C124B">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1837A6D7">
      <w:pPr>
        <w:keepNext w:val="0"/>
        <w:keepLines w:val="0"/>
        <w:pageBreakBefore w:val="0"/>
        <w:widowControl w:val="0"/>
        <w:kinsoku/>
        <w:wordWrap/>
        <w:overflowPunct/>
        <w:bidi w:val="0"/>
        <w:adjustRightInd w:val="0"/>
        <w:snapToGrid w:val="0"/>
        <w:spacing w:line="36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71ECD94A">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7F29FEC4">
      <w:pPr>
        <w:pStyle w:val="4"/>
        <w:bidi w:val="0"/>
        <w:rPr>
          <w:rFonts w:hint="eastAsia"/>
          <w:color w:val="auto"/>
          <w:lang w:val="en-US" w:eastAsia="zh-CN"/>
        </w:rPr>
      </w:pPr>
      <w:bookmarkStart w:id="236" w:name="_Toc10224"/>
      <w:r>
        <w:rPr>
          <w:rFonts w:hint="eastAsia" w:asciiTheme="minorEastAsia" w:hAnsiTheme="minorEastAsia" w:eastAsiaTheme="minorEastAsia" w:cstheme="minorEastAsia"/>
          <w:color w:val="auto"/>
          <w:sz w:val="24"/>
          <w:szCs w:val="24"/>
          <w:lang w:val="en-US" w:eastAsia="zh-CN"/>
        </w:rPr>
        <w:t>附件6-3：项目经理在建情况及到岗履职承诺书</w:t>
      </w:r>
      <w:bookmarkEnd w:id="236"/>
    </w:p>
    <w:p w14:paraId="01154204">
      <w:pPr>
        <w:bidi w:val="0"/>
        <w:spacing w:line="360" w:lineRule="auto"/>
        <w:jc w:val="center"/>
        <w:rPr>
          <w:rFonts w:hint="eastAsia"/>
          <w:b/>
          <w:bCs/>
          <w:color w:val="auto"/>
          <w:sz w:val="24"/>
          <w:szCs w:val="24"/>
          <w:lang w:eastAsia="zh-CN"/>
        </w:rPr>
      </w:pPr>
      <w:r>
        <w:rPr>
          <w:rFonts w:hint="eastAsia"/>
          <w:b/>
          <w:bCs/>
          <w:color w:val="auto"/>
          <w:sz w:val="24"/>
          <w:szCs w:val="24"/>
        </w:rPr>
        <w:t>项目经理在建情况及到岗履职承诺书</w:t>
      </w:r>
    </w:p>
    <w:p w14:paraId="4A4CF721">
      <w:pPr>
        <w:kinsoku w:val="0"/>
        <w:autoSpaceDE w:val="0"/>
        <w:autoSpaceDN w:val="0"/>
        <w:adjustRightInd w:val="0"/>
        <w:snapToGrid w:val="0"/>
        <w:spacing w:line="360" w:lineRule="auto"/>
        <w:ind w:left="59" w:right="445" w:firstLine="489"/>
        <w:jc w:val="left"/>
        <w:textAlignment w:val="baseline"/>
        <w:rPr>
          <w:rFonts w:hint="eastAsia" w:ascii="宋体" w:hAnsi="宋体" w:eastAsia="宋体" w:cs="宋体"/>
          <w:snapToGrid w:val="0"/>
          <w:color w:val="auto"/>
          <w:spacing w:val="-3"/>
          <w:kern w:val="0"/>
          <w:sz w:val="24"/>
          <w:szCs w:val="24"/>
          <w:highlight w:val="none"/>
          <w:u w:val="single" w:color="auto"/>
          <w:lang w:val="en-US" w:eastAsia="en-US" w:bidi="ar-SA"/>
        </w:rPr>
      </w:pPr>
      <w:r>
        <w:rPr>
          <w:rFonts w:hint="eastAsia" w:ascii="宋体" w:hAnsi="宋体" w:eastAsia="宋体" w:cs="宋体"/>
          <w:snapToGrid w:val="0"/>
          <w:color w:val="auto"/>
          <w:spacing w:val="-3"/>
          <w:kern w:val="0"/>
          <w:sz w:val="24"/>
          <w:szCs w:val="24"/>
          <w:highlight w:val="none"/>
          <w:u w:val="single" w:color="auto"/>
          <w:lang w:val="en-US" w:eastAsia="en-US" w:bidi="ar-SA"/>
        </w:rPr>
        <w:tab/>
      </w:r>
      <w:r>
        <w:rPr>
          <w:rFonts w:hint="eastAsia" w:ascii="宋体" w:hAnsi="宋体" w:eastAsia="宋体" w:cs="宋体"/>
          <w:snapToGrid w:val="0"/>
          <w:color w:val="auto"/>
          <w:spacing w:val="-3"/>
          <w:kern w:val="0"/>
          <w:sz w:val="24"/>
          <w:szCs w:val="24"/>
          <w:highlight w:val="none"/>
          <w:u w:val="single" w:color="auto"/>
          <w:lang w:val="en-US" w:eastAsia="zh-CN" w:bidi="ar-SA"/>
        </w:rPr>
        <w:t xml:space="preserve">   </w:t>
      </w:r>
      <w:r>
        <w:rPr>
          <w:rFonts w:hint="eastAsia" w:ascii="宋体" w:hAnsi="宋体" w:eastAsia="宋体" w:cs="宋体"/>
          <w:snapToGrid w:val="0"/>
          <w:color w:val="auto"/>
          <w:spacing w:val="-3"/>
          <w:kern w:val="0"/>
          <w:sz w:val="24"/>
          <w:szCs w:val="24"/>
          <w:highlight w:val="none"/>
          <w:u w:val="single" w:color="auto"/>
          <w:lang w:val="en-US" w:eastAsia="en-US" w:bidi="ar-SA"/>
        </w:rPr>
        <w:t>（招标人）</w:t>
      </w:r>
      <w:r>
        <w:rPr>
          <w:rFonts w:hint="eastAsia" w:ascii="宋体" w:hAnsi="宋体" w:eastAsia="宋体" w:cs="宋体"/>
          <w:snapToGrid w:val="0"/>
          <w:color w:val="auto"/>
          <w:spacing w:val="-3"/>
          <w:kern w:val="0"/>
          <w:sz w:val="24"/>
          <w:szCs w:val="24"/>
          <w:highlight w:val="none"/>
          <w:u w:val="none" w:color="auto"/>
          <w:lang w:val="en-US" w:eastAsia="en-US" w:bidi="ar-SA"/>
        </w:rPr>
        <w:t>：</w:t>
      </w:r>
    </w:p>
    <w:p w14:paraId="6487288C">
      <w:pPr>
        <w:kinsoku w:val="0"/>
        <w:autoSpaceDE w:val="0"/>
        <w:autoSpaceDN w:val="0"/>
        <w:adjustRightInd w:val="0"/>
        <w:snapToGrid w:val="0"/>
        <w:spacing w:line="360" w:lineRule="auto"/>
        <w:ind w:left="59" w:right="445" w:firstLine="489"/>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我</w:t>
      </w:r>
      <w:r>
        <w:rPr>
          <w:rFonts w:hint="eastAsia" w:ascii="宋体" w:hAnsi="宋体" w:eastAsia="宋体" w:cs="宋体"/>
          <w:snapToGrid w:val="0"/>
          <w:color w:val="auto"/>
          <w:spacing w:val="9"/>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3"/>
          <w:kern w:val="0"/>
          <w:sz w:val="24"/>
          <w:szCs w:val="24"/>
          <w:highlight w:val="none"/>
          <w:u w:val="single" w:color="auto"/>
          <w:lang w:val="en-US" w:eastAsia="en-US" w:bidi="ar-SA"/>
        </w:rPr>
        <w:t>(姓名)</w:t>
      </w:r>
      <w:r>
        <w:rPr>
          <w:rFonts w:hint="eastAsia" w:ascii="宋体" w:hAnsi="宋体" w:eastAsia="宋体" w:cs="宋体"/>
          <w:snapToGrid w:val="0"/>
          <w:color w:val="auto"/>
          <w:spacing w:val="-3"/>
          <w:kern w:val="0"/>
          <w:sz w:val="24"/>
          <w:szCs w:val="24"/>
          <w:highlight w:val="none"/>
          <w:lang w:val="en-US" w:eastAsia="en-US" w:bidi="ar-SA"/>
        </w:rPr>
        <w:t>系</w:t>
      </w:r>
      <w:r>
        <w:rPr>
          <w:rFonts w:hint="eastAsia" w:ascii="宋体" w:hAnsi="宋体" w:eastAsia="宋体" w:cs="宋体"/>
          <w:snapToGrid w:val="0"/>
          <w:color w:val="auto"/>
          <w:spacing w:val="4"/>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3"/>
          <w:kern w:val="0"/>
          <w:sz w:val="24"/>
          <w:szCs w:val="24"/>
          <w:highlight w:val="none"/>
          <w:u w:val="single" w:color="auto"/>
          <w:lang w:val="en-US" w:eastAsia="en-US" w:bidi="ar-SA"/>
        </w:rPr>
        <w:t>(公司名称)</w:t>
      </w:r>
      <w:r>
        <w:rPr>
          <w:rFonts w:hint="eastAsia" w:ascii="宋体" w:hAnsi="宋体" w:eastAsia="宋体" w:cs="宋体"/>
          <w:snapToGrid w:val="0"/>
          <w:color w:val="auto"/>
          <w:spacing w:val="-3"/>
          <w:kern w:val="0"/>
          <w:sz w:val="24"/>
          <w:szCs w:val="24"/>
          <w:highlight w:val="none"/>
          <w:lang w:val="en-US" w:eastAsia="en-US" w:bidi="ar-SA"/>
        </w:rPr>
        <w:t>的法定代表人，现拟派项目经理</w:t>
      </w:r>
      <w:r>
        <w:rPr>
          <w:rFonts w:hint="eastAsia" w:ascii="宋体" w:hAnsi="宋体" w:eastAsia="宋体" w:cs="宋体"/>
          <w:snapToGrid w:val="0"/>
          <w:color w:val="auto"/>
          <w:spacing w:val="-4"/>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6"/>
          <w:kern w:val="0"/>
          <w:sz w:val="24"/>
          <w:szCs w:val="24"/>
          <w:highlight w:val="none"/>
          <w:u w:val="single" w:color="auto"/>
          <w:lang w:val="en-US" w:eastAsia="en-US" w:bidi="ar-SA"/>
        </w:rPr>
        <w:t>(姓名)</w:t>
      </w:r>
      <w:r>
        <w:rPr>
          <w:rFonts w:hint="eastAsia" w:ascii="宋体" w:hAnsi="宋体" w:eastAsia="宋体" w:cs="宋体"/>
          <w:snapToGrid w:val="0"/>
          <w:color w:val="auto"/>
          <w:spacing w:val="-6"/>
          <w:kern w:val="0"/>
          <w:sz w:val="24"/>
          <w:szCs w:val="24"/>
          <w:highlight w:val="none"/>
          <w:lang w:val="en-US" w:eastAsia="en-US" w:bidi="ar-SA"/>
        </w:rPr>
        <w:t>；项目经理证号</w:t>
      </w:r>
      <w:r>
        <w:rPr>
          <w:rFonts w:hint="eastAsia" w:ascii="宋体" w:hAnsi="宋体" w:eastAsia="宋体" w:cs="宋体"/>
          <w:snapToGrid w:val="0"/>
          <w:color w:val="auto"/>
          <w:spacing w:val="-52"/>
          <w:kern w:val="0"/>
          <w:sz w:val="24"/>
          <w:szCs w:val="24"/>
          <w:highlight w:val="none"/>
          <w:lang w:val="en-US" w:eastAsia="en-US" w:bidi="ar-SA"/>
        </w:rPr>
        <w:t xml:space="preserve"> </w:t>
      </w:r>
      <w:r>
        <w:rPr>
          <w:rFonts w:hint="eastAsia" w:ascii="宋体" w:hAnsi="宋体" w:eastAsia="宋体" w:cs="宋体"/>
          <w:snapToGrid w:val="0"/>
          <w:color w:val="auto"/>
          <w:spacing w:val="-6"/>
          <w:kern w:val="0"/>
          <w:sz w:val="24"/>
          <w:szCs w:val="24"/>
          <w:highlight w:val="none"/>
          <w:lang w:val="en-US" w:eastAsia="en-US" w:bidi="ar-SA"/>
        </w:rPr>
        <w:t>:</w:t>
      </w:r>
      <w:r>
        <w:rPr>
          <w:rFonts w:hint="eastAsia" w:ascii="宋体" w:hAnsi="宋体" w:eastAsia="宋体" w:cs="宋体"/>
          <w:snapToGrid w:val="0"/>
          <w:color w:val="auto"/>
          <w:spacing w:val="-6"/>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6"/>
          <w:kern w:val="0"/>
          <w:sz w:val="24"/>
          <w:szCs w:val="24"/>
          <w:highlight w:val="none"/>
          <w:lang w:val="en-US" w:eastAsia="en-US" w:bidi="ar-SA"/>
        </w:rPr>
        <w:t>；身份证号</w:t>
      </w:r>
      <w:r>
        <w:rPr>
          <w:rFonts w:hint="eastAsia" w:ascii="宋体" w:hAnsi="宋体" w:eastAsia="宋体" w:cs="宋体"/>
          <w:snapToGrid w:val="0"/>
          <w:color w:val="auto"/>
          <w:spacing w:val="-53"/>
          <w:kern w:val="0"/>
          <w:sz w:val="24"/>
          <w:szCs w:val="24"/>
          <w:highlight w:val="none"/>
          <w:lang w:val="en-US" w:eastAsia="en-US" w:bidi="ar-SA"/>
        </w:rPr>
        <w:t xml:space="preserve"> </w:t>
      </w:r>
      <w:r>
        <w:rPr>
          <w:rFonts w:hint="eastAsia" w:ascii="宋体" w:hAnsi="宋体" w:eastAsia="宋体" w:cs="宋体"/>
          <w:snapToGrid w:val="0"/>
          <w:color w:val="auto"/>
          <w:spacing w:val="-6"/>
          <w:kern w:val="0"/>
          <w:sz w:val="24"/>
          <w:szCs w:val="24"/>
          <w:highlight w:val="none"/>
          <w:lang w:val="en-US" w:eastAsia="en-US" w:bidi="ar-SA"/>
        </w:rPr>
        <w:t>:</w:t>
      </w:r>
      <w:r>
        <w:rPr>
          <w:rFonts w:hint="eastAsia" w:ascii="宋体" w:hAnsi="宋体" w:eastAsia="宋体" w:cs="宋体"/>
          <w:snapToGrid w:val="0"/>
          <w:color w:val="auto"/>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96"/>
          <w:kern w:val="0"/>
          <w:sz w:val="24"/>
          <w:szCs w:val="24"/>
          <w:highlight w:val="none"/>
          <w:lang w:val="en-US" w:eastAsia="en-US" w:bidi="ar-SA"/>
        </w:rPr>
        <w:t xml:space="preserve"> </w:t>
      </w:r>
      <w:r>
        <w:rPr>
          <w:rFonts w:hint="eastAsia" w:ascii="宋体" w:hAnsi="宋体" w:eastAsia="宋体" w:cs="宋体"/>
          <w:snapToGrid w:val="0"/>
          <w:color w:val="auto"/>
          <w:spacing w:val="-6"/>
          <w:kern w:val="0"/>
          <w:sz w:val="24"/>
          <w:szCs w:val="24"/>
          <w:highlight w:val="none"/>
          <w:lang w:val="en-US" w:eastAsia="en-US" w:bidi="ar-SA"/>
        </w:rPr>
        <w:t>担任</w:t>
      </w:r>
      <w:r>
        <w:rPr>
          <w:rFonts w:hint="eastAsia" w:ascii="宋体" w:hAnsi="宋体" w:eastAsia="宋体" w:cs="宋体"/>
          <w:snapToGrid w:val="0"/>
          <w:color w:val="auto"/>
          <w:spacing w:val="-6"/>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7"/>
          <w:kern w:val="0"/>
          <w:sz w:val="24"/>
          <w:szCs w:val="24"/>
          <w:highlight w:val="none"/>
          <w:u w:val="single" w:color="auto"/>
          <w:lang w:val="en-US" w:eastAsia="en-US" w:bidi="ar-SA"/>
        </w:rPr>
        <w:t xml:space="preserve">              </w:t>
      </w:r>
      <w:r>
        <w:rPr>
          <w:rFonts w:hint="eastAsia" w:ascii="宋体" w:hAnsi="宋体" w:eastAsia="宋体" w:cs="宋体"/>
          <w:snapToGrid w:val="0"/>
          <w:color w:val="auto"/>
          <w:kern w:val="0"/>
          <w:sz w:val="24"/>
          <w:szCs w:val="24"/>
          <w:highlight w:val="none"/>
          <w:u w:val="single" w:color="auto"/>
          <w:lang w:val="en-US" w:eastAsia="en-US" w:bidi="ar-SA"/>
        </w:rPr>
        <w:tab/>
      </w:r>
      <w:r>
        <w:rPr>
          <w:rFonts w:hint="eastAsia" w:ascii="宋体" w:hAnsi="宋体" w:eastAsia="宋体" w:cs="宋体"/>
          <w:snapToGrid w:val="0"/>
          <w:color w:val="auto"/>
          <w:spacing w:val="-5"/>
          <w:kern w:val="0"/>
          <w:sz w:val="24"/>
          <w:szCs w:val="24"/>
          <w:highlight w:val="none"/>
          <w:u w:val="single" w:color="auto"/>
          <w:lang w:val="en-US" w:eastAsia="en-US" w:bidi="ar-SA"/>
        </w:rPr>
        <w:t>（招标项目名称）</w:t>
      </w:r>
      <w:r>
        <w:rPr>
          <w:rFonts w:hint="eastAsia" w:ascii="宋体" w:hAnsi="宋体" w:eastAsia="宋体" w:cs="宋体"/>
          <w:snapToGrid w:val="0"/>
          <w:color w:val="auto"/>
          <w:spacing w:val="-5"/>
          <w:kern w:val="0"/>
          <w:sz w:val="24"/>
          <w:szCs w:val="24"/>
          <w:highlight w:val="none"/>
          <w:lang w:val="en-US" w:eastAsia="en-US" w:bidi="ar-SA"/>
        </w:rPr>
        <w:t>的项目经理，现就该项目经理在建情况及到岗履职承诺如下：</w:t>
      </w:r>
    </w:p>
    <w:p w14:paraId="640842EF">
      <w:pPr>
        <w:kinsoku w:val="0"/>
        <w:autoSpaceDE w:val="0"/>
        <w:autoSpaceDN w:val="0"/>
        <w:adjustRightInd w:val="0"/>
        <w:snapToGrid w:val="0"/>
        <w:spacing w:before="158" w:line="360" w:lineRule="auto"/>
        <w:ind w:left="443"/>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0"/>
          <w:kern w:val="0"/>
          <w:sz w:val="24"/>
          <w:szCs w:val="24"/>
          <w:highlight w:val="none"/>
          <w:lang w:val="en-US" w:eastAsia="en-US" w:bidi="ar-SA"/>
        </w:rPr>
        <w:t>我司承诺：</w:t>
      </w:r>
    </w:p>
    <w:p w14:paraId="2F1670D3">
      <w:pPr>
        <w:kinsoku w:val="0"/>
        <w:autoSpaceDE w:val="0"/>
        <w:autoSpaceDN w:val="0"/>
        <w:adjustRightInd w:val="0"/>
        <w:snapToGrid w:val="0"/>
        <w:spacing w:before="149" w:line="360" w:lineRule="auto"/>
        <w:ind w:right="130" w:firstLine="476"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o拟任项目经理投标截止时未在其他任何项目上任关键岗位人员，在本招标项目中标</w:t>
      </w:r>
      <w:r>
        <w:rPr>
          <w:rFonts w:hint="eastAsia" w:ascii="宋体" w:hAnsi="宋体" w:eastAsia="宋体" w:cs="宋体"/>
          <w:snapToGrid w:val="0"/>
          <w:color w:val="auto"/>
          <w:kern w:val="0"/>
          <w:sz w:val="24"/>
          <w:szCs w:val="24"/>
          <w:highlight w:val="none"/>
          <w:lang w:val="en-US" w:eastAsia="en-US" w:bidi="ar-SA"/>
        </w:rPr>
        <w:t>候选人公示中明确的公示期满之前，项目经理保证按时到岗履职</w:t>
      </w:r>
      <w:r>
        <w:rPr>
          <w:rFonts w:hint="eastAsia" w:ascii="宋体" w:hAnsi="宋体" w:eastAsia="宋体" w:cs="宋体"/>
          <w:snapToGrid w:val="0"/>
          <w:color w:val="auto"/>
          <w:spacing w:val="-1"/>
          <w:kern w:val="0"/>
          <w:sz w:val="24"/>
          <w:szCs w:val="24"/>
          <w:highlight w:val="none"/>
          <w:lang w:val="en-US" w:eastAsia="en-US" w:bidi="ar-SA"/>
        </w:rPr>
        <w:t>，如不能按时到岗履职，</w:t>
      </w:r>
      <w:r>
        <w:rPr>
          <w:rFonts w:hint="eastAsia" w:ascii="宋体" w:hAnsi="宋体" w:eastAsia="宋体" w:cs="宋体"/>
          <w:snapToGrid w:val="0"/>
          <w:color w:val="auto"/>
          <w:kern w:val="0"/>
          <w:sz w:val="24"/>
          <w:szCs w:val="24"/>
          <w:highlight w:val="none"/>
          <w:lang w:val="en-US" w:eastAsia="en-US" w:bidi="ar-SA"/>
        </w:rPr>
        <w:t>我方自愿接受处罚，并自愿接受招标人作出的取消我公司中标候</w:t>
      </w:r>
      <w:r>
        <w:rPr>
          <w:rFonts w:hint="eastAsia" w:ascii="宋体" w:hAnsi="宋体" w:eastAsia="宋体" w:cs="宋体"/>
          <w:snapToGrid w:val="0"/>
          <w:color w:val="auto"/>
          <w:spacing w:val="-1"/>
          <w:kern w:val="0"/>
          <w:sz w:val="24"/>
          <w:szCs w:val="24"/>
          <w:highlight w:val="none"/>
          <w:lang w:val="en-US" w:eastAsia="en-US" w:bidi="ar-SA"/>
        </w:rPr>
        <w:t>选人或中标人资格的决定</w:t>
      </w:r>
      <w:r>
        <w:rPr>
          <w:rFonts w:hint="eastAsia" w:ascii="宋体" w:hAnsi="宋体" w:eastAsia="宋体" w:cs="宋体"/>
          <w:snapToGrid w:val="0"/>
          <w:color w:val="auto"/>
          <w:kern w:val="0"/>
          <w:position w:val="1"/>
          <w:sz w:val="24"/>
          <w:szCs w:val="24"/>
          <w:highlight w:val="none"/>
          <w:lang w:val="en-US" w:eastAsia="en-US" w:bidi="ar-SA"/>
        </w:rPr>
        <w:t>。</w:t>
      </w:r>
    </w:p>
    <w:p w14:paraId="55585ED8">
      <w:pPr>
        <w:kinsoku w:val="0"/>
        <w:autoSpaceDE w:val="0"/>
        <w:autoSpaceDN w:val="0"/>
        <w:adjustRightInd w:val="0"/>
        <w:snapToGrid w:val="0"/>
        <w:spacing w:before="158" w:line="360" w:lineRule="auto"/>
        <w:ind w:left="23" w:right="47" w:firstLine="427"/>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o拟任项目经理在</w:t>
      </w:r>
      <w:r>
        <w:rPr>
          <w:rFonts w:hint="eastAsia" w:ascii="宋体" w:hAnsi="宋体" w:eastAsia="宋体" w:cs="宋体"/>
          <w:snapToGrid w:val="0"/>
          <w:color w:val="auto"/>
          <w:spacing w:val="-100"/>
          <w:kern w:val="0"/>
          <w:sz w:val="24"/>
          <w:szCs w:val="24"/>
          <w:highlight w:val="none"/>
          <w:lang w:val="en-US" w:eastAsia="en-US" w:bidi="ar-SA"/>
        </w:rPr>
        <w:t xml:space="preserve"> </w:t>
      </w:r>
      <w:r>
        <w:rPr>
          <w:rFonts w:hint="eastAsia" w:ascii="宋体" w:hAnsi="宋体" w:eastAsia="宋体" w:cs="宋体"/>
          <w:snapToGrid w:val="0"/>
          <w:color w:val="auto"/>
          <w:spacing w:val="7"/>
          <w:kern w:val="0"/>
          <w:sz w:val="24"/>
          <w:szCs w:val="24"/>
          <w:highlight w:val="none"/>
          <w:u w:val="single" w:color="auto"/>
          <w:lang w:val="en-US" w:eastAsia="en-US" w:bidi="ar-SA"/>
        </w:rPr>
        <w:t xml:space="preserve">              </w:t>
      </w:r>
      <w:r>
        <w:rPr>
          <w:rFonts w:hint="eastAsia" w:ascii="宋体" w:hAnsi="宋体" w:eastAsia="宋体" w:cs="宋体"/>
          <w:snapToGrid w:val="0"/>
          <w:color w:val="auto"/>
          <w:spacing w:val="-86"/>
          <w:kern w:val="0"/>
          <w:sz w:val="24"/>
          <w:szCs w:val="24"/>
          <w:highlight w:val="none"/>
          <w:lang w:val="en-US" w:eastAsia="en-US" w:bidi="ar-SA"/>
        </w:rPr>
        <w:t xml:space="preserve"> </w:t>
      </w:r>
      <w:r>
        <w:rPr>
          <w:rFonts w:hint="eastAsia" w:ascii="宋体" w:hAnsi="宋体" w:eastAsia="宋体" w:cs="宋体"/>
          <w:snapToGrid w:val="0"/>
          <w:color w:val="auto"/>
          <w:spacing w:val="-1"/>
          <w:kern w:val="0"/>
          <w:sz w:val="24"/>
          <w:szCs w:val="24"/>
          <w:highlight w:val="none"/>
          <w:lang w:val="en-US" w:eastAsia="en-US" w:bidi="ar-SA"/>
        </w:rPr>
        <w:t>项目上任关键岗位人员，任职岗位为</w:t>
      </w:r>
      <w:r>
        <w:rPr>
          <w:rFonts w:hint="eastAsia" w:ascii="宋体" w:hAnsi="宋体" w:eastAsia="宋体" w:cs="宋体"/>
          <w:snapToGrid w:val="0"/>
          <w:color w:val="auto"/>
          <w:spacing w:val="-1"/>
          <w:kern w:val="0"/>
          <w:sz w:val="24"/>
          <w:szCs w:val="24"/>
          <w:highlight w:val="none"/>
          <w:u w:val="single" w:color="auto"/>
          <w:lang w:val="en-US" w:eastAsia="en-US" w:bidi="ar-SA"/>
        </w:rPr>
        <w:t xml:space="preserve">            </w:t>
      </w:r>
      <w:r>
        <w:rPr>
          <w:rFonts w:hint="eastAsia" w:ascii="宋体" w:hAnsi="宋体" w:eastAsia="宋体" w:cs="宋体"/>
          <w:snapToGrid w:val="0"/>
          <w:color w:val="auto"/>
          <w:kern w:val="0"/>
          <w:sz w:val="24"/>
          <w:szCs w:val="24"/>
          <w:highlight w:val="none"/>
          <w:lang w:val="en-US" w:eastAsia="en-US" w:bidi="ar-SA"/>
        </w:rPr>
        <w:t xml:space="preserve"> </w:t>
      </w:r>
      <w:r>
        <w:rPr>
          <w:rFonts w:hint="eastAsia" w:ascii="宋体" w:hAnsi="宋体" w:eastAsia="宋体" w:cs="宋体"/>
          <w:snapToGrid w:val="0"/>
          <w:color w:val="auto"/>
          <w:spacing w:val="2"/>
          <w:kern w:val="0"/>
          <w:sz w:val="24"/>
          <w:szCs w:val="24"/>
          <w:highlight w:val="none"/>
          <w:lang w:val="en-US" w:eastAsia="en-US" w:bidi="ar-SA"/>
        </w:rPr>
        <w:t>,在本招标项目中标候选人公示中明确的公示期满之前，项目经理保证从该项目上撤离并</w:t>
      </w:r>
      <w:r>
        <w:rPr>
          <w:rFonts w:hint="eastAsia" w:ascii="宋体" w:hAnsi="宋体" w:eastAsia="宋体" w:cs="宋体"/>
          <w:snapToGrid w:val="0"/>
          <w:color w:val="auto"/>
          <w:spacing w:val="-1"/>
          <w:kern w:val="0"/>
          <w:sz w:val="24"/>
          <w:szCs w:val="24"/>
          <w:highlight w:val="none"/>
          <w:lang w:val="en-US" w:eastAsia="en-US" w:bidi="ar-SA"/>
        </w:rPr>
        <w:t>按时到岗履职，如不能按时到岗履职或者不能从</w:t>
      </w:r>
      <w:r>
        <w:rPr>
          <w:rFonts w:hint="eastAsia" w:ascii="宋体" w:hAnsi="宋体" w:eastAsia="宋体" w:cs="宋体"/>
          <w:snapToGrid w:val="0"/>
          <w:color w:val="auto"/>
          <w:spacing w:val="-2"/>
          <w:kern w:val="0"/>
          <w:sz w:val="24"/>
          <w:szCs w:val="24"/>
          <w:highlight w:val="none"/>
          <w:lang w:val="en-US" w:eastAsia="en-US" w:bidi="ar-SA"/>
        </w:rPr>
        <w:t>该项目上按期撤离，我方自愿接受处罚，</w:t>
      </w:r>
    </w:p>
    <w:p w14:paraId="4030BFA0">
      <w:pPr>
        <w:kinsoku w:val="0"/>
        <w:autoSpaceDE w:val="0"/>
        <w:autoSpaceDN w:val="0"/>
        <w:adjustRightInd w:val="0"/>
        <w:snapToGrid w:val="0"/>
        <w:spacing w:before="6" w:line="360" w:lineRule="auto"/>
        <w:ind w:left="27"/>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并自愿接受招标人作出的取消我公司中标候选人或中标人资格的决定。</w:t>
      </w:r>
    </w:p>
    <w:p w14:paraId="593DC155">
      <w:pPr>
        <w:kinsoku w:val="0"/>
        <w:autoSpaceDE w:val="0"/>
        <w:autoSpaceDN w:val="0"/>
        <w:adjustRightInd w:val="0"/>
        <w:snapToGrid w:val="0"/>
        <w:spacing w:before="158" w:line="220" w:lineRule="auto"/>
        <w:ind w:left="442"/>
        <w:jc w:val="left"/>
        <w:textAlignment w:val="baseline"/>
        <w:rPr>
          <w:rFonts w:hint="eastAsia" w:ascii="宋体" w:hAnsi="宋体" w:eastAsia="宋体" w:cs="宋体"/>
          <w:snapToGrid w:val="0"/>
          <w:color w:val="auto"/>
          <w:spacing w:val="-7"/>
          <w:kern w:val="0"/>
          <w:sz w:val="21"/>
          <w:szCs w:val="21"/>
          <w:highlight w:val="none"/>
          <w:lang w:val="en-US" w:eastAsia="en-US" w:bidi="ar-SA"/>
        </w:rPr>
      </w:pPr>
    </w:p>
    <w:p w14:paraId="09881CE3">
      <w:pPr>
        <w:kinsoku w:val="0"/>
        <w:autoSpaceDE w:val="0"/>
        <w:autoSpaceDN w:val="0"/>
        <w:adjustRightInd w:val="0"/>
        <w:snapToGrid w:val="0"/>
        <w:spacing w:before="158" w:line="220" w:lineRule="auto"/>
        <w:ind w:left="442"/>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7"/>
          <w:kern w:val="0"/>
          <w:sz w:val="24"/>
          <w:szCs w:val="24"/>
          <w:highlight w:val="none"/>
          <w:lang w:val="en-US" w:eastAsia="en-US" w:bidi="ar-SA"/>
        </w:rPr>
        <w:t>特此承诺。</w:t>
      </w:r>
    </w:p>
    <w:p w14:paraId="0A002194">
      <w:pPr>
        <w:rPr>
          <w:rFonts w:hint="eastAsia" w:ascii="宋体" w:hAnsi="宋体" w:eastAsia="宋体" w:cs="宋体"/>
          <w:color w:val="auto"/>
          <w:highlight w:val="none"/>
          <w:lang w:eastAsia="zh-CN"/>
        </w:rPr>
      </w:pPr>
    </w:p>
    <w:p w14:paraId="36434E94">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p>
    <w:p w14:paraId="101ADD93">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p>
    <w:p w14:paraId="2946CCB2">
      <w:pPr>
        <w:keepNext w:val="0"/>
        <w:keepLines w:val="0"/>
        <w:pageBreakBefore w:val="0"/>
        <w:widowControl w:val="0"/>
        <w:overflowPunct/>
        <w:bidi w:val="0"/>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w:t>
      </w:r>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u w:val="single"/>
        </w:rPr>
        <w:t xml:space="preserve">     </w:t>
      </w:r>
    </w:p>
    <w:p w14:paraId="21D56098">
      <w:pPr>
        <w:keepNext w:val="0"/>
        <w:keepLines w:val="0"/>
        <w:pageBreakBefore w:val="0"/>
        <w:widowControl w:val="0"/>
        <w:kinsoku/>
        <w:wordWrap/>
        <w:overflowPunct/>
        <w:bidi w:val="0"/>
        <w:adjustRightInd w:val="0"/>
        <w:snapToGrid w:val="0"/>
        <w:spacing w:line="36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11D9BD97">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43F48183">
      <w:pPr>
        <w:rPr>
          <w:rFonts w:hint="eastAsia" w:ascii="宋体" w:hAnsi="宋体" w:eastAsia="宋体" w:cs="宋体"/>
          <w:color w:val="auto"/>
        </w:rPr>
      </w:pPr>
    </w:p>
    <w:p w14:paraId="0BABE235">
      <w:pPr>
        <w:pStyle w:val="3"/>
        <w:keepNext w:val="0"/>
        <w:keepLines w:val="0"/>
        <w:pageBreakBefore w:val="0"/>
        <w:widowControl w:val="0"/>
        <w:overflowPunct/>
        <w:bidi w:val="0"/>
        <w:jc w:val="center"/>
        <w:rPr>
          <w:rFonts w:hint="eastAsia" w:ascii="宋体" w:hAnsi="宋体" w:eastAsia="宋体" w:cs="宋体"/>
          <w:color w:val="auto"/>
          <w:highlight w:val="none"/>
        </w:rPr>
      </w:pPr>
      <w:bookmarkStart w:id="237" w:name="_Toc13232"/>
      <w:bookmarkStart w:id="238" w:name="_Toc13092"/>
      <w:bookmarkStart w:id="239" w:name="_Toc1067"/>
      <w:bookmarkStart w:id="240" w:name="_Toc1163"/>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不拖欠民工工资承诺书</w:t>
      </w:r>
      <w:bookmarkEnd w:id="237"/>
      <w:bookmarkEnd w:id="238"/>
      <w:bookmarkEnd w:id="239"/>
      <w:bookmarkEnd w:id="240"/>
      <w:bookmarkStart w:id="241" w:name="_Toc22987"/>
      <w:bookmarkStart w:id="242" w:name="_Toc22112"/>
      <w:bookmarkStart w:id="243" w:name="_Toc12298"/>
    </w:p>
    <w:p w14:paraId="6F5CDED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编制说明：格式自拟。</w:t>
      </w:r>
    </w:p>
    <w:p w14:paraId="15AC1431">
      <w:pPr>
        <w:keepNext w:val="0"/>
        <w:keepLines w:val="0"/>
        <w:pageBreakBefore w:val="0"/>
        <w:widowControl w:val="0"/>
        <w:overflowPunct/>
        <w:bidi w:val="0"/>
        <w:spacing w:line="360" w:lineRule="auto"/>
        <w:rPr>
          <w:rFonts w:hint="eastAsia" w:ascii="宋体" w:hAnsi="宋体" w:eastAsia="宋体" w:cs="宋体"/>
          <w:color w:val="auto"/>
          <w:highlight w:val="none"/>
        </w:rPr>
      </w:pPr>
    </w:p>
    <w:p w14:paraId="18AA03FE">
      <w:pPr>
        <w:keepNext w:val="0"/>
        <w:keepLines w:val="0"/>
        <w:pageBreakBefore w:val="0"/>
        <w:widowControl w:val="0"/>
        <w:overflowPunct/>
        <w:bidi w:val="0"/>
        <w:spacing w:line="360" w:lineRule="auto"/>
        <w:rPr>
          <w:rFonts w:hint="eastAsia" w:ascii="宋体" w:hAnsi="宋体" w:eastAsia="宋体" w:cs="宋体"/>
          <w:color w:val="auto"/>
          <w:highlight w:val="none"/>
        </w:rPr>
      </w:pPr>
    </w:p>
    <w:p w14:paraId="0804F6C9">
      <w:pPr>
        <w:keepNext w:val="0"/>
        <w:keepLines w:val="0"/>
        <w:pageBreakBefore w:val="0"/>
        <w:widowControl w:val="0"/>
        <w:overflowPunct/>
        <w:bidi w:val="0"/>
        <w:spacing w:line="360" w:lineRule="auto"/>
        <w:rPr>
          <w:rFonts w:hint="eastAsia" w:ascii="宋体" w:hAnsi="宋体" w:eastAsia="宋体" w:cs="宋体"/>
          <w:color w:val="auto"/>
          <w:highlight w:val="none"/>
        </w:rPr>
      </w:pPr>
    </w:p>
    <w:p w14:paraId="61FFB39C">
      <w:pPr>
        <w:keepNext w:val="0"/>
        <w:keepLines w:val="0"/>
        <w:pageBreakBefore w:val="0"/>
        <w:widowControl w:val="0"/>
        <w:overflowPunct/>
        <w:bidi w:val="0"/>
        <w:spacing w:line="360" w:lineRule="auto"/>
        <w:rPr>
          <w:rFonts w:hint="eastAsia" w:ascii="宋体" w:hAnsi="宋体" w:eastAsia="宋体" w:cs="宋体"/>
          <w:color w:val="auto"/>
          <w:highlight w:val="none"/>
        </w:rPr>
      </w:pPr>
    </w:p>
    <w:p w14:paraId="2296A432">
      <w:pPr>
        <w:pStyle w:val="8"/>
        <w:rPr>
          <w:rFonts w:hint="eastAsia" w:ascii="宋体" w:hAnsi="宋体" w:eastAsia="宋体" w:cs="宋体"/>
          <w:color w:val="auto"/>
          <w:highlight w:val="none"/>
        </w:rPr>
      </w:pPr>
    </w:p>
    <w:p w14:paraId="0B2FF0B0">
      <w:pPr>
        <w:keepNext w:val="0"/>
        <w:keepLines w:val="0"/>
        <w:pageBreakBefore w:val="0"/>
        <w:widowControl w:val="0"/>
        <w:overflowPunct/>
        <w:bidi w:val="0"/>
        <w:spacing w:line="360"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投标人</w:t>
      </w:r>
      <w:r>
        <w:rPr>
          <w:rFonts w:hint="eastAsia" w:ascii="宋体" w:hAnsi="宋体" w:eastAsia="宋体" w:cs="宋体"/>
          <w:b/>
          <w:bCs/>
          <w:color w:val="auto"/>
          <w:highlight w:val="none"/>
        </w:rPr>
        <w:t>名称（盖单位章）：</w:t>
      </w:r>
      <w:bookmarkEnd w:id="241"/>
      <w:bookmarkEnd w:id="242"/>
      <w:bookmarkEnd w:id="243"/>
      <w:r>
        <w:rPr>
          <w:rFonts w:hint="eastAsia" w:ascii="宋体" w:hAnsi="宋体" w:eastAsia="宋体" w:cs="宋体"/>
          <w:b/>
          <w:bCs/>
          <w:color w:val="auto"/>
          <w:highlight w:val="none"/>
          <w:u w:val="single"/>
        </w:rPr>
        <w:t xml:space="preserve">             </w:t>
      </w:r>
      <w:r>
        <w:rPr>
          <w:rFonts w:hint="eastAsia" w:ascii="宋体" w:hAnsi="宋体" w:eastAsia="宋体" w:cs="宋体"/>
          <w:b/>
          <w:bCs/>
          <w:color w:val="auto"/>
          <w:highlight w:val="none"/>
          <w:u w:val="single"/>
          <w:lang w:val="en-US" w:eastAsia="zh-CN"/>
        </w:rPr>
        <w:t xml:space="preserve">         </w:t>
      </w:r>
    </w:p>
    <w:p w14:paraId="497ABD79">
      <w:pPr>
        <w:keepNext w:val="0"/>
        <w:keepLines w:val="0"/>
        <w:pageBreakBefore w:val="0"/>
        <w:widowControl w:val="0"/>
        <w:overflowPunct/>
        <w:bidi w:val="0"/>
        <w:spacing w:line="360" w:lineRule="auto"/>
        <w:rPr>
          <w:rFonts w:hint="eastAsia" w:ascii="宋体" w:hAnsi="宋体" w:eastAsia="宋体" w:cs="宋体"/>
          <w:b/>
          <w:bCs/>
          <w:color w:val="auto"/>
          <w:highlight w:val="none"/>
        </w:rPr>
      </w:pPr>
      <w:bookmarkStart w:id="244" w:name="_Toc31977"/>
      <w:bookmarkStart w:id="245" w:name="_Toc10022"/>
      <w:bookmarkStart w:id="246" w:name="_Toc28749"/>
      <w:r>
        <w:rPr>
          <w:rFonts w:hint="eastAsia" w:ascii="宋体" w:hAnsi="宋体" w:eastAsia="宋体" w:cs="宋体"/>
          <w:b/>
          <w:bCs/>
          <w:color w:val="auto"/>
          <w:highlight w:val="none"/>
        </w:rPr>
        <w:t>法定代表人</w:t>
      </w:r>
      <w:r>
        <w:rPr>
          <w:rFonts w:hint="eastAsia" w:ascii="宋体" w:hAnsi="宋体" w:eastAsia="宋体" w:cs="宋体"/>
          <w:b/>
          <w:bCs/>
          <w:color w:val="auto"/>
          <w:highlight w:val="none"/>
          <w:lang w:eastAsia="zh-CN"/>
        </w:rPr>
        <w:t>（单位负责人）</w:t>
      </w:r>
      <w:r>
        <w:rPr>
          <w:rFonts w:hint="eastAsia" w:ascii="宋体" w:hAnsi="宋体" w:eastAsia="宋体" w:cs="宋体"/>
          <w:b/>
          <w:bCs/>
          <w:color w:val="auto"/>
          <w:highlight w:val="none"/>
        </w:rPr>
        <w:t>或其委托代理人(签字或印章)：</w:t>
      </w:r>
      <w:bookmarkEnd w:id="244"/>
      <w:bookmarkEnd w:id="245"/>
      <w:bookmarkEnd w:id="246"/>
      <w:r>
        <w:rPr>
          <w:rFonts w:hint="eastAsia" w:ascii="宋体" w:hAnsi="宋体" w:eastAsia="宋体" w:cs="宋体"/>
          <w:b/>
          <w:bCs/>
          <w:color w:val="auto"/>
          <w:highlight w:val="none"/>
          <w:u w:val="single"/>
        </w:rPr>
        <w:t xml:space="preserve">             </w:t>
      </w:r>
    </w:p>
    <w:p w14:paraId="3AFB7474">
      <w:pPr>
        <w:keepNext w:val="0"/>
        <w:keepLines w:val="0"/>
        <w:pageBreakBefore w:val="0"/>
        <w:widowControl w:val="0"/>
        <w:kinsoku/>
        <w:wordWrap/>
        <w:overflowPunct/>
        <w:bidi w:val="0"/>
        <w:adjustRightInd w:val="0"/>
        <w:snapToGrid w:val="0"/>
        <w:spacing w:line="36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58FC4F67">
      <w:pPr>
        <w:rPr>
          <w:rFonts w:hint="eastAsia" w:ascii="宋体" w:hAnsi="宋体" w:eastAsia="宋体" w:cs="宋体"/>
          <w:b/>
          <w:color w:val="auto"/>
          <w:sz w:val="28"/>
          <w:szCs w:val="28"/>
          <w:highlight w:val="none"/>
          <w:lang w:val="en-US" w:eastAsia="zh-CN"/>
        </w:rPr>
      </w:pPr>
    </w:p>
    <w:p w14:paraId="2210F3CB">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5970766B">
      <w:pPr>
        <w:pStyle w:val="3"/>
        <w:keepNext w:val="0"/>
        <w:keepLines w:val="0"/>
        <w:pageBreakBefore w:val="0"/>
        <w:widowControl w:val="0"/>
        <w:numPr>
          <w:ilvl w:val="0"/>
          <w:numId w:val="0"/>
        </w:numPr>
        <w:overflowPunct/>
        <w:bidi w:val="0"/>
        <w:jc w:val="center"/>
        <w:rPr>
          <w:rFonts w:hint="eastAsia" w:ascii="宋体" w:hAnsi="宋体" w:eastAsia="宋体" w:cs="宋体"/>
          <w:color w:val="auto"/>
          <w:sz w:val="28"/>
          <w:szCs w:val="28"/>
          <w:highlight w:val="none"/>
        </w:rPr>
      </w:pPr>
      <w:bookmarkStart w:id="247" w:name="_Toc22201159"/>
      <w:bookmarkStart w:id="248" w:name="_Toc8822"/>
      <w:bookmarkStart w:id="249" w:name="_Toc6322"/>
      <w:bookmarkStart w:id="250" w:name="_Toc28453"/>
      <w:bookmarkStart w:id="251" w:name="_Toc30578"/>
      <w:bookmarkStart w:id="252" w:name="_Toc17091"/>
      <w:bookmarkStart w:id="253" w:name="_Toc34637802"/>
      <w:r>
        <w:rPr>
          <w:rFonts w:hint="eastAsia" w:ascii="宋体" w:hAnsi="宋体" w:eastAsia="宋体" w:cs="宋体"/>
          <w:color w:val="auto"/>
          <w:sz w:val="28"/>
          <w:szCs w:val="28"/>
          <w:highlight w:val="none"/>
          <w:lang w:eastAsia="zh-CN"/>
        </w:rPr>
        <w:t>八、</w:t>
      </w:r>
      <w:r>
        <w:rPr>
          <w:rFonts w:hint="eastAsia" w:ascii="宋体" w:hAnsi="宋体" w:eastAsia="宋体" w:cs="宋体"/>
          <w:color w:val="auto"/>
          <w:sz w:val="28"/>
          <w:szCs w:val="28"/>
          <w:highlight w:val="none"/>
        </w:rPr>
        <w:t>合同条款偏离表</w:t>
      </w:r>
      <w:bookmarkEnd w:id="247"/>
      <w:bookmarkEnd w:id="248"/>
      <w:bookmarkEnd w:id="249"/>
      <w:bookmarkEnd w:id="250"/>
      <w:bookmarkEnd w:id="251"/>
      <w:bookmarkEnd w:id="252"/>
      <w:bookmarkEnd w:id="253"/>
    </w:p>
    <w:p w14:paraId="3088314D">
      <w:pPr>
        <w:shd w:val="clear" w:color="auto" w:fill="auto"/>
        <w:adjustRightInd w:val="0"/>
        <w:snapToGrid w:val="0"/>
        <w:spacing w:before="156" w:beforeLines="50"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政府采购编号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项目名称：</w:t>
      </w:r>
      <w:r>
        <w:rPr>
          <w:rFonts w:hint="eastAsia" w:ascii="宋体" w:hAnsi="宋体" w:eastAsia="宋体" w:cs="宋体"/>
          <w:color w:val="auto"/>
          <w:sz w:val="24"/>
          <w:szCs w:val="24"/>
          <w:highlight w:val="none"/>
          <w:u w:val="single"/>
        </w:rPr>
        <w:t xml:space="preserve">                    </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5"/>
        <w:gridCol w:w="2410"/>
        <w:gridCol w:w="1985"/>
        <w:gridCol w:w="2082"/>
        <w:gridCol w:w="1942"/>
      </w:tblGrid>
      <w:tr w14:paraId="57FB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9014" w:type="dxa"/>
            <w:gridSpan w:val="5"/>
            <w:noWrap w:val="0"/>
            <w:vAlign w:val="center"/>
          </w:tcPr>
          <w:p w14:paraId="3D59888C">
            <w:pPr>
              <w:shd w:val="clear" w:color="auto" w:fill="auto"/>
              <w:adjustRightInd w:val="0"/>
              <w:snapToGrid w:val="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对本项目合同条款的偏离情况（请进行勾选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w:t>
            </w:r>
          </w:p>
          <w:p w14:paraId="702F2A4D">
            <w:pPr>
              <w:shd w:val="clear" w:color="auto" w:fill="auto"/>
              <w:adjustRightInd w:val="0"/>
              <w:snapToGrid w:val="0"/>
              <w:ind w:firstLine="240" w:firstLineChars="100"/>
              <w:jc w:val="left"/>
              <w:rPr>
                <w:rFonts w:hint="eastAsia" w:ascii="宋体" w:hAnsi="宋体" w:eastAsia="宋体" w:cs="宋体"/>
                <w:iCs/>
                <w:color w:val="auto"/>
                <w:sz w:val="24"/>
                <w:szCs w:val="24"/>
                <w:highlight w:val="none"/>
              </w:rPr>
            </w:pPr>
          </w:p>
          <w:p w14:paraId="1600564A">
            <w:pPr>
              <w:shd w:val="clear" w:color="auto" w:fill="auto"/>
              <w:adjustRightInd w:val="0"/>
              <w:snapToGrid w:val="0"/>
              <w:jc w:val="left"/>
              <w:rPr>
                <w:rFonts w:hint="eastAsia" w:ascii="宋体" w:hAnsi="宋体" w:eastAsia="宋体" w:cs="宋体"/>
                <w:color w:val="auto"/>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无偏离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如无偏离，仅勾选无偏离即可</w:t>
            </w:r>
            <w:r>
              <w:rPr>
                <w:rFonts w:hint="eastAsia" w:ascii="宋体" w:hAnsi="宋体" w:eastAsia="宋体" w:cs="宋体"/>
                <w:color w:val="auto"/>
                <w:sz w:val="24"/>
                <w:highlight w:val="none"/>
              </w:rPr>
              <w:t>）</w:t>
            </w:r>
          </w:p>
          <w:p w14:paraId="38351595">
            <w:pPr>
              <w:pStyle w:val="11"/>
              <w:shd w:val="clear" w:color="auto" w:fill="auto"/>
              <w:rPr>
                <w:rFonts w:hint="eastAsia" w:ascii="宋体" w:hAnsi="宋体" w:eastAsia="宋体" w:cs="宋体"/>
                <w:color w:val="auto"/>
                <w:highlight w:val="none"/>
              </w:rPr>
            </w:pPr>
          </w:p>
          <w:p w14:paraId="469E1DF8">
            <w:pPr>
              <w:shd w:val="clear" w:color="auto" w:fill="auto"/>
              <w:adjustRightInd w:val="0"/>
              <w:snapToGrid w:val="0"/>
              <w:spacing w:before="50" w:line="360" w:lineRule="auto"/>
              <w:jc w:val="both"/>
              <w:rPr>
                <w:rFonts w:hint="eastAsia" w:ascii="宋体" w:hAnsi="宋体" w:eastAsia="宋体" w:cs="宋体"/>
                <w:color w:val="auto"/>
                <w:sz w:val="24"/>
                <w:szCs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有偏离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如有偏离，</w:t>
            </w:r>
            <w:r>
              <w:rPr>
                <w:rFonts w:hint="eastAsia" w:ascii="宋体" w:hAnsi="宋体" w:eastAsia="宋体" w:cs="宋体"/>
                <w:color w:val="auto"/>
                <w:sz w:val="24"/>
                <w:highlight w:val="none"/>
              </w:rPr>
              <w:t>则应在本表中对偏离项逐一列明）</w:t>
            </w:r>
          </w:p>
        </w:tc>
      </w:tr>
      <w:tr w14:paraId="25C5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595" w:type="dxa"/>
            <w:noWrap w:val="0"/>
            <w:vAlign w:val="center"/>
          </w:tcPr>
          <w:p w14:paraId="556A1164">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color w:val="auto"/>
                <w:sz w:val="24"/>
                <w:szCs w:val="24"/>
                <w:highlight w:val="none"/>
              </w:rPr>
              <w:t>序</w:t>
            </w:r>
            <w:r>
              <w:rPr>
                <w:rFonts w:hint="eastAsia" w:ascii="宋体" w:hAnsi="宋体" w:eastAsia="宋体" w:cs="宋体"/>
                <w:color w:val="auto"/>
                <w:sz w:val="24"/>
                <w:szCs w:val="24"/>
                <w:highlight w:val="none"/>
              </w:rPr>
              <w:t>号</w:t>
            </w:r>
          </w:p>
        </w:tc>
        <w:tc>
          <w:tcPr>
            <w:tcW w:w="2410" w:type="dxa"/>
            <w:noWrap w:val="0"/>
            <w:vAlign w:val="center"/>
          </w:tcPr>
          <w:p w14:paraId="6BA14A8D">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章节</w:t>
            </w:r>
            <w:r>
              <w:rPr>
                <w:rFonts w:hint="eastAsia" w:ascii="宋体" w:hAnsi="宋体" w:eastAsia="宋体" w:cs="宋体"/>
                <w:bCs/>
                <w:color w:val="auto"/>
                <w:sz w:val="24"/>
                <w:szCs w:val="24"/>
                <w:highlight w:val="none"/>
              </w:rPr>
              <w:t>条</w:t>
            </w:r>
            <w:r>
              <w:rPr>
                <w:rFonts w:hint="eastAsia" w:ascii="宋体" w:hAnsi="宋体" w:eastAsia="宋体" w:cs="宋体"/>
                <w:color w:val="auto"/>
                <w:sz w:val="24"/>
                <w:szCs w:val="24"/>
                <w:highlight w:val="none"/>
              </w:rPr>
              <w:t>款号</w:t>
            </w:r>
          </w:p>
        </w:tc>
        <w:tc>
          <w:tcPr>
            <w:tcW w:w="1985" w:type="dxa"/>
            <w:noWrap w:val="0"/>
            <w:vAlign w:val="center"/>
          </w:tcPr>
          <w:p w14:paraId="47D67544">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82" w:type="dxa"/>
            <w:noWrap w:val="0"/>
            <w:vAlign w:val="center"/>
          </w:tcPr>
          <w:p w14:paraId="22C87568">
            <w:pPr>
              <w:shd w:val="clear" w:color="auto" w:fill="auto"/>
              <w:adjustRightInd w:val="0"/>
              <w:snapToGrid w:val="0"/>
              <w:spacing w:before="5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投标文件的应答</w:t>
            </w:r>
          </w:p>
        </w:tc>
        <w:tc>
          <w:tcPr>
            <w:tcW w:w="1942" w:type="dxa"/>
            <w:noWrap w:val="0"/>
            <w:vAlign w:val="center"/>
          </w:tcPr>
          <w:p w14:paraId="10266603">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偏离说明</w:t>
            </w:r>
          </w:p>
        </w:tc>
      </w:tr>
      <w:tr w14:paraId="445B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noWrap w:val="0"/>
            <w:vAlign w:val="center"/>
          </w:tcPr>
          <w:p w14:paraId="15A48DB9">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2DE6F4CB">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top"/>
          </w:tcPr>
          <w:p w14:paraId="3366B99D">
            <w:pPr>
              <w:shd w:val="clear" w:color="auto" w:fill="auto"/>
              <w:adjustRightInd w:val="0"/>
              <w:snapToGrid w:val="0"/>
              <w:spacing w:before="50" w:line="360" w:lineRule="auto"/>
              <w:rPr>
                <w:rFonts w:hint="eastAsia" w:ascii="宋体" w:hAnsi="宋体" w:eastAsia="宋体" w:cs="宋体"/>
                <w:color w:val="auto"/>
                <w:sz w:val="24"/>
                <w:szCs w:val="24"/>
                <w:highlight w:val="none"/>
              </w:rPr>
            </w:pPr>
          </w:p>
        </w:tc>
        <w:tc>
          <w:tcPr>
            <w:tcW w:w="2082" w:type="dxa"/>
            <w:noWrap w:val="0"/>
            <w:vAlign w:val="top"/>
          </w:tcPr>
          <w:p w14:paraId="3361A1F5">
            <w:pPr>
              <w:shd w:val="clear" w:color="auto" w:fill="auto"/>
              <w:adjustRightInd w:val="0"/>
              <w:snapToGrid w:val="0"/>
              <w:spacing w:before="50" w:line="360" w:lineRule="auto"/>
              <w:rPr>
                <w:rFonts w:hint="eastAsia" w:ascii="宋体" w:hAnsi="宋体" w:eastAsia="宋体" w:cs="宋体"/>
                <w:color w:val="auto"/>
                <w:sz w:val="24"/>
                <w:szCs w:val="24"/>
                <w:highlight w:val="none"/>
              </w:rPr>
            </w:pPr>
          </w:p>
        </w:tc>
        <w:tc>
          <w:tcPr>
            <w:tcW w:w="1942" w:type="dxa"/>
            <w:noWrap w:val="0"/>
            <w:vAlign w:val="top"/>
          </w:tcPr>
          <w:p w14:paraId="23DDA8AA">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2C2C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noWrap w:val="0"/>
            <w:vAlign w:val="center"/>
          </w:tcPr>
          <w:p w14:paraId="2EE2B50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08A75B2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center"/>
          </w:tcPr>
          <w:p w14:paraId="409BD24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082" w:type="dxa"/>
            <w:noWrap w:val="0"/>
            <w:vAlign w:val="center"/>
          </w:tcPr>
          <w:p w14:paraId="5E372E10">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42" w:type="dxa"/>
            <w:noWrap w:val="0"/>
            <w:vAlign w:val="center"/>
          </w:tcPr>
          <w:p w14:paraId="7A6E434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33F0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noWrap w:val="0"/>
            <w:vAlign w:val="center"/>
          </w:tcPr>
          <w:p w14:paraId="4B12831E">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6F5442B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center"/>
          </w:tcPr>
          <w:p w14:paraId="1F5A75F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082" w:type="dxa"/>
            <w:noWrap w:val="0"/>
            <w:vAlign w:val="center"/>
          </w:tcPr>
          <w:p w14:paraId="0BC5DDE4">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42" w:type="dxa"/>
            <w:noWrap w:val="0"/>
            <w:vAlign w:val="center"/>
          </w:tcPr>
          <w:p w14:paraId="394AEEAF">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1535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noWrap w:val="0"/>
            <w:vAlign w:val="center"/>
          </w:tcPr>
          <w:p w14:paraId="45C49454">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66D411BF">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center"/>
          </w:tcPr>
          <w:p w14:paraId="34AA6763">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082" w:type="dxa"/>
            <w:noWrap w:val="0"/>
            <w:vAlign w:val="center"/>
          </w:tcPr>
          <w:p w14:paraId="69B03EE9">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42" w:type="dxa"/>
            <w:noWrap w:val="0"/>
            <w:vAlign w:val="center"/>
          </w:tcPr>
          <w:p w14:paraId="70B00EBA">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52E4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1172FDD1">
            <w:pPr>
              <w:shd w:val="clear" w:color="auto" w:fill="auto"/>
              <w:adjustRightInd w:val="0"/>
              <w:snapToGrid w:val="0"/>
              <w:spacing w:before="50" w:line="360" w:lineRule="auto"/>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投标人保证：除本合同条款偏离表列出的偏离外，我单位对</w:t>
            </w:r>
            <w:r>
              <w:rPr>
                <w:rFonts w:hint="eastAsia" w:ascii="宋体" w:hAnsi="宋体" w:eastAsia="宋体" w:cs="宋体"/>
                <w:b/>
                <w:color w:val="auto"/>
                <w:sz w:val="24"/>
                <w:szCs w:val="24"/>
                <w:highlight w:val="none"/>
                <w:lang w:eastAsia="zh-CN"/>
              </w:rPr>
              <w:t>磋商文件</w:t>
            </w:r>
            <w:r>
              <w:rPr>
                <w:rFonts w:hint="eastAsia" w:ascii="宋体" w:hAnsi="宋体" w:eastAsia="宋体" w:cs="宋体"/>
                <w:b/>
                <w:color w:val="auto"/>
                <w:sz w:val="24"/>
                <w:szCs w:val="24"/>
                <w:highlight w:val="none"/>
              </w:rPr>
              <w:t>的其他商务、合同条款完全响应，无偏离。</w:t>
            </w:r>
          </w:p>
        </w:tc>
      </w:tr>
    </w:tbl>
    <w:p w14:paraId="1727036F">
      <w:pPr>
        <w:shd w:val="clear" w:color="auto" w:fill="auto"/>
        <w:adjustRightInd w:val="0"/>
        <w:snapToGrid w:val="0"/>
        <w:spacing w:before="50" w:line="360" w:lineRule="auto"/>
        <w:ind w:left="-101" w:leftChars="-42"/>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t>注：</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投标人应根据</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章“政府采购合同”填写本表；</w:t>
      </w:r>
    </w:p>
    <w:p w14:paraId="64871242">
      <w:pPr>
        <w:shd w:val="clear" w:color="auto" w:fill="auto"/>
        <w:adjustRightInd w:val="0"/>
        <w:snapToGrid w:val="0"/>
        <w:spacing w:before="50" w:line="360" w:lineRule="auto"/>
        <w:ind w:left="-101" w:leftChars="-42"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color w:val="auto"/>
          <w:sz w:val="24"/>
          <w:szCs w:val="24"/>
          <w:highlight w:val="none"/>
        </w:rPr>
        <w:t>投标人如果对</w:t>
      </w:r>
      <w:r>
        <w:rPr>
          <w:rFonts w:hint="eastAsia" w:ascii="宋体" w:hAnsi="宋体" w:eastAsia="宋体" w:cs="宋体"/>
          <w:b/>
          <w:color w:val="auto"/>
          <w:sz w:val="24"/>
          <w:szCs w:val="24"/>
          <w:highlight w:val="none"/>
          <w:lang w:eastAsia="zh-CN"/>
        </w:rPr>
        <w:t>磋商文件</w:t>
      </w:r>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章“政府采购合同”的响应有偏离，应将偏离条款逐条如实应答，并作出说明；</w:t>
      </w:r>
    </w:p>
    <w:p w14:paraId="5DD52C94">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如不提供此表，则视为投标人不满足</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章的所有条款要求，其</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363CD0A0">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在采购人与中标人签订合同时，如中标人未在投标文件“合同条款偏离表”中列出偏离说明，无论已发生或即将发生任何情形，均视为完全符合</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要求，并写入合同。若中标人在合同签订前，以上述事项为借口而不履行合同签订手续及执行合同，则视作拒绝与采购人签订合同。</w:t>
      </w:r>
    </w:p>
    <w:p w14:paraId="7835B36B">
      <w:pPr>
        <w:shd w:val="clear" w:color="auto" w:fill="auto"/>
        <w:adjustRightInd w:val="0"/>
        <w:snapToGrid w:val="0"/>
        <w:spacing w:before="50" w:line="360" w:lineRule="auto"/>
        <w:rPr>
          <w:rFonts w:hint="eastAsia" w:ascii="宋体" w:hAnsi="宋体" w:eastAsia="宋体" w:cs="宋体"/>
          <w:color w:val="auto"/>
          <w:sz w:val="24"/>
          <w:szCs w:val="24"/>
          <w:highlight w:val="none"/>
        </w:rPr>
      </w:pPr>
    </w:p>
    <w:p w14:paraId="1C32FA4B">
      <w:pPr>
        <w:shd w:val="clear" w:color="auto" w:fill="auto"/>
        <w:adjustRightInd w:val="0"/>
        <w:snapToGrid w:val="0"/>
        <w:spacing w:before="5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投标人名称（</w:t>
      </w:r>
      <w:r>
        <w:rPr>
          <w:rFonts w:hint="eastAsia" w:ascii="宋体" w:hAnsi="宋体" w:eastAsia="宋体" w:cs="宋体"/>
          <w:b/>
          <w:bCs/>
          <w:color w:val="auto"/>
          <w:sz w:val="24"/>
          <w:szCs w:val="24"/>
          <w:highlight w:val="none"/>
          <w:lang w:eastAsia="zh-CN"/>
        </w:rPr>
        <w:t>盖单位公章</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p>
    <w:p w14:paraId="69895FDF">
      <w:pPr>
        <w:shd w:val="clear" w:color="auto" w:fill="auto"/>
        <w:adjustRightInd w:val="0"/>
        <w:snapToGrid w:val="0"/>
        <w:spacing w:before="5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kern w:val="0"/>
          <w:sz w:val="24"/>
          <w:szCs w:val="24"/>
          <w:highlight w:val="none"/>
        </w:rPr>
        <w:t>法</w:t>
      </w:r>
      <w:r>
        <w:rPr>
          <w:rFonts w:hint="eastAsia" w:ascii="宋体" w:hAnsi="宋体" w:eastAsia="宋体" w:cs="宋体"/>
          <w:b/>
          <w:bCs/>
          <w:color w:val="auto"/>
          <w:kern w:val="0"/>
          <w:sz w:val="24"/>
          <w:szCs w:val="24"/>
          <w:highlight w:val="none"/>
        </w:rPr>
        <w:t>定</w:t>
      </w:r>
      <w:r>
        <w:rPr>
          <w:rFonts w:hint="eastAsia" w:ascii="宋体" w:hAnsi="宋体" w:eastAsia="宋体" w:cs="宋体"/>
          <w:b/>
          <w:bCs/>
          <w:color w:val="auto"/>
          <w:spacing w:val="-2"/>
          <w:kern w:val="0"/>
          <w:sz w:val="24"/>
          <w:szCs w:val="24"/>
          <w:highlight w:val="none"/>
        </w:rPr>
        <w:t>代</w:t>
      </w:r>
      <w:r>
        <w:rPr>
          <w:rFonts w:hint="eastAsia" w:ascii="宋体" w:hAnsi="宋体" w:eastAsia="宋体" w:cs="宋体"/>
          <w:b/>
          <w:bCs/>
          <w:color w:val="auto"/>
          <w:kern w:val="0"/>
          <w:sz w:val="24"/>
          <w:szCs w:val="24"/>
          <w:highlight w:val="none"/>
        </w:rPr>
        <w:t>表</w:t>
      </w:r>
      <w:r>
        <w:rPr>
          <w:rFonts w:hint="eastAsia" w:ascii="宋体" w:hAnsi="宋体" w:eastAsia="宋体" w:cs="宋体"/>
          <w:b/>
          <w:bCs/>
          <w:color w:val="auto"/>
          <w:spacing w:val="-2"/>
          <w:kern w:val="0"/>
          <w:sz w:val="24"/>
          <w:szCs w:val="24"/>
          <w:highlight w:val="none"/>
        </w:rPr>
        <w:t>人</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pacing w:val="-2"/>
          <w:kern w:val="0"/>
          <w:sz w:val="24"/>
          <w:szCs w:val="24"/>
          <w:highlight w:val="none"/>
        </w:rPr>
        <w:t>单</w:t>
      </w:r>
      <w:r>
        <w:rPr>
          <w:rFonts w:hint="eastAsia" w:ascii="宋体" w:hAnsi="宋体" w:eastAsia="宋体" w:cs="宋体"/>
          <w:b/>
          <w:bCs/>
          <w:color w:val="auto"/>
          <w:kern w:val="0"/>
          <w:sz w:val="24"/>
          <w:szCs w:val="24"/>
          <w:highlight w:val="none"/>
        </w:rPr>
        <w:t>位</w:t>
      </w:r>
      <w:r>
        <w:rPr>
          <w:rFonts w:hint="eastAsia" w:ascii="宋体" w:hAnsi="宋体" w:eastAsia="宋体" w:cs="宋体"/>
          <w:b/>
          <w:bCs/>
          <w:color w:val="auto"/>
          <w:spacing w:val="-2"/>
          <w:kern w:val="0"/>
          <w:sz w:val="24"/>
          <w:szCs w:val="24"/>
          <w:highlight w:val="none"/>
        </w:rPr>
        <w:t>负</w:t>
      </w:r>
      <w:r>
        <w:rPr>
          <w:rFonts w:hint="eastAsia" w:ascii="宋体" w:hAnsi="宋体" w:eastAsia="宋体" w:cs="宋体"/>
          <w:b/>
          <w:bCs/>
          <w:color w:val="auto"/>
          <w:kern w:val="0"/>
          <w:sz w:val="24"/>
          <w:szCs w:val="24"/>
          <w:highlight w:val="none"/>
        </w:rPr>
        <w:t>责人</w:t>
      </w:r>
      <w:r>
        <w:rPr>
          <w:rFonts w:hint="eastAsia" w:ascii="宋体" w:hAnsi="宋体" w:eastAsia="宋体" w:cs="宋体"/>
          <w:b/>
          <w:bCs/>
          <w:color w:val="auto"/>
          <w:spacing w:val="-2"/>
          <w:kern w:val="0"/>
          <w:sz w:val="24"/>
          <w:szCs w:val="24"/>
          <w:highlight w:val="none"/>
        </w:rPr>
        <w:t>）</w:t>
      </w:r>
      <w:r>
        <w:rPr>
          <w:rFonts w:hint="eastAsia" w:ascii="宋体" w:hAnsi="宋体" w:eastAsia="宋体" w:cs="宋体"/>
          <w:b/>
          <w:bCs/>
          <w:color w:val="auto"/>
          <w:sz w:val="24"/>
          <w:szCs w:val="24"/>
          <w:highlight w:val="none"/>
        </w:rPr>
        <w:t>或其授权的代理人（签字或印章）：</w:t>
      </w:r>
      <w:r>
        <w:rPr>
          <w:rFonts w:hint="eastAsia" w:ascii="宋体" w:hAnsi="宋体" w:eastAsia="宋体" w:cs="宋体"/>
          <w:b/>
          <w:bCs/>
          <w:color w:val="auto"/>
          <w:sz w:val="24"/>
          <w:szCs w:val="24"/>
          <w:highlight w:val="none"/>
          <w:u w:val="single"/>
        </w:rPr>
        <w:t xml:space="preserve">                 </w:t>
      </w:r>
    </w:p>
    <w:p w14:paraId="2E52350F">
      <w:pPr>
        <w:shd w:val="clear" w:color="auto" w:fill="auto"/>
        <w:adjustRightInd w:val="0"/>
        <w:snapToGrid w:val="0"/>
        <w:spacing w:before="50" w:line="36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 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1FE12CB3">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38E40ECE">
      <w:pPr>
        <w:pStyle w:val="3"/>
        <w:keepNext w:val="0"/>
        <w:keepLines w:val="0"/>
        <w:pageBreakBefore w:val="0"/>
        <w:widowControl w:val="0"/>
        <w:overflowPunct/>
        <w:bidi w:val="0"/>
        <w:jc w:val="center"/>
        <w:rPr>
          <w:rFonts w:hint="eastAsia" w:ascii="宋体" w:hAnsi="宋体" w:eastAsia="宋体" w:cs="宋体"/>
          <w:color w:val="auto"/>
          <w:highlight w:val="none"/>
          <w:lang w:val="en-US" w:eastAsia="zh-CN"/>
        </w:rPr>
      </w:pPr>
      <w:bookmarkStart w:id="254" w:name="_Toc2532"/>
      <w:bookmarkStart w:id="255" w:name="_Toc7281"/>
      <w:r>
        <w:rPr>
          <w:rFonts w:hint="eastAsia" w:ascii="宋体" w:hAnsi="宋体" w:eastAsia="宋体" w:cs="宋体"/>
          <w:color w:val="auto"/>
          <w:highlight w:val="none"/>
          <w:lang w:val="en-US" w:eastAsia="zh-CN"/>
        </w:rPr>
        <w:t>九、采购需求偏离表</w:t>
      </w:r>
      <w:bookmarkEnd w:id="254"/>
      <w:bookmarkEnd w:id="255"/>
    </w:p>
    <w:p w14:paraId="58040930">
      <w:pPr>
        <w:shd w:val="clear" w:color="auto" w:fill="auto"/>
        <w:adjustRightInd w:val="0"/>
        <w:snapToGrid w:val="0"/>
        <w:spacing w:before="156" w:beforeLines="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政府采购编号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项目名称：</w:t>
      </w:r>
      <w:r>
        <w:rPr>
          <w:rFonts w:hint="eastAsia" w:ascii="宋体" w:hAnsi="宋体" w:eastAsia="宋体" w:cs="宋体"/>
          <w:color w:val="auto"/>
          <w:sz w:val="24"/>
          <w:szCs w:val="24"/>
          <w:highlight w:val="none"/>
          <w:u w:val="single"/>
        </w:rPr>
        <w:t xml:space="preserve">                   </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7"/>
        <w:gridCol w:w="2410"/>
        <w:gridCol w:w="1985"/>
        <w:gridCol w:w="2126"/>
        <w:gridCol w:w="1756"/>
      </w:tblGrid>
      <w:tr w14:paraId="7218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9014" w:type="dxa"/>
            <w:gridSpan w:val="5"/>
            <w:noWrap w:val="0"/>
            <w:vAlign w:val="center"/>
          </w:tcPr>
          <w:p w14:paraId="60367C83">
            <w:pPr>
              <w:shd w:val="clear" w:color="auto" w:fill="auto"/>
              <w:adjustRightInd w:val="0"/>
              <w:snapToGrid w:val="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对本项目</w:t>
            </w:r>
            <w:r>
              <w:rPr>
                <w:rFonts w:hint="eastAsia" w:ascii="宋体" w:hAnsi="宋体" w:eastAsia="宋体" w:cs="宋体"/>
                <w:b/>
                <w:color w:val="auto"/>
                <w:sz w:val="24"/>
                <w:highlight w:val="none"/>
                <w:lang w:eastAsia="zh-CN"/>
              </w:rPr>
              <w:t>采购需求</w:t>
            </w:r>
            <w:r>
              <w:rPr>
                <w:rFonts w:hint="eastAsia" w:ascii="宋体" w:hAnsi="宋体" w:eastAsia="宋体" w:cs="宋体"/>
                <w:b/>
                <w:color w:val="auto"/>
                <w:sz w:val="24"/>
                <w:highlight w:val="none"/>
              </w:rPr>
              <w:t>的偏离情况（请进行勾选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w:t>
            </w:r>
          </w:p>
          <w:p w14:paraId="11616229">
            <w:pPr>
              <w:shd w:val="clear" w:color="auto" w:fill="auto"/>
              <w:adjustRightInd w:val="0"/>
              <w:snapToGrid w:val="0"/>
              <w:ind w:firstLine="240" w:firstLineChars="100"/>
              <w:jc w:val="left"/>
              <w:rPr>
                <w:rFonts w:hint="eastAsia" w:ascii="宋体" w:hAnsi="宋体" w:eastAsia="宋体" w:cs="宋体"/>
                <w:iCs/>
                <w:color w:val="auto"/>
                <w:sz w:val="24"/>
                <w:szCs w:val="24"/>
                <w:highlight w:val="none"/>
              </w:rPr>
            </w:pPr>
          </w:p>
          <w:p w14:paraId="5573843E">
            <w:pPr>
              <w:shd w:val="clear" w:color="auto" w:fill="auto"/>
              <w:adjustRightInd w:val="0"/>
              <w:snapToGrid w:val="0"/>
              <w:jc w:val="left"/>
              <w:rPr>
                <w:rFonts w:hint="eastAsia" w:ascii="宋体" w:hAnsi="宋体" w:eastAsia="宋体" w:cs="宋体"/>
                <w:color w:val="auto"/>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无偏离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如无偏离，仅勾选无偏离即可</w:t>
            </w:r>
            <w:r>
              <w:rPr>
                <w:rFonts w:hint="eastAsia" w:ascii="宋体" w:hAnsi="宋体" w:eastAsia="宋体" w:cs="宋体"/>
                <w:color w:val="auto"/>
                <w:sz w:val="24"/>
                <w:highlight w:val="none"/>
              </w:rPr>
              <w:t>）</w:t>
            </w:r>
          </w:p>
          <w:p w14:paraId="2906C361">
            <w:pPr>
              <w:pStyle w:val="11"/>
              <w:shd w:val="clear" w:color="auto" w:fill="auto"/>
              <w:rPr>
                <w:rFonts w:hint="eastAsia" w:ascii="宋体" w:hAnsi="宋体" w:eastAsia="宋体" w:cs="宋体"/>
                <w:color w:val="auto"/>
                <w:highlight w:val="none"/>
              </w:rPr>
            </w:pPr>
          </w:p>
          <w:p w14:paraId="3DCF7B28">
            <w:pPr>
              <w:shd w:val="clear" w:color="auto" w:fill="auto"/>
              <w:adjustRightInd w:val="0"/>
              <w:snapToGrid w:val="0"/>
              <w:spacing w:before="50" w:line="360" w:lineRule="auto"/>
              <w:jc w:val="both"/>
              <w:rPr>
                <w:rFonts w:hint="eastAsia" w:ascii="宋体" w:hAnsi="宋体" w:eastAsia="宋体" w:cs="宋体"/>
                <w:color w:val="auto"/>
                <w:sz w:val="24"/>
                <w:szCs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有偏离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如有偏离，</w:t>
            </w:r>
            <w:r>
              <w:rPr>
                <w:rFonts w:hint="eastAsia" w:ascii="宋体" w:hAnsi="宋体" w:eastAsia="宋体" w:cs="宋体"/>
                <w:color w:val="auto"/>
                <w:sz w:val="24"/>
                <w:highlight w:val="none"/>
              </w:rPr>
              <w:t>则应在本表中对偏离项逐一列明）</w:t>
            </w:r>
          </w:p>
        </w:tc>
      </w:tr>
      <w:tr w14:paraId="2AC5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noWrap w:val="0"/>
            <w:vAlign w:val="center"/>
          </w:tcPr>
          <w:p w14:paraId="57D137E7">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color w:val="auto"/>
                <w:sz w:val="24"/>
                <w:szCs w:val="24"/>
                <w:highlight w:val="none"/>
              </w:rPr>
              <w:t>序</w:t>
            </w:r>
            <w:r>
              <w:rPr>
                <w:rFonts w:hint="eastAsia" w:ascii="宋体" w:hAnsi="宋体" w:eastAsia="宋体" w:cs="宋体"/>
                <w:color w:val="auto"/>
                <w:sz w:val="24"/>
                <w:szCs w:val="24"/>
                <w:highlight w:val="none"/>
              </w:rPr>
              <w:t>号</w:t>
            </w:r>
          </w:p>
        </w:tc>
        <w:tc>
          <w:tcPr>
            <w:tcW w:w="2410" w:type="dxa"/>
            <w:noWrap w:val="0"/>
            <w:vAlign w:val="center"/>
          </w:tcPr>
          <w:p w14:paraId="3416BDC9">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章节</w:t>
            </w:r>
            <w:r>
              <w:rPr>
                <w:rFonts w:hint="eastAsia" w:ascii="宋体" w:hAnsi="宋体" w:eastAsia="宋体" w:cs="宋体"/>
                <w:bCs/>
                <w:color w:val="auto"/>
                <w:sz w:val="24"/>
                <w:szCs w:val="24"/>
                <w:highlight w:val="none"/>
              </w:rPr>
              <w:t>条</w:t>
            </w:r>
            <w:r>
              <w:rPr>
                <w:rFonts w:hint="eastAsia" w:ascii="宋体" w:hAnsi="宋体" w:eastAsia="宋体" w:cs="宋体"/>
                <w:color w:val="auto"/>
                <w:sz w:val="24"/>
                <w:szCs w:val="24"/>
                <w:highlight w:val="none"/>
              </w:rPr>
              <w:t>款号</w:t>
            </w:r>
          </w:p>
        </w:tc>
        <w:tc>
          <w:tcPr>
            <w:tcW w:w="1985" w:type="dxa"/>
            <w:noWrap w:val="0"/>
            <w:vAlign w:val="top"/>
          </w:tcPr>
          <w:p w14:paraId="5EA3285E">
            <w:pPr>
              <w:shd w:val="clear" w:color="auto" w:fill="auto"/>
              <w:adjustRightInd w:val="0"/>
              <w:snapToGrid w:val="0"/>
              <w:spacing w:before="5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126" w:type="dxa"/>
            <w:noWrap w:val="0"/>
            <w:vAlign w:val="top"/>
          </w:tcPr>
          <w:p w14:paraId="4540CD2D">
            <w:pPr>
              <w:shd w:val="clear" w:color="auto" w:fill="auto"/>
              <w:adjustRightInd w:val="0"/>
              <w:snapToGrid w:val="0"/>
              <w:spacing w:before="5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投标文件应答</w:t>
            </w:r>
          </w:p>
        </w:tc>
        <w:tc>
          <w:tcPr>
            <w:tcW w:w="1756" w:type="dxa"/>
            <w:noWrap w:val="0"/>
            <w:vAlign w:val="center"/>
          </w:tcPr>
          <w:p w14:paraId="3E65E13F">
            <w:pPr>
              <w:shd w:val="clear" w:color="auto" w:fill="auto"/>
              <w:adjustRightInd w:val="0"/>
              <w:snapToGrid w:val="0"/>
              <w:spacing w:before="50" w:line="360" w:lineRule="auto"/>
              <w:ind w:left="-101" w:leftChars="-42"/>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偏离说明</w:t>
            </w:r>
          </w:p>
        </w:tc>
      </w:tr>
      <w:tr w14:paraId="344B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noWrap w:val="0"/>
            <w:vAlign w:val="center"/>
          </w:tcPr>
          <w:p w14:paraId="31E04DD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1C28FE8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center"/>
          </w:tcPr>
          <w:p w14:paraId="13D582D4">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126" w:type="dxa"/>
            <w:noWrap w:val="0"/>
            <w:vAlign w:val="center"/>
          </w:tcPr>
          <w:p w14:paraId="673AC76B">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756" w:type="dxa"/>
            <w:noWrap w:val="0"/>
            <w:vAlign w:val="center"/>
          </w:tcPr>
          <w:p w14:paraId="698A44B9">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11C2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noWrap w:val="0"/>
            <w:vAlign w:val="center"/>
          </w:tcPr>
          <w:p w14:paraId="4FEB1E74">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2C03DEDF">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center"/>
          </w:tcPr>
          <w:p w14:paraId="2ACB502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126" w:type="dxa"/>
            <w:noWrap w:val="0"/>
            <w:vAlign w:val="center"/>
          </w:tcPr>
          <w:p w14:paraId="0D4E29AD">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756" w:type="dxa"/>
            <w:noWrap w:val="0"/>
            <w:vAlign w:val="center"/>
          </w:tcPr>
          <w:p w14:paraId="489C3CE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46E9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noWrap w:val="0"/>
            <w:vAlign w:val="center"/>
          </w:tcPr>
          <w:p w14:paraId="63B98F32">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420BAAC7">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center"/>
          </w:tcPr>
          <w:p w14:paraId="40A4F4A6">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126" w:type="dxa"/>
            <w:noWrap w:val="0"/>
            <w:vAlign w:val="center"/>
          </w:tcPr>
          <w:p w14:paraId="5B3C5512">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756" w:type="dxa"/>
            <w:noWrap w:val="0"/>
            <w:vAlign w:val="center"/>
          </w:tcPr>
          <w:p w14:paraId="5475D985">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0CC1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noWrap w:val="0"/>
            <w:vAlign w:val="center"/>
          </w:tcPr>
          <w:p w14:paraId="5DAB028C">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410" w:type="dxa"/>
            <w:noWrap w:val="0"/>
            <w:vAlign w:val="center"/>
          </w:tcPr>
          <w:p w14:paraId="79801301">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985" w:type="dxa"/>
            <w:noWrap w:val="0"/>
            <w:vAlign w:val="center"/>
          </w:tcPr>
          <w:p w14:paraId="5EF12E0B">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2126" w:type="dxa"/>
            <w:noWrap w:val="0"/>
            <w:vAlign w:val="center"/>
          </w:tcPr>
          <w:p w14:paraId="7F6579E6">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c>
          <w:tcPr>
            <w:tcW w:w="1756" w:type="dxa"/>
            <w:noWrap w:val="0"/>
            <w:vAlign w:val="center"/>
          </w:tcPr>
          <w:p w14:paraId="032F970C">
            <w:pPr>
              <w:shd w:val="clear" w:color="auto" w:fill="auto"/>
              <w:adjustRightInd w:val="0"/>
              <w:snapToGrid w:val="0"/>
              <w:spacing w:before="50" w:line="360" w:lineRule="auto"/>
              <w:ind w:left="-101" w:leftChars="-42"/>
              <w:jc w:val="center"/>
              <w:rPr>
                <w:rFonts w:hint="eastAsia" w:ascii="宋体" w:hAnsi="宋体" w:eastAsia="宋体" w:cs="宋体"/>
                <w:color w:val="auto"/>
                <w:sz w:val="24"/>
                <w:szCs w:val="24"/>
                <w:highlight w:val="none"/>
              </w:rPr>
            </w:pPr>
          </w:p>
        </w:tc>
      </w:tr>
      <w:tr w14:paraId="5273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0C72B637">
            <w:pPr>
              <w:shd w:val="clear" w:color="auto" w:fill="auto"/>
              <w:adjustRightInd w:val="0"/>
              <w:snapToGrid w:val="0"/>
              <w:spacing w:before="5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投标人保证：除本采购需求偏离表列出的偏离外，我单位对</w:t>
            </w:r>
            <w:r>
              <w:rPr>
                <w:rFonts w:hint="eastAsia" w:ascii="宋体" w:hAnsi="宋体" w:eastAsia="宋体" w:cs="宋体"/>
                <w:b/>
                <w:color w:val="auto"/>
                <w:sz w:val="24"/>
                <w:szCs w:val="24"/>
                <w:highlight w:val="none"/>
                <w:lang w:eastAsia="zh-CN"/>
              </w:rPr>
              <w:t>磋商文件</w:t>
            </w:r>
            <w:r>
              <w:rPr>
                <w:rFonts w:hint="eastAsia" w:ascii="宋体" w:hAnsi="宋体" w:eastAsia="宋体" w:cs="宋体"/>
                <w:b/>
                <w:color w:val="auto"/>
                <w:sz w:val="24"/>
                <w:szCs w:val="24"/>
                <w:highlight w:val="none"/>
              </w:rPr>
              <w:t>的其他采购需求条款完全响应，无偏离。</w:t>
            </w:r>
          </w:p>
        </w:tc>
      </w:tr>
    </w:tbl>
    <w:p w14:paraId="00441F46">
      <w:pPr>
        <w:shd w:val="clear" w:color="auto" w:fill="auto"/>
        <w:adjustRightInd w:val="0"/>
        <w:snapToGrid w:val="0"/>
        <w:spacing w:before="50" w:line="360" w:lineRule="auto"/>
        <w:ind w:left="-101" w:leftChars="-42"/>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t>注：</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投标人应根据</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章“采购需求”填写本表；</w:t>
      </w:r>
    </w:p>
    <w:p w14:paraId="4913377D">
      <w:pPr>
        <w:shd w:val="clear" w:color="auto" w:fill="auto"/>
        <w:adjustRightInd w:val="0"/>
        <w:snapToGrid w:val="0"/>
        <w:spacing w:before="50" w:line="360" w:lineRule="auto"/>
        <w:ind w:left="-101" w:leftChars="-42"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color w:val="auto"/>
          <w:sz w:val="24"/>
          <w:szCs w:val="24"/>
          <w:highlight w:val="none"/>
        </w:rPr>
        <w:t>投标人如果对</w:t>
      </w:r>
      <w:r>
        <w:rPr>
          <w:rFonts w:hint="eastAsia" w:ascii="宋体" w:hAnsi="宋体" w:eastAsia="宋体" w:cs="宋体"/>
          <w:b/>
          <w:color w:val="auto"/>
          <w:sz w:val="24"/>
          <w:szCs w:val="24"/>
          <w:highlight w:val="none"/>
          <w:lang w:eastAsia="zh-CN"/>
        </w:rPr>
        <w:t>磋商文件</w:t>
      </w:r>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章“采购需求”的响应有偏离，应将偏离条款逐条如实应答，并作出说明；</w:t>
      </w:r>
    </w:p>
    <w:p w14:paraId="3F91C2B6">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如不提供此表，则视为投标人不满足</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章的所有条款要求，其</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3C4B525">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在采购人与中标人签订合同时，如中标人未在投标文件“采购需求偏离表”中列出偏离说明，无论已发生或即将发生任何情形，均视为完全符合</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要求，并写入合同。若中标人在合同签订前，以上述事项为借口而不履行合同签订手续及执行合同，则视作拒绝与采购人签订合同。</w:t>
      </w:r>
    </w:p>
    <w:p w14:paraId="39789FF6">
      <w:pPr>
        <w:shd w:val="clear" w:color="auto" w:fill="auto"/>
        <w:adjustRightInd w:val="0"/>
        <w:snapToGrid w:val="0"/>
        <w:spacing w:before="50" w:line="360" w:lineRule="auto"/>
        <w:ind w:left="-101" w:leftChars="-4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本表偏离表与本章“采购需求响应”不一致时，以“采购需求响应”为准。</w:t>
      </w:r>
    </w:p>
    <w:p w14:paraId="5DD7FE3E">
      <w:pPr>
        <w:shd w:val="clear" w:color="auto" w:fill="auto"/>
        <w:adjustRightInd w:val="0"/>
        <w:snapToGrid w:val="0"/>
        <w:spacing w:before="50" w:line="360" w:lineRule="auto"/>
        <w:rPr>
          <w:rFonts w:hint="eastAsia" w:ascii="宋体" w:hAnsi="宋体" w:eastAsia="宋体" w:cs="宋体"/>
          <w:color w:val="auto"/>
          <w:sz w:val="24"/>
          <w:szCs w:val="24"/>
          <w:highlight w:val="none"/>
        </w:rPr>
      </w:pPr>
    </w:p>
    <w:p w14:paraId="2BBE5B3B">
      <w:pPr>
        <w:shd w:val="clear" w:color="auto" w:fill="auto"/>
        <w:adjustRightInd w:val="0"/>
        <w:snapToGrid w:val="0"/>
        <w:spacing w:before="50" w:line="360" w:lineRule="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投标人名称（</w:t>
      </w:r>
      <w:r>
        <w:rPr>
          <w:rFonts w:hint="eastAsia" w:ascii="宋体" w:hAnsi="宋体" w:eastAsia="宋体" w:cs="宋体"/>
          <w:b/>
          <w:bCs/>
          <w:color w:val="auto"/>
          <w:sz w:val="24"/>
          <w:szCs w:val="24"/>
          <w:highlight w:val="none"/>
          <w:lang w:eastAsia="zh-CN"/>
        </w:rPr>
        <w:t>盖单位公章</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p>
    <w:p w14:paraId="5AF89DAB">
      <w:pPr>
        <w:shd w:val="clear" w:color="auto" w:fill="auto"/>
        <w:adjustRightInd w:val="0"/>
        <w:snapToGrid w:val="0"/>
        <w:spacing w:before="5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kern w:val="0"/>
          <w:sz w:val="24"/>
          <w:szCs w:val="24"/>
          <w:highlight w:val="none"/>
        </w:rPr>
        <w:t>法</w:t>
      </w:r>
      <w:r>
        <w:rPr>
          <w:rFonts w:hint="eastAsia" w:ascii="宋体" w:hAnsi="宋体" w:eastAsia="宋体" w:cs="宋体"/>
          <w:b/>
          <w:bCs/>
          <w:color w:val="auto"/>
          <w:kern w:val="0"/>
          <w:sz w:val="24"/>
          <w:szCs w:val="24"/>
          <w:highlight w:val="none"/>
        </w:rPr>
        <w:t>定</w:t>
      </w:r>
      <w:r>
        <w:rPr>
          <w:rFonts w:hint="eastAsia" w:ascii="宋体" w:hAnsi="宋体" w:eastAsia="宋体" w:cs="宋体"/>
          <w:b/>
          <w:bCs/>
          <w:color w:val="auto"/>
          <w:spacing w:val="-2"/>
          <w:kern w:val="0"/>
          <w:sz w:val="24"/>
          <w:szCs w:val="24"/>
          <w:highlight w:val="none"/>
        </w:rPr>
        <w:t>代</w:t>
      </w:r>
      <w:r>
        <w:rPr>
          <w:rFonts w:hint="eastAsia" w:ascii="宋体" w:hAnsi="宋体" w:eastAsia="宋体" w:cs="宋体"/>
          <w:b/>
          <w:bCs/>
          <w:color w:val="auto"/>
          <w:kern w:val="0"/>
          <w:sz w:val="24"/>
          <w:szCs w:val="24"/>
          <w:highlight w:val="none"/>
        </w:rPr>
        <w:t>表</w:t>
      </w:r>
      <w:r>
        <w:rPr>
          <w:rFonts w:hint="eastAsia" w:ascii="宋体" w:hAnsi="宋体" w:eastAsia="宋体" w:cs="宋体"/>
          <w:b/>
          <w:bCs/>
          <w:color w:val="auto"/>
          <w:spacing w:val="-2"/>
          <w:kern w:val="0"/>
          <w:sz w:val="24"/>
          <w:szCs w:val="24"/>
          <w:highlight w:val="none"/>
        </w:rPr>
        <w:t>人</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pacing w:val="-2"/>
          <w:kern w:val="0"/>
          <w:sz w:val="24"/>
          <w:szCs w:val="24"/>
          <w:highlight w:val="none"/>
        </w:rPr>
        <w:t>单</w:t>
      </w:r>
      <w:r>
        <w:rPr>
          <w:rFonts w:hint="eastAsia" w:ascii="宋体" w:hAnsi="宋体" w:eastAsia="宋体" w:cs="宋体"/>
          <w:b/>
          <w:bCs/>
          <w:color w:val="auto"/>
          <w:kern w:val="0"/>
          <w:sz w:val="24"/>
          <w:szCs w:val="24"/>
          <w:highlight w:val="none"/>
        </w:rPr>
        <w:t>位</w:t>
      </w:r>
      <w:r>
        <w:rPr>
          <w:rFonts w:hint="eastAsia" w:ascii="宋体" w:hAnsi="宋体" w:eastAsia="宋体" w:cs="宋体"/>
          <w:b/>
          <w:bCs/>
          <w:color w:val="auto"/>
          <w:spacing w:val="-2"/>
          <w:kern w:val="0"/>
          <w:sz w:val="24"/>
          <w:szCs w:val="24"/>
          <w:highlight w:val="none"/>
        </w:rPr>
        <w:t>负</w:t>
      </w:r>
      <w:r>
        <w:rPr>
          <w:rFonts w:hint="eastAsia" w:ascii="宋体" w:hAnsi="宋体" w:eastAsia="宋体" w:cs="宋体"/>
          <w:b/>
          <w:bCs/>
          <w:color w:val="auto"/>
          <w:kern w:val="0"/>
          <w:sz w:val="24"/>
          <w:szCs w:val="24"/>
          <w:highlight w:val="none"/>
        </w:rPr>
        <w:t>责人</w:t>
      </w:r>
      <w:r>
        <w:rPr>
          <w:rFonts w:hint="eastAsia" w:ascii="宋体" w:hAnsi="宋体" w:eastAsia="宋体" w:cs="宋体"/>
          <w:b/>
          <w:bCs/>
          <w:color w:val="auto"/>
          <w:spacing w:val="-2"/>
          <w:kern w:val="0"/>
          <w:sz w:val="24"/>
          <w:szCs w:val="24"/>
          <w:highlight w:val="none"/>
        </w:rPr>
        <w:t>）</w:t>
      </w:r>
      <w:r>
        <w:rPr>
          <w:rFonts w:hint="eastAsia" w:ascii="宋体" w:hAnsi="宋体" w:eastAsia="宋体" w:cs="宋体"/>
          <w:b/>
          <w:bCs/>
          <w:color w:val="auto"/>
          <w:sz w:val="24"/>
          <w:szCs w:val="24"/>
          <w:highlight w:val="none"/>
        </w:rPr>
        <w:t>或其授权的代理人（签字或印章）：</w:t>
      </w:r>
      <w:r>
        <w:rPr>
          <w:rFonts w:hint="eastAsia" w:ascii="宋体" w:hAnsi="宋体" w:eastAsia="宋体" w:cs="宋体"/>
          <w:b/>
          <w:bCs/>
          <w:color w:val="auto"/>
          <w:sz w:val="24"/>
          <w:szCs w:val="24"/>
          <w:highlight w:val="none"/>
          <w:u w:val="single"/>
        </w:rPr>
        <w:t xml:space="preserve">               </w:t>
      </w:r>
    </w:p>
    <w:p w14:paraId="407F1C9D">
      <w:pPr>
        <w:shd w:val="clear" w:color="auto" w:fill="auto"/>
        <w:adjustRightInd w:val="0"/>
        <w:snapToGrid w:val="0"/>
        <w:spacing w:before="5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 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6E6229FE">
      <w:pPr>
        <w:pStyle w:val="4"/>
        <w:shd w:val="clear" w:color="auto" w:fill="auto"/>
        <w:adjustRightInd w:val="0"/>
        <w:snapToGrid w:val="0"/>
        <w:spacing w:before="0" w:after="0" w:line="360" w:lineRule="auto"/>
        <w:jc w:val="both"/>
        <w:rPr>
          <w:rFonts w:hint="eastAsia" w:ascii="宋体" w:hAnsi="宋体" w:eastAsia="宋体" w:cs="宋体"/>
          <w:color w:val="auto"/>
          <w:sz w:val="24"/>
          <w:szCs w:val="24"/>
          <w:highlight w:val="none"/>
        </w:rPr>
        <w:sectPr>
          <w:headerReference r:id="rId9" w:type="default"/>
          <w:footerReference r:id="rId10" w:type="default"/>
          <w:pgSz w:w="11906" w:h="16838"/>
          <w:pgMar w:top="1474" w:right="1361" w:bottom="1474" w:left="1361"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17D1C86">
      <w:pPr>
        <w:pStyle w:val="3"/>
        <w:keepNext w:val="0"/>
        <w:keepLines w:val="0"/>
        <w:pageBreakBefore w:val="0"/>
        <w:widowControl w:val="0"/>
        <w:overflowPunct/>
        <w:bidi w:val="0"/>
        <w:jc w:val="center"/>
        <w:rPr>
          <w:rFonts w:hint="eastAsia" w:ascii="宋体" w:hAnsi="宋体" w:eastAsia="宋体" w:cs="宋体"/>
          <w:color w:val="auto"/>
          <w:highlight w:val="none"/>
          <w:lang w:val="en-US" w:eastAsia="zh-CN"/>
        </w:rPr>
      </w:pPr>
      <w:bookmarkStart w:id="256" w:name="_Toc24859"/>
      <w:bookmarkStart w:id="257" w:name="_Toc29906"/>
      <w:bookmarkStart w:id="258" w:name="_Toc5151"/>
      <w:bookmarkStart w:id="259" w:name="_Toc17643"/>
      <w:bookmarkStart w:id="260" w:name="_Toc19886"/>
      <w:r>
        <w:rPr>
          <w:rFonts w:hint="eastAsia" w:ascii="宋体" w:hAnsi="宋体" w:eastAsia="宋体" w:cs="宋体"/>
          <w:color w:val="auto"/>
          <w:highlight w:val="none"/>
          <w:lang w:val="en-US" w:eastAsia="zh-CN"/>
        </w:rPr>
        <w:t>十、报价一览表及报价文件</w:t>
      </w:r>
      <w:bookmarkEnd w:id="256"/>
      <w:bookmarkEnd w:id="257"/>
      <w:bookmarkEnd w:id="258"/>
      <w:bookmarkEnd w:id="259"/>
      <w:bookmarkEnd w:id="260"/>
    </w:p>
    <w:p w14:paraId="691D6F0B">
      <w:pPr>
        <w:pStyle w:val="4"/>
        <w:bidi w:val="0"/>
        <w:rPr>
          <w:rFonts w:hint="eastAsia" w:asciiTheme="minorEastAsia" w:hAnsiTheme="minorEastAsia" w:eastAsiaTheme="minorEastAsia" w:cstheme="minorEastAsia"/>
          <w:color w:val="auto"/>
          <w:sz w:val="24"/>
          <w:szCs w:val="24"/>
          <w:lang w:val="en-US" w:eastAsia="zh-CN"/>
        </w:rPr>
      </w:pPr>
      <w:bookmarkStart w:id="261" w:name="_Toc12784"/>
      <w:r>
        <w:rPr>
          <w:rFonts w:hint="eastAsia" w:asciiTheme="minorEastAsia" w:hAnsiTheme="minorEastAsia" w:eastAsiaTheme="minorEastAsia" w:cstheme="minorEastAsia"/>
          <w:color w:val="auto"/>
          <w:sz w:val="24"/>
          <w:szCs w:val="24"/>
          <w:lang w:val="en-US" w:eastAsia="zh-CN"/>
        </w:rPr>
        <w:t>附件10-1 报价一览表</w:t>
      </w:r>
      <w:bookmarkEnd w:id="261"/>
    </w:p>
    <w:p w14:paraId="134F498D">
      <w:pPr>
        <w:keepNext w:val="0"/>
        <w:keepLines w:val="0"/>
        <w:pageBreakBefore w:val="0"/>
        <w:widowControl w:val="0"/>
        <w:overflowPunct/>
        <w:bidi w:val="0"/>
        <w:jc w:val="center"/>
        <w:rPr>
          <w:rFonts w:hint="eastAsia" w:ascii="宋体" w:hAnsi="宋体" w:eastAsia="宋体" w:cs="宋体"/>
          <w:b/>
          <w:bCs/>
          <w:color w:val="auto"/>
          <w:highlight w:val="none"/>
        </w:rPr>
      </w:pPr>
      <w:bookmarkStart w:id="262" w:name="_Toc8012"/>
      <w:bookmarkStart w:id="263" w:name="_Toc12999"/>
      <w:bookmarkStart w:id="264" w:name="_Toc20407"/>
      <w:bookmarkStart w:id="265" w:name="_Toc5688"/>
      <w:bookmarkStart w:id="266" w:name="_Toc9054"/>
      <w:bookmarkStart w:id="267" w:name="_Toc2610"/>
      <w:bookmarkStart w:id="268" w:name="_Toc20859"/>
      <w:r>
        <w:rPr>
          <w:rFonts w:hint="eastAsia" w:ascii="宋体" w:hAnsi="宋体" w:eastAsia="宋体" w:cs="宋体"/>
          <w:b/>
          <w:bCs/>
          <w:color w:val="auto"/>
          <w:highlight w:val="none"/>
        </w:rPr>
        <w:t>报价一览表</w:t>
      </w:r>
      <w:bookmarkEnd w:id="262"/>
      <w:bookmarkEnd w:id="263"/>
      <w:bookmarkEnd w:id="264"/>
      <w:bookmarkEnd w:id="265"/>
      <w:bookmarkEnd w:id="266"/>
      <w:bookmarkEnd w:id="267"/>
      <w:bookmarkEnd w:id="268"/>
    </w:p>
    <w:p w14:paraId="4C0F0C2F">
      <w:pPr>
        <w:keepNext w:val="0"/>
        <w:keepLines w:val="0"/>
        <w:pageBreakBefore w:val="0"/>
        <w:widowControl w:val="0"/>
        <w:overflowPunct/>
        <w:bidi w:val="0"/>
        <w:adjustRightInd w:val="0"/>
        <w:snapToGrid w:val="0"/>
        <w:spacing w:before="156" w:beforeLines="50"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pacing w:val="28"/>
          <w:szCs w:val="21"/>
          <w:highlight w:val="none"/>
          <w:lang w:eastAsia="zh-CN"/>
        </w:rPr>
        <w:t>采购代理编号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tbl>
      <w:tblPr>
        <w:tblStyle w:val="22"/>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8"/>
        <w:gridCol w:w="3650"/>
        <w:gridCol w:w="1980"/>
        <w:gridCol w:w="2310"/>
      </w:tblGrid>
      <w:tr w14:paraId="2924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1029" w:type="pct"/>
            <w:vMerge w:val="restart"/>
            <w:vAlign w:val="center"/>
          </w:tcPr>
          <w:p w14:paraId="11C40250">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825" w:type="pct"/>
            <w:vMerge w:val="restart"/>
            <w:vAlign w:val="center"/>
          </w:tcPr>
          <w:p w14:paraId="59D7C608">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c>
          <w:tcPr>
            <w:tcW w:w="990" w:type="pct"/>
            <w:vAlign w:val="center"/>
          </w:tcPr>
          <w:p w14:paraId="1110E89A">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政府采购编号</w:t>
            </w:r>
          </w:p>
        </w:tc>
        <w:tc>
          <w:tcPr>
            <w:tcW w:w="1155" w:type="pct"/>
            <w:vAlign w:val="center"/>
          </w:tcPr>
          <w:p w14:paraId="0A9EA3CD">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2C3C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029" w:type="pct"/>
            <w:vMerge w:val="continue"/>
            <w:vAlign w:val="center"/>
          </w:tcPr>
          <w:p w14:paraId="23529433">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c>
          <w:tcPr>
            <w:tcW w:w="1825" w:type="pct"/>
            <w:vMerge w:val="continue"/>
            <w:vAlign w:val="center"/>
          </w:tcPr>
          <w:p w14:paraId="689CA7C6">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c>
          <w:tcPr>
            <w:tcW w:w="990" w:type="pct"/>
            <w:vAlign w:val="center"/>
          </w:tcPr>
          <w:p w14:paraId="294FE896">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采购代理编号</w:t>
            </w:r>
          </w:p>
        </w:tc>
        <w:tc>
          <w:tcPr>
            <w:tcW w:w="1155" w:type="pct"/>
            <w:vAlign w:val="center"/>
          </w:tcPr>
          <w:p w14:paraId="23BD2F79">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6A79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jc w:val="center"/>
        </w:trPr>
        <w:tc>
          <w:tcPr>
            <w:tcW w:w="1029" w:type="pct"/>
            <w:vAlign w:val="center"/>
          </w:tcPr>
          <w:p w14:paraId="280FC6AA">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工程总报价</w:t>
            </w:r>
          </w:p>
        </w:tc>
        <w:tc>
          <w:tcPr>
            <w:tcW w:w="3970" w:type="pct"/>
            <w:gridSpan w:val="3"/>
            <w:vAlign w:val="center"/>
          </w:tcPr>
          <w:p w14:paraId="01B753A2">
            <w:pPr>
              <w:keepNext w:val="0"/>
              <w:keepLines w:val="0"/>
              <w:pageBreakBefore w:val="0"/>
              <w:widowControl w:val="0"/>
              <w:kinsoku/>
              <w:wordWrap/>
              <w:overflowPunct/>
              <w:topLinePunct w:val="0"/>
              <w:bidi w:val="0"/>
              <w:spacing w:line="480" w:lineRule="auto"/>
              <w:ind w:right="26" w:rightChars="11"/>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元人民币整</w:t>
            </w:r>
          </w:p>
          <w:p w14:paraId="326AFDA6">
            <w:pPr>
              <w:keepNext w:val="0"/>
              <w:keepLines w:val="0"/>
              <w:pageBreakBefore w:val="0"/>
              <w:widowControl w:val="0"/>
              <w:kinsoku/>
              <w:overflowPunct/>
              <w:bidi w:val="0"/>
              <w:spacing w:line="480" w:lineRule="auto"/>
              <w:ind w:right="26" w:rightChars="1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元人民币整</w:t>
            </w:r>
          </w:p>
        </w:tc>
      </w:tr>
      <w:tr w14:paraId="4CA9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029" w:type="pct"/>
            <w:vAlign w:val="center"/>
          </w:tcPr>
          <w:p w14:paraId="0F6ED041">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工期要求</w:t>
            </w:r>
          </w:p>
        </w:tc>
        <w:tc>
          <w:tcPr>
            <w:tcW w:w="3970" w:type="pct"/>
            <w:gridSpan w:val="3"/>
            <w:vAlign w:val="center"/>
          </w:tcPr>
          <w:p w14:paraId="47D0F70D">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66DF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029" w:type="pct"/>
            <w:vAlign w:val="center"/>
          </w:tcPr>
          <w:p w14:paraId="7B446062">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付款方式</w:t>
            </w:r>
          </w:p>
        </w:tc>
        <w:tc>
          <w:tcPr>
            <w:tcW w:w="3970" w:type="pct"/>
            <w:gridSpan w:val="3"/>
            <w:vAlign w:val="center"/>
          </w:tcPr>
          <w:p w14:paraId="2CFA1DBF">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7446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029" w:type="pct"/>
            <w:vAlign w:val="center"/>
          </w:tcPr>
          <w:p w14:paraId="67976AFD">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3970" w:type="pct"/>
            <w:gridSpan w:val="3"/>
            <w:vAlign w:val="center"/>
          </w:tcPr>
          <w:p w14:paraId="5442FF27">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0155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029" w:type="pct"/>
            <w:vAlign w:val="center"/>
          </w:tcPr>
          <w:p w14:paraId="35083DF0">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eastAsia="zh-CN"/>
              </w:rPr>
              <w:t>经理</w:t>
            </w:r>
          </w:p>
        </w:tc>
        <w:tc>
          <w:tcPr>
            <w:tcW w:w="3970" w:type="pct"/>
            <w:gridSpan w:val="3"/>
            <w:vAlign w:val="center"/>
          </w:tcPr>
          <w:p w14:paraId="2B60AE55">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r w14:paraId="4043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1029" w:type="pct"/>
            <w:vAlign w:val="center"/>
          </w:tcPr>
          <w:p w14:paraId="3C7E6C62">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c>
          <w:tcPr>
            <w:tcW w:w="3970" w:type="pct"/>
            <w:gridSpan w:val="3"/>
            <w:vAlign w:val="center"/>
          </w:tcPr>
          <w:p w14:paraId="1EF357AF">
            <w:pPr>
              <w:keepNext w:val="0"/>
              <w:keepLines w:val="0"/>
              <w:pageBreakBefore w:val="0"/>
              <w:widowControl w:val="0"/>
              <w:kinsoku/>
              <w:overflowPunct/>
              <w:bidi w:val="0"/>
              <w:ind w:right="26" w:rightChars="11"/>
              <w:jc w:val="center"/>
              <w:textAlignment w:val="auto"/>
              <w:rPr>
                <w:rFonts w:hint="eastAsia" w:ascii="宋体" w:hAnsi="宋体" w:eastAsia="宋体" w:cs="宋体"/>
                <w:color w:val="auto"/>
                <w:sz w:val="24"/>
                <w:szCs w:val="24"/>
                <w:highlight w:val="none"/>
              </w:rPr>
            </w:pPr>
          </w:p>
        </w:tc>
      </w:tr>
    </w:tbl>
    <w:p w14:paraId="357F7F89">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color w:val="auto"/>
          <w:szCs w:val="21"/>
          <w:highlight w:val="none"/>
          <w:lang w:val="en-US" w:eastAsia="zh-CN"/>
        </w:rPr>
      </w:pPr>
    </w:p>
    <w:p w14:paraId="70B99E16">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color w:val="auto"/>
          <w:szCs w:val="21"/>
          <w:highlight w:val="none"/>
          <w:lang w:val="en-US" w:eastAsia="zh-CN"/>
        </w:rPr>
      </w:pPr>
    </w:p>
    <w:p w14:paraId="7FD8C4F6">
      <w:pPr>
        <w:shd w:val="clear" w:color="auto" w:fill="auto"/>
        <w:adjustRightInd w:val="0"/>
        <w:snapToGrid w:val="0"/>
        <w:spacing w:before="50" w:line="360" w:lineRule="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投标人名称（</w:t>
      </w:r>
      <w:r>
        <w:rPr>
          <w:rFonts w:hint="eastAsia" w:ascii="宋体" w:hAnsi="宋体" w:eastAsia="宋体" w:cs="宋体"/>
          <w:b/>
          <w:bCs/>
          <w:color w:val="auto"/>
          <w:sz w:val="24"/>
          <w:szCs w:val="24"/>
          <w:highlight w:val="none"/>
          <w:lang w:eastAsia="zh-CN"/>
        </w:rPr>
        <w:t>盖单位公章</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p>
    <w:p w14:paraId="12EA1B64">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法定代表人</w:t>
      </w:r>
      <w:r>
        <w:rPr>
          <w:rFonts w:hint="eastAsia" w:ascii="宋体" w:hAnsi="宋体" w:eastAsia="宋体" w:cs="宋体"/>
          <w:b/>
          <w:bCs/>
          <w:color w:val="auto"/>
          <w:spacing w:val="-2"/>
          <w:kern w:val="0"/>
          <w:sz w:val="24"/>
          <w:szCs w:val="24"/>
          <w:highlight w:val="none"/>
          <w:lang w:eastAsia="zh-CN"/>
        </w:rPr>
        <w:t>（单位负责人）</w:t>
      </w:r>
      <w:r>
        <w:rPr>
          <w:rFonts w:hint="eastAsia" w:ascii="宋体" w:hAnsi="宋体" w:eastAsia="宋体" w:cs="宋体"/>
          <w:b/>
          <w:bCs/>
          <w:color w:val="auto"/>
          <w:szCs w:val="21"/>
          <w:highlight w:val="none"/>
        </w:rPr>
        <w:t>或其委托代理人</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highlight w:val="none"/>
        </w:rPr>
        <w:t>签字或印章</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 xml:space="preserve">    </w:t>
      </w:r>
    </w:p>
    <w:p w14:paraId="1B4F9979">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日</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日</w:t>
      </w:r>
    </w:p>
    <w:p w14:paraId="495BFA7E">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color w:val="auto"/>
          <w:szCs w:val="21"/>
          <w:highlight w:val="none"/>
        </w:rPr>
      </w:pPr>
    </w:p>
    <w:p w14:paraId="703F1276">
      <w:pPr>
        <w:keepNext w:val="0"/>
        <w:keepLines w:val="0"/>
        <w:pageBreakBefore w:val="0"/>
        <w:widowControl w:val="0"/>
        <w:kinsoku/>
        <w:wordWrap/>
        <w:overflowPunct/>
        <w:bidi w:val="0"/>
        <w:adjustRightInd w:val="0"/>
        <w:snapToGrid w:val="0"/>
        <w:textAlignment w:val="auto"/>
        <w:rPr>
          <w:rFonts w:hint="eastAsia" w:ascii="宋体" w:hAnsi="宋体" w:eastAsia="宋体" w:cs="宋体"/>
          <w:color w:val="auto"/>
          <w:sz w:val="30"/>
          <w:szCs w:val="30"/>
          <w:highlight w:val="none"/>
        </w:rPr>
        <w:sectPr>
          <w:footerReference r:id="rId11"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68365ED">
      <w:pPr>
        <w:pStyle w:val="4"/>
        <w:bidi w:val="0"/>
        <w:rPr>
          <w:rFonts w:hint="eastAsia" w:asciiTheme="minorEastAsia" w:hAnsiTheme="minorEastAsia" w:eastAsiaTheme="minorEastAsia" w:cstheme="minorEastAsia"/>
          <w:color w:val="auto"/>
          <w:sz w:val="24"/>
          <w:szCs w:val="24"/>
          <w:lang w:val="en-US" w:eastAsia="zh-CN"/>
        </w:rPr>
      </w:pPr>
      <w:bookmarkStart w:id="269" w:name="_Toc26407"/>
      <w:r>
        <w:rPr>
          <w:rFonts w:hint="eastAsia" w:asciiTheme="minorEastAsia" w:hAnsiTheme="minorEastAsia" w:eastAsiaTheme="minorEastAsia" w:cstheme="minorEastAsia"/>
          <w:color w:val="auto"/>
          <w:sz w:val="24"/>
          <w:szCs w:val="24"/>
          <w:lang w:val="en-US" w:eastAsia="zh-CN"/>
        </w:rPr>
        <w:t>附件10-2 工程量清单及分项报价表</w:t>
      </w:r>
      <w:bookmarkEnd w:id="269"/>
    </w:p>
    <w:p w14:paraId="4ED76D7F">
      <w:pPr>
        <w:keepNext w:val="0"/>
        <w:keepLines w:val="0"/>
        <w:pageBreakBefore w:val="0"/>
        <w:widowControl w:val="0"/>
        <w:overflowPunct/>
        <w:bidi w:val="0"/>
        <w:adjustRightInd w:val="0"/>
        <w:snapToGrid w:val="0"/>
        <w:ind w:right="26" w:rightChars="11"/>
        <w:jc w:val="center"/>
        <w:rPr>
          <w:rFonts w:hint="eastAsia" w:ascii="宋体" w:hAnsi="宋体" w:eastAsia="宋体" w:cs="宋体"/>
          <w:b/>
          <w:color w:val="auto"/>
          <w:sz w:val="28"/>
          <w:szCs w:val="28"/>
          <w:highlight w:val="none"/>
        </w:rPr>
      </w:pPr>
    </w:p>
    <w:p w14:paraId="25A050C9">
      <w:pPr>
        <w:adjustRightInd w:val="0"/>
        <w:snapToGrid w:val="0"/>
        <w:spacing w:line="360" w:lineRule="auto"/>
        <w:ind w:firstLine="4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注：“工程量清单及分项报价表”与第四章“工程量清单”内容</w:t>
      </w:r>
      <w:r>
        <w:rPr>
          <w:rFonts w:hint="eastAsia" w:ascii="宋体" w:hAnsi="宋体" w:eastAsia="宋体" w:cs="宋体"/>
          <w:color w:val="auto"/>
          <w:sz w:val="24"/>
          <w:szCs w:val="24"/>
          <w:highlight w:val="none"/>
          <w:lang w:val="en-US" w:eastAsia="zh-CN"/>
        </w:rPr>
        <w:t>必须</w:t>
      </w:r>
      <w:r>
        <w:rPr>
          <w:rFonts w:hint="eastAsia" w:ascii="宋体" w:hAnsi="宋体" w:eastAsia="宋体" w:cs="宋体"/>
          <w:color w:val="auto"/>
          <w:sz w:val="24"/>
          <w:szCs w:val="24"/>
          <w:highlight w:val="none"/>
        </w:rPr>
        <w:t>保持一致</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如报价缺项漏项为无效投标。</w:t>
      </w:r>
    </w:p>
    <w:p w14:paraId="389D0CB6">
      <w:pPr>
        <w:adjustRightInd w:val="0"/>
        <w:snapToGrid w:val="0"/>
        <w:spacing w:line="360" w:lineRule="auto"/>
        <w:ind w:firstLine="420"/>
        <w:rPr>
          <w:rFonts w:hint="eastAsia" w:ascii="宋体" w:hAnsi="宋体" w:eastAsia="宋体" w:cs="宋体"/>
          <w:b/>
          <w:bCs/>
          <w:color w:val="auto"/>
          <w:sz w:val="24"/>
          <w:szCs w:val="24"/>
          <w:highlight w:val="none"/>
        </w:rPr>
      </w:pPr>
    </w:p>
    <w:p w14:paraId="0F689B31">
      <w:pPr>
        <w:adjustRightInd w:val="0"/>
        <w:snapToGrid w:val="0"/>
        <w:spacing w:line="360" w:lineRule="auto"/>
        <w:ind w:firstLine="4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r>
        <w:rPr>
          <w:rFonts w:hint="eastAsia" w:ascii="宋体" w:hAnsi="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文件中的暂估价只作响应性报价，不得作为竞争性报价，必须完全响应，凡与招标工程量清单中列示的暂估价金额不一致的，投标将被否决。</w:t>
      </w:r>
    </w:p>
    <w:p w14:paraId="1AABC24C">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2B1A0457">
      <w:pPr>
        <w:pStyle w:val="3"/>
        <w:keepNext w:val="0"/>
        <w:keepLines w:val="0"/>
        <w:pageBreakBefore w:val="0"/>
        <w:widowControl w:val="0"/>
        <w:overflowPunct/>
        <w:bidi w:val="0"/>
        <w:jc w:val="center"/>
        <w:rPr>
          <w:rFonts w:hint="eastAsia" w:ascii="宋体" w:hAnsi="宋体" w:eastAsia="宋体" w:cs="宋体"/>
          <w:color w:val="auto"/>
          <w:highlight w:val="none"/>
          <w:lang w:val="en-US" w:eastAsia="zh-CN"/>
        </w:rPr>
      </w:pPr>
      <w:bookmarkStart w:id="270" w:name="_Toc1376"/>
      <w:bookmarkStart w:id="271" w:name="_Toc974"/>
      <w:bookmarkStart w:id="272" w:name="_Toc17177"/>
      <w:bookmarkStart w:id="273" w:name="_Toc23339"/>
      <w:bookmarkStart w:id="274" w:name="_Toc4373"/>
      <w:r>
        <w:rPr>
          <w:rFonts w:hint="eastAsia" w:ascii="宋体" w:hAnsi="宋体" w:eastAsia="宋体" w:cs="宋体"/>
          <w:color w:val="auto"/>
          <w:highlight w:val="none"/>
          <w:lang w:val="en-US" w:eastAsia="zh-CN"/>
        </w:rPr>
        <w:t>十一、享受政府采购政策优惠的证明资料</w:t>
      </w:r>
      <w:bookmarkEnd w:id="270"/>
      <w:bookmarkEnd w:id="271"/>
    </w:p>
    <w:p w14:paraId="680A502C">
      <w:pPr>
        <w:shd w:val="clear" w:color="auto" w:fill="auto"/>
        <w:adjustRightInd w:val="0"/>
        <w:snapToGrid w:val="0"/>
        <w:spacing w:line="360" w:lineRule="auto"/>
        <w:ind w:firstLine="504" w:firstLineChars="200"/>
        <w:rPr>
          <w:rFonts w:hint="eastAsia" w:ascii="宋体" w:hAnsi="宋体" w:eastAsia="宋体" w:cs="宋体"/>
          <w:bCs/>
          <w:color w:val="auto"/>
          <w:spacing w:val="6"/>
          <w:kern w:val="0"/>
          <w:sz w:val="24"/>
          <w:szCs w:val="24"/>
          <w:highlight w:val="none"/>
        </w:rPr>
      </w:pPr>
      <w:r>
        <w:rPr>
          <w:rFonts w:hint="eastAsia" w:ascii="宋体" w:hAnsi="宋体" w:eastAsia="宋体" w:cs="宋体"/>
          <w:bCs/>
          <w:color w:val="auto"/>
          <w:spacing w:val="6"/>
          <w:kern w:val="0"/>
          <w:sz w:val="24"/>
          <w:szCs w:val="24"/>
          <w:highlight w:val="none"/>
        </w:rPr>
        <w:t>投标人符合第二章第</w:t>
      </w:r>
      <w:r>
        <w:rPr>
          <w:rFonts w:hint="eastAsia" w:ascii="宋体" w:hAnsi="宋体" w:eastAsia="宋体" w:cs="宋体"/>
          <w:bCs/>
          <w:color w:val="auto"/>
          <w:spacing w:val="6"/>
          <w:kern w:val="0"/>
          <w:sz w:val="24"/>
          <w:szCs w:val="24"/>
          <w:highlight w:val="none"/>
          <w:lang w:val="en-US" w:eastAsia="zh-CN"/>
        </w:rPr>
        <w:t>9</w:t>
      </w:r>
      <w:r>
        <w:rPr>
          <w:rFonts w:hint="eastAsia" w:ascii="宋体" w:hAnsi="宋体" w:eastAsia="宋体" w:cs="宋体"/>
          <w:bCs/>
          <w:color w:val="auto"/>
          <w:spacing w:val="6"/>
          <w:kern w:val="0"/>
          <w:sz w:val="24"/>
          <w:szCs w:val="24"/>
          <w:highlight w:val="none"/>
        </w:rPr>
        <w:t>款要求的，应提供下列证明资料，并填写相关数据。否则，评审时不予以考虑。</w:t>
      </w:r>
    </w:p>
    <w:p w14:paraId="3259FFC6">
      <w:pPr>
        <w:pStyle w:val="4"/>
        <w:bidi w:val="0"/>
        <w:rPr>
          <w:rFonts w:hint="eastAsia" w:asciiTheme="minorEastAsia" w:hAnsiTheme="minorEastAsia" w:eastAsiaTheme="minorEastAsia" w:cstheme="minorEastAsia"/>
          <w:color w:val="auto"/>
          <w:sz w:val="24"/>
          <w:szCs w:val="24"/>
          <w:lang w:val="en-US" w:eastAsia="zh-CN"/>
        </w:rPr>
      </w:pPr>
      <w:bookmarkStart w:id="275" w:name="_Toc7840"/>
      <w:bookmarkStart w:id="276" w:name="_Toc3727"/>
      <w:r>
        <w:rPr>
          <w:rFonts w:hint="eastAsia" w:asciiTheme="minorEastAsia" w:hAnsiTheme="minorEastAsia" w:eastAsiaTheme="minorEastAsia" w:cstheme="minorEastAsia"/>
          <w:color w:val="auto"/>
          <w:sz w:val="24"/>
          <w:szCs w:val="24"/>
          <w:lang w:val="en-US" w:eastAsia="zh-CN"/>
        </w:rPr>
        <w:t>附件11-1 中小企业声明函</w:t>
      </w:r>
      <w:bookmarkEnd w:id="275"/>
      <w:bookmarkEnd w:id="276"/>
    </w:p>
    <w:p w14:paraId="7976932E">
      <w:pPr>
        <w:widowControl/>
        <w:shd w:val="clear" w:color="auto" w:fill="auto"/>
        <w:adjustRightInd w:val="0"/>
        <w:snapToGrid w:val="0"/>
        <w:spacing w:line="360" w:lineRule="auto"/>
        <w:jc w:val="center"/>
        <w:rPr>
          <w:rFonts w:hint="eastAsia" w:ascii="宋体" w:hAnsi="宋体" w:eastAsia="宋体" w:cs="宋体"/>
          <w:b/>
          <w:bCs/>
          <w:color w:val="auto"/>
          <w:spacing w:val="6"/>
          <w:kern w:val="0"/>
          <w:sz w:val="28"/>
          <w:szCs w:val="28"/>
          <w:highlight w:val="none"/>
        </w:rPr>
      </w:pPr>
      <w:r>
        <w:rPr>
          <w:rFonts w:hint="eastAsia" w:ascii="宋体" w:hAnsi="宋体" w:eastAsia="宋体" w:cs="宋体"/>
          <w:b/>
          <w:bCs/>
          <w:color w:val="auto"/>
          <w:spacing w:val="6"/>
          <w:kern w:val="0"/>
          <w:sz w:val="28"/>
          <w:szCs w:val="28"/>
          <w:highlight w:val="none"/>
        </w:rPr>
        <w:t>中小企业声明函</w:t>
      </w:r>
    </w:p>
    <w:p w14:paraId="36533747">
      <w:pPr>
        <w:widowControl/>
        <w:shd w:val="clear" w:color="auto" w:fill="auto"/>
        <w:adjustRightInd w:val="0"/>
        <w:snapToGrid w:val="0"/>
        <w:spacing w:line="360" w:lineRule="auto"/>
        <w:jc w:val="center"/>
        <w:rPr>
          <w:rFonts w:hint="eastAsia" w:ascii="宋体" w:hAnsi="宋体" w:eastAsia="宋体" w:cs="宋体"/>
          <w:color w:val="auto"/>
          <w:kern w:val="0"/>
          <w:szCs w:val="21"/>
          <w:highlight w:val="none"/>
          <w:lang w:bidi="ar"/>
        </w:rPr>
      </w:pPr>
      <w:r>
        <w:rPr>
          <w:rFonts w:hint="eastAsia" w:ascii="宋体" w:hAnsi="宋体" w:eastAsia="宋体" w:cs="宋体"/>
          <w:b/>
          <w:color w:val="auto"/>
          <w:spacing w:val="6"/>
          <w:kern w:val="0"/>
          <w:szCs w:val="21"/>
          <w:highlight w:val="none"/>
        </w:rPr>
        <w:t>(不满足以下条件的无需填写)</w:t>
      </w:r>
    </w:p>
    <w:p w14:paraId="327D0268">
      <w:pPr>
        <w:shd w:val="clear" w:color="auto" w:fill="auto"/>
        <w:spacing w:line="588" w:lineRule="exact"/>
        <w:ind w:firstLine="504"/>
        <w:rPr>
          <w:rFonts w:hint="eastAsia" w:ascii="宋体" w:hAnsi="宋体" w:eastAsia="宋体" w:cs="宋体"/>
          <w:color w:val="auto"/>
          <w:spacing w:val="6"/>
          <w:sz w:val="24"/>
          <w:highlight w:val="none"/>
        </w:rPr>
      </w:pPr>
      <w:r>
        <w:rPr>
          <w:rFonts w:hint="eastAsia" w:ascii="宋体" w:hAnsi="宋体" w:eastAsia="宋体" w:cs="宋体"/>
          <w:color w:val="auto"/>
          <w:sz w:val="24"/>
          <w:szCs w:val="24"/>
          <w:highlight w:val="none"/>
        </w:rPr>
        <w:t>本公司（联合体）郑重声明，根据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关于印发&lt;政府采购促进中小企业发展管理办法&gt;的通知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（财库</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2020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46号）的规定，本公司（联合体）</w:t>
      </w:r>
      <w:r>
        <w:rPr>
          <w:rFonts w:hint="eastAsia" w:ascii="宋体" w:hAnsi="宋体" w:eastAsia="宋体" w:cs="宋体"/>
          <w:b/>
          <w:color w:val="auto"/>
          <w:sz w:val="24"/>
          <w:highlight w:val="none"/>
        </w:rPr>
        <w:t>（请进行勾选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color w:val="auto"/>
          <w:spacing w:val="6"/>
          <w:sz w:val="24"/>
          <w:highlight w:val="none"/>
        </w:rPr>
        <w:t>：</w:t>
      </w:r>
    </w:p>
    <w:p w14:paraId="420BB90F">
      <w:pPr>
        <w:shd w:val="clear" w:color="auto" w:fill="auto"/>
        <w:spacing w:line="588" w:lineRule="exact"/>
        <w:ind w:firstLine="482"/>
        <w:rPr>
          <w:rFonts w:hint="eastAsia" w:ascii="宋体" w:hAnsi="宋体" w:eastAsia="宋体" w:cs="宋体"/>
          <w:b/>
          <w:color w:val="auto"/>
          <w:spacing w:val="6"/>
          <w:sz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highlight w:val="none"/>
        </w:rPr>
        <w:t>不属于符合条件的</w:t>
      </w:r>
      <w:r>
        <w:rPr>
          <w:rFonts w:hint="eastAsia" w:ascii="宋体" w:hAnsi="宋体" w:eastAsia="宋体" w:cs="宋体"/>
          <w:b/>
          <w:color w:val="auto"/>
          <w:spacing w:val="6"/>
          <w:sz w:val="24"/>
          <w:highlight w:val="none"/>
          <w:lang w:val="en-US" w:eastAsia="zh-CN"/>
        </w:rPr>
        <w:t>中小企业</w:t>
      </w:r>
      <w:r>
        <w:rPr>
          <w:rFonts w:hint="eastAsia" w:ascii="宋体" w:hAnsi="宋体" w:eastAsia="宋体" w:cs="宋体"/>
          <w:b/>
          <w:color w:val="auto"/>
          <w:spacing w:val="6"/>
          <w:sz w:val="24"/>
          <w:highlight w:val="none"/>
        </w:rPr>
        <w:t>。</w:t>
      </w:r>
    </w:p>
    <w:p w14:paraId="4DCFB6F5">
      <w:pPr>
        <w:shd w:val="clear" w:color="auto" w:fill="auto"/>
        <w:spacing w:line="588" w:lineRule="exact"/>
        <w:ind w:firstLine="482"/>
        <w:rPr>
          <w:rFonts w:hint="eastAsia" w:ascii="宋体" w:hAnsi="宋体" w:eastAsia="宋体" w:cs="宋体"/>
          <w:color w:val="auto"/>
          <w:sz w:val="24"/>
          <w:szCs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highlight w:val="none"/>
        </w:rPr>
        <w:t>属于符合条件的</w:t>
      </w:r>
      <w:r>
        <w:rPr>
          <w:rFonts w:hint="eastAsia" w:ascii="宋体" w:hAnsi="宋体" w:eastAsia="宋体" w:cs="宋体"/>
          <w:b/>
          <w:color w:val="auto"/>
          <w:spacing w:val="6"/>
          <w:sz w:val="24"/>
          <w:highlight w:val="none"/>
          <w:lang w:val="en-US" w:eastAsia="zh-CN"/>
        </w:rPr>
        <w:t>中小企业</w:t>
      </w:r>
      <w:r>
        <w:rPr>
          <w:rFonts w:hint="eastAsia" w:ascii="宋体" w:hAnsi="宋体" w:eastAsia="宋体" w:cs="宋体"/>
          <w:b/>
          <w:color w:val="auto"/>
          <w:spacing w:val="6"/>
          <w:sz w:val="24"/>
          <w:highlight w:val="none"/>
          <w:lang w:eastAsia="zh-CN"/>
        </w:rPr>
        <w:t>，</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采购单位</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采购活动,</w:t>
      </w:r>
      <w:r>
        <w:rPr>
          <w:rFonts w:hint="eastAsia" w:ascii="宋体" w:hAnsi="宋体" w:eastAsia="宋体" w:cs="宋体"/>
          <w:color w:val="auto"/>
          <w:sz w:val="24"/>
          <w:szCs w:val="24"/>
          <w:highlight w:val="none"/>
          <w:lang w:val="en-US" w:eastAsia="zh-CN"/>
        </w:rPr>
        <w:t>工程的施工单位</w:t>
      </w:r>
      <w:r>
        <w:rPr>
          <w:rFonts w:hint="eastAsia" w:ascii="宋体" w:hAnsi="宋体" w:eastAsia="宋体" w:cs="宋体"/>
          <w:color w:val="auto"/>
          <w:sz w:val="24"/>
          <w:szCs w:val="24"/>
          <w:highlight w:val="none"/>
        </w:rPr>
        <w:t>全部</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rPr>
        <w:t>符合政策要求的中小企业。相关企业（含联合体中的中小企业、签订分包意向协议的中小企业）的具体情况如下：</w:t>
      </w:r>
    </w:p>
    <w:p w14:paraId="24E089AB">
      <w:pPr>
        <w:pStyle w:val="11"/>
        <w:shd w:val="clear" w:color="auto" w:fill="auto"/>
        <w:rPr>
          <w:rFonts w:hint="eastAsia" w:ascii="宋体" w:hAnsi="宋体" w:eastAsia="宋体" w:cs="宋体"/>
          <w:color w:val="auto"/>
          <w:highlight w:val="none"/>
        </w:rPr>
      </w:pPr>
    </w:p>
    <w:p w14:paraId="73824EC2">
      <w:pPr>
        <w:numPr>
          <w:ilvl w:val="0"/>
          <w:numId w:val="0"/>
        </w:numPr>
        <w:spacing w:line="360" w:lineRule="auto"/>
        <w:ind w:firstLine="420" w:firstLineChars="0"/>
        <w:rPr>
          <w:rFonts w:hint="eastAsia" w:ascii="宋体" w:hAnsi="宋体" w:eastAsia="宋体" w:cs="宋体"/>
          <w:color w:val="auto"/>
          <w:highlight w:val="none"/>
        </w:rPr>
      </w:pPr>
      <w:bookmarkStart w:id="277" w:name="_Toc22201164"/>
      <w:bookmarkStart w:id="278" w:name="_Toc82155492"/>
      <w:bookmarkStart w:id="279" w:name="_Toc62206227"/>
      <w:r>
        <w:rPr>
          <w:rFonts w:hint="eastAsia" w:ascii="宋体" w:hAnsi="宋体" w:eastAsia="宋体" w:cs="宋体"/>
          <w:color w:val="auto"/>
          <w:highlight w:val="none"/>
          <w:u w:val="none"/>
          <w:lang w:val="en-US" w:eastAsia="zh-CN"/>
        </w:rPr>
        <w:t>1、</w:t>
      </w:r>
      <w:r>
        <w:rPr>
          <w:rFonts w:hint="eastAsia" w:ascii="宋体" w:hAnsi="宋体" w:eastAsia="宋体" w:cs="宋体"/>
          <w:color w:val="auto"/>
          <w:highlight w:val="none"/>
          <w:u w:val="none"/>
        </w:rPr>
        <w:t xml:space="preserve"> </w:t>
      </w:r>
      <w:r>
        <w:rPr>
          <w:rFonts w:hint="eastAsia" w:ascii="宋体" w:hAnsi="宋体" w:eastAsia="宋体" w:cs="宋体"/>
          <w:color w:val="auto"/>
          <w:highlight w:val="none"/>
          <w:u w:val="single"/>
        </w:rPr>
        <w:t xml:space="preserve">（标的名称）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；承建（承接）企业为</w:t>
      </w:r>
      <w:r>
        <w:rPr>
          <w:rFonts w:hint="eastAsia" w:ascii="宋体" w:hAnsi="宋体" w:eastAsia="宋体" w:cs="宋体"/>
          <w:color w:val="auto"/>
          <w:highlight w:val="none"/>
          <w:u w:val="single"/>
        </w:rPr>
        <w:t xml:space="preserve">（企业名称）   </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 xml:space="preserve">（中型企业、小型企业、微型企业）    </w:t>
      </w:r>
      <w:r>
        <w:rPr>
          <w:rFonts w:hint="eastAsia" w:ascii="宋体" w:hAnsi="宋体" w:eastAsia="宋体" w:cs="宋体"/>
          <w:color w:val="auto"/>
          <w:highlight w:val="none"/>
        </w:rPr>
        <w:t>；</w:t>
      </w:r>
    </w:p>
    <w:p w14:paraId="679B6442">
      <w:pPr>
        <w:numPr>
          <w:ilvl w:val="0"/>
          <w:numId w:val="0"/>
        </w:numPr>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highlight w:val="none"/>
          <w:u w:val="none"/>
          <w:lang w:val="en-US" w:eastAsia="zh-CN"/>
        </w:rPr>
        <w:t>2、</w:t>
      </w:r>
      <w:r>
        <w:rPr>
          <w:rFonts w:hint="eastAsia" w:ascii="宋体" w:hAnsi="宋体" w:eastAsia="宋体" w:cs="宋体"/>
          <w:color w:val="auto"/>
          <w:highlight w:val="none"/>
          <w:u w:val="none"/>
        </w:rPr>
        <w:t xml:space="preserve"> </w:t>
      </w:r>
      <w:r>
        <w:rPr>
          <w:rFonts w:hint="eastAsia" w:ascii="宋体" w:hAnsi="宋体" w:eastAsia="宋体" w:cs="宋体"/>
          <w:color w:val="auto"/>
          <w:highlight w:val="none"/>
          <w:u w:val="single"/>
        </w:rPr>
        <w:t xml:space="preserve">（标的名称）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；承建（承接）企业为</w:t>
      </w:r>
      <w:r>
        <w:rPr>
          <w:rFonts w:hint="eastAsia" w:ascii="宋体" w:hAnsi="宋体" w:eastAsia="宋体" w:cs="宋体"/>
          <w:color w:val="auto"/>
          <w:highlight w:val="none"/>
          <w:u w:val="single"/>
        </w:rPr>
        <w:t xml:space="preserve">（企业名称）   </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 xml:space="preserve">（中型企业、小型企业、微型企业）    </w:t>
      </w:r>
      <w:r>
        <w:rPr>
          <w:rFonts w:hint="eastAsia" w:ascii="宋体" w:hAnsi="宋体" w:eastAsia="宋体" w:cs="宋体"/>
          <w:color w:val="auto"/>
          <w:highlight w:val="none"/>
        </w:rPr>
        <w:t>；</w:t>
      </w:r>
    </w:p>
    <w:p w14:paraId="0D6EE3AC">
      <w:pPr>
        <w:widowControl/>
        <w:shd w:val="clear" w:color="auto" w:fill="auto"/>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w:t>
      </w:r>
    </w:p>
    <w:p w14:paraId="4C3BCC70">
      <w:pPr>
        <w:widowControl/>
        <w:shd w:val="clear" w:color="auto" w:fill="auto"/>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71627B3B">
      <w:pPr>
        <w:widowControl/>
        <w:shd w:val="clear" w:color="auto" w:fill="auto"/>
        <w:spacing w:line="360" w:lineRule="auto"/>
        <w:ind w:firstLine="482" w:firstLineChars="200"/>
        <w:jc w:val="left"/>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kern w:val="0"/>
          <w:sz w:val="24"/>
          <w:szCs w:val="24"/>
          <w:highlight w:val="none"/>
          <w:lang w:bidi="ar"/>
        </w:rPr>
        <w:t>企业名称（盖章）：</w:t>
      </w:r>
      <w:r>
        <w:rPr>
          <w:rFonts w:hint="eastAsia" w:ascii="宋体" w:hAnsi="宋体" w:eastAsia="宋体" w:cs="宋体"/>
          <w:b/>
          <w:bCs/>
          <w:color w:val="auto"/>
          <w:kern w:val="0"/>
          <w:sz w:val="24"/>
          <w:szCs w:val="24"/>
          <w:highlight w:val="none"/>
          <w:u w:val="single"/>
          <w:lang w:bidi="ar"/>
        </w:rPr>
        <w:t xml:space="preserve"> </w:t>
      </w:r>
      <w:r>
        <w:rPr>
          <w:rFonts w:hint="eastAsia" w:ascii="宋体" w:hAnsi="宋体" w:eastAsia="宋体" w:cs="宋体"/>
          <w:b/>
          <w:bCs/>
          <w:color w:val="auto"/>
          <w:kern w:val="0"/>
          <w:sz w:val="24"/>
          <w:szCs w:val="24"/>
          <w:highlight w:val="none"/>
          <w:u w:val="single"/>
          <w:lang w:val="en-US" w:eastAsia="zh-CN" w:bidi="ar"/>
        </w:rPr>
        <w:t xml:space="preserve">            </w:t>
      </w:r>
    </w:p>
    <w:p w14:paraId="7E197A50">
      <w:pPr>
        <w:widowControl/>
        <w:shd w:val="clear" w:color="auto" w:fill="auto"/>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日 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日</w:t>
      </w:r>
    </w:p>
    <w:p w14:paraId="653B1F4F">
      <w:pPr>
        <w:widowControl/>
        <w:shd w:val="clear" w:color="auto" w:fill="auto"/>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注：1.属于专门面向中小企业采购的政府采购货物类项目，投标人应按本声明函内容和格式如实声明采购标的制造商的企业规模，未提供本声明函或不符合</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关于印发&lt;政府采购促进中小企业发展管理办法&gt;的通知</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（财库﹝2020﹞46号）规定的，其</w:t>
      </w:r>
      <w:r>
        <w:rPr>
          <w:rFonts w:hint="eastAsia" w:ascii="宋体" w:hAnsi="宋体" w:eastAsia="宋体" w:cs="宋体"/>
          <w:b/>
          <w:bCs/>
          <w:color w:val="auto"/>
          <w:kern w:val="0"/>
          <w:sz w:val="24"/>
          <w:szCs w:val="24"/>
          <w:highlight w:val="none"/>
          <w:lang w:bidi="ar"/>
        </w:rPr>
        <w:t>投标无效。</w:t>
      </w:r>
    </w:p>
    <w:p w14:paraId="69B80573">
      <w:pPr>
        <w:widowControl/>
        <w:shd w:val="clear" w:color="auto" w:fill="auto"/>
        <w:spacing w:line="360" w:lineRule="auto"/>
        <w:ind w:firstLine="480" w:firstLineChars="200"/>
        <w:jc w:val="left"/>
        <w:rPr>
          <w:rFonts w:hint="eastAsia" w:ascii="宋体" w:hAnsi="宋体" w:eastAsia="宋体" w:cs="宋体"/>
          <w:bCs/>
          <w:color w:val="auto"/>
          <w:spacing w:val="6"/>
          <w:kern w:val="0"/>
          <w:sz w:val="24"/>
          <w:szCs w:val="24"/>
          <w:highlight w:val="none"/>
        </w:rPr>
      </w:pPr>
      <w:r>
        <w:rPr>
          <w:rFonts w:hint="eastAsia" w:ascii="宋体" w:hAnsi="宋体" w:eastAsia="宋体" w:cs="宋体"/>
          <w:color w:val="auto"/>
          <w:kern w:val="0"/>
          <w:sz w:val="24"/>
          <w:szCs w:val="24"/>
          <w:highlight w:val="none"/>
          <w:lang w:bidi="ar"/>
        </w:rPr>
        <w:t>2.从业人员、营业收入、资产总额填报上一年度数据，无上一年度数据的新成立企业可不填报。</w:t>
      </w:r>
    </w:p>
    <w:p w14:paraId="6AC93B4B">
      <w:pPr>
        <w:pStyle w:val="4"/>
        <w:bidi w:val="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br w:type="page"/>
      </w:r>
      <w:bookmarkStart w:id="280" w:name="_Toc24224"/>
      <w:bookmarkStart w:id="281" w:name="_Toc19143"/>
      <w:r>
        <w:rPr>
          <w:rFonts w:hint="eastAsia" w:asciiTheme="minorEastAsia" w:hAnsiTheme="minorEastAsia" w:eastAsiaTheme="minorEastAsia" w:cstheme="minorEastAsia"/>
          <w:color w:val="auto"/>
          <w:sz w:val="24"/>
          <w:szCs w:val="24"/>
          <w:lang w:val="en-US" w:eastAsia="zh-CN"/>
        </w:rPr>
        <w:t>附件11-2 残疾人福利性单位声明函</w:t>
      </w:r>
      <w:bookmarkEnd w:id="277"/>
      <w:bookmarkEnd w:id="278"/>
      <w:bookmarkEnd w:id="279"/>
      <w:bookmarkEnd w:id="280"/>
      <w:bookmarkEnd w:id="281"/>
    </w:p>
    <w:p w14:paraId="51215D8D">
      <w:pPr>
        <w:shd w:val="clear" w:color="auto" w:fill="auto"/>
        <w:adjustRightInd w:val="0"/>
        <w:snapToGrid w:val="0"/>
        <w:spacing w:line="360" w:lineRule="auto"/>
        <w:jc w:val="center"/>
        <w:rPr>
          <w:rFonts w:hint="eastAsia" w:ascii="宋体" w:hAnsi="宋体" w:eastAsia="宋体" w:cs="宋体"/>
          <w:b/>
          <w:color w:val="auto"/>
          <w:spacing w:val="6"/>
          <w:sz w:val="28"/>
          <w:szCs w:val="28"/>
          <w:highlight w:val="none"/>
        </w:rPr>
      </w:pPr>
      <w:r>
        <w:rPr>
          <w:rFonts w:hint="eastAsia" w:ascii="宋体" w:hAnsi="宋体" w:eastAsia="宋体" w:cs="宋体"/>
          <w:b/>
          <w:color w:val="auto"/>
          <w:spacing w:val="6"/>
          <w:sz w:val="28"/>
          <w:szCs w:val="28"/>
          <w:highlight w:val="none"/>
        </w:rPr>
        <w:t>残疾人福利性单位声明函</w:t>
      </w:r>
    </w:p>
    <w:p w14:paraId="2C71F32C">
      <w:pPr>
        <w:shd w:val="clear" w:color="auto" w:fill="auto"/>
        <w:adjustRightInd w:val="0"/>
        <w:snapToGrid w:val="0"/>
        <w:spacing w:line="360" w:lineRule="auto"/>
        <w:ind w:firstLine="506" w:firstLineChars="200"/>
        <w:rPr>
          <w:rFonts w:hint="eastAsia" w:ascii="宋体" w:hAnsi="宋体" w:eastAsia="宋体" w:cs="宋体"/>
          <w:b/>
          <w:color w:val="auto"/>
          <w:spacing w:val="6"/>
          <w:szCs w:val="21"/>
          <w:highlight w:val="none"/>
        </w:rPr>
      </w:pPr>
    </w:p>
    <w:p w14:paraId="558AB2E1">
      <w:pPr>
        <w:shd w:val="clear" w:color="auto" w:fill="auto"/>
        <w:spacing w:line="588" w:lineRule="exact"/>
        <w:ind w:firstLine="504"/>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highlight w:val="none"/>
        </w:rPr>
        <w:t>〔2017〕141</w:t>
      </w:r>
      <w:r>
        <w:rPr>
          <w:rFonts w:hint="eastAsia" w:ascii="宋体" w:hAnsi="宋体" w:eastAsia="宋体" w:cs="宋体"/>
          <w:color w:val="auto"/>
          <w:spacing w:val="6"/>
          <w:sz w:val="24"/>
          <w:highlight w:val="none"/>
        </w:rPr>
        <w:t>号）的规定，本单位</w:t>
      </w:r>
      <w:r>
        <w:rPr>
          <w:rFonts w:hint="eastAsia" w:ascii="宋体" w:hAnsi="宋体" w:eastAsia="宋体" w:cs="宋体"/>
          <w:b/>
          <w:color w:val="auto"/>
          <w:sz w:val="24"/>
          <w:highlight w:val="none"/>
        </w:rPr>
        <w:t>（请进行勾选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w:t>
      </w:r>
      <w:r>
        <w:rPr>
          <w:rFonts w:hint="eastAsia" w:ascii="宋体" w:hAnsi="宋体" w:eastAsia="宋体" w:cs="宋体"/>
          <w:color w:val="auto"/>
          <w:spacing w:val="6"/>
          <w:sz w:val="24"/>
          <w:highlight w:val="none"/>
        </w:rPr>
        <w:t>：</w:t>
      </w:r>
    </w:p>
    <w:p w14:paraId="1F52028D">
      <w:pPr>
        <w:shd w:val="clear" w:color="auto" w:fill="auto"/>
        <w:spacing w:line="588" w:lineRule="exact"/>
        <w:ind w:firstLine="482"/>
        <w:rPr>
          <w:rFonts w:hint="eastAsia" w:ascii="宋体" w:hAnsi="宋体" w:eastAsia="宋体" w:cs="宋体"/>
          <w:b/>
          <w:color w:val="auto"/>
          <w:spacing w:val="6"/>
          <w:sz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highlight w:val="none"/>
        </w:rPr>
        <w:t>不属于符合条件的残疾人福利性单位。</w:t>
      </w:r>
    </w:p>
    <w:p w14:paraId="30D0556C">
      <w:pPr>
        <w:shd w:val="clear" w:color="auto" w:fill="auto"/>
        <w:spacing w:line="588" w:lineRule="exact"/>
        <w:ind w:firstLine="482"/>
        <w:rPr>
          <w:rFonts w:hint="eastAsia" w:ascii="宋体" w:hAnsi="宋体" w:eastAsia="宋体" w:cs="宋体"/>
          <w:color w:val="auto"/>
          <w:spacing w:val="6"/>
          <w:sz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highlight w:val="none"/>
        </w:rPr>
        <w:t>属于符合条件的残疾人福利性单位，</w:t>
      </w:r>
      <w:r>
        <w:rPr>
          <w:rFonts w:hint="eastAsia" w:ascii="宋体" w:hAnsi="宋体" w:eastAsia="宋体" w:cs="宋体"/>
          <w:color w:val="auto"/>
          <w:spacing w:val="6"/>
          <w:sz w:val="24"/>
          <w:highlight w:val="none"/>
        </w:rPr>
        <w:t>且本单位参加</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单位的</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rPr>
        <w:t>项目采购活动提供本单位制造的货物（由本单位承担工程/提供服务），或者提供其他残疾人福利性单位制造的货物（不包括使用非残疾人福利性单位注册商标的货物）。</w:t>
      </w:r>
    </w:p>
    <w:p w14:paraId="0C284695">
      <w:pPr>
        <w:shd w:val="clear" w:color="auto" w:fill="auto"/>
        <w:spacing w:line="588" w:lineRule="exact"/>
        <w:ind w:firstLine="506" w:firstLineChars="200"/>
        <w:rPr>
          <w:rFonts w:hint="eastAsia" w:ascii="宋体" w:hAnsi="宋体" w:eastAsia="宋体" w:cs="宋体"/>
          <w:color w:val="auto"/>
          <w:spacing w:val="6"/>
          <w:sz w:val="24"/>
          <w:highlight w:val="none"/>
        </w:rPr>
      </w:pPr>
      <w:r>
        <w:rPr>
          <w:rFonts w:hint="eastAsia" w:ascii="宋体" w:hAnsi="宋体" w:eastAsia="宋体" w:cs="宋体"/>
          <w:b/>
          <w:color w:val="auto"/>
          <w:spacing w:val="6"/>
          <w:sz w:val="24"/>
          <w:highlight w:val="none"/>
        </w:rPr>
        <w:t>本单位对上述声明的真实性负责。如有虚假，将依法承担相应责任。</w:t>
      </w:r>
    </w:p>
    <w:p w14:paraId="051A4F73">
      <w:pPr>
        <w:shd w:val="clear" w:color="auto" w:fill="auto"/>
        <w:adjustRightInd w:val="0"/>
        <w:snapToGrid w:val="0"/>
        <w:spacing w:line="360" w:lineRule="auto"/>
        <w:ind w:firstLine="504" w:firstLineChars="200"/>
        <w:rPr>
          <w:rFonts w:hint="eastAsia" w:ascii="宋体" w:hAnsi="宋体" w:eastAsia="宋体" w:cs="宋体"/>
          <w:color w:val="auto"/>
          <w:spacing w:val="6"/>
          <w:sz w:val="24"/>
          <w:szCs w:val="24"/>
          <w:highlight w:val="none"/>
        </w:rPr>
      </w:pPr>
    </w:p>
    <w:p w14:paraId="628BA69B">
      <w:pPr>
        <w:shd w:val="clear" w:color="auto" w:fill="auto"/>
        <w:adjustRightInd w:val="0"/>
        <w:snapToGrid w:val="0"/>
        <w:spacing w:line="360" w:lineRule="auto"/>
        <w:ind w:firstLine="504" w:firstLineChars="200"/>
        <w:rPr>
          <w:rFonts w:hint="eastAsia" w:ascii="宋体" w:hAnsi="宋体" w:eastAsia="宋体" w:cs="宋体"/>
          <w:color w:val="auto"/>
          <w:spacing w:val="6"/>
          <w:sz w:val="24"/>
          <w:szCs w:val="24"/>
          <w:highlight w:val="none"/>
        </w:rPr>
      </w:pPr>
    </w:p>
    <w:p w14:paraId="2CF56DE2">
      <w:pPr>
        <w:shd w:val="clear" w:color="auto" w:fill="auto"/>
        <w:tabs>
          <w:tab w:val="left" w:pos="4860"/>
        </w:tabs>
        <w:adjustRightInd w:val="0"/>
        <w:snapToGrid w:val="0"/>
        <w:spacing w:line="360" w:lineRule="auto"/>
        <w:ind w:right="1560" w:firstLine="3288" w:firstLineChars="1300"/>
        <w:jc w:val="both"/>
        <w:rPr>
          <w:rFonts w:hint="eastAsia" w:ascii="宋体" w:hAnsi="宋体" w:eastAsia="宋体" w:cs="宋体"/>
          <w:b/>
          <w:bCs/>
          <w:color w:val="auto"/>
          <w:spacing w:val="6"/>
          <w:sz w:val="24"/>
          <w:szCs w:val="24"/>
          <w:highlight w:val="none"/>
          <w:u w:val="single"/>
          <w:lang w:val="en-US" w:eastAsia="zh-CN"/>
        </w:rPr>
      </w:pPr>
      <w:r>
        <w:rPr>
          <w:rFonts w:hint="eastAsia" w:ascii="宋体" w:hAnsi="宋体" w:eastAsia="宋体" w:cs="宋体"/>
          <w:b/>
          <w:bCs/>
          <w:color w:val="auto"/>
          <w:spacing w:val="6"/>
          <w:sz w:val="24"/>
          <w:szCs w:val="24"/>
          <w:highlight w:val="none"/>
          <w:lang w:eastAsia="zh-CN"/>
        </w:rPr>
        <w:t>投标人名称（盖单位公章）</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6"/>
          <w:sz w:val="24"/>
          <w:szCs w:val="24"/>
          <w:highlight w:val="none"/>
          <w:u w:val="single"/>
          <w:lang w:val="en-US" w:eastAsia="zh-CN"/>
        </w:rPr>
        <w:t xml:space="preserve">             </w:t>
      </w:r>
    </w:p>
    <w:p w14:paraId="2D0BFCAA">
      <w:pPr>
        <w:keepNext w:val="0"/>
        <w:keepLines w:val="0"/>
        <w:pageBreakBefore w:val="0"/>
        <w:widowControl w:val="0"/>
        <w:kinsoku/>
        <w:wordWrap/>
        <w:overflowPunct/>
        <w:bidi w:val="0"/>
        <w:adjustRightInd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pacing w:val="6"/>
          <w:sz w:val="24"/>
          <w:szCs w:val="24"/>
          <w:highlight w:val="none"/>
        </w:rPr>
        <w:t xml:space="preserve">       </w:t>
      </w:r>
      <w:r>
        <w:rPr>
          <w:rFonts w:hint="eastAsia" w:ascii="宋体" w:hAnsi="宋体" w:eastAsia="宋体" w:cs="宋体"/>
          <w:b/>
          <w:bCs/>
          <w:color w:val="auto"/>
          <w:spacing w:val="6"/>
          <w:sz w:val="24"/>
          <w:szCs w:val="24"/>
          <w:highlight w:val="none"/>
          <w:lang w:val="en-US" w:eastAsia="zh-CN"/>
        </w:rPr>
        <w:t xml:space="preserve">                               </w:t>
      </w:r>
      <w:r>
        <w:rPr>
          <w:rFonts w:hint="eastAsia" w:ascii="宋体" w:hAnsi="宋体" w:eastAsia="宋体" w:cs="宋体"/>
          <w:b/>
          <w:bCs/>
          <w:color w:val="auto"/>
          <w:szCs w:val="21"/>
          <w:highlight w:val="none"/>
        </w:rPr>
        <w:t>日</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日</w:t>
      </w:r>
    </w:p>
    <w:p w14:paraId="40910A04">
      <w:pPr>
        <w:shd w:val="clear" w:color="auto" w:fill="auto"/>
        <w:tabs>
          <w:tab w:val="left" w:pos="4860"/>
        </w:tabs>
        <w:adjustRightInd w:val="0"/>
        <w:snapToGrid w:val="0"/>
        <w:spacing w:line="360" w:lineRule="auto"/>
        <w:ind w:right="1560" w:firstLine="504" w:firstLineChars="200"/>
        <w:jc w:val="center"/>
        <w:rPr>
          <w:rFonts w:hint="eastAsia" w:ascii="宋体" w:hAnsi="宋体" w:eastAsia="宋体" w:cs="宋体"/>
          <w:color w:val="auto"/>
          <w:spacing w:val="6"/>
          <w:sz w:val="24"/>
          <w:szCs w:val="24"/>
          <w:highlight w:val="none"/>
          <w:u w:val="single"/>
          <w:lang w:val="en-US" w:eastAsia="zh-CN"/>
        </w:rPr>
      </w:pPr>
      <w:r>
        <w:rPr>
          <w:rFonts w:hint="eastAsia" w:ascii="宋体" w:hAnsi="宋体" w:eastAsia="宋体" w:cs="宋体"/>
          <w:color w:val="auto"/>
          <w:spacing w:val="6"/>
          <w:sz w:val="24"/>
          <w:szCs w:val="24"/>
          <w:highlight w:val="none"/>
          <w:lang w:val="en-US" w:eastAsia="zh-CN"/>
        </w:rPr>
        <w:t xml:space="preserve">               </w:t>
      </w:r>
    </w:p>
    <w:p w14:paraId="3B1DC454">
      <w:pPr>
        <w:widowControl/>
        <w:shd w:val="clear" w:color="auto" w:fill="auto"/>
        <w:adjustRightInd w:val="0"/>
        <w:snapToGrid w:val="0"/>
        <w:spacing w:line="360" w:lineRule="auto"/>
        <w:jc w:val="left"/>
        <w:rPr>
          <w:rFonts w:hint="eastAsia" w:ascii="宋体" w:hAnsi="宋体" w:eastAsia="宋体" w:cs="宋体"/>
          <w:color w:val="auto"/>
          <w:kern w:val="0"/>
          <w:szCs w:val="21"/>
          <w:highlight w:val="none"/>
        </w:rPr>
      </w:pPr>
    </w:p>
    <w:p w14:paraId="51F485F2">
      <w:pPr>
        <w:pStyle w:val="4"/>
        <w:bidi w:val="0"/>
        <w:rPr>
          <w:rFonts w:hint="eastAsia" w:ascii="宋体" w:hAnsi="宋体" w:eastAsia="宋体" w:cs="宋体"/>
          <w:color w:val="auto"/>
          <w:sz w:val="24"/>
          <w:szCs w:val="24"/>
          <w:highlight w:val="none"/>
        </w:rPr>
      </w:pPr>
      <w:bookmarkStart w:id="282" w:name="_Toc22201165"/>
      <w:bookmarkStart w:id="283" w:name="_Toc82155493"/>
      <w:bookmarkStart w:id="284" w:name="_Toc62206228"/>
      <w:r>
        <w:rPr>
          <w:rFonts w:hint="eastAsia" w:ascii="宋体" w:hAnsi="宋体" w:eastAsia="宋体" w:cs="宋体"/>
          <w:b w:val="0"/>
          <w:bCs w:val="0"/>
          <w:color w:val="auto"/>
          <w:kern w:val="0"/>
          <w:sz w:val="24"/>
          <w:szCs w:val="24"/>
          <w:highlight w:val="none"/>
        </w:rPr>
        <w:br w:type="page"/>
      </w:r>
      <w:bookmarkStart w:id="285" w:name="_Toc5093"/>
      <w:bookmarkStart w:id="286" w:name="_Toc9137"/>
      <w:r>
        <w:rPr>
          <w:rFonts w:hint="eastAsia" w:asciiTheme="minorEastAsia" w:hAnsiTheme="minorEastAsia" w:eastAsiaTheme="minorEastAsia" w:cstheme="minorEastAsia"/>
          <w:color w:val="auto"/>
          <w:sz w:val="24"/>
          <w:szCs w:val="24"/>
          <w:lang w:val="en-US" w:eastAsia="zh-CN"/>
        </w:rPr>
        <w:t>附件11-3 监狱企业证明资料</w:t>
      </w:r>
      <w:bookmarkEnd w:id="282"/>
      <w:bookmarkEnd w:id="283"/>
      <w:bookmarkEnd w:id="284"/>
      <w:bookmarkEnd w:id="285"/>
      <w:bookmarkEnd w:id="286"/>
    </w:p>
    <w:p w14:paraId="4038946D">
      <w:pPr>
        <w:shd w:val="clear" w:color="auto" w:fill="auto"/>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监狱企业证明资料</w:t>
      </w:r>
    </w:p>
    <w:p w14:paraId="1A6968B3">
      <w:pPr>
        <w:shd w:val="clear" w:color="auto" w:fill="auto"/>
        <w:spacing w:line="588" w:lineRule="exact"/>
        <w:ind w:firstLine="504"/>
        <w:jc w:val="left"/>
        <w:rPr>
          <w:rFonts w:hint="eastAsia" w:ascii="宋体" w:hAnsi="宋体" w:eastAsia="宋体" w:cs="宋体"/>
          <w:color w:val="auto"/>
          <w:spacing w:val="6"/>
          <w:sz w:val="24"/>
          <w:szCs w:val="24"/>
          <w:highlight w:val="none"/>
        </w:rPr>
      </w:pPr>
      <w:r>
        <w:rPr>
          <w:rFonts w:hint="eastAsia" w:ascii="宋体" w:hAnsi="宋体" w:eastAsia="宋体" w:cs="宋体"/>
          <w:bCs/>
          <w:color w:val="auto"/>
          <w:kern w:val="2"/>
          <w:sz w:val="24"/>
          <w:szCs w:val="24"/>
          <w:highlight w:val="none"/>
          <w:lang w:val="en-US" w:eastAsia="zh-CN" w:bidi="ar-SA"/>
        </w:rPr>
        <w:t>根据《财政部 司法部关于政府采购支持监狱企业发展有关问题的通知》（财库</w:t>
      </w:r>
      <w:r>
        <w:rPr>
          <w:rFonts w:hint="eastAsia" w:ascii="宋体" w:hAnsi="宋体" w:eastAsia="宋体" w:cs="宋体"/>
          <w:color w:val="auto"/>
          <w:sz w:val="24"/>
          <w:highlight w:val="none"/>
        </w:rPr>
        <w:t>〔20</w:t>
      </w:r>
      <w:r>
        <w:rPr>
          <w:rFonts w:hint="eastAsia" w:ascii="宋体" w:hAnsi="宋体" w:eastAsia="宋体" w:cs="宋体"/>
          <w:color w:val="auto"/>
          <w:sz w:val="24"/>
          <w:highlight w:val="none"/>
          <w:lang w:val="en-US" w:eastAsia="zh-CN"/>
        </w:rPr>
        <w:t>14</w:t>
      </w:r>
      <w:r>
        <w:rPr>
          <w:rFonts w:hint="eastAsia" w:ascii="宋体" w:hAnsi="宋体" w:eastAsia="宋体" w:cs="宋体"/>
          <w:color w:val="auto"/>
          <w:sz w:val="24"/>
          <w:highlight w:val="none"/>
        </w:rPr>
        <w:t>〕</w:t>
      </w:r>
      <w:r>
        <w:rPr>
          <w:rFonts w:hint="eastAsia" w:ascii="宋体" w:hAnsi="宋体" w:eastAsia="宋体" w:cs="宋体"/>
          <w:bCs/>
          <w:color w:val="auto"/>
          <w:kern w:val="2"/>
          <w:sz w:val="24"/>
          <w:szCs w:val="24"/>
          <w:highlight w:val="none"/>
          <w:lang w:val="en-US" w:eastAsia="zh-CN" w:bidi="ar-SA"/>
        </w:rPr>
        <w:t>68号），监狱企业视同小微企业。</w:t>
      </w:r>
      <w:r>
        <w:rPr>
          <w:rFonts w:hint="eastAsia" w:ascii="宋体" w:hAnsi="宋体" w:eastAsia="宋体" w:cs="宋体"/>
          <w:color w:val="auto"/>
          <w:spacing w:val="6"/>
          <w:sz w:val="24"/>
          <w:szCs w:val="24"/>
          <w:highlight w:val="none"/>
        </w:rPr>
        <w:t>本单位参加</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lang w:val="en-US" w:eastAsia="zh-CN"/>
        </w:rPr>
        <w:t>采购单位</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的</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rPr>
        <w:t>项目采购活动</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szCs w:val="24"/>
          <w:highlight w:val="none"/>
        </w:rPr>
        <w:t>）</w:t>
      </w:r>
      <w:r>
        <w:rPr>
          <w:rFonts w:hint="eastAsia" w:ascii="宋体" w:hAnsi="宋体" w:eastAsia="宋体" w:cs="宋体"/>
          <w:color w:val="auto"/>
          <w:spacing w:val="6"/>
          <w:sz w:val="24"/>
          <w:szCs w:val="24"/>
          <w:highlight w:val="none"/>
        </w:rPr>
        <w:t>：</w:t>
      </w:r>
    </w:p>
    <w:p w14:paraId="63854ED1">
      <w:pPr>
        <w:shd w:val="clear" w:color="auto" w:fill="auto"/>
        <w:spacing w:line="588" w:lineRule="exact"/>
        <w:ind w:firstLine="640" w:firstLineChars="200"/>
        <w:rPr>
          <w:rFonts w:hint="eastAsia" w:ascii="宋体" w:hAnsi="宋体" w:eastAsia="宋体" w:cs="宋体"/>
          <w:b/>
          <w:color w:val="auto"/>
          <w:spacing w:val="6"/>
          <w:sz w:val="24"/>
          <w:szCs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szCs w:val="24"/>
          <w:highlight w:val="none"/>
        </w:rPr>
        <w:t>不属于符合条件的</w:t>
      </w:r>
      <w:r>
        <w:rPr>
          <w:rFonts w:hint="eastAsia" w:ascii="宋体" w:hAnsi="宋体" w:eastAsia="宋体" w:cs="宋体"/>
          <w:b/>
          <w:color w:val="auto"/>
          <w:spacing w:val="6"/>
          <w:sz w:val="24"/>
          <w:szCs w:val="24"/>
          <w:highlight w:val="none"/>
          <w:lang w:val="en-US" w:eastAsia="zh-CN"/>
        </w:rPr>
        <w:t>监狱企业</w:t>
      </w:r>
      <w:r>
        <w:rPr>
          <w:rFonts w:hint="eastAsia" w:ascii="宋体" w:hAnsi="宋体" w:eastAsia="宋体" w:cs="宋体"/>
          <w:b/>
          <w:color w:val="auto"/>
          <w:spacing w:val="6"/>
          <w:sz w:val="24"/>
          <w:szCs w:val="24"/>
          <w:highlight w:val="none"/>
        </w:rPr>
        <w:t>单位。</w:t>
      </w:r>
    </w:p>
    <w:p w14:paraId="63309613">
      <w:pPr>
        <w:shd w:val="clear" w:color="auto" w:fill="auto"/>
        <w:adjustRightInd w:val="0"/>
        <w:snapToGrid w:val="0"/>
        <w:spacing w:line="360" w:lineRule="auto"/>
        <w:ind w:firstLine="640" w:firstLineChars="200"/>
        <w:rPr>
          <w:rFonts w:hint="eastAsia" w:ascii="宋体" w:hAnsi="宋体" w:eastAsia="宋体" w:cs="宋体"/>
          <w:color w:val="auto"/>
          <w:spacing w:val="6"/>
          <w:sz w:val="24"/>
          <w:szCs w:val="24"/>
          <w:highlight w:val="none"/>
          <w:lang w:val="en-US" w:eastAsia="zh-CN"/>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pacing w:val="6"/>
          <w:sz w:val="24"/>
          <w:szCs w:val="24"/>
          <w:highlight w:val="none"/>
        </w:rPr>
        <w:t>属于符合条件的</w:t>
      </w:r>
      <w:r>
        <w:rPr>
          <w:rFonts w:hint="eastAsia" w:ascii="宋体" w:hAnsi="宋体" w:eastAsia="宋体" w:cs="宋体"/>
          <w:b/>
          <w:color w:val="auto"/>
          <w:spacing w:val="6"/>
          <w:sz w:val="24"/>
          <w:szCs w:val="24"/>
          <w:highlight w:val="none"/>
          <w:lang w:val="en-US" w:eastAsia="zh-CN"/>
        </w:rPr>
        <w:t>监狱企业</w:t>
      </w:r>
      <w:r>
        <w:rPr>
          <w:rFonts w:hint="eastAsia" w:ascii="宋体" w:hAnsi="宋体" w:eastAsia="宋体" w:cs="宋体"/>
          <w:b/>
          <w:color w:val="auto"/>
          <w:spacing w:val="6"/>
          <w:sz w:val="24"/>
          <w:szCs w:val="24"/>
          <w:highlight w:val="none"/>
        </w:rPr>
        <w:t>单位</w:t>
      </w:r>
      <w:r>
        <w:rPr>
          <w:rFonts w:hint="eastAsia" w:ascii="宋体" w:hAnsi="宋体" w:eastAsia="宋体" w:cs="宋体"/>
          <w:b/>
          <w:color w:val="auto"/>
          <w:spacing w:val="6"/>
          <w:sz w:val="24"/>
          <w:szCs w:val="24"/>
          <w:highlight w:val="none"/>
          <w:lang w:eastAsia="zh-CN"/>
        </w:rPr>
        <w:t>，</w:t>
      </w:r>
      <w:r>
        <w:rPr>
          <w:rFonts w:hint="eastAsia" w:ascii="宋体" w:hAnsi="宋体" w:eastAsia="宋体" w:cs="宋体"/>
          <w:color w:val="auto"/>
          <w:sz w:val="24"/>
          <w:szCs w:val="24"/>
          <w:highlight w:val="none"/>
        </w:rPr>
        <w:t>按</w:t>
      </w:r>
      <w:r>
        <w:rPr>
          <w:rFonts w:hint="eastAsia" w:ascii="宋体" w:hAnsi="宋体" w:eastAsia="宋体" w:cs="宋体"/>
          <w:color w:val="auto"/>
          <w:spacing w:val="6"/>
          <w:sz w:val="24"/>
          <w:szCs w:val="24"/>
          <w:highlight w:val="none"/>
        </w:rPr>
        <w:t>《</w:t>
      </w:r>
      <w:r>
        <w:rPr>
          <w:rFonts w:hint="eastAsia" w:ascii="宋体" w:hAnsi="宋体" w:eastAsia="宋体" w:cs="宋体"/>
          <w:bCs/>
          <w:color w:val="auto"/>
          <w:kern w:val="2"/>
          <w:sz w:val="24"/>
          <w:szCs w:val="24"/>
          <w:highlight w:val="none"/>
          <w:lang w:val="en-US" w:eastAsia="zh-CN" w:bidi="ar-SA"/>
        </w:rPr>
        <w:t>财政部 司法部关于政府采购支持监狱企业发展有关问题的通知</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(财库〔2014〕68号)文件规定提供证明文件</w:t>
      </w:r>
      <w:r>
        <w:rPr>
          <w:rFonts w:hint="eastAsia" w:ascii="宋体" w:hAnsi="宋体" w:eastAsia="宋体" w:cs="宋体"/>
          <w:color w:val="auto"/>
          <w:sz w:val="24"/>
          <w:szCs w:val="24"/>
          <w:highlight w:val="none"/>
          <w:lang w:eastAsia="zh-CN"/>
        </w:rPr>
        <w:t>，</w:t>
      </w:r>
      <w:r>
        <w:rPr>
          <w:rFonts w:hint="eastAsia" w:ascii="宋体" w:hAnsi="宋体" w:eastAsia="宋体" w:cs="宋体"/>
          <w:b/>
          <w:color w:val="auto"/>
          <w:spacing w:val="6"/>
          <w:sz w:val="24"/>
          <w:szCs w:val="24"/>
          <w:highlight w:val="none"/>
          <w:lang w:val="en-US" w:eastAsia="zh-CN"/>
        </w:rPr>
        <w:t>证明文件提供如下：</w:t>
      </w:r>
    </w:p>
    <w:p w14:paraId="00EF0968">
      <w:pPr>
        <w:pStyle w:val="8"/>
        <w:keepNext w:val="0"/>
        <w:keepLines w:val="0"/>
        <w:pageBreakBefore w:val="0"/>
        <w:widowControl w:val="0"/>
        <w:shd w:val="clear" w:color="auto" w:fill="auto"/>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bCs/>
          <w:color w:val="auto"/>
          <w:kern w:val="2"/>
          <w:sz w:val="24"/>
          <w:szCs w:val="24"/>
          <w:highlight w:val="none"/>
          <w:lang w:val="en-US" w:eastAsia="zh-CN" w:bidi="ar-SA"/>
        </w:rPr>
      </w:pPr>
    </w:p>
    <w:p w14:paraId="7817E8B7">
      <w:pPr>
        <w:pStyle w:val="8"/>
        <w:keepNext w:val="0"/>
        <w:keepLines w:val="0"/>
        <w:pageBreakBefore w:val="0"/>
        <w:widowControl w:val="0"/>
        <w:shd w:val="clear" w:color="auto" w:fill="auto"/>
        <w:kinsoku/>
        <w:wordWrap/>
        <w:overflowPunct/>
        <w:topLinePunct w:val="0"/>
        <w:autoSpaceDE/>
        <w:autoSpaceDN/>
        <w:bidi w:val="0"/>
        <w:spacing w:beforeAutospacing="0" w:afterAutospacing="0" w:line="360" w:lineRule="auto"/>
        <w:rPr>
          <w:rFonts w:hint="eastAsia" w:ascii="宋体" w:hAnsi="宋体" w:eastAsia="宋体" w:cs="宋体"/>
          <w:b/>
          <w:color w:val="auto"/>
          <w:spacing w:val="6"/>
          <w:sz w:val="24"/>
          <w:highlight w:val="none"/>
        </w:rPr>
      </w:pPr>
    </w:p>
    <w:p w14:paraId="6023E485">
      <w:pPr>
        <w:pStyle w:val="8"/>
        <w:keepNext w:val="0"/>
        <w:keepLines w:val="0"/>
        <w:pageBreakBefore w:val="0"/>
        <w:widowControl w:val="0"/>
        <w:shd w:val="clear" w:color="auto" w:fill="auto"/>
        <w:kinsoku/>
        <w:wordWrap/>
        <w:overflowPunct/>
        <w:topLinePunct w:val="0"/>
        <w:autoSpaceDE/>
        <w:autoSpaceDN/>
        <w:bidi w:val="0"/>
        <w:spacing w:beforeAutospacing="0" w:afterAutospacing="0" w:line="360" w:lineRule="auto"/>
        <w:ind w:firstLine="506" w:firstLineChars="200"/>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color w:val="auto"/>
          <w:spacing w:val="6"/>
          <w:sz w:val="24"/>
          <w:highlight w:val="none"/>
        </w:rPr>
        <w:t>本单位对上述声明的真实性负责。如有虚假，将依法承担相应责任。</w:t>
      </w:r>
      <w:r>
        <w:rPr>
          <w:rFonts w:hint="eastAsia" w:ascii="宋体" w:hAnsi="宋体" w:eastAsia="宋体" w:cs="宋体"/>
          <w:bCs/>
          <w:color w:val="auto"/>
          <w:kern w:val="2"/>
          <w:sz w:val="24"/>
          <w:szCs w:val="24"/>
          <w:highlight w:val="none"/>
          <w:lang w:val="en-US" w:eastAsia="zh-CN" w:bidi="ar-SA"/>
        </w:rPr>
        <w:t xml:space="preserve"> </w:t>
      </w:r>
      <w:r>
        <w:rPr>
          <w:rFonts w:hint="eastAsia" w:ascii="宋体" w:hAnsi="宋体" w:eastAsia="宋体" w:cs="宋体"/>
          <w:b/>
          <w:bCs w:val="0"/>
          <w:color w:val="auto"/>
          <w:kern w:val="2"/>
          <w:sz w:val="24"/>
          <w:szCs w:val="24"/>
          <w:highlight w:val="none"/>
          <w:lang w:val="en-US" w:eastAsia="zh-CN" w:bidi="ar-SA"/>
        </w:rPr>
        <w:t xml:space="preserve"> </w:t>
      </w:r>
    </w:p>
    <w:p w14:paraId="21B2B0AF">
      <w:pPr>
        <w:shd w:val="clear" w:color="auto" w:fill="auto"/>
        <w:adjustRightInd w:val="0"/>
        <w:snapToGrid w:val="0"/>
        <w:spacing w:line="360" w:lineRule="auto"/>
        <w:rPr>
          <w:rFonts w:hint="eastAsia" w:ascii="宋体" w:hAnsi="宋体" w:eastAsia="宋体" w:cs="宋体"/>
          <w:b/>
          <w:color w:val="auto"/>
          <w:spacing w:val="6"/>
          <w:sz w:val="24"/>
          <w:szCs w:val="24"/>
          <w:highlight w:val="none"/>
        </w:rPr>
      </w:pPr>
    </w:p>
    <w:p w14:paraId="2947BAE2">
      <w:pPr>
        <w:shd w:val="clear" w:color="auto" w:fill="auto"/>
        <w:adjustRightInd w:val="0"/>
        <w:snapToGrid w:val="0"/>
        <w:spacing w:line="360" w:lineRule="auto"/>
        <w:ind w:firstLine="480" w:firstLineChars="200"/>
        <w:rPr>
          <w:rFonts w:hint="eastAsia" w:ascii="宋体" w:hAnsi="宋体" w:eastAsia="宋体" w:cs="宋体"/>
          <w:b w:val="0"/>
          <w:bCs/>
          <w:color w:val="auto"/>
          <w:sz w:val="24"/>
          <w:szCs w:val="24"/>
          <w:highlight w:val="none"/>
        </w:rPr>
      </w:pPr>
    </w:p>
    <w:p w14:paraId="0D15BF85">
      <w:pPr>
        <w:shd w:val="clear" w:color="auto" w:fill="auto"/>
        <w:adjustRightInd w:val="0"/>
        <w:snapToGrid w:val="0"/>
        <w:spacing w:line="360" w:lineRule="auto"/>
        <w:ind w:firstLine="480" w:firstLineChars="200"/>
        <w:rPr>
          <w:rFonts w:hint="eastAsia" w:ascii="宋体" w:hAnsi="宋体" w:eastAsia="宋体" w:cs="宋体"/>
          <w:b w:val="0"/>
          <w:bCs/>
          <w:color w:val="auto"/>
          <w:sz w:val="24"/>
          <w:szCs w:val="24"/>
          <w:highlight w:val="none"/>
        </w:rPr>
      </w:pPr>
    </w:p>
    <w:p w14:paraId="6CBF93A8">
      <w:pPr>
        <w:shd w:val="clear" w:color="auto" w:fill="auto"/>
        <w:adjustRightInd w:val="0"/>
        <w:snapToGrid w:val="0"/>
        <w:spacing w:line="360" w:lineRule="auto"/>
        <w:ind w:firstLine="480" w:firstLineChars="200"/>
        <w:rPr>
          <w:rFonts w:hint="eastAsia" w:ascii="宋体" w:hAnsi="宋体" w:eastAsia="宋体" w:cs="宋体"/>
          <w:b w:val="0"/>
          <w:bCs/>
          <w:color w:val="auto"/>
          <w:sz w:val="24"/>
          <w:szCs w:val="24"/>
          <w:highlight w:val="none"/>
        </w:rPr>
      </w:pPr>
    </w:p>
    <w:p w14:paraId="6FFD3ED2">
      <w:pPr>
        <w:shd w:val="clear" w:color="auto" w:fill="auto"/>
        <w:tabs>
          <w:tab w:val="left" w:pos="4860"/>
        </w:tabs>
        <w:adjustRightInd w:val="0"/>
        <w:snapToGrid w:val="0"/>
        <w:spacing w:line="360" w:lineRule="auto"/>
        <w:ind w:right="1560" w:firstLine="504" w:firstLineChars="200"/>
        <w:jc w:val="center"/>
        <w:rPr>
          <w:rFonts w:hint="eastAsia" w:ascii="宋体" w:hAnsi="宋体" w:eastAsia="宋体" w:cs="宋体"/>
          <w:b/>
          <w:bCs/>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 xml:space="preserve">        </w:t>
      </w:r>
      <w:r>
        <w:rPr>
          <w:rFonts w:hint="eastAsia" w:ascii="宋体" w:hAnsi="宋体" w:eastAsia="宋体" w:cs="宋体"/>
          <w:b/>
          <w:bCs/>
          <w:color w:val="auto"/>
          <w:spacing w:val="6"/>
          <w:sz w:val="24"/>
          <w:szCs w:val="24"/>
          <w:highlight w:val="none"/>
          <w:lang w:eastAsia="zh-CN"/>
        </w:rPr>
        <w:t>投标人名称（盖单位公章）</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6"/>
          <w:sz w:val="24"/>
          <w:szCs w:val="24"/>
          <w:highlight w:val="none"/>
          <w:u w:val="single"/>
          <w:lang w:val="en-US" w:eastAsia="zh-CN"/>
        </w:rPr>
        <w:t xml:space="preserve">             </w:t>
      </w:r>
    </w:p>
    <w:p w14:paraId="490C8A3D">
      <w:pPr>
        <w:shd w:val="clear" w:color="auto" w:fill="auto"/>
        <w:tabs>
          <w:tab w:val="left" w:pos="4860"/>
        </w:tabs>
        <w:adjustRightInd w:val="0"/>
        <w:snapToGrid w:val="0"/>
        <w:spacing w:line="360" w:lineRule="auto"/>
        <w:ind w:right="1560" w:firstLine="506" w:firstLineChars="200"/>
        <w:jc w:val="center"/>
        <w:rPr>
          <w:rFonts w:hint="eastAsia" w:ascii="宋体" w:hAnsi="宋体" w:eastAsia="宋体" w:cs="宋体"/>
          <w:b/>
          <w:bCs/>
          <w:color w:val="auto"/>
          <w:spacing w:val="6"/>
          <w:sz w:val="24"/>
          <w:szCs w:val="24"/>
          <w:highlight w:val="none"/>
          <w:lang w:val="en-US" w:eastAsia="zh-CN"/>
        </w:rPr>
      </w:pPr>
      <w:r>
        <w:rPr>
          <w:rFonts w:hint="eastAsia" w:ascii="宋体" w:hAnsi="宋体" w:eastAsia="宋体" w:cs="宋体"/>
          <w:b/>
          <w:bCs/>
          <w:color w:val="auto"/>
          <w:spacing w:val="6"/>
          <w:sz w:val="24"/>
          <w:szCs w:val="24"/>
          <w:highlight w:val="none"/>
        </w:rPr>
        <w:t xml:space="preserve">      </w:t>
      </w:r>
      <w:r>
        <w:rPr>
          <w:rFonts w:hint="eastAsia" w:ascii="宋体" w:hAnsi="宋体" w:eastAsia="宋体" w:cs="宋体"/>
          <w:b/>
          <w:bCs/>
          <w:color w:val="auto"/>
          <w:spacing w:val="6"/>
          <w:sz w:val="24"/>
          <w:szCs w:val="24"/>
          <w:highlight w:val="none"/>
          <w:lang w:val="en-US" w:eastAsia="zh-CN"/>
        </w:rPr>
        <w:t xml:space="preserve">         </w:t>
      </w:r>
      <w:r>
        <w:rPr>
          <w:rFonts w:hint="eastAsia" w:ascii="宋体" w:hAnsi="宋体" w:eastAsia="宋体" w:cs="宋体"/>
          <w:b/>
          <w:bCs/>
          <w:color w:val="auto"/>
          <w:spacing w:val="6"/>
          <w:sz w:val="24"/>
          <w:szCs w:val="24"/>
          <w:highlight w:val="none"/>
        </w:rPr>
        <w:t xml:space="preserve"> 日 期：</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年</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日</w:t>
      </w:r>
      <w:r>
        <w:rPr>
          <w:rFonts w:hint="eastAsia" w:ascii="宋体" w:hAnsi="宋体" w:eastAsia="宋体" w:cs="宋体"/>
          <w:b/>
          <w:bCs/>
          <w:color w:val="auto"/>
          <w:spacing w:val="6"/>
          <w:sz w:val="24"/>
          <w:szCs w:val="24"/>
          <w:highlight w:val="none"/>
          <w:lang w:val="en-US" w:eastAsia="zh-CN"/>
        </w:rPr>
        <w:t xml:space="preserve">  </w:t>
      </w:r>
    </w:p>
    <w:p w14:paraId="14E84B48">
      <w:pPr>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br w:type="page"/>
      </w:r>
    </w:p>
    <w:p w14:paraId="0E8BB9BD">
      <w:pPr>
        <w:rPr>
          <w:rFonts w:hint="eastAsia" w:ascii="宋体" w:hAnsi="宋体" w:eastAsia="宋体" w:cs="宋体"/>
          <w:color w:val="auto"/>
          <w:highlight w:val="none"/>
          <w:lang w:eastAsia="zh-CN"/>
        </w:rPr>
      </w:pPr>
    </w:p>
    <w:p w14:paraId="3E969BE7">
      <w:pPr>
        <w:pStyle w:val="3"/>
        <w:keepNext w:val="0"/>
        <w:keepLines w:val="0"/>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ascii="宋体" w:hAnsi="宋体" w:eastAsia="宋体" w:cs="宋体"/>
          <w:b/>
          <w:color w:val="auto"/>
          <w:sz w:val="32"/>
          <w:szCs w:val="32"/>
          <w:highlight w:val="none"/>
          <w:lang w:eastAsia="zh-CN"/>
        </w:rPr>
      </w:pPr>
      <w:bookmarkStart w:id="287" w:name="_Toc14734"/>
      <w:bookmarkStart w:id="288" w:name="_Toc18244"/>
      <w:r>
        <w:rPr>
          <w:rFonts w:hint="eastAsia" w:ascii="宋体" w:hAnsi="宋体" w:eastAsia="宋体" w:cs="宋体"/>
          <w:color w:val="auto"/>
          <w:highlight w:val="none"/>
          <w:lang w:eastAsia="zh-CN"/>
        </w:rPr>
        <w:t>十</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w:t>
      </w:r>
      <w:bookmarkEnd w:id="272"/>
      <w:bookmarkEnd w:id="273"/>
      <w:bookmarkEnd w:id="274"/>
      <w:r>
        <w:rPr>
          <w:rFonts w:hint="eastAsia" w:ascii="宋体" w:hAnsi="宋体" w:eastAsia="宋体" w:cs="宋体"/>
          <w:color w:val="auto"/>
          <w:highlight w:val="none"/>
          <w:lang w:eastAsia="zh-CN"/>
        </w:rPr>
        <w:t>投标人认为需要提供的其它资料</w:t>
      </w:r>
      <w:bookmarkEnd w:id="287"/>
      <w:bookmarkEnd w:id="288"/>
    </w:p>
    <w:p w14:paraId="7CF2F4F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color w:val="auto"/>
          <w:highlight w:val="none"/>
        </w:rPr>
        <w:t>备注：</w:t>
      </w:r>
      <w:r>
        <w:rPr>
          <w:rFonts w:hint="eastAsia" w:ascii="宋体" w:hAnsi="宋体" w:eastAsia="宋体" w:cs="宋体"/>
          <w:color w:val="auto"/>
          <w:sz w:val="24"/>
          <w:szCs w:val="24"/>
          <w:highlight w:val="none"/>
        </w:rPr>
        <w:t>提供磋商文件或评分标准需要提供的相关证明文件复印件</w:t>
      </w:r>
    </w:p>
    <w:p w14:paraId="47593426">
      <w:pPr>
        <w:pStyle w:val="8"/>
        <w:rPr>
          <w:rFonts w:hint="eastAsia" w:ascii="宋体" w:hAnsi="宋体" w:eastAsia="宋体" w:cs="宋体"/>
          <w:color w:val="auto"/>
          <w:highlight w:val="none"/>
        </w:rPr>
      </w:pPr>
    </w:p>
    <w:p w14:paraId="420E0458">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bookmarkEnd w:id="189"/>
    <w:bookmarkEnd w:id="190"/>
    <w:bookmarkEnd w:id="191"/>
    <w:bookmarkEnd w:id="192"/>
    <w:bookmarkEnd w:id="193"/>
    <w:p w14:paraId="3C81DD6D">
      <w:pPr>
        <w:pStyle w:val="3"/>
        <w:keepNext w:val="0"/>
        <w:keepLines w:val="0"/>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ascii="宋体" w:hAnsi="宋体" w:eastAsia="宋体" w:cs="宋体"/>
          <w:color w:val="auto"/>
          <w:highlight w:val="none"/>
          <w:lang w:val="en-US" w:eastAsia="zh-CN"/>
        </w:rPr>
      </w:pPr>
      <w:bookmarkStart w:id="289" w:name="_Toc8622"/>
      <w:bookmarkStart w:id="290" w:name="_Toc2413"/>
      <w:bookmarkStart w:id="291" w:name="_Toc25549"/>
      <w:bookmarkStart w:id="292" w:name="_Toc15937"/>
      <w:bookmarkStart w:id="293" w:name="_Toc7653"/>
      <w:r>
        <w:rPr>
          <w:rFonts w:hint="eastAsia" w:ascii="宋体" w:hAnsi="宋体" w:eastAsia="宋体" w:cs="宋体"/>
          <w:color w:val="auto"/>
          <w:highlight w:val="none"/>
          <w:lang w:val="en-US" w:eastAsia="zh-CN"/>
        </w:rPr>
        <w:t>十三</w:t>
      </w:r>
      <w:r>
        <w:rPr>
          <w:rFonts w:hint="eastAsia" w:ascii="宋体" w:hAnsi="宋体" w:eastAsia="宋体" w:cs="宋体"/>
          <w:color w:val="auto"/>
          <w:highlight w:val="none"/>
          <w:lang w:eastAsia="zh-CN"/>
        </w:rPr>
        <w:t>、最后报价</w:t>
      </w:r>
      <w:bookmarkEnd w:id="289"/>
      <w:bookmarkEnd w:id="290"/>
      <w:bookmarkEnd w:id="291"/>
      <w:r>
        <w:rPr>
          <w:rFonts w:hint="eastAsia" w:ascii="宋体" w:hAnsi="宋体" w:eastAsia="宋体" w:cs="宋体"/>
          <w:color w:val="auto"/>
          <w:highlight w:val="none"/>
          <w:lang w:val="en-US" w:eastAsia="zh-CN"/>
        </w:rPr>
        <w:t>表</w:t>
      </w:r>
      <w:bookmarkEnd w:id="292"/>
      <w:bookmarkEnd w:id="293"/>
    </w:p>
    <w:p w14:paraId="1BDA7131">
      <w:pPr>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p w14:paraId="654643D6">
      <w:pPr>
        <w:bidi w:val="0"/>
        <w:spacing w:line="360" w:lineRule="auto"/>
        <w:ind w:firstLine="42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1.最后报价为线上提交，具体时间以磋商小组发起时间为准，参与报价</w:t>
      </w:r>
      <w:r>
        <w:rPr>
          <w:rFonts w:hint="eastAsia" w:ascii="宋体" w:hAnsi="宋体" w:eastAsia="宋体" w:cs="宋体"/>
          <w:b w:val="0"/>
          <w:bCs w:val="0"/>
          <w:color w:val="auto"/>
          <w:sz w:val="24"/>
          <w:szCs w:val="24"/>
          <w:highlight w:val="none"/>
          <w:u w:val="none"/>
          <w:lang w:val="en-US" w:eastAsia="zh-CN"/>
        </w:rPr>
        <w:t>投标人</w:t>
      </w:r>
      <w:r>
        <w:rPr>
          <w:rFonts w:hint="eastAsia" w:ascii="宋体" w:hAnsi="宋体" w:eastAsia="宋体" w:cs="宋体"/>
          <w:b w:val="0"/>
          <w:bCs w:val="0"/>
          <w:color w:val="auto"/>
          <w:sz w:val="24"/>
          <w:szCs w:val="24"/>
          <w:highlight w:val="none"/>
          <w:u w:val="none"/>
        </w:rPr>
        <w:t>登陆《</w:t>
      </w:r>
      <w:r>
        <w:rPr>
          <w:rFonts w:hint="eastAsia" w:ascii="宋体" w:hAnsi="宋体" w:cs="宋体"/>
          <w:b w:val="0"/>
          <w:bCs w:val="0"/>
          <w:color w:val="auto"/>
          <w:sz w:val="24"/>
          <w:szCs w:val="24"/>
          <w:highlight w:val="none"/>
          <w:u w:val="none"/>
          <w:lang w:eastAsia="zh-CN"/>
        </w:rPr>
        <w:t>湘西州公共资源交易服务平台</w:t>
      </w:r>
      <w:r>
        <w:rPr>
          <w:rFonts w:hint="eastAsia" w:ascii="宋体" w:hAnsi="宋体" w:eastAsia="宋体" w:cs="宋体"/>
          <w:b w:val="0"/>
          <w:bCs w:val="0"/>
          <w:color w:val="auto"/>
          <w:sz w:val="24"/>
          <w:szCs w:val="24"/>
          <w:highlight w:val="none"/>
          <w:u w:val="none"/>
        </w:rPr>
        <w:t>》（</w:t>
      </w:r>
      <w:r>
        <w:rPr>
          <w:rFonts w:hint="eastAsia" w:ascii="宋体" w:hAnsi="宋体" w:cs="宋体"/>
          <w:b w:val="0"/>
          <w:bCs w:val="0"/>
          <w:color w:val="auto"/>
          <w:sz w:val="24"/>
          <w:szCs w:val="24"/>
          <w:highlight w:val="none"/>
          <w:u w:val="none"/>
          <w:lang w:eastAsia="zh-CN"/>
        </w:rPr>
        <w:t>https://xiangxi.hnsggzy.com/#/sy</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投标人菜单</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报价参与的菜单</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eastAsia="zh-CN"/>
        </w:rPr>
        <w:t>点击信息</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评委发起多轮报价之后</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eastAsia="zh-CN"/>
        </w:rPr>
        <w:t>进入修改页面填写最后报价金额</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保存</w:t>
      </w:r>
      <w:r>
        <w:rPr>
          <w:rFonts w:hint="eastAsia" w:ascii="宋体" w:hAnsi="宋体" w:eastAsia="宋体" w:cs="宋体"/>
          <w:b w:val="0"/>
          <w:bCs w:val="0"/>
          <w:color w:val="auto"/>
          <w:sz w:val="24"/>
          <w:szCs w:val="24"/>
          <w:highlight w:val="none"/>
          <w:u w:val="none"/>
        </w:rPr>
        <w:t>→点击</w:t>
      </w:r>
      <w:r>
        <w:rPr>
          <w:rFonts w:hint="eastAsia" w:ascii="宋体" w:hAnsi="宋体" w:eastAsia="宋体" w:cs="宋体"/>
          <w:b w:val="0"/>
          <w:bCs w:val="0"/>
          <w:color w:val="auto"/>
          <w:sz w:val="24"/>
          <w:szCs w:val="24"/>
          <w:highlight w:val="none"/>
          <w:u w:val="none"/>
          <w:lang w:eastAsia="zh-CN"/>
        </w:rPr>
        <w:t>签章及确认</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eastAsia="zh-CN"/>
        </w:rPr>
        <w:t>确认完之后点击提交。</w:t>
      </w:r>
    </w:p>
    <w:p w14:paraId="009B0E22">
      <w:pPr>
        <w:pStyle w:val="8"/>
        <w:numPr>
          <w:ilvl w:val="0"/>
          <w:numId w:val="0"/>
        </w:numPr>
        <w:spacing w:line="360" w:lineRule="auto"/>
        <w:ind w:firstLine="420" w:firstLineChars="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2.投标人如中标，领取成交通知书前提供投标报价的完整工程量清单。</w:t>
      </w:r>
    </w:p>
    <w:p w14:paraId="7E3C6AF8">
      <w:pPr>
        <w:keepNext w:val="0"/>
        <w:keepLines w:val="0"/>
        <w:pageBreakBefore w:val="0"/>
        <w:widowControl w:val="0"/>
        <w:kinsoku/>
        <w:overflowPunct/>
        <w:bidi w:val="0"/>
        <w:adjustRightInd w:val="0"/>
        <w:snapToGrid w:val="0"/>
        <w:spacing w:before="50" w:line="360" w:lineRule="auto"/>
        <w:textAlignment w:val="auto"/>
        <w:rPr>
          <w:rFonts w:hint="eastAsia" w:ascii="宋体" w:hAnsi="宋体" w:eastAsia="宋体" w:cs="宋体"/>
          <w:color w:val="auto"/>
          <w:highlight w:val="none"/>
        </w:rPr>
      </w:pPr>
    </w:p>
    <w:sectPr>
      <w:headerReference r:id="rId12" w:type="default"/>
      <w:footerReference r:id="rId1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A6BA8">
    <w:pPr>
      <w:pStyle w:val="14"/>
      <w:ind w:right="36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2336"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5" name="文本框 102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00614420">
                          <w:pPr>
                            <w:rPr>
                              <w:rFonts w:cs="Times New Roman"/>
                            </w:rPr>
                          </w:pPr>
                        </w:p>
                      </w:txbxContent>
                    </wps:txbx>
                    <wps:bodyPr wrap="none" lIns="0" tIns="0" rIns="0" bIns="0" upright="1">
                      <a:spAutoFit/>
                    </wps:bodyPr>
                  </wps:wsp>
                </a:graphicData>
              </a:graphic>
            </wp:anchor>
          </w:drawing>
        </mc:Choice>
        <mc:Fallback>
          <w:pict>
            <v:shape id="文本框 1025" o:spid="_x0000_s1026" o:spt="202" type="#_x0000_t202" style="position:absolute;left:0pt;margin-left:432pt;margin-top:-0.45pt;height:12.05pt;width:9.05pt;mso-position-horizontal-relative:margin;mso-wrap-style:none;z-index:251662336;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3HYozVAAAACAEAAA8AAAAAAAAAAQAgAAAA&#10;IgAAAGRycy9kb3ducmV2LnhtbFBLAQIUABQAAAAIAIdO4kCD3g251QEAAKMDAAAOAAAAAAAAAAEA&#10;IAAAACQBAABkcnMvZTJvRG9jLnhtbFBLBQYAAAAABgAGAFkBAABrBQAAAAA=&#10;">
              <v:fill on="f" focussize="0,0"/>
              <v:stroke on="f"/>
              <v:imagedata o:title=""/>
              <o:lock v:ext="edit" aspectratio="f"/>
              <v:textbox inset="0mm,0mm,0mm,0mm" style="mso-fit-shape-to-text:t;">
                <w:txbxContent>
                  <w:p w14:paraId="00614420">
                    <w:pPr>
                      <w:rPr>
                        <w:rFonts w:cs="Times New Roman"/>
                      </w:rPr>
                    </w:pPr>
                  </w:p>
                </w:txbxContent>
              </v:textbox>
            </v:shape>
          </w:pict>
        </mc:Fallback>
      </mc:AlternateContent>
    </w:r>
    <w:r>
      <w:rPr>
        <w:rFonts w:hint="eastAsia" w:ascii="宋体" w:hAnsi="宋体" w:eastAsia="宋体" w:cs="宋体"/>
      </w:rPr>
      <mc:AlternateContent>
        <mc:Choice Requires="wps">
          <w:drawing>
            <wp:anchor distT="0" distB="0" distL="114300" distR="114300" simplePos="0" relativeHeight="251659264"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2" name="文本框7"/>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2FB7E517">
                          <w:pPr>
                            <w:rPr>
                              <w:rFonts w:cs="Times New Roman"/>
                            </w:rPr>
                          </w:pPr>
                        </w:p>
                      </w:txbxContent>
                    </wps:txbx>
                    <wps:bodyPr wrap="none" lIns="0" tIns="0" rIns="0" bIns="0" upright="1">
                      <a:spAutoFit/>
                    </wps:bodyPr>
                  </wps:wsp>
                </a:graphicData>
              </a:graphic>
            </wp:anchor>
          </w:drawing>
        </mc:Choice>
        <mc:Fallback>
          <w:pict>
            <v:shape id="文本框7" o:spid="_x0000_s1026" o:spt="202" type="#_x0000_t202" style="position:absolute;left:0pt;margin-left:432pt;margin-top:-0.45pt;height:12.05pt;width:9.05pt;mso-position-horizontal-relative:margin;mso-wrap-style:none;z-index:251659264;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jcdijNUAAAAIAQAADwAAAAAAAAABACAAAAAi&#10;AAAAZHJzL2Rvd25yZXYueG1sUEsBAhQAFAAAAAgAh07iQCh2xCHUAQAAnwMAAA4AAAAAAAAAAQAg&#10;AAAAJAEAAGRycy9lMm9Eb2MueG1sUEsFBgAAAAAGAAYAWQEAAGoFAAAAAA==&#10;">
              <v:fill on="f" focussize="0,0"/>
              <v:stroke on="f"/>
              <v:imagedata o:title=""/>
              <o:lock v:ext="edit" aspectratio="f"/>
              <v:textbox inset="0mm,0mm,0mm,0mm" style="mso-fit-shape-to-text:t;">
                <w:txbxContent>
                  <w:p w14:paraId="2FB7E517">
                    <w:pPr>
                      <w:rPr>
                        <w:rFonts w:cs="Times New Roman"/>
                      </w:rPr>
                    </w:pPr>
                  </w:p>
                </w:txbxContent>
              </v:textbox>
            </v:shape>
          </w:pict>
        </mc:Fallback>
      </mc:AlternateContent>
    </w:r>
    <w:r>
      <w:rPr>
        <w:rFonts w:hint="eastAsia" w:ascii="宋体" w:hAnsi="宋体" w:eastAsia="宋体" w:cs="宋体"/>
      </w:rPr>
      <w:t xml:space="preserve"> </w:t>
    </w:r>
    <w:r>
      <w:rPr>
        <w:rFonts w:hint="eastAsia" w:ascii="宋体" w:hAnsi="宋体" w:eastAsia="宋体" w:cs="宋体"/>
        <w:u w:val="double"/>
      </w:rPr>
      <w:t xml:space="preserve">                                                                                     </w:t>
    </w:r>
    <w:r>
      <w:rPr>
        <w:rFonts w:hint="eastAsia" w:ascii="宋体" w:hAnsi="宋体" w:cs="宋体"/>
        <w:u w:val="double"/>
        <w:lang w:val="en-US" w:eastAsia="zh-CN"/>
      </w:rPr>
      <w:t xml:space="preserve">                 </w:t>
    </w:r>
    <w:r>
      <w:rPr>
        <w:rFonts w:hint="eastAsia" w:ascii="宋体" w:hAnsi="宋体" w:eastAsia="宋体" w:cs="宋体"/>
        <w:u w:val="double"/>
      </w:rPr>
      <w:t xml:space="preserve">        </w:t>
    </w:r>
  </w:p>
  <w:p w14:paraId="33AD7A9F">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320374A0">
    <w:pPr>
      <w:pStyle w:val="14"/>
      <w:rPr>
        <w:rFonts w:hint="eastAsia" w:ascii="宋体" w:hAnsi="宋体" w:eastAsia="宋体" w:cs="宋体"/>
        <w:b/>
        <w:bCs/>
      </w:rPr>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0A467">
    <w:pPr>
      <w:pStyle w:val="14"/>
      <w:ind w:right="360"/>
      <w:rPr>
        <w:rFonts w:ascii="楷体" w:hAnsi="楷体" w:eastAsia="楷体" w:cs="Times New Roman"/>
        <w:sz w:val="21"/>
        <w:szCs w:val="21"/>
      </w:rPr>
    </w:pPr>
    <w:r>
      <mc:AlternateContent>
        <mc:Choice Requires="wps">
          <w:drawing>
            <wp:anchor distT="0" distB="0" distL="114300" distR="114300" simplePos="0" relativeHeight="251663360"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2DFCC3A8">
                          <w:pPr>
                            <w:rPr>
                              <w:rFonts w:cs="Times New Roman"/>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left:432pt;margin-top:-0.45pt;height:12.05pt;width:9.05pt;mso-position-horizontal-relative:margin;mso-wrap-style:none;z-index:251663360;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3HYozVAAAACAEAAA8AAAAAAAAAAQAg&#10;AAAAIgAAAGRycy9kb3ducmV2LnhtbFBLAQIUABQAAAAIAIdO4kCJVwFm2AEAAKMDAAAOAAAAAAAA&#10;AAEAIAAAACQBAABkcnMvZTJvRG9jLnhtbFBLBQYAAAAABgAGAFkBAABuBQAAAAA=&#10;">
              <v:fill on="f" focussize="0,0"/>
              <v:stroke on="f"/>
              <v:imagedata o:title=""/>
              <o:lock v:ext="edit" aspectratio="f"/>
              <v:textbox inset="0mm,0mm,0mm,0mm" style="mso-fit-shape-to-text:t;">
                <w:txbxContent>
                  <w:p w14:paraId="2DFCC3A8">
                    <w:pPr>
                      <w:rPr>
                        <w:rFonts w:cs="Times New Roman"/>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3" name="文本框 1028"/>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4A398215">
                          <w:pPr>
                            <w:rPr>
                              <w:rFonts w:cs="Times New Roman"/>
                            </w:rPr>
                          </w:pPr>
                        </w:p>
                      </w:txbxContent>
                    </wps:txbx>
                    <wps:bodyPr wrap="none" lIns="0" tIns="0" rIns="0" bIns="0" upright="1">
                      <a:spAutoFit/>
                    </wps:bodyPr>
                  </wps:wsp>
                </a:graphicData>
              </a:graphic>
            </wp:anchor>
          </w:drawing>
        </mc:Choice>
        <mc:Fallback>
          <w:pict>
            <v:shape id="文本框 1028" o:spid="_x0000_s1026" o:spt="202" type="#_x0000_t202" style="position:absolute;left:0pt;margin-left:432pt;margin-top:-0.45pt;height:12.05pt;width:9.05pt;mso-position-horizontal-relative:margin;mso-wrap-style:none;z-index:251660288;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3HYozVAAAACAEAAA8AAAAAAAAAAQAg&#10;AAAAIgAAAGRycy9kb3ducmV2LnhtbFBLAQIUABQAAAAIAIdO4kBIkGPX2AEAAKMDAAAOAAAAAAAA&#10;AAEAIAAAACQBAABkcnMvZTJvRG9jLnhtbFBLBQYAAAAABgAGAFkBAABuBQAAAAA=&#10;">
              <v:fill on="f" focussize="0,0"/>
              <v:stroke on="f"/>
              <v:imagedata o:title=""/>
              <o:lock v:ext="edit" aspectratio="f"/>
              <v:textbox inset="0mm,0mm,0mm,0mm" style="mso-fit-shape-to-text:t;">
                <w:txbxContent>
                  <w:p w14:paraId="4A398215">
                    <w:pPr>
                      <w:rPr>
                        <w:rFonts w:cs="Times New Roman"/>
                      </w:rPr>
                    </w:pPr>
                  </w:p>
                </w:txbxContent>
              </v:textbox>
            </v:shape>
          </w:pict>
        </mc:Fallback>
      </mc:AlternateContent>
    </w:r>
    <w:r>
      <w:t xml:space="preserve"> </w:t>
    </w:r>
    <w:r>
      <w:rPr>
        <w:u w:val="double"/>
      </w:rPr>
      <w:t xml:space="preserve">                                                                                      </w:t>
    </w:r>
    <w:r>
      <w:rPr>
        <w:rFonts w:hint="eastAsia"/>
        <w:u w:val="double"/>
        <w:lang w:val="en-US" w:eastAsia="zh-CN"/>
      </w:rPr>
      <w:t xml:space="preserve">                   </w:t>
    </w:r>
    <w:r>
      <w:rPr>
        <w:u w:val="double"/>
      </w:rPr>
      <w:t xml:space="preserve">       </w:t>
    </w:r>
  </w:p>
  <w:p w14:paraId="137BDFA6">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468A4798">
    <w:pPr>
      <w:pStyle w:val="14"/>
      <w:rPr>
        <w:rFonts w:hint="eastAsia" w:ascii="宋体" w:hAnsi="宋体" w:eastAsia="宋体" w:cs="宋体"/>
        <w:b/>
        <w:bCs/>
      </w:rPr>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eastAsia="宋体" w:cs="宋体"/>
        <w:b/>
        <w:bCs/>
        <w:lang w:val="en-US" w:eastAsia="zh-CN"/>
      </w:rPr>
      <w:t xml:space="preserve">  </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4B432">
    <w:pPr>
      <w:pStyle w:val="14"/>
      <w:ind w:right="410" w:rightChars="171"/>
      <w:jc w:val="both"/>
      <w:rPr>
        <w:rFonts w:eastAsia="楷体_GB2312"/>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19BB1">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919BB1">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82</w:t>
                    </w:r>
                    <w:r>
                      <w:fldChar w:fldCharType="end"/>
                    </w:r>
                    <w:r>
                      <w:t xml:space="preserve"> 页</w:t>
                    </w:r>
                  </w:p>
                </w:txbxContent>
              </v:textbox>
            </v:shape>
          </w:pict>
        </mc:Fallback>
      </mc:AlternateContent>
    </w:r>
  </w:p>
  <w:p w14:paraId="011AB940">
    <w:pPr>
      <w:pStyle w:val="14"/>
      <w:ind w:right="360"/>
      <w:rPr>
        <w:rFonts w:ascii="楷体" w:hAnsi="楷体" w:eastAsia="楷体" w:cs="Times New Roman"/>
        <w:sz w:val="21"/>
        <w:szCs w:val="21"/>
      </w:rPr>
    </w:pPr>
    <w:r>
      <mc:AlternateContent>
        <mc:Choice Requires="wps">
          <w:drawing>
            <wp:anchor distT="0" distB="0" distL="114300" distR="114300" simplePos="0" relativeHeight="251666432"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12" name="文本框 1027"/>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54801DA9">
                          <w:pPr>
                            <w:rPr>
                              <w:rFonts w:cs="Times New Roman"/>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left:432pt;margin-top:-0.45pt;height:12.05pt;width:9.05pt;mso-position-horizontal-relative:margin;mso-wrap-style:none;z-index:251666432;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3HYozVAAAACAEAAA8AAAAAAAAAAQAg&#10;AAAAIgAAAGRycy9kb3ducmV2LnhtbFBLAQIUABQAAAAIAIdO4kCJlZiz2AEAAKQDAAAOAAAAAAAA&#10;AAEAIAAAACQBAABkcnMvZTJvRG9jLnhtbFBLBQYAAAAABgAGAFkBAABuBQAAAAA=&#10;">
              <v:fill on="f" focussize="0,0"/>
              <v:stroke on="f"/>
              <v:imagedata o:title=""/>
              <o:lock v:ext="edit" aspectratio="f"/>
              <v:textbox inset="0mm,0mm,0mm,0mm" style="mso-fit-shape-to-text:t;">
                <w:txbxContent>
                  <w:p w14:paraId="54801DA9">
                    <w:pPr>
                      <w:rPr>
                        <w:rFonts w:cs="Times New Roman"/>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13" name="文本框 1028"/>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20CA9A0C">
                          <w:pPr>
                            <w:rPr>
                              <w:rFonts w:cs="Times New Roman"/>
                            </w:rPr>
                          </w:pPr>
                        </w:p>
                      </w:txbxContent>
                    </wps:txbx>
                    <wps:bodyPr wrap="none" lIns="0" tIns="0" rIns="0" bIns="0" upright="1">
                      <a:spAutoFit/>
                    </wps:bodyPr>
                  </wps:wsp>
                </a:graphicData>
              </a:graphic>
            </wp:anchor>
          </w:drawing>
        </mc:Choice>
        <mc:Fallback>
          <w:pict>
            <v:shape id="文本框 1028" o:spid="_x0000_s1026" o:spt="202" type="#_x0000_t202" style="position:absolute;left:0pt;margin-left:432pt;margin-top:-0.45pt;height:12.05pt;width:9.05pt;mso-position-horizontal-relative:margin;mso-wrap-style:none;z-index:251665408;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3HYozVAAAACAEAAA8AAAAAAAAAAQAg&#10;AAAAIgAAAGRycy9kb3ducmV2LnhtbFBLAQIUABQAAAAIAIdO4kDB0l/02AEAAKQDAAAOAAAAAAAA&#10;AAEAIAAAACQBAABkcnMvZTJvRG9jLnhtbFBLBQYAAAAABgAGAFkBAABuBQAAAAA=&#10;">
              <v:fill on="f" focussize="0,0"/>
              <v:stroke on="f"/>
              <v:imagedata o:title=""/>
              <o:lock v:ext="edit" aspectratio="f"/>
              <v:textbox inset="0mm,0mm,0mm,0mm" style="mso-fit-shape-to-text:t;">
                <w:txbxContent>
                  <w:p w14:paraId="20CA9A0C">
                    <w:pPr>
                      <w:rPr>
                        <w:rFonts w:cs="Times New Roman"/>
                      </w:rPr>
                    </w:pPr>
                  </w:p>
                </w:txbxContent>
              </v:textbox>
            </v:shape>
          </w:pict>
        </mc:Fallback>
      </mc:AlternateContent>
    </w:r>
    <w:r>
      <w:t xml:space="preserve"> </w:t>
    </w:r>
    <w:r>
      <w:rPr>
        <w:u w:val="double"/>
      </w:rPr>
      <w:t xml:space="preserve">                                                                       </w:t>
    </w:r>
    <w:r>
      <w:rPr>
        <w:rFonts w:hint="eastAsia"/>
        <w:u w:val="double"/>
        <w:lang w:val="en-US" w:eastAsia="zh-CN"/>
      </w:rPr>
      <w:t xml:space="preserve">                               </w:t>
    </w:r>
    <w:r>
      <w:rPr>
        <w:u w:val="double"/>
      </w:rPr>
      <w:t xml:space="preserve">       </w:t>
    </w:r>
  </w:p>
  <w:p w14:paraId="14FE73D6">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39DFF928">
    <w:pPr>
      <w:pStyle w:val="14"/>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eastAsia="宋体" w:cs="宋体"/>
        <w:b/>
        <w:bCs/>
        <w:lang w:val="en-US" w:eastAsia="zh-CN"/>
      </w:rPr>
      <w:t xml:space="preserve">  </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9297E">
    <w:pPr>
      <w:pStyle w:val="14"/>
      <w:ind w:right="360"/>
      <w:rPr>
        <w:rFonts w:ascii="仿宋" w:hAnsi="仿宋" w:eastAsia="仿宋" w:cs="Times New Roman"/>
      </w:rPr>
    </w:pPr>
    <w:r>
      <w:rPr>
        <w:sz w:val="1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AAEEAD">
                          <w:pPr>
                            <w:pStyle w:val="14"/>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AAEEAD">
                    <w:pPr>
                      <w:pStyle w:val="14"/>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82</w:t>
                    </w:r>
                    <w:r>
                      <w:fldChar w:fldCharType="end"/>
                    </w:r>
                    <w:r>
                      <w:t xml:space="preserve"> 页</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8" name="文本框 1030"/>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23D4441C">
                          <w:pPr>
                            <w:rPr>
                              <w:rFonts w:cs="Times New Roman"/>
                            </w:rPr>
                          </w:pPr>
                        </w:p>
                      </w:txbxContent>
                    </wps:txbx>
                    <wps:bodyPr wrap="none" lIns="0" tIns="0" rIns="0" bIns="0" upright="1">
                      <a:spAutoFit/>
                    </wps:bodyPr>
                  </wps:wsp>
                </a:graphicData>
              </a:graphic>
            </wp:anchor>
          </w:drawing>
        </mc:Choice>
        <mc:Fallback>
          <w:pict>
            <v:shape id="文本框 1030" o:spid="_x0000_s1026" o:spt="202" type="#_x0000_t202" style="position:absolute;left:0pt;margin-left:432pt;margin-top:-0.45pt;height:12.05pt;width:9.05pt;mso-position-horizontal-relative:margin;mso-wrap-style:none;z-index:251664384;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Nx2KM1QAAAAgBAAAPAAAAAAAAAAEAIAAA&#10;ACIAAABkcnMvZG93bnJldi54bWxQSwECFAAUAAAACACHTuJAN9w6cdYBAACjAwAADgAAAAAAAAAB&#10;ACAAAAAkAQAAZHJzL2Uyb0RvYy54bWxQSwUGAAAAAAYABgBZAQAAbAUAAAAA&#10;">
              <v:fill on="f" focussize="0,0"/>
              <v:stroke on="f"/>
              <v:imagedata o:title=""/>
              <o:lock v:ext="edit" aspectratio="f"/>
              <v:textbox inset="0mm,0mm,0mm,0mm" style="mso-fit-shape-to-text:t;">
                <w:txbxContent>
                  <w:p w14:paraId="23D4441C">
                    <w:pPr>
                      <w:rPr>
                        <w:rFonts w:cs="Times New Roman"/>
                      </w:rPr>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5486400</wp:posOffset>
              </wp:positionH>
              <wp:positionV relativeFrom="paragraph">
                <wp:posOffset>-5715</wp:posOffset>
              </wp:positionV>
              <wp:extent cx="114935" cy="153035"/>
              <wp:effectExtent l="0" t="0" r="0" b="0"/>
              <wp:wrapNone/>
              <wp:docPr id="4" name="文本框 1031"/>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wps:spPr>
                    <wps:txbx>
                      <w:txbxContent>
                        <w:p w14:paraId="59D9138F">
                          <w:pPr>
                            <w:rPr>
                              <w:rFonts w:cs="Times New Roman"/>
                            </w:rPr>
                          </w:pPr>
                        </w:p>
                      </w:txbxContent>
                    </wps:txbx>
                    <wps:bodyPr wrap="none" lIns="0" tIns="0" rIns="0" bIns="0" upright="1">
                      <a:spAutoFit/>
                    </wps:bodyPr>
                  </wps:wsp>
                </a:graphicData>
              </a:graphic>
            </wp:anchor>
          </w:drawing>
        </mc:Choice>
        <mc:Fallback>
          <w:pict>
            <v:shape id="文本框 1031" o:spid="_x0000_s1026" o:spt="202" type="#_x0000_t202" style="position:absolute;left:0pt;margin-left:432pt;margin-top:-0.45pt;height:12.05pt;width:9.05pt;mso-position-horizontal-relative:margin;mso-wrap-style:none;z-index:251661312;mso-width-relative:page;mso-height-relative:page;" filled="f" stroked="f" coordsize="21600,21600" o:gfxdata="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3HYozVAAAACAEAAA8AAAAAAAAAAQAg&#10;AAAAIgAAAGRycy9kb3ducmV2LnhtbFBLAQIUABQAAAAIAIdO4kADruyw2AEAAKMDAAAOAAAAAAAA&#10;AAEAIAAAACQBAABkcnMvZTJvRG9jLnhtbFBLBQYAAAAABgAGAFkBAABuBQAAAAA=&#10;">
              <v:fill on="f" focussize="0,0"/>
              <v:stroke on="f"/>
              <v:imagedata o:title=""/>
              <o:lock v:ext="edit" aspectratio="f"/>
              <v:textbox inset="0mm,0mm,0mm,0mm" style="mso-fit-shape-to-text:t;">
                <w:txbxContent>
                  <w:p w14:paraId="59D9138F">
                    <w:pPr>
                      <w:rPr>
                        <w:rFonts w:cs="Times New Roman"/>
                      </w:rPr>
                    </w:pPr>
                  </w:p>
                </w:txbxContent>
              </v:textbox>
            </v:shape>
          </w:pict>
        </mc:Fallback>
      </mc:AlternateContent>
    </w:r>
    <w:r>
      <w:rPr>
        <w:rFonts w:ascii="仿宋" w:hAnsi="仿宋" w:eastAsia="仿宋" w:cs="仿宋"/>
      </w:rPr>
      <w:t xml:space="preserve"> </w:t>
    </w:r>
    <w:r>
      <w:rPr>
        <w:rFonts w:ascii="仿宋" w:hAnsi="仿宋" w:eastAsia="仿宋" w:cs="仿宋"/>
        <w:u w:val="double"/>
      </w:rPr>
      <w:t xml:space="preserve">                                                                                        </w:t>
    </w:r>
    <w:r>
      <w:rPr>
        <w:rFonts w:hint="eastAsia" w:ascii="仿宋" w:hAnsi="仿宋" w:eastAsia="仿宋" w:cs="仿宋"/>
        <w:u w:val="double"/>
        <w:lang w:val="en-US" w:eastAsia="zh-CN"/>
      </w:rPr>
      <w:t xml:space="preserve">               </w:t>
    </w:r>
    <w:r>
      <w:rPr>
        <w:rFonts w:ascii="仿宋" w:hAnsi="仿宋" w:eastAsia="仿宋" w:cs="仿宋"/>
        <w:u w:val="double"/>
      </w:rPr>
      <w:t xml:space="preserve">     </w:t>
    </w:r>
  </w:p>
  <w:p w14:paraId="01819A2B">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 xml:space="preserve"> 邮编：416000</w:t>
    </w:r>
  </w:p>
  <w:p w14:paraId="0B48096C">
    <w:pPr>
      <w:pStyle w:val="14"/>
      <w:rPr>
        <w:rFonts w:hint="eastAsia" w:ascii="宋体" w:hAnsi="宋体" w:eastAsia="宋体" w:cs="宋体"/>
        <w:b/>
        <w:bCs/>
      </w:rPr>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C2014">
    <w:pPr>
      <w:pStyle w:val="14"/>
      <w:ind w:left="300" w:right="410" w:rightChars="171" w:hanging="180" w:hangingChars="100"/>
      <w:rPr>
        <w:rFonts w:eastAsia="楷体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2FE70C">
                          <w:pPr>
                            <w:pStyle w:val="14"/>
                          </w:pPr>
                          <w:r>
                            <w:t xml:space="preserve">第 </w:t>
                          </w:r>
                          <w:r>
                            <w:fldChar w:fldCharType="begin"/>
                          </w:r>
                          <w:r>
                            <w:instrText xml:space="preserve"> PAGE  \* MERGEFORMAT </w:instrText>
                          </w:r>
                          <w:r>
                            <w:fldChar w:fldCharType="separate"/>
                          </w:r>
                          <w:r>
                            <w:t>159</w:t>
                          </w:r>
                          <w:r>
                            <w:fldChar w:fldCharType="end"/>
                          </w:r>
                          <w:r>
                            <w:t xml:space="preserve"> 页 共 </w:t>
                          </w:r>
                          <w:r>
                            <w:fldChar w:fldCharType="begin"/>
                          </w:r>
                          <w:r>
                            <w:instrText xml:space="preserve"> NUMPAGES  \* MERGEFORMAT </w:instrText>
                          </w:r>
                          <w:r>
                            <w:fldChar w:fldCharType="separate"/>
                          </w:r>
                          <w:r>
                            <w:t>173</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3D2FE70C">
                    <w:pPr>
                      <w:pStyle w:val="14"/>
                    </w:pPr>
                    <w:r>
                      <w:t xml:space="preserve">第 </w:t>
                    </w:r>
                    <w:r>
                      <w:fldChar w:fldCharType="begin"/>
                    </w:r>
                    <w:r>
                      <w:instrText xml:space="preserve"> PAGE  \* MERGEFORMAT </w:instrText>
                    </w:r>
                    <w:r>
                      <w:fldChar w:fldCharType="separate"/>
                    </w:r>
                    <w:r>
                      <w:t>159</w:t>
                    </w:r>
                    <w:r>
                      <w:fldChar w:fldCharType="end"/>
                    </w:r>
                    <w:r>
                      <w:t xml:space="preserve"> 页 共 </w:t>
                    </w:r>
                    <w:r>
                      <w:fldChar w:fldCharType="begin"/>
                    </w:r>
                    <w:r>
                      <w:instrText xml:space="preserve"> NUMPAGES  \* MERGEFORMAT </w:instrText>
                    </w:r>
                    <w:r>
                      <w:fldChar w:fldCharType="separate"/>
                    </w:r>
                    <w:r>
                      <w:t>173</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C64DB">
    <w:pPr>
      <w:pStyle w:val="14"/>
      <w:ind w:right="360"/>
      <w:rPr>
        <w:rFonts w:ascii="仿宋" w:hAnsi="仿宋" w:eastAsia="仿宋" w:cs="Times New Roman"/>
      </w:rPr>
    </w:pPr>
    <w:r>
      <w:rPr>
        <w:sz w:val="18"/>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BE8DC">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A3BE8DC">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82</w:t>
                    </w:r>
                    <w:r>
                      <w:fldChar w:fldCharType="end"/>
                    </w:r>
                    <w:r>
                      <w:t xml:space="preserve"> 页</w:t>
                    </w:r>
                  </w:p>
                </w:txbxContent>
              </v:textbox>
            </v:shape>
          </w:pict>
        </mc:Fallback>
      </mc:AlternateContent>
    </w:r>
    <w:r>
      <w:rPr>
        <w:rFonts w:ascii="仿宋" w:hAnsi="仿宋" w:eastAsia="仿宋" w:cs="仿宋"/>
      </w:rPr>
      <w:t xml:space="preserve"> </w:t>
    </w:r>
    <w:r>
      <w:rPr>
        <w:rFonts w:ascii="仿宋" w:hAnsi="仿宋" w:eastAsia="仿宋" w:cs="仿宋"/>
        <w:u w:val="double"/>
      </w:rPr>
      <w:t xml:space="preserve">                                                                                        </w:t>
    </w:r>
    <w:r>
      <w:rPr>
        <w:rFonts w:hint="eastAsia" w:ascii="仿宋" w:hAnsi="仿宋" w:eastAsia="仿宋" w:cs="仿宋"/>
        <w:u w:val="double"/>
        <w:lang w:val="en-US" w:eastAsia="zh-CN"/>
      </w:rPr>
      <w:t xml:space="preserve">               </w:t>
    </w:r>
    <w:r>
      <w:rPr>
        <w:rFonts w:ascii="仿宋" w:hAnsi="仿宋" w:eastAsia="仿宋" w:cs="仿宋"/>
        <w:u w:val="double"/>
      </w:rPr>
      <w:t xml:space="preserve">     </w:t>
    </w:r>
  </w:p>
  <w:p w14:paraId="3E318EBF">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29B0F961">
    <w:pPr>
      <w:pStyle w:val="14"/>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0B26F">
    <w:pPr>
      <w:pStyle w:val="14"/>
      <w:ind w:right="360"/>
      <w:rPr>
        <w:rFonts w:ascii="楷体" w:hAnsi="楷体" w:eastAsia="楷体" w:cs="Times New Roman"/>
        <w:sz w:val="21"/>
        <w:szCs w:val="21"/>
      </w:rPr>
    </w:pPr>
    <w:r>
      <w:rPr>
        <w:sz w:val="18"/>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A0BEB">
                          <w:pPr>
                            <w:pStyle w:val="14"/>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82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70A0BEB">
                    <w:pPr>
                      <w:pStyle w:val="14"/>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82</w:t>
                    </w:r>
                    <w:r>
                      <w:fldChar w:fldCharType="end"/>
                    </w:r>
                    <w:r>
                      <w:t xml:space="preserve"> 页</w:t>
                    </w:r>
                  </w:p>
                </w:txbxContent>
              </v:textbox>
            </v:shape>
          </w:pict>
        </mc:Fallback>
      </mc:AlternateContent>
    </w:r>
    <w:r>
      <w:rPr>
        <w:u w:val="double"/>
      </w:rPr>
      <w:t xml:space="preserve">                                                                                               </w:t>
    </w:r>
    <w:r>
      <w:rPr>
        <w:rFonts w:hint="eastAsia"/>
        <w:u w:val="double"/>
        <w:lang w:val="en-US" w:eastAsia="zh-CN"/>
      </w:rPr>
      <w:t xml:space="preserve">        </w:t>
    </w:r>
    <w:r>
      <w:rPr>
        <w:u w:val="double"/>
      </w:rPr>
      <w:t xml:space="preserve">                                                    </w:t>
    </w:r>
  </w:p>
  <w:p w14:paraId="6B481ACC">
    <w:pPr>
      <w:pStyle w:val="14"/>
      <w:rPr>
        <w:rFonts w:hint="eastAsia" w:ascii="宋体" w:hAnsi="宋体" w:eastAsia="宋体" w:cs="宋体"/>
        <w:b/>
        <w:bCs/>
      </w:rPr>
    </w:pPr>
    <w:r>
      <w:rPr>
        <w:rFonts w:hint="eastAsia" w:ascii="宋体" w:hAnsi="宋体" w:eastAsia="宋体" w:cs="宋体"/>
        <w:b/>
        <w:bCs/>
      </w:rPr>
      <w:t xml:space="preserve">代理机构：湘西自治州广信招标代理有限公司                                 </w:t>
    </w:r>
    <w:r>
      <w:rPr>
        <w:rFonts w:hint="eastAsia" w:ascii="宋体" w:hAnsi="宋体" w:cs="宋体"/>
        <w:b/>
        <w:bCs/>
        <w:lang w:val="en-US" w:eastAsia="zh-CN"/>
      </w:rPr>
      <w:t xml:space="preserve">               </w:t>
    </w:r>
    <w:r>
      <w:rPr>
        <w:rFonts w:hint="eastAsia" w:ascii="宋体" w:hAnsi="宋体" w:eastAsia="宋体" w:cs="宋体"/>
        <w:b/>
        <w:bCs/>
      </w:rPr>
      <w:t>邮编：416000</w:t>
    </w:r>
  </w:p>
  <w:p w14:paraId="715CEB9C">
    <w:pPr>
      <w:pStyle w:val="14"/>
      <w:rPr>
        <w:rFonts w:hint="eastAsia" w:ascii="宋体" w:hAnsi="宋体" w:eastAsia="宋体" w:cs="宋体"/>
        <w:b/>
        <w:bCs/>
      </w:rPr>
    </w:pPr>
    <w:r>
      <w:rPr>
        <w:rFonts w:hint="eastAsia" w:ascii="宋体" w:hAnsi="宋体" w:eastAsia="宋体" w:cs="宋体"/>
        <w:b/>
        <w:bCs/>
      </w:rPr>
      <w:t>公司地址：</w:t>
    </w:r>
    <w:r>
      <w:rPr>
        <w:rFonts w:hint="eastAsia" w:ascii="宋体" w:hAnsi="宋体" w:eastAsia="宋体" w:cs="宋体"/>
        <w:b/>
        <w:bCs/>
        <w:kern w:val="0"/>
        <w:shd w:val="clear" w:color="auto" w:fill="FFFFFF"/>
        <w:lang w:eastAsia="zh-CN"/>
      </w:rPr>
      <w:t>湖南省吉首市乾州办事处朝阳路6号（朝阳大厦）1栋304室</w:t>
    </w:r>
    <w:r>
      <w:rPr>
        <w:rFonts w:hint="eastAsia" w:ascii="宋体" w:hAnsi="宋体" w:eastAsia="宋体" w:cs="宋体"/>
        <w:b/>
        <w:bCs/>
      </w:rPr>
      <w:t xml:space="preserve">         </w:t>
    </w:r>
    <w:r>
      <w:rPr>
        <w:rFonts w:hint="eastAsia" w:ascii="宋体" w:hAnsi="宋体" w:cs="宋体"/>
        <w:b/>
        <w:bCs/>
        <w:lang w:val="en-US" w:eastAsia="zh-CN"/>
      </w:rPr>
      <w:t xml:space="preserve">                </w:t>
    </w:r>
    <w:r>
      <w:rPr>
        <w:rFonts w:hint="eastAsia" w:ascii="宋体" w:hAnsi="宋体" w:eastAsia="宋体" w:cs="宋体"/>
        <w:b/>
        <w:bCs/>
      </w:rPr>
      <w:t>电话：0743-8521508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032BB">
    <w:pPr>
      <w:pStyle w:val="15"/>
      <w:pBdr>
        <w:bottom w:val="double" w:color="auto" w:sz="8" w:space="1"/>
      </w:pBdr>
      <w:rPr>
        <w:rFonts w:hint="eastAsia" w:ascii="宋体" w:hAnsi="宋体" w:eastAsia="宋体" w:cs="宋体"/>
        <w:b/>
        <w:bCs/>
      </w:rPr>
    </w:pPr>
    <w:r>
      <w:rPr>
        <w:rFonts w:hint="eastAsia" w:ascii="宋体" w:hAnsi="宋体" w:eastAsia="宋体" w:cs="宋体"/>
        <w:b/>
        <w:bCs/>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12627">
    <w:pPr>
      <w:pStyle w:val="13"/>
      <w:pBdr>
        <w:bottom w:val="double" w:color="auto" w:sz="8" w:space="0"/>
      </w:pBdr>
      <w:jc w:val="center"/>
      <w:rPr>
        <w:rFonts w:hint="eastAsia" w:ascii="宋体" w:hAnsi="宋体" w:eastAsia="宋体" w:cs="宋体"/>
        <w:b/>
        <w:bCs/>
        <w:sz w:val="18"/>
        <w:szCs w:val="18"/>
      </w:rPr>
    </w:pPr>
    <w:r>
      <w:rPr>
        <w:rFonts w:hint="eastAsia" w:ascii="宋体" w:hAnsi="宋体" w:eastAsia="宋体" w:cs="宋体"/>
        <w:b/>
        <w:bCs/>
        <w:sz w:val="18"/>
        <w:szCs w:val="18"/>
      </w:rPr>
      <w:t>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66317">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0DA72">
    <w:pPr>
      <w:pStyle w:val="13"/>
      <w:pBdr>
        <w:bottom w:val="double" w:color="auto" w:sz="8" w:space="0"/>
      </w:pBdr>
      <w:jc w:val="center"/>
      <w:rPr>
        <w:rFonts w:hint="eastAsia" w:ascii="宋体" w:hAnsi="宋体" w:eastAsia="宋体" w:cs="宋体"/>
        <w:b/>
        <w:bCs/>
        <w:sz w:val="18"/>
        <w:szCs w:val="18"/>
      </w:rPr>
    </w:pPr>
    <w:r>
      <w:rPr>
        <w:rFonts w:hint="eastAsia" w:ascii="宋体" w:hAnsi="宋体" w:eastAsia="宋体" w:cs="宋体"/>
        <w:b/>
        <w:bCs/>
        <w:sz w:val="18"/>
        <w:szCs w:val="18"/>
      </w:rPr>
      <w:t>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79C271"/>
    <w:multiLevelType w:val="singleLevel"/>
    <w:tmpl w:val="9B79C271"/>
    <w:lvl w:ilvl="0" w:tentative="0">
      <w:start w:val="3"/>
      <w:numFmt w:val="decimal"/>
      <w:suff w:val="nothing"/>
      <w:lvlText w:val="%1、"/>
      <w:lvlJc w:val="left"/>
    </w:lvl>
  </w:abstractNum>
  <w:abstractNum w:abstractNumId="1">
    <w:nsid w:val="B81CE09C"/>
    <w:multiLevelType w:val="singleLevel"/>
    <w:tmpl w:val="B81CE09C"/>
    <w:lvl w:ilvl="0" w:tentative="0">
      <w:start w:val="4"/>
      <w:numFmt w:val="decimal"/>
      <w:suff w:val="nothing"/>
      <w:lvlText w:val="%1、"/>
      <w:lvlJc w:val="left"/>
    </w:lvl>
  </w:abstractNum>
  <w:abstractNum w:abstractNumId="2">
    <w:nsid w:val="4B43E93C"/>
    <w:multiLevelType w:val="singleLevel"/>
    <w:tmpl w:val="4B43E93C"/>
    <w:lvl w:ilvl="0" w:tentative="0">
      <w:start w:val="1"/>
      <w:numFmt w:val="chineseCounting"/>
      <w:suff w:val="nothing"/>
      <w:lvlText w:val="%1、"/>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xNmViMjc2YzgyZTM3YTdkYzBhMTAyMWE4MTYwYzAifQ=="/>
  </w:docVars>
  <w:rsids>
    <w:rsidRoot w:val="00000000"/>
    <w:rsid w:val="00057C0A"/>
    <w:rsid w:val="000D6A84"/>
    <w:rsid w:val="001C66E0"/>
    <w:rsid w:val="002C4449"/>
    <w:rsid w:val="00385479"/>
    <w:rsid w:val="005A0FB6"/>
    <w:rsid w:val="007007DA"/>
    <w:rsid w:val="00816543"/>
    <w:rsid w:val="009C172C"/>
    <w:rsid w:val="00AA3CEC"/>
    <w:rsid w:val="00AD68BA"/>
    <w:rsid w:val="00C50B26"/>
    <w:rsid w:val="00CB5489"/>
    <w:rsid w:val="00E0770D"/>
    <w:rsid w:val="00E32D5A"/>
    <w:rsid w:val="01004EA7"/>
    <w:rsid w:val="0107676F"/>
    <w:rsid w:val="0108108F"/>
    <w:rsid w:val="01094653"/>
    <w:rsid w:val="010A29DC"/>
    <w:rsid w:val="013417C8"/>
    <w:rsid w:val="01361D70"/>
    <w:rsid w:val="0145454D"/>
    <w:rsid w:val="01536809"/>
    <w:rsid w:val="016140C6"/>
    <w:rsid w:val="01664437"/>
    <w:rsid w:val="01714809"/>
    <w:rsid w:val="017F5714"/>
    <w:rsid w:val="018557C9"/>
    <w:rsid w:val="0192652E"/>
    <w:rsid w:val="01992300"/>
    <w:rsid w:val="01BD7A4F"/>
    <w:rsid w:val="01CF3D6E"/>
    <w:rsid w:val="01FE5F5A"/>
    <w:rsid w:val="020422C1"/>
    <w:rsid w:val="020B288B"/>
    <w:rsid w:val="02104022"/>
    <w:rsid w:val="02195F22"/>
    <w:rsid w:val="021A0C65"/>
    <w:rsid w:val="023232C9"/>
    <w:rsid w:val="024535A0"/>
    <w:rsid w:val="02663C42"/>
    <w:rsid w:val="02B726F0"/>
    <w:rsid w:val="02B741C3"/>
    <w:rsid w:val="02BF77F6"/>
    <w:rsid w:val="02C21C64"/>
    <w:rsid w:val="02DA63DE"/>
    <w:rsid w:val="02DE0327"/>
    <w:rsid w:val="02E90A76"/>
    <w:rsid w:val="030E4153"/>
    <w:rsid w:val="032A3D5D"/>
    <w:rsid w:val="03455F4E"/>
    <w:rsid w:val="034D4FEF"/>
    <w:rsid w:val="036208AE"/>
    <w:rsid w:val="036D5758"/>
    <w:rsid w:val="03766107"/>
    <w:rsid w:val="03812BA7"/>
    <w:rsid w:val="038535A4"/>
    <w:rsid w:val="03870314"/>
    <w:rsid w:val="038F36F0"/>
    <w:rsid w:val="039337A6"/>
    <w:rsid w:val="039D18E6"/>
    <w:rsid w:val="039F4141"/>
    <w:rsid w:val="03A77904"/>
    <w:rsid w:val="03B3040D"/>
    <w:rsid w:val="03C36E72"/>
    <w:rsid w:val="03C52BEB"/>
    <w:rsid w:val="03C84489"/>
    <w:rsid w:val="03CB70FD"/>
    <w:rsid w:val="03D92099"/>
    <w:rsid w:val="03D93558"/>
    <w:rsid w:val="03DE3793"/>
    <w:rsid w:val="03EA4615"/>
    <w:rsid w:val="03EC7BBE"/>
    <w:rsid w:val="043B226A"/>
    <w:rsid w:val="043B5642"/>
    <w:rsid w:val="044C50BA"/>
    <w:rsid w:val="044E0E32"/>
    <w:rsid w:val="0471373D"/>
    <w:rsid w:val="04842AA6"/>
    <w:rsid w:val="048550B3"/>
    <w:rsid w:val="048D6B52"/>
    <w:rsid w:val="049525BD"/>
    <w:rsid w:val="04E203C2"/>
    <w:rsid w:val="05124E14"/>
    <w:rsid w:val="051A6CD3"/>
    <w:rsid w:val="0560706F"/>
    <w:rsid w:val="05711E4E"/>
    <w:rsid w:val="05874960"/>
    <w:rsid w:val="058979DF"/>
    <w:rsid w:val="058A7C48"/>
    <w:rsid w:val="05900FD6"/>
    <w:rsid w:val="05A00D46"/>
    <w:rsid w:val="05A607FA"/>
    <w:rsid w:val="05B94DDB"/>
    <w:rsid w:val="05C23886"/>
    <w:rsid w:val="05C72C4A"/>
    <w:rsid w:val="05CA273A"/>
    <w:rsid w:val="05D10F6A"/>
    <w:rsid w:val="05E11832"/>
    <w:rsid w:val="05E82BC0"/>
    <w:rsid w:val="05ED0121"/>
    <w:rsid w:val="05F35BCE"/>
    <w:rsid w:val="06093262"/>
    <w:rsid w:val="061B4D44"/>
    <w:rsid w:val="06237015"/>
    <w:rsid w:val="065344DE"/>
    <w:rsid w:val="065A4573"/>
    <w:rsid w:val="065B2089"/>
    <w:rsid w:val="06805772"/>
    <w:rsid w:val="06862B05"/>
    <w:rsid w:val="06AB256C"/>
    <w:rsid w:val="06B931F0"/>
    <w:rsid w:val="06DF03A0"/>
    <w:rsid w:val="06E35D6B"/>
    <w:rsid w:val="06FE6B3F"/>
    <w:rsid w:val="070D0B30"/>
    <w:rsid w:val="07106873"/>
    <w:rsid w:val="072A7934"/>
    <w:rsid w:val="07436531"/>
    <w:rsid w:val="07463716"/>
    <w:rsid w:val="074C6947"/>
    <w:rsid w:val="07577FFE"/>
    <w:rsid w:val="07585B24"/>
    <w:rsid w:val="0768045D"/>
    <w:rsid w:val="07AD3BB2"/>
    <w:rsid w:val="07B216D8"/>
    <w:rsid w:val="07C9746F"/>
    <w:rsid w:val="07D77390"/>
    <w:rsid w:val="07EA70C4"/>
    <w:rsid w:val="080438B6"/>
    <w:rsid w:val="081128A2"/>
    <w:rsid w:val="082136EB"/>
    <w:rsid w:val="08262CB8"/>
    <w:rsid w:val="087A0447"/>
    <w:rsid w:val="087B5F6E"/>
    <w:rsid w:val="087D3A94"/>
    <w:rsid w:val="08861368"/>
    <w:rsid w:val="08900771"/>
    <w:rsid w:val="089239B9"/>
    <w:rsid w:val="08AF68CB"/>
    <w:rsid w:val="08B703F0"/>
    <w:rsid w:val="08C23B9D"/>
    <w:rsid w:val="08C47915"/>
    <w:rsid w:val="08C71D37"/>
    <w:rsid w:val="08C751AC"/>
    <w:rsid w:val="08D519CD"/>
    <w:rsid w:val="08DB0B60"/>
    <w:rsid w:val="08E43B13"/>
    <w:rsid w:val="08E753B1"/>
    <w:rsid w:val="09070D5B"/>
    <w:rsid w:val="091B5D39"/>
    <w:rsid w:val="092D370C"/>
    <w:rsid w:val="09412D13"/>
    <w:rsid w:val="09475E50"/>
    <w:rsid w:val="095D5B43"/>
    <w:rsid w:val="09826A8C"/>
    <w:rsid w:val="098D5CE0"/>
    <w:rsid w:val="098D7D07"/>
    <w:rsid w:val="099077F7"/>
    <w:rsid w:val="09A92667"/>
    <w:rsid w:val="09D51C6A"/>
    <w:rsid w:val="09DE4A06"/>
    <w:rsid w:val="09F558AC"/>
    <w:rsid w:val="09FA4E3B"/>
    <w:rsid w:val="09FA50CF"/>
    <w:rsid w:val="0A2D5046"/>
    <w:rsid w:val="0A312D88"/>
    <w:rsid w:val="0A3B3C06"/>
    <w:rsid w:val="0A430D0D"/>
    <w:rsid w:val="0A570A57"/>
    <w:rsid w:val="0A5E5394"/>
    <w:rsid w:val="0A7D1530"/>
    <w:rsid w:val="0A8434F4"/>
    <w:rsid w:val="0AB17A25"/>
    <w:rsid w:val="0AD034C0"/>
    <w:rsid w:val="0AF618DB"/>
    <w:rsid w:val="0B0E48D7"/>
    <w:rsid w:val="0B231954"/>
    <w:rsid w:val="0B252EDD"/>
    <w:rsid w:val="0B310B66"/>
    <w:rsid w:val="0B381EF4"/>
    <w:rsid w:val="0B3C0B51"/>
    <w:rsid w:val="0B4255ED"/>
    <w:rsid w:val="0B6E3B68"/>
    <w:rsid w:val="0B7373D0"/>
    <w:rsid w:val="0B753148"/>
    <w:rsid w:val="0B850661"/>
    <w:rsid w:val="0BAD1DF5"/>
    <w:rsid w:val="0BB2614A"/>
    <w:rsid w:val="0BB73761"/>
    <w:rsid w:val="0BDE2A9B"/>
    <w:rsid w:val="0BE14A8C"/>
    <w:rsid w:val="0BE91440"/>
    <w:rsid w:val="0BEC17EB"/>
    <w:rsid w:val="0BFF2A12"/>
    <w:rsid w:val="0C142961"/>
    <w:rsid w:val="0C195224"/>
    <w:rsid w:val="0C2E1CA1"/>
    <w:rsid w:val="0C3E178C"/>
    <w:rsid w:val="0C48085D"/>
    <w:rsid w:val="0C486E05"/>
    <w:rsid w:val="0C4A185A"/>
    <w:rsid w:val="0C571C66"/>
    <w:rsid w:val="0C5B757D"/>
    <w:rsid w:val="0C5F7FBC"/>
    <w:rsid w:val="0C985340"/>
    <w:rsid w:val="0CA75583"/>
    <w:rsid w:val="0CAD246E"/>
    <w:rsid w:val="0CB2155A"/>
    <w:rsid w:val="0CBF78B7"/>
    <w:rsid w:val="0CC74046"/>
    <w:rsid w:val="0CC954FA"/>
    <w:rsid w:val="0CD81BE1"/>
    <w:rsid w:val="0CDB522D"/>
    <w:rsid w:val="0CE80D55"/>
    <w:rsid w:val="0D0504FC"/>
    <w:rsid w:val="0D2B7585"/>
    <w:rsid w:val="0D38142E"/>
    <w:rsid w:val="0D4A1048"/>
    <w:rsid w:val="0D4C612B"/>
    <w:rsid w:val="0D5374B9"/>
    <w:rsid w:val="0D574214"/>
    <w:rsid w:val="0D576DCD"/>
    <w:rsid w:val="0D632183"/>
    <w:rsid w:val="0D722AE9"/>
    <w:rsid w:val="0D767C8F"/>
    <w:rsid w:val="0D934937"/>
    <w:rsid w:val="0D993901"/>
    <w:rsid w:val="0DB52116"/>
    <w:rsid w:val="0DC07915"/>
    <w:rsid w:val="0DC9777B"/>
    <w:rsid w:val="0DD203DE"/>
    <w:rsid w:val="0DDA54E4"/>
    <w:rsid w:val="0DDA7292"/>
    <w:rsid w:val="0E006664"/>
    <w:rsid w:val="0E056A05"/>
    <w:rsid w:val="0E294D03"/>
    <w:rsid w:val="0E3B2427"/>
    <w:rsid w:val="0E411D58"/>
    <w:rsid w:val="0E462B7A"/>
    <w:rsid w:val="0E480BC8"/>
    <w:rsid w:val="0E4E206E"/>
    <w:rsid w:val="0E5434E9"/>
    <w:rsid w:val="0E574D87"/>
    <w:rsid w:val="0E9C0022"/>
    <w:rsid w:val="0EA93835"/>
    <w:rsid w:val="0EB21FBD"/>
    <w:rsid w:val="0EB775D4"/>
    <w:rsid w:val="0EBA1706"/>
    <w:rsid w:val="0EC707B1"/>
    <w:rsid w:val="0ED91E40"/>
    <w:rsid w:val="0F2B1A0E"/>
    <w:rsid w:val="0F615A4D"/>
    <w:rsid w:val="0F6B6D3C"/>
    <w:rsid w:val="0F711AFE"/>
    <w:rsid w:val="0F786D63"/>
    <w:rsid w:val="0F7D6A6F"/>
    <w:rsid w:val="0F9F69E6"/>
    <w:rsid w:val="0FA2408C"/>
    <w:rsid w:val="0FC1303C"/>
    <w:rsid w:val="0FC4453D"/>
    <w:rsid w:val="0FCE72CB"/>
    <w:rsid w:val="0FD971CE"/>
    <w:rsid w:val="0FEC25A3"/>
    <w:rsid w:val="0FEF171B"/>
    <w:rsid w:val="0FF34E89"/>
    <w:rsid w:val="10077814"/>
    <w:rsid w:val="10101691"/>
    <w:rsid w:val="10260745"/>
    <w:rsid w:val="10294E7B"/>
    <w:rsid w:val="10540C60"/>
    <w:rsid w:val="10545A22"/>
    <w:rsid w:val="10640F45"/>
    <w:rsid w:val="106B68C8"/>
    <w:rsid w:val="106F1015"/>
    <w:rsid w:val="10787A10"/>
    <w:rsid w:val="10922838"/>
    <w:rsid w:val="10A20230"/>
    <w:rsid w:val="10AF3DB8"/>
    <w:rsid w:val="10BD6F35"/>
    <w:rsid w:val="114A2981"/>
    <w:rsid w:val="11511F61"/>
    <w:rsid w:val="11553800"/>
    <w:rsid w:val="115F3764"/>
    <w:rsid w:val="1172193C"/>
    <w:rsid w:val="11851C0B"/>
    <w:rsid w:val="118B5349"/>
    <w:rsid w:val="11A145EB"/>
    <w:rsid w:val="11D34C97"/>
    <w:rsid w:val="11EC530F"/>
    <w:rsid w:val="11EC57E6"/>
    <w:rsid w:val="11F33019"/>
    <w:rsid w:val="11F56D91"/>
    <w:rsid w:val="11FA6155"/>
    <w:rsid w:val="12097E6F"/>
    <w:rsid w:val="120A1540"/>
    <w:rsid w:val="122A7A80"/>
    <w:rsid w:val="122E71D0"/>
    <w:rsid w:val="1299771C"/>
    <w:rsid w:val="129D6E05"/>
    <w:rsid w:val="12F76ADA"/>
    <w:rsid w:val="1305208F"/>
    <w:rsid w:val="130B54F4"/>
    <w:rsid w:val="13115A79"/>
    <w:rsid w:val="13121A1B"/>
    <w:rsid w:val="131823C2"/>
    <w:rsid w:val="131D1352"/>
    <w:rsid w:val="131D659F"/>
    <w:rsid w:val="132F1E2E"/>
    <w:rsid w:val="1335567A"/>
    <w:rsid w:val="13374094"/>
    <w:rsid w:val="13451652"/>
    <w:rsid w:val="134753CA"/>
    <w:rsid w:val="1353120A"/>
    <w:rsid w:val="138C7E68"/>
    <w:rsid w:val="139F5206"/>
    <w:rsid w:val="13C30972"/>
    <w:rsid w:val="13F2409C"/>
    <w:rsid w:val="13FC1602"/>
    <w:rsid w:val="141E7FCD"/>
    <w:rsid w:val="142964C6"/>
    <w:rsid w:val="14383989"/>
    <w:rsid w:val="143E4134"/>
    <w:rsid w:val="14470A65"/>
    <w:rsid w:val="145331BC"/>
    <w:rsid w:val="1455586C"/>
    <w:rsid w:val="145A557E"/>
    <w:rsid w:val="145D5190"/>
    <w:rsid w:val="14865F98"/>
    <w:rsid w:val="14A979BF"/>
    <w:rsid w:val="15190FE8"/>
    <w:rsid w:val="15232C77"/>
    <w:rsid w:val="15420546"/>
    <w:rsid w:val="15507DCC"/>
    <w:rsid w:val="15553D7D"/>
    <w:rsid w:val="15565D98"/>
    <w:rsid w:val="156C1118"/>
    <w:rsid w:val="15823492"/>
    <w:rsid w:val="15945A8D"/>
    <w:rsid w:val="15C076B6"/>
    <w:rsid w:val="15C34AB0"/>
    <w:rsid w:val="15C56A7A"/>
    <w:rsid w:val="15C745A0"/>
    <w:rsid w:val="15CE26EF"/>
    <w:rsid w:val="15DD0268"/>
    <w:rsid w:val="15E05662"/>
    <w:rsid w:val="15EA028F"/>
    <w:rsid w:val="15F87A98"/>
    <w:rsid w:val="15F91BA1"/>
    <w:rsid w:val="16331C36"/>
    <w:rsid w:val="1638324F"/>
    <w:rsid w:val="16491459"/>
    <w:rsid w:val="164976AB"/>
    <w:rsid w:val="165E32B9"/>
    <w:rsid w:val="166444E5"/>
    <w:rsid w:val="16680B7C"/>
    <w:rsid w:val="16704C38"/>
    <w:rsid w:val="167C538B"/>
    <w:rsid w:val="168B595F"/>
    <w:rsid w:val="168E1562"/>
    <w:rsid w:val="16DC7553"/>
    <w:rsid w:val="16EB2510"/>
    <w:rsid w:val="16F07B27"/>
    <w:rsid w:val="16FC471D"/>
    <w:rsid w:val="170767D7"/>
    <w:rsid w:val="170E52FE"/>
    <w:rsid w:val="172467BF"/>
    <w:rsid w:val="174E6889"/>
    <w:rsid w:val="17575DF8"/>
    <w:rsid w:val="17606A5A"/>
    <w:rsid w:val="17795D6E"/>
    <w:rsid w:val="179D3CC8"/>
    <w:rsid w:val="17A404D7"/>
    <w:rsid w:val="17A4103D"/>
    <w:rsid w:val="17BB100D"/>
    <w:rsid w:val="17C92852"/>
    <w:rsid w:val="17D270B7"/>
    <w:rsid w:val="17E53404"/>
    <w:rsid w:val="17E57FDA"/>
    <w:rsid w:val="18055854"/>
    <w:rsid w:val="181428A5"/>
    <w:rsid w:val="183028D1"/>
    <w:rsid w:val="184A0741"/>
    <w:rsid w:val="186C142F"/>
    <w:rsid w:val="18A922AD"/>
    <w:rsid w:val="18AE1A47"/>
    <w:rsid w:val="18B90B18"/>
    <w:rsid w:val="18C2337B"/>
    <w:rsid w:val="18C272A1"/>
    <w:rsid w:val="18CE4C5C"/>
    <w:rsid w:val="18DA17E7"/>
    <w:rsid w:val="18DF42F7"/>
    <w:rsid w:val="18DF679A"/>
    <w:rsid w:val="18EA1A70"/>
    <w:rsid w:val="18EA56F8"/>
    <w:rsid w:val="18ED14A8"/>
    <w:rsid w:val="190725F4"/>
    <w:rsid w:val="193656A4"/>
    <w:rsid w:val="194537B1"/>
    <w:rsid w:val="19597463"/>
    <w:rsid w:val="196654F1"/>
    <w:rsid w:val="196842EC"/>
    <w:rsid w:val="19691A7C"/>
    <w:rsid w:val="196D1903"/>
    <w:rsid w:val="197607B7"/>
    <w:rsid w:val="198F7168"/>
    <w:rsid w:val="19924EC5"/>
    <w:rsid w:val="19B117EF"/>
    <w:rsid w:val="19BE215E"/>
    <w:rsid w:val="19CA465F"/>
    <w:rsid w:val="19F142E2"/>
    <w:rsid w:val="19F45B80"/>
    <w:rsid w:val="1A057D8D"/>
    <w:rsid w:val="1A2D1F11"/>
    <w:rsid w:val="1A4D7795"/>
    <w:rsid w:val="1A55661F"/>
    <w:rsid w:val="1A584361"/>
    <w:rsid w:val="1A622AE9"/>
    <w:rsid w:val="1A7016AA"/>
    <w:rsid w:val="1A725422"/>
    <w:rsid w:val="1A75667F"/>
    <w:rsid w:val="1A815666"/>
    <w:rsid w:val="1A8655DC"/>
    <w:rsid w:val="1A9D7FC6"/>
    <w:rsid w:val="1ACD6659"/>
    <w:rsid w:val="1AE856E5"/>
    <w:rsid w:val="1B143D79"/>
    <w:rsid w:val="1B1F64A1"/>
    <w:rsid w:val="1B334486"/>
    <w:rsid w:val="1B440275"/>
    <w:rsid w:val="1B4B17D0"/>
    <w:rsid w:val="1B5054C3"/>
    <w:rsid w:val="1B554AAE"/>
    <w:rsid w:val="1B593A2C"/>
    <w:rsid w:val="1B9C027D"/>
    <w:rsid w:val="1BAF3A7B"/>
    <w:rsid w:val="1BCC2910"/>
    <w:rsid w:val="1BCE12EF"/>
    <w:rsid w:val="1BD23601"/>
    <w:rsid w:val="1BD545C9"/>
    <w:rsid w:val="1BDB37F6"/>
    <w:rsid w:val="1BE64D26"/>
    <w:rsid w:val="1BFB4FA4"/>
    <w:rsid w:val="1C271E19"/>
    <w:rsid w:val="1C2D7127"/>
    <w:rsid w:val="1C56042C"/>
    <w:rsid w:val="1C685944"/>
    <w:rsid w:val="1C793776"/>
    <w:rsid w:val="1C817B9F"/>
    <w:rsid w:val="1C8B122A"/>
    <w:rsid w:val="1C9F1DD3"/>
    <w:rsid w:val="1CBD346D"/>
    <w:rsid w:val="1CCC449D"/>
    <w:rsid w:val="1CF504D9"/>
    <w:rsid w:val="1D0600A4"/>
    <w:rsid w:val="1D0D1432"/>
    <w:rsid w:val="1D232A04"/>
    <w:rsid w:val="1D2E3157"/>
    <w:rsid w:val="1D383FD6"/>
    <w:rsid w:val="1D412E8A"/>
    <w:rsid w:val="1D4B5AB7"/>
    <w:rsid w:val="1D563563"/>
    <w:rsid w:val="1D6B43AB"/>
    <w:rsid w:val="1D7861D8"/>
    <w:rsid w:val="1D7C2114"/>
    <w:rsid w:val="1D89444A"/>
    <w:rsid w:val="1D8B05A9"/>
    <w:rsid w:val="1D960E6C"/>
    <w:rsid w:val="1DAA6C81"/>
    <w:rsid w:val="1DCC309C"/>
    <w:rsid w:val="1DD106B2"/>
    <w:rsid w:val="1DD93F7F"/>
    <w:rsid w:val="1DE101C9"/>
    <w:rsid w:val="1DF83E22"/>
    <w:rsid w:val="1E0B5246"/>
    <w:rsid w:val="1E1D38F7"/>
    <w:rsid w:val="1E214A6A"/>
    <w:rsid w:val="1E243D51"/>
    <w:rsid w:val="1E262080"/>
    <w:rsid w:val="1E3074C0"/>
    <w:rsid w:val="1E560964"/>
    <w:rsid w:val="1E5B441F"/>
    <w:rsid w:val="1E6B440B"/>
    <w:rsid w:val="1E8079E2"/>
    <w:rsid w:val="1E872D07"/>
    <w:rsid w:val="1E8878BD"/>
    <w:rsid w:val="1E8E20FF"/>
    <w:rsid w:val="1E932178"/>
    <w:rsid w:val="1E9453BA"/>
    <w:rsid w:val="1EB06519"/>
    <w:rsid w:val="1EBB4EBE"/>
    <w:rsid w:val="1EC7442C"/>
    <w:rsid w:val="1ED111A7"/>
    <w:rsid w:val="1ED82D70"/>
    <w:rsid w:val="1EF02DBA"/>
    <w:rsid w:val="1EF55C66"/>
    <w:rsid w:val="1F0B3750"/>
    <w:rsid w:val="1F354C71"/>
    <w:rsid w:val="1F3A624F"/>
    <w:rsid w:val="1F4E1BAB"/>
    <w:rsid w:val="1F536EA5"/>
    <w:rsid w:val="1F7E6617"/>
    <w:rsid w:val="1F8359DC"/>
    <w:rsid w:val="1F9279CD"/>
    <w:rsid w:val="1FB913FE"/>
    <w:rsid w:val="1FBA114F"/>
    <w:rsid w:val="1FD37F5E"/>
    <w:rsid w:val="1FE62641"/>
    <w:rsid w:val="20036685"/>
    <w:rsid w:val="202A22FB"/>
    <w:rsid w:val="20337402"/>
    <w:rsid w:val="20734E6E"/>
    <w:rsid w:val="20846A39"/>
    <w:rsid w:val="208C1B79"/>
    <w:rsid w:val="20BB2F53"/>
    <w:rsid w:val="20C05A01"/>
    <w:rsid w:val="20C77B4A"/>
    <w:rsid w:val="20D9508D"/>
    <w:rsid w:val="20DA0C08"/>
    <w:rsid w:val="20DB683A"/>
    <w:rsid w:val="20EF721E"/>
    <w:rsid w:val="20FF1092"/>
    <w:rsid w:val="21083178"/>
    <w:rsid w:val="2144212A"/>
    <w:rsid w:val="214B2E2B"/>
    <w:rsid w:val="21782242"/>
    <w:rsid w:val="21870A70"/>
    <w:rsid w:val="219D0F12"/>
    <w:rsid w:val="21A86451"/>
    <w:rsid w:val="21B406B5"/>
    <w:rsid w:val="21C52FD6"/>
    <w:rsid w:val="21C80FDC"/>
    <w:rsid w:val="21E64000"/>
    <w:rsid w:val="21EE2395"/>
    <w:rsid w:val="21F42BC1"/>
    <w:rsid w:val="21F55F0B"/>
    <w:rsid w:val="21F7620D"/>
    <w:rsid w:val="22010E3A"/>
    <w:rsid w:val="22065300"/>
    <w:rsid w:val="220C6F94"/>
    <w:rsid w:val="22124DF5"/>
    <w:rsid w:val="221C4E90"/>
    <w:rsid w:val="223A7676"/>
    <w:rsid w:val="224C47AB"/>
    <w:rsid w:val="224D407F"/>
    <w:rsid w:val="22515B0D"/>
    <w:rsid w:val="2254540E"/>
    <w:rsid w:val="22634512"/>
    <w:rsid w:val="226F2247"/>
    <w:rsid w:val="228201CD"/>
    <w:rsid w:val="22AA7CA9"/>
    <w:rsid w:val="22AC524A"/>
    <w:rsid w:val="22BA5BB9"/>
    <w:rsid w:val="22D810F2"/>
    <w:rsid w:val="22D816FD"/>
    <w:rsid w:val="22DB78DD"/>
    <w:rsid w:val="230F0F4D"/>
    <w:rsid w:val="230F7587"/>
    <w:rsid w:val="23104F6B"/>
    <w:rsid w:val="233B65CE"/>
    <w:rsid w:val="235420DC"/>
    <w:rsid w:val="236B2A0F"/>
    <w:rsid w:val="237A5348"/>
    <w:rsid w:val="238B4E5F"/>
    <w:rsid w:val="23963804"/>
    <w:rsid w:val="2398573D"/>
    <w:rsid w:val="239D2DE4"/>
    <w:rsid w:val="239D4B92"/>
    <w:rsid w:val="23D74548"/>
    <w:rsid w:val="23F21382"/>
    <w:rsid w:val="24044C11"/>
    <w:rsid w:val="242342E3"/>
    <w:rsid w:val="2432352D"/>
    <w:rsid w:val="2443573A"/>
    <w:rsid w:val="245931AF"/>
    <w:rsid w:val="24596D0B"/>
    <w:rsid w:val="24661642"/>
    <w:rsid w:val="246F2B60"/>
    <w:rsid w:val="247753E3"/>
    <w:rsid w:val="248E07EC"/>
    <w:rsid w:val="249B154A"/>
    <w:rsid w:val="249D6EA0"/>
    <w:rsid w:val="24AD52A9"/>
    <w:rsid w:val="24C0004C"/>
    <w:rsid w:val="24D10F97"/>
    <w:rsid w:val="24E011DB"/>
    <w:rsid w:val="24EE1B49"/>
    <w:rsid w:val="24F77EC0"/>
    <w:rsid w:val="24FB7DC2"/>
    <w:rsid w:val="24FF3D57"/>
    <w:rsid w:val="2503311B"/>
    <w:rsid w:val="250D3EEA"/>
    <w:rsid w:val="25423E99"/>
    <w:rsid w:val="255120D8"/>
    <w:rsid w:val="255C1786"/>
    <w:rsid w:val="25764C42"/>
    <w:rsid w:val="258B55EA"/>
    <w:rsid w:val="259B23CC"/>
    <w:rsid w:val="25A8619C"/>
    <w:rsid w:val="25B00C35"/>
    <w:rsid w:val="25B34B41"/>
    <w:rsid w:val="25BA4C11"/>
    <w:rsid w:val="25C32FD6"/>
    <w:rsid w:val="25F14416"/>
    <w:rsid w:val="25F27417"/>
    <w:rsid w:val="262D7516"/>
    <w:rsid w:val="26486092"/>
    <w:rsid w:val="265C28C1"/>
    <w:rsid w:val="2661634B"/>
    <w:rsid w:val="266A3452"/>
    <w:rsid w:val="266D2F42"/>
    <w:rsid w:val="267D6303"/>
    <w:rsid w:val="26AD333E"/>
    <w:rsid w:val="26D7485F"/>
    <w:rsid w:val="26E34FB2"/>
    <w:rsid w:val="26F35B88"/>
    <w:rsid w:val="26F80D99"/>
    <w:rsid w:val="26FB22FC"/>
    <w:rsid w:val="26FC55D9"/>
    <w:rsid w:val="270F5DA7"/>
    <w:rsid w:val="27475901"/>
    <w:rsid w:val="27627EF7"/>
    <w:rsid w:val="276460F3"/>
    <w:rsid w:val="276F6846"/>
    <w:rsid w:val="27704CF9"/>
    <w:rsid w:val="27731B8B"/>
    <w:rsid w:val="27800A53"/>
    <w:rsid w:val="278C564A"/>
    <w:rsid w:val="279B3ADF"/>
    <w:rsid w:val="27A26C1B"/>
    <w:rsid w:val="27C9373B"/>
    <w:rsid w:val="27E70AD2"/>
    <w:rsid w:val="27EB411E"/>
    <w:rsid w:val="28113C23"/>
    <w:rsid w:val="283F670A"/>
    <w:rsid w:val="28414686"/>
    <w:rsid w:val="285223EF"/>
    <w:rsid w:val="2852419D"/>
    <w:rsid w:val="28577A06"/>
    <w:rsid w:val="2870216A"/>
    <w:rsid w:val="287130EF"/>
    <w:rsid w:val="287C746C"/>
    <w:rsid w:val="28884063"/>
    <w:rsid w:val="28902616"/>
    <w:rsid w:val="28B75523"/>
    <w:rsid w:val="28B9246E"/>
    <w:rsid w:val="28D9666D"/>
    <w:rsid w:val="290D4568"/>
    <w:rsid w:val="295977AD"/>
    <w:rsid w:val="299D3D19"/>
    <w:rsid w:val="29C236CA"/>
    <w:rsid w:val="29E17ECF"/>
    <w:rsid w:val="29ED3190"/>
    <w:rsid w:val="2A202079"/>
    <w:rsid w:val="2A337FFE"/>
    <w:rsid w:val="2A3618A6"/>
    <w:rsid w:val="2A4917DD"/>
    <w:rsid w:val="2A4A0551"/>
    <w:rsid w:val="2A522B7B"/>
    <w:rsid w:val="2A7703E4"/>
    <w:rsid w:val="2A7B5026"/>
    <w:rsid w:val="2A8820F8"/>
    <w:rsid w:val="2B253DEB"/>
    <w:rsid w:val="2B5020BB"/>
    <w:rsid w:val="2B5C6C5C"/>
    <w:rsid w:val="2B5F7D93"/>
    <w:rsid w:val="2B6A5CA2"/>
    <w:rsid w:val="2B881BD7"/>
    <w:rsid w:val="2BAE7A99"/>
    <w:rsid w:val="2BB1567F"/>
    <w:rsid w:val="2BC43604"/>
    <w:rsid w:val="2BDD0222"/>
    <w:rsid w:val="2BEE619D"/>
    <w:rsid w:val="2BF21B23"/>
    <w:rsid w:val="2BF23616"/>
    <w:rsid w:val="2C026866"/>
    <w:rsid w:val="2C602C01"/>
    <w:rsid w:val="2C6C2103"/>
    <w:rsid w:val="2C7768C8"/>
    <w:rsid w:val="2C8774C3"/>
    <w:rsid w:val="2CB573F1"/>
    <w:rsid w:val="2CDD4252"/>
    <w:rsid w:val="2D095368"/>
    <w:rsid w:val="2D0C4C90"/>
    <w:rsid w:val="2D0F2FB4"/>
    <w:rsid w:val="2D1158EC"/>
    <w:rsid w:val="2D2307FE"/>
    <w:rsid w:val="2D282C2D"/>
    <w:rsid w:val="2D2A56E9"/>
    <w:rsid w:val="2D2E525C"/>
    <w:rsid w:val="2D444C4D"/>
    <w:rsid w:val="2D621C05"/>
    <w:rsid w:val="2D7070E6"/>
    <w:rsid w:val="2D775B8D"/>
    <w:rsid w:val="2D83686B"/>
    <w:rsid w:val="2D8C0151"/>
    <w:rsid w:val="2D9502B1"/>
    <w:rsid w:val="2D9549F8"/>
    <w:rsid w:val="2D9E60D7"/>
    <w:rsid w:val="2DA82AB1"/>
    <w:rsid w:val="2DBE5C85"/>
    <w:rsid w:val="2DD45655"/>
    <w:rsid w:val="2DEB6A75"/>
    <w:rsid w:val="2E1D349F"/>
    <w:rsid w:val="2E2746AC"/>
    <w:rsid w:val="2E333410"/>
    <w:rsid w:val="2E3D144C"/>
    <w:rsid w:val="2E474078"/>
    <w:rsid w:val="2E5C56ED"/>
    <w:rsid w:val="2E6E3CFB"/>
    <w:rsid w:val="2E7763D7"/>
    <w:rsid w:val="2E813A2E"/>
    <w:rsid w:val="2E8C7DA4"/>
    <w:rsid w:val="2E913546"/>
    <w:rsid w:val="2E9B17D4"/>
    <w:rsid w:val="2EC059FA"/>
    <w:rsid w:val="2ED578D6"/>
    <w:rsid w:val="2EDA313F"/>
    <w:rsid w:val="2EE1627B"/>
    <w:rsid w:val="2EED5F0C"/>
    <w:rsid w:val="2EF22236"/>
    <w:rsid w:val="2F0F45A5"/>
    <w:rsid w:val="2F407445"/>
    <w:rsid w:val="2F5646C4"/>
    <w:rsid w:val="2F673DC5"/>
    <w:rsid w:val="2F673E2F"/>
    <w:rsid w:val="2F6F4B44"/>
    <w:rsid w:val="2F8405C8"/>
    <w:rsid w:val="2F874003"/>
    <w:rsid w:val="2FA5374C"/>
    <w:rsid w:val="2FAA2B11"/>
    <w:rsid w:val="2FAC4ADB"/>
    <w:rsid w:val="2FB337BF"/>
    <w:rsid w:val="2FC11F5F"/>
    <w:rsid w:val="2FC44692"/>
    <w:rsid w:val="2FE728C3"/>
    <w:rsid w:val="2FEA73B1"/>
    <w:rsid w:val="300D46E6"/>
    <w:rsid w:val="300F6E18"/>
    <w:rsid w:val="30161F54"/>
    <w:rsid w:val="301B756B"/>
    <w:rsid w:val="302010F1"/>
    <w:rsid w:val="30255B8F"/>
    <w:rsid w:val="30311CBE"/>
    <w:rsid w:val="30313158"/>
    <w:rsid w:val="303F524B"/>
    <w:rsid w:val="3045684A"/>
    <w:rsid w:val="304931EE"/>
    <w:rsid w:val="307373A7"/>
    <w:rsid w:val="30896BCA"/>
    <w:rsid w:val="308E41E1"/>
    <w:rsid w:val="309E64C5"/>
    <w:rsid w:val="30A92DC8"/>
    <w:rsid w:val="30BF25EC"/>
    <w:rsid w:val="30D20571"/>
    <w:rsid w:val="30D42EC7"/>
    <w:rsid w:val="30ED28CD"/>
    <w:rsid w:val="30F93D50"/>
    <w:rsid w:val="30FA3624"/>
    <w:rsid w:val="31471D56"/>
    <w:rsid w:val="319266A3"/>
    <w:rsid w:val="31A11CF2"/>
    <w:rsid w:val="31D43E75"/>
    <w:rsid w:val="31F369F1"/>
    <w:rsid w:val="31F42769"/>
    <w:rsid w:val="31FD4A35"/>
    <w:rsid w:val="3200613C"/>
    <w:rsid w:val="321242AB"/>
    <w:rsid w:val="322272D6"/>
    <w:rsid w:val="32382656"/>
    <w:rsid w:val="323F1E38"/>
    <w:rsid w:val="324B54F3"/>
    <w:rsid w:val="32577EAB"/>
    <w:rsid w:val="32674CE9"/>
    <w:rsid w:val="326C33FB"/>
    <w:rsid w:val="327E6BE9"/>
    <w:rsid w:val="328B7504"/>
    <w:rsid w:val="32A30CC6"/>
    <w:rsid w:val="32A517EF"/>
    <w:rsid w:val="32F66B2E"/>
    <w:rsid w:val="32FD564D"/>
    <w:rsid w:val="3301513E"/>
    <w:rsid w:val="330E3B03"/>
    <w:rsid w:val="33146BB9"/>
    <w:rsid w:val="331478DA"/>
    <w:rsid w:val="3341378C"/>
    <w:rsid w:val="33452DCC"/>
    <w:rsid w:val="33692CB1"/>
    <w:rsid w:val="337961E0"/>
    <w:rsid w:val="33835B53"/>
    <w:rsid w:val="33B46E94"/>
    <w:rsid w:val="33D53ED4"/>
    <w:rsid w:val="33EB2705"/>
    <w:rsid w:val="34473024"/>
    <w:rsid w:val="34525525"/>
    <w:rsid w:val="34572B3B"/>
    <w:rsid w:val="347A55DD"/>
    <w:rsid w:val="348F0D25"/>
    <w:rsid w:val="349F1C7D"/>
    <w:rsid w:val="349F4C0E"/>
    <w:rsid w:val="34AA1521"/>
    <w:rsid w:val="34B955A4"/>
    <w:rsid w:val="34BA2757"/>
    <w:rsid w:val="34C20B06"/>
    <w:rsid w:val="34C43748"/>
    <w:rsid w:val="34D80120"/>
    <w:rsid w:val="34E15227"/>
    <w:rsid w:val="34FB5BBD"/>
    <w:rsid w:val="35042C8C"/>
    <w:rsid w:val="351E0259"/>
    <w:rsid w:val="35303AB8"/>
    <w:rsid w:val="3550415A"/>
    <w:rsid w:val="355F439E"/>
    <w:rsid w:val="357F234A"/>
    <w:rsid w:val="358C6296"/>
    <w:rsid w:val="3590319C"/>
    <w:rsid w:val="35A04687"/>
    <w:rsid w:val="35A3072E"/>
    <w:rsid w:val="35B12CE6"/>
    <w:rsid w:val="35C81F43"/>
    <w:rsid w:val="35DE3514"/>
    <w:rsid w:val="35E30B2B"/>
    <w:rsid w:val="35E5121D"/>
    <w:rsid w:val="35FE3BB6"/>
    <w:rsid w:val="360302A0"/>
    <w:rsid w:val="36075618"/>
    <w:rsid w:val="36162CAE"/>
    <w:rsid w:val="36315D3A"/>
    <w:rsid w:val="36346755"/>
    <w:rsid w:val="363B44C3"/>
    <w:rsid w:val="36483084"/>
    <w:rsid w:val="364E7686"/>
    <w:rsid w:val="3655578F"/>
    <w:rsid w:val="36557FFE"/>
    <w:rsid w:val="365F2430"/>
    <w:rsid w:val="36637A36"/>
    <w:rsid w:val="366A5E4A"/>
    <w:rsid w:val="369B1CC8"/>
    <w:rsid w:val="369D6F2B"/>
    <w:rsid w:val="36AB30B8"/>
    <w:rsid w:val="36AE0BE9"/>
    <w:rsid w:val="36C137D5"/>
    <w:rsid w:val="36CC5A63"/>
    <w:rsid w:val="36E25286"/>
    <w:rsid w:val="36F61B71"/>
    <w:rsid w:val="37440F75"/>
    <w:rsid w:val="375021F0"/>
    <w:rsid w:val="3757357E"/>
    <w:rsid w:val="375F12DC"/>
    <w:rsid w:val="3763438D"/>
    <w:rsid w:val="376738C5"/>
    <w:rsid w:val="376E39C2"/>
    <w:rsid w:val="379540A7"/>
    <w:rsid w:val="37987FD4"/>
    <w:rsid w:val="379F140B"/>
    <w:rsid w:val="37A8202C"/>
    <w:rsid w:val="37AB38CA"/>
    <w:rsid w:val="37C075FB"/>
    <w:rsid w:val="37D90437"/>
    <w:rsid w:val="37DA02C4"/>
    <w:rsid w:val="37E81930"/>
    <w:rsid w:val="37EC6351"/>
    <w:rsid w:val="37FF59C4"/>
    <w:rsid w:val="380E4846"/>
    <w:rsid w:val="38390ED6"/>
    <w:rsid w:val="387C7014"/>
    <w:rsid w:val="38895261"/>
    <w:rsid w:val="388E7DD1"/>
    <w:rsid w:val="38BC5693"/>
    <w:rsid w:val="38C82DF0"/>
    <w:rsid w:val="38DE5D2A"/>
    <w:rsid w:val="38E01351"/>
    <w:rsid w:val="38FF6F23"/>
    <w:rsid w:val="39072D82"/>
    <w:rsid w:val="390A2872"/>
    <w:rsid w:val="390C65EA"/>
    <w:rsid w:val="391334D5"/>
    <w:rsid w:val="392848DA"/>
    <w:rsid w:val="39363667"/>
    <w:rsid w:val="39382F3B"/>
    <w:rsid w:val="3958538C"/>
    <w:rsid w:val="399A5E03"/>
    <w:rsid w:val="39A31DF3"/>
    <w:rsid w:val="39A405D1"/>
    <w:rsid w:val="39AC56D7"/>
    <w:rsid w:val="39AE31FE"/>
    <w:rsid w:val="39B0341A"/>
    <w:rsid w:val="39B051C8"/>
    <w:rsid w:val="39DC420F"/>
    <w:rsid w:val="3A175969"/>
    <w:rsid w:val="3A193197"/>
    <w:rsid w:val="3A217995"/>
    <w:rsid w:val="3A284A62"/>
    <w:rsid w:val="3A2D7869"/>
    <w:rsid w:val="3A2F07E2"/>
    <w:rsid w:val="3A4B326E"/>
    <w:rsid w:val="3A8A77C7"/>
    <w:rsid w:val="3A8D0CFD"/>
    <w:rsid w:val="3AA52853"/>
    <w:rsid w:val="3AAA13F0"/>
    <w:rsid w:val="3AB72586"/>
    <w:rsid w:val="3ADA2D66"/>
    <w:rsid w:val="3B043A1D"/>
    <w:rsid w:val="3B077069"/>
    <w:rsid w:val="3B0E664A"/>
    <w:rsid w:val="3B131EB2"/>
    <w:rsid w:val="3B2C2F74"/>
    <w:rsid w:val="3B5A0BA9"/>
    <w:rsid w:val="3B6C3370"/>
    <w:rsid w:val="3B7F18E1"/>
    <w:rsid w:val="3B821BA0"/>
    <w:rsid w:val="3B823FE5"/>
    <w:rsid w:val="3B9D177C"/>
    <w:rsid w:val="3BA455DE"/>
    <w:rsid w:val="3BC907C3"/>
    <w:rsid w:val="3C047A4D"/>
    <w:rsid w:val="3C1001A0"/>
    <w:rsid w:val="3C2974B3"/>
    <w:rsid w:val="3C396621"/>
    <w:rsid w:val="3C3D1D4A"/>
    <w:rsid w:val="3C3F315C"/>
    <w:rsid w:val="3C3F652B"/>
    <w:rsid w:val="3C6329C5"/>
    <w:rsid w:val="3C683B38"/>
    <w:rsid w:val="3C722C08"/>
    <w:rsid w:val="3CBE6BDA"/>
    <w:rsid w:val="3CDF588B"/>
    <w:rsid w:val="3CE63103"/>
    <w:rsid w:val="3CF278A5"/>
    <w:rsid w:val="3CF950D8"/>
    <w:rsid w:val="3D0A1093"/>
    <w:rsid w:val="3D17730C"/>
    <w:rsid w:val="3D25294A"/>
    <w:rsid w:val="3D29776B"/>
    <w:rsid w:val="3D2C725B"/>
    <w:rsid w:val="3D6F7806"/>
    <w:rsid w:val="3D736C38"/>
    <w:rsid w:val="3D7D1CFE"/>
    <w:rsid w:val="3D8C5F4C"/>
    <w:rsid w:val="3D913562"/>
    <w:rsid w:val="3D926193"/>
    <w:rsid w:val="3D9304BA"/>
    <w:rsid w:val="3D967A29"/>
    <w:rsid w:val="3DB01C3A"/>
    <w:rsid w:val="3DB50FFF"/>
    <w:rsid w:val="3DBF00CF"/>
    <w:rsid w:val="3DC7174F"/>
    <w:rsid w:val="3DCC6348"/>
    <w:rsid w:val="3DE3213E"/>
    <w:rsid w:val="3DF338D5"/>
    <w:rsid w:val="3DFD6E8C"/>
    <w:rsid w:val="3E015FF2"/>
    <w:rsid w:val="3E02546D"/>
    <w:rsid w:val="3E2717D1"/>
    <w:rsid w:val="3E3A7756"/>
    <w:rsid w:val="3E4F061D"/>
    <w:rsid w:val="3E682515"/>
    <w:rsid w:val="3E6E2FE8"/>
    <w:rsid w:val="3E772758"/>
    <w:rsid w:val="3E7B23CD"/>
    <w:rsid w:val="3EB652C8"/>
    <w:rsid w:val="3EC60FE9"/>
    <w:rsid w:val="3EDE6333"/>
    <w:rsid w:val="3F1B1335"/>
    <w:rsid w:val="3F2D1F42"/>
    <w:rsid w:val="3F2F2EB7"/>
    <w:rsid w:val="3F4168C2"/>
    <w:rsid w:val="3F4410C7"/>
    <w:rsid w:val="3F446C4E"/>
    <w:rsid w:val="3F4F7231"/>
    <w:rsid w:val="3F5B0661"/>
    <w:rsid w:val="3F5D5BFB"/>
    <w:rsid w:val="3F746D6D"/>
    <w:rsid w:val="3F7E18C4"/>
    <w:rsid w:val="3F920F7D"/>
    <w:rsid w:val="3FC03C8B"/>
    <w:rsid w:val="3FE9091D"/>
    <w:rsid w:val="3FFF2A05"/>
    <w:rsid w:val="401E47B2"/>
    <w:rsid w:val="40223417"/>
    <w:rsid w:val="40365F3A"/>
    <w:rsid w:val="405771F1"/>
    <w:rsid w:val="406E5B77"/>
    <w:rsid w:val="4071000B"/>
    <w:rsid w:val="4076423A"/>
    <w:rsid w:val="40804F57"/>
    <w:rsid w:val="40903123"/>
    <w:rsid w:val="40994C08"/>
    <w:rsid w:val="40AE309C"/>
    <w:rsid w:val="40CC1A64"/>
    <w:rsid w:val="412169AB"/>
    <w:rsid w:val="41390199"/>
    <w:rsid w:val="4168282C"/>
    <w:rsid w:val="416F5FE8"/>
    <w:rsid w:val="418701FF"/>
    <w:rsid w:val="41930E66"/>
    <w:rsid w:val="41AE6491"/>
    <w:rsid w:val="41C433C0"/>
    <w:rsid w:val="41E94BEF"/>
    <w:rsid w:val="41EC6FB9"/>
    <w:rsid w:val="420267DC"/>
    <w:rsid w:val="420E7F0F"/>
    <w:rsid w:val="421D53C4"/>
    <w:rsid w:val="422E0FAE"/>
    <w:rsid w:val="42415557"/>
    <w:rsid w:val="42561487"/>
    <w:rsid w:val="425B0CB6"/>
    <w:rsid w:val="425B7C9B"/>
    <w:rsid w:val="426502BF"/>
    <w:rsid w:val="42781280"/>
    <w:rsid w:val="42905B96"/>
    <w:rsid w:val="429338D8"/>
    <w:rsid w:val="42B23D5F"/>
    <w:rsid w:val="42B775C7"/>
    <w:rsid w:val="42D40179"/>
    <w:rsid w:val="42DC38D8"/>
    <w:rsid w:val="42DD3996"/>
    <w:rsid w:val="42EE7D73"/>
    <w:rsid w:val="42F425C9"/>
    <w:rsid w:val="43010842"/>
    <w:rsid w:val="43144A19"/>
    <w:rsid w:val="433E3844"/>
    <w:rsid w:val="433E55F2"/>
    <w:rsid w:val="43406ECD"/>
    <w:rsid w:val="434626F9"/>
    <w:rsid w:val="436037BB"/>
    <w:rsid w:val="436A2EEE"/>
    <w:rsid w:val="4374370A"/>
    <w:rsid w:val="437B6846"/>
    <w:rsid w:val="437E249E"/>
    <w:rsid w:val="438324D8"/>
    <w:rsid w:val="438C0A54"/>
    <w:rsid w:val="43957F31"/>
    <w:rsid w:val="43AE7F71"/>
    <w:rsid w:val="43B65AD0"/>
    <w:rsid w:val="43BD6E5F"/>
    <w:rsid w:val="43CD4B66"/>
    <w:rsid w:val="43D61CCF"/>
    <w:rsid w:val="43E24DDB"/>
    <w:rsid w:val="43E50164"/>
    <w:rsid w:val="440A1978"/>
    <w:rsid w:val="441655A2"/>
    <w:rsid w:val="44456649"/>
    <w:rsid w:val="445350CD"/>
    <w:rsid w:val="44637801"/>
    <w:rsid w:val="446C2633"/>
    <w:rsid w:val="44751012"/>
    <w:rsid w:val="44894335"/>
    <w:rsid w:val="44916F6F"/>
    <w:rsid w:val="44B30262"/>
    <w:rsid w:val="44BC3AD6"/>
    <w:rsid w:val="44C24472"/>
    <w:rsid w:val="44D02BC2"/>
    <w:rsid w:val="44D902F7"/>
    <w:rsid w:val="44DE54B5"/>
    <w:rsid w:val="44EE4DF6"/>
    <w:rsid w:val="4508235C"/>
    <w:rsid w:val="45107462"/>
    <w:rsid w:val="45120AE5"/>
    <w:rsid w:val="45275543"/>
    <w:rsid w:val="4540516B"/>
    <w:rsid w:val="455F6E02"/>
    <w:rsid w:val="45605CF4"/>
    <w:rsid w:val="4570437D"/>
    <w:rsid w:val="45905EAD"/>
    <w:rsid w:val="459D5389"/>
    <w:rsid w:val="45B45EA9"/>
    <w:rsid w:val="45C269AF"/>
    <w:rsid w:val="45C30031"/>
    <w:rsid w:val="45EC57D9"/>
    <w:rsid w:val="45EF52CA"/>
    <w:rsid w:val="4608116A"/>
    <w:rsid w:val="460C3316"/>
    <w:rsid w:val="460D5750"/>
    <w:rsid w:val="462C3E28"/>
    <w:rsid w:val="463852B9"/>
    <w:rsid w:val="46603AD2"/>
    <w:rsid w:val="466730B2"/>
    <w:rsid w:val="4693028F"/>
    <w:rsid w:val="46A47E62"/>
    <w:rsid w:val="46A63BDA"/>
    <w:rsid w:val="46B14FB3"/>
    <w:rsid w:val="46C6427C"/>
    <w:rsid w:val="46D0483B"/>
    <w:rsid w:val="46D90263"/>
    <w:rsid w:val="46DC3AA0"/>
    <w:rsid w:val="46DF3965"/>
    <w:rsid w:val="46EA4B6A"/>
    <w:rsid w:val="470152B5"/>
    <w:rsid w:val="470531F6"/>
    <w:rsid w:val="471C0C14"/>
    <w:rsid w:val="471C3E9C"/>
    <w:rsid w:val="472B410F"/>
    <w:rsid w:val="472D28EE"/>
    <w:rsid w:val="472D42FC"/>
    <w:rsid w:val="47306EFC"/>
    <w:rsid w:val="4743131C"/>
    <w:rsid w:val="474427C5"/>
    <w:rsid w:val="47523D62"/>
    <w:rsid w:val="475655CA"/>
    <w:rsid w:val="477508AC"/>
    <w:rsid w:val="47851AB4"/>
    <w:rsid w:val="47C51992"/>
    <w:rsid w:val="47C76C5A"/>
    <w:rsid w:val="47CF7161"/>
    <w:rsid w:val="47D50476"/>
    <w:rsid w:val="480530CE"/>
    <w:rsid w:val="480A1F47"/>
    <w:rsid w:val="480E0C56"/>
    <w:rsid w:val="4825404E"/>
    <w:rsid w:val="482A4397"/>
    <w:rsid w:val="483B47F6"/>
    <w:rsid w:val="485A40A8"/>
    <w:rsid w:val="486755EB"/>
    <w:rsid w:val="486B5615"/>
    <w:rsid w:val="488B2BE4"/>
    <w:rsid w:val="48C06AA9"/>
    <w:rsid w:val="48C400DF"/>
    <w:rsid w:val="48ED1A5D"/>
    <w:rsid w:val="48EF53A0"/>
    <w:rsid w:val="48F00167"/>
    <w:rsid w:val="48F97216"/>
    <w:rsid w:val="49157F62"/>
    <w:rsid w:val="493C6A78"/>
    <w:rsid w:val="4941408E"/>
    <w:rsid w:val="49463FBB"/>
    <w:rsid w:val="494D4F4F"/>
    <w:rsid w:val="498016EA"/>
    <w:rsid w:val="49982DD8"/>
    <w:rsid w:val="49B02FC2"/>
    <w:rsid w:val="49C01457"/>
    <w:rsid w:val="49CF169A"/>
    <w:rsid w:val="49D3496D"/>
    <w:rsid w:val="49DE18DD"/>
    <w:rsid w:val="49DF57C2"/>
    <w:rsid w:val="49E50E0C"/>
    <w:rsid w:val="49FC0F57"/>
    <w:rsid w:val="4A0C644A"/>
    <w:rsid w:val="4A121587"/>
    <w:rsid w:val="4A2112CE"/>
    <w:rsid w:val="4A220B2A"/>
    <w:rsid w:val="4A2A2D74"/>
    <w:rsid w:val="4A2D3581"/>
    <w:rsid w:val="4A3B288C"/>
    <w:rsid w:val="4A3D45CF"/>
    <w:rsid w:val="4A495601"/>
    <w:rsid w:val="4A761B16"/>
    <w:rsid w:val="4A7D49AE"/>
    <w:rsid w:val="4A7D4C52"/>
    <w:rsid w:val="4ADA6548"/>
    <w:rsid w:val="4ADF6F8E"/>
    <w:rsid w:val="4AEA5683"/>
    <w:rsid w:val="4AF757E5"/>
    <w:rsid w:val="4B0012B9"/>
    <w:rsid w:val="4B11714A"/>
    <w:rsid w:val="4B15132F"/>
    <w:rsid w:val="4B245E32"/>
    <w:rsid w:val="4B2E419E"/>
    <w:rsid w:val="4B3B68BB"/>
    <w:rsid w:val="4B3E3DC3"/>
    <w:rsid w:val="4B460B4B"/>
    <w:rsid w:val="4B8B15F1"/>
    <w:rsid w:val="4B960487"/>
    <w:rsid w:val="4B9F509C"/>
    <w:rsid w:val="4B9F5441"/>
    <w:rsid w:val="4BB70638"/>
    <w:rsid w:val="4BCC126D"/>
    <w:rsid w:val="4BDE5BC4"/>
    <w:rsid w:val="4C0C0983"/>
    <w:rsid w:val="4C181EB0"/>
    <w:rsid w:val="4C1956B5"/>
    <w:rsid w:val="4C303F46"/>
    <w:rsid w:val="4C43011D"/>
    <w:rsid w:val="4C523EBC"/>
    <w:rsid w:val="4C5916EF"/>
    <w:rsid w:val="4C620A19"/>
    <w:rsid w:val="4C6B236A"/>
    <w:rsid w:val="4C704522"/>
    <w:rsid w:val="4C757051"/>
    <w:rsid w:val="4C9444D5"/>
    <w:rsid w:val="4C9620A1"/>
    <w:rsid w:val="4CAF0EB6"/>
    <w:rsid w:val="4CB2124A"/>
    <w:rsid w:val="4CB30DFF"/>
    <w:rsid w:val="4CBB312B"/>
    <w:rsid w:val="4CBD7ED0"/>
    <w:rsid w:val="4CC005D3"/>
    <w:rsid w:val="4CC0176E"/>
    <w:rsid w:val="4CF84A64"/>
    <w:rsid w:val="4D07114B"/>
    <w:rsid w:val="4D16138E"/>
    <w:rsid w:val="4D1A57C1"/>
    <w:rsid w:val="4D4E0B28"/>
    <w:rsid w:val="4D5048A0"/>
    <w:rsid w:val="4D5A74CD"/>
    <w:rsid w:val="4D5D520F"/>
    <w:rsid w:val="4D695962"/>
    <w:rsid w:val="4D7B7443"/>
    <w:rsid w:val="4D8602C2"/>
    <w:rsid w:val="4D867C95"/>
    <w:rsid w:val="4DBA7F74"/>
    <w:rsid w:val="4DBC2348"/>
    <w:rsid w:val="4DC40DEA"/>
    <w:rsid w:val="4DCC3EE3"/>
    <w:rsid w:val="4DD94895"/>
    <w:rsid w:val="4DE16963"/>
    <w:rsid w:val="4DE82D2A"/>
    <w:rsid w:val="4DEF1879"/>
    <w:rsid w:val="4E077BF0"/>
    <w:rsid w:val="4E1E04FA"/>
    <w:rsid w:val="4E342CB2"/>
    <w:rsid w:val="4E3C6BD2"/>
    <w:rsid w:val="4E465CA3"/>
    <w:rsid w:val="4E4D5283"/>
    <w:rsid w:val="4E4E1D5A"/>
    <w:rsid w:val="4E636855"/>
    <w:rsid w:val="4E6C5709"/>
    <w:rsid w:val="4E7A5B23"/>
    <w:rsid w:val="4ED072DF"/>
    <w:rsid w:val="4EEE25C2"/>
    <w:rsid w:val="4EFA6F0B"/>
    <w:rsid w:val="4F03730B"/>
    <w:rsid w:val="4F24681D"/>
    <w:rsid w:val="4F4641AC"/>
    <w:rsid w:val="4F495A4B"/>
    <w:rsid w:val="4F700FBB"/>
    <w:rsid w:val="4F905428"/>
    <w:rsid w:val="4F9273F2"/>
    <w:rsid w:val="4F995FBE"/>
    <w:rsid w:val="4FA113E3"/>
    <w:rsid w:val="4FA87968"/>
    <w:rsid w:val="4FBA06F6"/>
    <w:rsid w:val="4FBA3D69"/>
    <w:rsid w:val="4FBB3EDC"/>
    <w:rsid w:val="4FC17652"/>
    <w:rsid w:val="4FD40AC1"/>
    <w:rsid w:val="4FD51347"/>
    <w:rsid w:val="4FDB48F5"/>
    <w:rsid w:val="4FDC066D"/>
    <w:rsid w:val="4FDD5B0F"/>
    <w:rsid w:val="4FDE23A5"/>
    <w:rsid w:val="4FF71D9E"/>
    <w:rsid w:val="50146059"/>
    <w:rsid w:val="50352BA7"/>
    <w:rsid w:val="50380806"/>
    <w:rsid w:val="503F29AA"/>
    <w:rsid w:val="50632B3C"/>
    <w:rsid w:val="50642410"/>
    <w:rsid w:val="50830D73"/>
    <w:rsid w:val="5091122C"/>
    <w:rsid w:val="5095081C"/>
    <w:rsid w:val="50AF4D3D"/>
    <w:rsid w:val="50B1333A"/>
    <w:rsid w:val="50B25872"/>
    <w:rsid w:val="50B412E2"/>
    <w:rsid w:val="50B53920"/>
    <w:rsid w:val="50B769E4"/>
    <w:rsid w:val="50C17863"/>
    <w:rsid w:val="50C25AB5"/>
    <w:rsid w:val="50CC1AE3"/>
    <w:rsid w:val="50CF1F80"/>
    <w:rsid w:val="50F479BB"/>
    <w:rsid w:val="510359BF"/>
    <w:rsid w:val="51051E45"/>
    <w:rsid w:val="51121E6C"/>
    <w:rsid w:val="5119769F"/>
    <w:rsid w:val="513332DD"/>
    <w:rsid w:val="514C537E"/>
    <w:rsid w:val="514E7348"/>
    <w:rsid w:val="515B7CB7"/>
    <w:rsid w:val="51840FBC"/>
    <w:rsid w:val="518A40F8"/>
    <w:rsid w:val="51A76A58"/>
    <w:rsid w:val="51C0416F"/>
    <w:rsid w:val="51DA0021"/>
    <w:rsid w:val="5200559A"/>
    <w:rsid w:val="52036385"/>
    <w:rsid w:val="523C3645"/>
    <w:rsid w:val="52460388"/>
    <w:rsid w:val="525A6314"/>
    <w:rsid w:val="526926F0"/>
    <w:rsid w:val="52846D9A"/>
    <w:rsid w:val="528900C4"/>
    <w:rsid w:val="528A050C"/>
    <w:rsid w:val="52972F71"/>
    <w:rsid w:val="52AB2578"/>
    <w:rsid w:val="52C00D2C"/>
    <w:rsid w:val="52D54FA8"/>
    <w:rsid w:val="53052619"/>
    <w:rsid w:val="530F48B5"/>
    <w:rsid w:val="5314246F"/>
    <w:rsid w:val="532357FB"/>
    <w:rsid w:val="534F1156"/>
    <w:rsid w:val="53517366"/>
    <w:rsid w:val="535F3A8F"/>
    <w:rsid w:val="53754696"/>
    <w:rsid w:val="53852DC9"/>
    <w:rsid w:val="5399404E"/>
    <w:rsid w:val="53997CEE"/>
    <w:rsid w:val="539B6B1A"/>
    <w:rsid w:val="53C027A0"/>
    <w:rsid w:val="53C42172"/>
    <w:rsid w:val="53C90F08"/>
    <w:rsid w:val="53CC09F8"/>
    <w:rsid w:val="53E75832"/>
    <w:rsid w:val="53E811D7"/>
    <w:rsid w:val="53EE4466"/>
    <w:rsid w:val="53FD32A8"/>
    <w:rsid w:val="541A1764"/>
    <w:rsid w:val="543D5452"/>
    <w:rsid w:val="54576236"/>
    <w:rsid w:val="54813591"/>
    <w:rsid w:val="548D462B"/>
    <w:rsid w:val="54A040EB"/>
    <w:rsid w:val="54CD4A28"/>
    <w:rsid w:val="54D8048C"/>
    <w:rsid w:val="55025CFB"/>
    <w:rsid w:val="551566C3"/>
    <w:rsid w:val="5540344C"/>
    <w:rsid w:val="554A42CB"/>
    <w:rsid w:val="554F0D30"/>
    <w:rsid w:val="555751F3"/>
    <w:rsid w:val="555E1B24"/>
    <w:rsid w:val="55627866"/>
    <w:rsid w:val="5568060E"/>
    <w:rsid w:val="556F788D"/>
    <w:rsid w:val="55844EDD"/>
    <w:rsid w:val="559317CE"/>
    <w:rsid w:val="55983288"/>
    <w:rsid w:val="55A0213D"/>
    <w:rsid w:val="55A03F4F"/>
    <w:rsid w:val="55AC0615"/>
    <w:rsid w:val="55C25297"/>
    <w:rsid w:val="55C73E84"/>
    <w:rsid w:val="55DA73FC"/>
    <w:rsid w:val="5602119B"/>
    <w:rsid w:val="56024BA5"/>
    <w:rsid w:val="560A4105"/>
    <w:rsid w:val="561623FF"/>
    <w:rsid w:val="561E098C"/>
    <w:rsid w:val="562C6F5B"/>
    <w:rsid w:val="56325EB0"/>
    <w:rsid w:val="56332FB1"/>
    <w:rsid w:val="56551179"/>
    <w:rsid w:val="567D1040"/>
    <w:rsid w:val="56941CA1"/>
    <w:rsid w:val="56A562FD"/>
    <w:rsid w:val="56AF4C50"/>
    <w:rsid w:val="56C105BC"/>
    <w:rsid w:val="56C44E8E"/>
    <w:rsid w:val="57031597"/>
    <w:rsid w:val="57087F99"/>
    <w:rsid w:val="573214BA"/>
    <w:rsid w:val="573A262E"/>
    <w:rsid w:val="574F2ECF"/>
    <w:rsid w:val="57521214"/>
    <w:rsid w:val="5756221B"/>
    <w:rsid w:val="575C02E5"/>
    <w:rsid w:val="576F0018"/>
    <w:rsid w:val="577F5457"/>
    <w:rsid w:val="57825F9E"/>
    <w:rsid w:val="578A487E"/>
    <w:rsid w:val="578C4726"/>
    <w:rsid w:val="579655A5"/>
    <w:rsid w:val="57A53A3A"/>
    <w:rsid w:val="57BA613E"/>
    <w:rsid w:val="57D12A81"/>
    <w:rsid w:val="57EE53E1"/>
    <w:rsid w:val="57FD4958"/>
    <w:rsid w:val="580B5F93"/>
    <w:rsid w:val="58143D86"/>
    <w:rsid w:val="582A3724"/>
    <w:rsid w:val="584F3EB1"/>
    <w:rsid w:val="58536FCF"/>
    <w:rsid w:val="58714982"/>
    <w:rsid w:val="58957303"/>
    <w:rsid w:val="58975164"/>
    <w:rsid w:val="58AB6E2E"/>
    <w:rsid w:val="58B06B3A"/>
    <w:rsid w:val="58BC657C"/>
    <w:rsid w:val="58E17229"/>
    <w:rsid w:val="58F3334B"/>
    <w:rsid w:val="58F509F1"/>
    <w:rsid w:val="58F9403E"/>
    <w:rsid w:val="591E1CF6"/>
    <w:rsid w:val="591E3AA4"/>
    <w:rsid w:val="59322FE5"/>
    <w:rsid w:val="59384DCD"/>
    <w:rsid w:val="593F588B"/>
    <w:rsid w:val="5963595B"/>
    <w:rsid w:val="597933D0"/>
    <w:rsid w:val="5979517E"/>
    <w:rsid w:val="598314AC"/>
    <w:rsid w:val="598444FE"/>
    <w:rsid w:val="598A70BE"/>
    <w:rsid w:val="59A57D21"/>
    <w:rsid w:val="59C20AC9"/>
    <w:rsid w:val="59C524D5"/>
    <w:rsid w:val="59C7413C"/>
    <w:rsid w:val="59C77C98"/>
    <w:rsid w:val="59CE4859"/>
    <w:rsid w:val="59DB1995"/>
    <w:rsid w:val="59F64A21"/>
    <w:rsid w:val="5A1B0F6D"/>
    <w:rsid w:val="5A1D5DC3"/>
    <w:rsid w:val="5A1F49E2"/>
    <w:rsid w:val="5A28616B"/>
    <w:rsid w:val="5A290952"/>
    <w:rsid w:val="5A2D6EE1"/>
    <w:rsid w:val="5A317807"/>
    <w:rsid w:val="5A3966BC"/>
    <w:rsid w:val="5A731BCE"/>
    <w:rsid w:val="5A751645"/>
    <w:rsid w:val="5A7547E2"/>
    <w:rsid w:val="5A76346C"/>
    <w:rsid w:val="5A847D1C"/>
    <w:rsid w:val="5A864198"/>
    <w:rsid w:val="5A967D4A"/>
    <w:rsid w:val="5A9A60F2"/>
    <w:rsid w:val="5A9B1124"/>
    <w:rsid w:val="5A9C0AC8"/>
    <w:rsid w:val="5A9D065F"/>
    <w:rsid w:val="5AAA410D"/>
    <w:rsid w:val="5ADA4C20"/>
    <w:rsid w:val="5AEB324E"/>
    <w:rsid w:val="5B157129"/>
    <w:rsid w:val="5B1F58B2"/>
    <w:rsid w:val="5B24111A"/>
    <w:rsid w:val="5B317A04"/>
    <w:rsid w:val="5B37709F"/>
    <w:rsid w:val="5B4F7685"/>
    <w:rsid w:val="5B743E4F"/>
    <w:rsid w:val="5B791466"/>
    <w:rsid w:val="5B9B762E"/>
    <w:rsid w:val="5B9D451F"/>
    <w:rsid w:val="5B9E711E"/>
    <w:rsid w:val="5BB22BCA"/>
    <w:rsid w:val="5BC16969"/>
    <w:rsid w:val="5BDA6F0A"/>
    <w:rsid w:val="5BF926CB"/>
    <w:rsid w:val="5C02145B"/>
    <w:rsid w:val="5C090A3C"/>
    <w:rsid w:val="5C0E333F"/>
    <w:rsid w:val="5C2127DF"/>
    <w:rsid w:val="5C2A6C04"/>
    <w:rsid w:val="5C3E620B"/>
    <w:rsid w:val="5C58551F"/>
    <w:rsid w:val="5C6519EA"/>
    <w:rsid w:val="5C763B4D"/>
    <w:rsid w:val="5C830451"/>
    <w:rsid w:val="5C9347A9"/>
    <w:rsid w:val="5C9438CD"/>
    <w:rsid w:val="5C950521"/>
    <w:rsid w:val="5C973DDD"/>
    <w:rsid w:val="5C9A07CB"/>
    <w:rsid w:val="5CAE513F"/>
    <w:rsid w:val="5CB0535B"/>
    <w:rsid w:val="5CB84204"/>
    <w:rsid w:val="5CC10120"/>
    <w:rsid w:val="5CE46DB3"/>
    <w:rsid w:val="5CF07506"/>
    <w:rsid w:val="5D041203"/>
    <w:rsid w:val="5D0E2082"/>
    <w:rsid w:val="5D5C4B9B"/>
    <w:rsid w:val="5D845774"/>
    <w:rsid w:val="5D964551"/>
    <w:rsid w:val="5DA14CA4"/>
    <w:rsid w:val="5DB56E75"/>
    <w:rsid w:val="5DEA3CA1"/>
    <w:rsid w:val="5DEF6232"/>
    <w:rsid w:val="5E120A46"/>
    <w:rsid w:val="5E160385"/>
    <w:rsid w:val="5E20206C"/>
    <w:rsid w:val="5E2A4C99"/>
    <w:rsid w:val="5E317DD6"/>
    <w:rsid w:val="5E6A778C"/>
    <w:rsid w:val="5E9F2C16"/>
    <w:rsid w:val="5EAB639B"/>
    <w:rsid w:val="5EB10F16"/>
    <w:rsid w:val="5EB11A7B"/>
    <w:rsid w:val="5ECF75EF"/>
    <w:rsid w:val="5EDB41E5"/>
    <w:rsid w:val="5EE0025B"/>
    <w:rsid w:val="5EE70DDC"/>
    <w:rsid w:val="5EF77271"/>
    <w:rsid w:val="5F1D1E82"/>
    <w:rsid w:val="5F356DCB"/>
    <w:rsid w:val="5F6366B5"/>
    <w:rsid w:val="5F697EC9"/>
    <w:rsid w:val="5F7741D1"/>
    <w:rsid w:val="5F9422B9"/>
    <w:rsid w:val="5F9A0C22"/>
    <w:rsid w:val="5F9F545B"/>
    <w:rsid w:val="5FAE5456"/>
    <w:rsid w:val="5FBE2478"/>
    <w:rsid w:val="5FCC1FF0"/>
    <w:rsid w:val="5FD01870"/>
    <w:rsid w:val="5FE86BBA"/>
    <w:rsid w:val="60114363"/>
    <w:rsid w:val="603E0825"/>
    <w:rsid w:val="60624BBE"/>
    <w:rsid w:val="60651FB9"/>
    <w:rsid w:val="609D79A4"/>
    <w:rsid w:val="60CE4002"/>
    <w:rsid w:val="60E11F1C"/>
    <w:rsid w:val="60E45BD3"/>
    <w:rsid w:val="61001129"/>
    <w:rsid w:val="61204131"/>
    <w:rsid w:val="61290AA6"/>
    <w:rsid w:val="61291238"/>
    <w:rsid w:val="6151078F"/>
    <w:rsid w:val="61723E52"/>
    <w:rsid w:val="61785D1C"/>
    <w:rsid w:val="61C62EB6"/>
    <w:rsid w:val="61F21F72"/>
    <w:rsid w:val="6200468F"/>
    <w:rsid w:val="62015D11"/>
    <w:rsid w:val="6211064A"/>
    <w:rsid w:val="62161E7E"/>
    <w:rsid w:val="622D4D58"/>
    <w:rsid w:val="625E3163"/>
    <w:rsid w:val="625E7607"/>
    <w:rsid w:val="625F5724"/>
    <w:rsid w:val="6260466D"/>
    <w:rsid w:val="62652744"/>
    <w:rsid w:val="62AD7165"/>
    <w:rsid w:val="62C06D65"/>
    <w:rsid w:val="62D2566C"/>
    <w:rsid w:val="62FE060E"/>
    <w:rsid w:val="63312626"/>
    <w:rsid w:val="6371580B"/>
    <w:rsid w:val="63716EC6"/>
    <w:rsid w:val="63765739"/>
    <w:rsid w:val="638B61DA"/>
    <w:rsid w:val="63A54F9A"/>
    <w:rsid w:val="63A66B87"/>
    <w:rsid w:val="63AF366D"/>
    <w:rsid w:val="63BF40D6"/>
    <w:rsid w:val="63C60FC0"/>
    <w:rsid w:val="63D336DD"/>
    <w:rsid w:val="63D556A7"/>
    <w:rsid w:val="63D77671"/>
    <w:rsid w:val="63DA0F0F"/>
    <w:rsid w:val="63F260B2"/>
    <w:rsid w:val="6400652A"/>
    <w:rsid w:val="64297014"/>
    <w:rsid w:val="6450305A"/>
    <w:rsid w:val="645667E8"/>
    <w:rsid w:val="64616F3B"/>
    <w:rsid w:val="64672956"/>
    <w:rsid w:val="64682077"/>
    <w:rsid w:val="646A4041"/>
    <w:rsid w:val="64754794"/>
    <w:rsid w:val="64813139"/>
    <w:rsid w:val="649410BE"/>
    <w:rsid w:val="64990483"/>
    <w:rsid w:val="649D7C7E"/>
    <w:rsid w:val="64A55ED4"/>
    <w:rsid w:val="64A85D79"/>
    <w:rsid w:val="64C179D9"/>
    <w:rsid w:val="64C574CA"/>
    <w:rsid w:val="64EE026A"/>
    <w:rsid w:val="64F47DAF"/>
    <w:rsid w:val="65085608"/>
    <w:rsid w:val="65150451"/>
    <w:rsid w:val="651C1FEC"/>
    <w:rsid w:val="651D2E62"/>
    <w:rsid w:val="656C41F2"/>
    <w:rsid w:val="65732A74"/>
    <w:rsid w:val="65852CE7"/>
    <w:rsid w:val="65B337C6"/>
    <w:rsid w:val="65BC08CD"/>
    <w:rsid w:val="65BF660F"/>
    <w:rsid w:val="65EC1E02"/>
    <w:rsid w:val="6603474E"/>
    <w:rsid w:val="661978F4"/>
    <w:rsid w:val="661C580F"/>
    <w:rsid w:val="662B15AE"/>
    <w:rsid w:val="662F72F1"/>
    <w:rsid w:val="6631354F"/>
    <w:rsid w:val="66544FA9"/>
    <w:rsid w:val="6659436D"/>
    <w:rsid w:val="668D2269"/>
    <w:rsid w:val="66911D59"/>
    <w:rsid w:val="669B2BD8"/>
    <w:rsid w:val="669E73DD"/>
    <w:rsid w:val="66BB0056"/>
    <w:rsid w:val="66BE68C6"/>
    <w:rsid w:val="66C11CEB"/>
    <w:rsid w:val="66CA7019"/>
    <w:rsid w:val="66E04A8F"/>
    <w:rsid w:val="66F44096"/>
    <w:rsid w:val="66F81DD8"/>
    <w:rsid w:val="66FD2343"/>
    <w:rsid w:val="66FE684E"/>
    <w:rsid w:val="67010561"/>
    <w:rsid w:val="670C13E0"/>
    <w:rsid w:val="67143F14"/>
    <w:rsid w:val="671C212C"/>
    <w:rsid w:val="67256946"/>
    <w:rsid w:val="673B2465"/>
    <w:rsid w:val="67550FD9"/>
    <w:rsid w:val="675608AD"/>
    <w:rsid w:val="6760797E"/>
    <w:rsid w:val="676254A4"/>
    <w:rsid w:val="676E5BF7"/>
    <w:rsid w:val="67796DED"/>
    <w:rsid w:val="67913F09"/>
    <w:rsid w:val="67BA0E3C"/>
    <w:rsid w:val="67D850BF"/>
    <w:rsid w:val="67DE683B"/>
    <w:rsid w:val="67DF4D46"/>
    <w:rsid w:val="67F8105F"/>
    <w:rsid w:val="67FF1758"/>
    <w:rsid w:val="68022482"/>
    <w:rsid w:val="680F2C59"/>
    <w:rsid w:val="68306639"/>
    <w:rsid w:val="68456BA0"/>
    <w:rsid w:val="684A7CD8"/>
    <w:rsid w:val="684B418A"/>
    <w:rsid w:val="68612BBE"/>
    <w:rsid w:val="6874548F"/>
    <w:rsid w:val="687476C1"/>
    <w:rsid w:val="687731D1"/>
    <w:rsid w:val="68896F27"/>
    <w:rsid w:val="689773CF"/>
    <w:rsid w:val="68AA0DA2"/>
    <w:rsid w:val="68BA5CD4"/>
    <w:rsid w:val="68BE7812"/>
    <w:rsid w:val="68C1444C"/>
    <w:rsid w:val="68C41A84"/>
    <w:rsid w:val="68CC21DB"/>
    <w:rsid w:val="68EF720B"/>
    <w:rsid w:val="68F15A0D"/>
    <w:rsid w:val="68F42855"/>
    <w:rsid w:val="690545F4"/>
    <w:rsid w:val="69083E29"/>
    <w:rsid w:val="69085048"/>
    <w:rsid w:val="69484A8D"/>
    <w:rsid w:val="694A2693"/>
    <w:rsid w:val="694D6AE0"/>
    <w:rsid w:val="69540E1C"/>
    <w:rsid w:val="69780837"/>
    <w:rsid w:val="69823BDB"/>
    <w:rsid w:val="698E07D2"/>
    <w:rsid w:val="699A7177"/>
    <w:rsid w:val="699D5390"/>
    <w:rsid w:val="69B144C0"/>
    <w:rsid w:val="69B63B8D"/>
    <w:rsid w:val="69BA59FD"/>
    <w:rsid w:val="69C266CE"/>
    <w:rsid w:val="69CE19DC"/>
    <w:rsid w:val="69E14DA6"/>
    <w:rsid w:val="69F52F4F"/>
    <w:rsid w:val="6A3A3931"/>
    <w:rsid w:val="6A58493C"/>
    <w:rsid w:val="6A6A3D24"/>
    <w:rsid w:val="6A70612A"/>
    <w:rsid w:val="6A773014"/>
    <w:rsid w:val="6A902328"/>
    <w:rsid w:val="6AA052F7"/>
    <w:rsid w:val="6AAB3DC6"/>
    <w:rsid w:val="6ABE50E7"/>
    <w:rsid w:val="6AC12A02"/>
    <w:rsid w:val="6AC21468"/>
    <w:rsid w:val="6ACA583A"/>
    <w:rsid w:val="6ADA17F5"/>
    <w:rsid w:val="6ADB7A47"/>
    <w:rsid w:val="6AF518EF"/>
    <w:rsid w:val="6AF83014"/>
    <w:rsid w:val="6AFA5C38"/>
    <w:rsid w:val="6B3C600C"/>
    <w:rsid w:val="6B4A24D7"/>
    <w:rsid w:val="6B986475"/>
    <w:rsid w:val="6BB81B36"/>
    <w:rsid w:val="6BEE5558"/>
    <w:rsid w:val="6BF65070"/>
    <w:rsid w:val="6C076ADE"/>
    <w:rsid w:val="6C47110C"/>
    <w:rsid w:val="6C5E6CE6"/>
    <w:rsid w:val="6C6122EE"/>
    <w:rsid w:val="6C6B6C2A"/>
    <w:rsid w:val="6C793453"/>
    <w:rsid w:val="6C931E67"/>
    <w:rsid w:val="6CDB1F80"/>
    <w:rsid w:val="6CE12B8C"/>
    <w:rsid w:val="6CE43EC8"/>
    <w:rsid w:val="6CF05300"/>
    <w:rsid w:val="6CF11AC6"/>
    <w:rsid w:val="6CFA3DE5"/>
    <w:rsid w:val="6D04168D"/>
    <w:rsid w:val="6D0B7228"/>
    <w:rsid w:val="6D443619"/>
    <w:rsid w:val="6D4E2565"/>
    <w:rsid w:val="6D6D06FE"/>
    <w:rsid w:val="6D703F44"/>
    <w:rsid w:val="6D7D60AA"/>
    <w:rsid w:val="6D8A305E"/>
    <w:rsid w:val="6D8F2D6B"/>
    <w:rsid w:val="6D9C6E7C"/>
    <w:rsid w:val="6DA71E62"/>
    <w:rsid w:val="6DA93E2C"/>
    <w:rsid w:val="6DB43F8F"/>
    <w:rsid w:val="6DB46F41"/>
    <w:rsid w:val="6DB7784C"/>
    <w:rsid w:val="6DCC18C9"/>
    <w:rsid w:val="6DF57072"/>
    <w:rsid w:val="6E153270"/>
    <w:rsid w:val="6E1F7C4B"/>
    <w:rsid w:val="6E3E0782"/>
    <w:rsid w:val="6E4E7A4C"/>
    <w:rsid w:val="6E7C32C0"/>
    <w:rsid w:val="6E7E0728"/>
    <w:rsid w:val="6E810905"/>
    <w:rsid w:val="6E8B202D"/>
    <w:rsid w:val="6E9543B1"/>
    <w:rsid w:val="6EA208BC"/>
    <w:rsid w:val="6EA42846"/>
    <w:rsid w:val="6EB96110"/>
    <w:rsid w:val="6ECE1671"/>
    <w:rsid w:val="6EE40E94"/>
    <w:rsid w:val="6EE64C0C"/>
    <w:rsid w:val="6EF966EE"/>
    <w:rsid w:val="6F082BBA"/>
    <w:rsid w:val="6F39612D"/>
    <w:rsid w:val="6F501A2E"/>
    <w:rsid w:val="6F542960"/>
    <w:rsid w:val="6F871F4B"/>
    <w:rsid w:val="6F943C71"/>
    <w:rsid w:val="6FAB550E"/>
    <w:rsid w:val="6FAD6466"/>
    <w:rsid w:val="6FB10D76"/>
    <w:rsid w:val="6FD8154E"/>
    <w:rsid w:val="6FE07FF9"/>
    <w:rsid w:val="701C5C8F"/>
    <w:rsid w:val="70470A22"/>
    <w:rsid w:val="70493A55"/>
    <w:rsid w:val="70531183"/>
    <w:rsid w:val="708A4F6D"/>
    <w:rsid w:val="70902959"/>
    <w:rsid w:val="70962BF1"/>
    <w:rsid w:val="70967F6C"/>
    <w:rsid w:val="70C6670F"/>
    <w:rsid w:val="70C90342"/>
    <w:rsid w:val="70C977C8"/>
    <w:rsid w:val="70D862FD"/>
    <w:rsid w:val="70FA59F8"/>
    <w:rsid w:val="71015D2D"/>
    <w:rsid w:val="71123A97"/>
    <w:rsid w:val="712026E3"/>
    <w:rsid w:val="714C487F"/>
    <w:rsid w:val="715C2428"/>
    <w:rsid w:val="715E72BC"/>
    <w:rsid w:val="71632544"/>
    <w:rsid w:val="716D2C50"/>
    <w:rsid w:val="717C7162"/>
    <w:rsid w:val="71816E6E"/>
    <w:rsid w:val="71867A5B"/>
    <w:rsid w:val="71D60F68"/>
    <w:rsid w:val="71EE3A69"/>
    <w:rsid w:val="71F16D31"/>
    <w:rsid w:val="71F50183"/>
    <w:rsid w:val="71F728EF"/>
    <w:rsid w:val="71FE4023"/>
    <w:rsid w:val="720F4029"/>
    <w:rsid w:val="721C66EB"/>
    <w:rsid w:val="723637B5"/>
    <w:rsid w:val="725532EB"/>
    <w:rsid w:val="72555C27"/>
    <w:rsid w:val="725E2D0C"/>
    <w:rsid w:val="726C5429"/>
    <w:rsid w:val="72855F71"/>
    <w:rsid w:val="72936E59"/>
    <w:rsid w:val="72A44BC2"/>
    <w:rsid w:val="72B72979"/>
    <w:rsid w:val="72BA6194"/>
    <w:rsid w:val="72D11E05"/>
    <w:rsid w:val="72D84CB6"/>
    <w:rsid w:val="72F21DD2"/>
    <w:rsid w:val="72F35B4A"/>
    <w:rsid w:val="72F41D22"/>
    <w:rsid w:val="730252BB"/>
    <w:rsid w:val="7305227F"/>
    <w:rsid w:val="730A6711"/>
    <w:rsid w:val="732343D7"/>
    <w:rsid w:val="732D105C"/>
    <w:rsid w:val="734B7734"/>
    <w:rsid w:val="73510D10"/>
    <w:rsid w:val="7358775B"/>
    <w:rsid w:val="737C5B3F"/>
    <w:rsid w:val="737F2F3A"/>
    <w:rsid w:val="738900F2"/>
    <w:rsid w:val="739015EB"/>
    <w:rsid w:val="73BF0AF4"/>
    <w:rsid w:val="73C05A2C"/>
    <w:rsid w:val="73C3376E"/>
    <w:rsid w:val="73C80D84"/>
    <w:rsid w:val="73C90572"/>
    <w:rsid w:val="73E01C2A"/>
    <w:rsid w:val="740D47A1"/>
    <w:rsid w:val="740F250F"/>
    <w:rsid w:val="740F28E3"/>
    <w:rsid w:val="740F6570"/>
    <w:rsid w:val="74107609"/>
    <w:rsid w:val="74181EB8"/>
    <w:rsid w:val="74273CFD"/>
    <w:rsid w:val="74454183"/>
    <w:rsid w:val="745148D6"/>
    <w:rsid w:val="746565D3"/>
    <w:rsid w:val="74793E2D"/>
    <w:rsid w:val="748A428C"/>
    <w:rsid w:val="749461CD"/>
    <w:rsid w:val="749F7D37"/>
    <w:rsid w:val="74AF73EE"/>
    <w:rsid w:val="74B96196"/>
    <w:rsid w:val="74D80B53"/>
    <w:rsid w:val="74E7348C"/>
    <w:rsid w:val="74F11C15"/>
    <w:rsid w:val="74FC7441"/>
    <w:rsid w:val="74FE790A"/>
    <w:rsid w:val="75086702"/>
    <w:rsid w:val="750E6C6B"/>
    <w:rsid w:val="75120509"/>
    <w:rsid w:val="75183646"/>
    <w:rsid w:val="752124FA"/>
    <w:rsid w:val="75363ACC"/>
    <w:rsid w:val="753A35BC"/>
    <w:rsid w:val="7540256A"/>
    <w:rsid w:val="754349CE"/>
    <w:rsid w:val="75461F61"/>
    <w:rsid w:val="754E350B"/>
    <w:rsid w:val="75504B8E"/>
    <w:rsid w:val="75587288"/>
    <w:rsid w:val="75616D9B"/>
    <w:rsid w:val="756679EC"/>
    <w:rsid w:val="756920F3"/>
    <w:rsid w:val="757A4300"/>
    <w:rsid w:val="758C3D1C"/>
    <w:rsid w:val="75956A44"/>
    <w:rsid w:val="75B23A9A"/>
    <w:rsid w:val="75B80464"/>
    <w:rsid w:val="75CD2682"/>
    <w:rsid w:val="75EA7FF6"/>
    <w:rsid w:val="760B4F58"/>
    <w:rsid w:val="76114FAD"/>
    <w:rsid w:val="76393874"/>
    <w:rsid w:val="76424E1E"/>
    <w:rsid w:val="765515FD"/>
    <w:rsid w:val="7697080C"/>
    <w:rsid w:val="76A267FA"/>
    <w:rsid w:val="76B457BF"/>
    <w:rsid w:val="76CF5F86"/>
    <w:rsid w:val="76E04FB6"/>
    <w:rsid w:val="76EA2DC0"/>
    <w:rsid w:val="76FD6F97"/>
    <w:rsid w:val="77161E07"/>
    <w:rsid w:val="7731354F"/>
    <w:rsid w:val="77336515"/>
    <w:rsid w:val="775F0232"/>
    <w:rsid w:val="77652B67"/>
    <w:rsid w:val="776D5ECB"/>
    <w:rsid w:val="777047B9"/>
    <w:rsid w:val="77731007"/>
    <w:rsid w:val="7774302C"/>
    <w:rsid w:val="778B6351"/>
    <w:rsid w:val="77956680"/>
    <w:rsid w:val="77963B82"/>
    <w:rsid w:val="77A06540"/>
    <w:rsid w:val="77A80CB1"/>
    <w:rsid w:val="77B04009"/>
    <w:rsid w:val="77DB72D8"/>
    <w:rsid w:val="77E048EF"/>
    <w:rsid w:val="77E1705F"/>
    <w:rsid w:val="77E263E2"/>
    <w:rsid w:val="77EB3293"/>
    <w:rsid w:val="77FD2097"/>
    <w:rsid w:val="782F3180"/>
    <w:rsid w:val="783B3C00"/>
    <w:rsid w:val="783B5DE1"/>
    <w:rsid w:val="78593935"/>
    <w:rsid w:val="78597C58"/>
    <w:rsid w:val="785A6ACF"/>
    <w:rsid w:val="786372CE"/>
    <w:rsid w:val="787473CC"/>
    <w:rsid w:val="78801C2E"/>
    <w:rsid w:val="78852E2E"/>
    <w:rsid w:val="789254F3"/>
    <w:rsid w:val="78970AD7"/>
    <w:rsid w:val="78A0407E"/>
    <w:rsid w:val="78C064CE"/>
    <w:rsid w:val="78CA2EA9"/>
    <w:rsid w:val="78DA7606"/>
    <w:rsid w:val="78E5473F"/>
    <w:rsid w:val="78E55F35"/>
    <w:rsid w:val="78F12C47"/>
    <w:rsid w:val="7909350D"/>
    <w:rsid w:val="790E548B"/>
    <w:rsid w:val="791A5BDE"/>
    <w:rsid w:val="793A3C35"/>
    <w:rsid w:val="793B53CC"/>
    <w:rsid w:val="79536ACE"/>
    <w:rsid w:val="79556C16"/>
    <w:rsid w:val="7956473D"/>
    <w:rsid w:val="796E1A86"/>
    <w:rsid w:val="797A07C3"/>
    <w:rsid w:val="79884FD8"/>
    <w:rsid w:val="799528C1"/>
    <w:rsid w:val="799B093F"/>
    <w:rsid w:val="79B24069"/>
    <w:rsid w:val="79B71CD9"/>
    <w:rsid w:val="79BA116F"/>
    <w:rsid w:val="79CB0C87"/>
    <w:rsid w:val="79D13C9F"/>
    <w:rsid w:val="79F05317"/>
    <w:rsid w:val="79FC7092"/>
    <w:rsid w:val="7A007F9E"/>
    <w:rsid w:val="7A2A00A3"/>
    <w:rsid w:val="7A2E02FA"/>
    <w:rsid w:val="7A2E56DD"/>
    <w:rsid w:val="7A494E59"/>
    <w:rsid w:val="7A4F53D5"/>
    <w:rsid w:val="7A543574"/>
    <w:rsid w:val="7A6D7F90"/>
    <w:rsid w:val="7A7C4677"/>
    <w:rsid w:val="7A7E7E6C"/>
    <w:rsid w:val="7A80151D"/>
    <w:rsid w:val="7A8A5A4C"/>
    <w:rsid w:val="7A8F43AA"/>
    <w:rsid w:val="7A93302C"/>
    <w:rsid w:val="7A957C11"/>
    <w:rsid w:val="7AA2452E"/>
    <w:rsid w:val="7AAD24D2"/>
    <w:rsid w:val="7AAD2A82"/>
    <w:rsid w:val="7ACF47A6"/>
    <w:rsid w:val="7AD95625"/>
    <w:rsid w:val="7AE7143A"/>
    <w:rsid w:val="7B2C297F"/>
    <w:rsid w:val="7B3A4316"/>
    <w:rsid w:val="7B3C0151"/>
    <w:rsid w:val="7B3C7D77"/>
    <w:rsid w:val="7B446F42"/>
    <w:rsid w:val="7B7C5FC5"/>
    <w:rsid w:val="7B7E0E4B"/>
    <w:rsid w:val="7B7F441F"/>
    <w:rsid w:val="7B7F7F7B"/>
    <w:rsid w:val="7B9115B5"/>
    <w:rsid w:val="7BD37107"/>
    <w:rsid w:val="7BDE7224"/>
    <w:rsid w:val="7BE344B0"/>
    <w:rsid w:val="7BEC3B24"/>
    <w:rsid w:val="7BF134B3"/>
    <w:rsid w:val="7BFA3AA5"/>
    <w:rsid w:val="7C2823C0"/>
    <w:rsid w:val="7C29438A"/>
    <w:rsid w:val="7C2E19A1"/>
    <w:rsid w:val="7C490589"/>
    <w:rsid w:val="7C5238E1"/>
    <w:rsid w:val="7C52743D"/>
    <w:rsid w:val="7C6B6751"/>
    <w:rsid w:val="7C7863CE"/>
    <w:rsid w:val="7C8810B1"/>
    <w:rsid w:val="7CA659DB"/>
    <w:rsid w:val="7CB604EC"/>
    <w:rsid w:val="7CB67423"/>
    <w:rsid w:val="7CB7235A"/>
    <w:rsid w:val="7CB83544"/>
    <w:rsid w:val="7CBC6C44"/>
    <w:rsid w:val="7CCD289A"/>
    <w:rsid w:val="7CCE2A52"/>
    <w:rsid w:val="7CD51E1C"/>
    <w:rsid w:val="7CE502B1"/>
    <w:rsid w:val="7CF90201"/>
    <w:rsid w:val="7CF93D5D"/>
    <w:rsid w:val="7CFB7AD5"/>
    <w:rsid w:val="7D0211AE"/>
    <w:rsid w:val="7D2C004B"/>
    <w:rsid w:val="7D480840"/>
    <w:rsid w:val="7D626289"/>
    <w:rsid w:val="7D670130"/>
    <w:rsid w:val="7D761851"/>
    <w:rsid w:val="7D891584"/>
    <w:rsid w:val="7D9F4904"/>
    <w:rsid w:val="7DBD4D8A"/>
    <w:rsid w:val="7DC71FDC"/>
    <w:rsid w:val="7DD55417"/>
    <w:rsid w:val="7DD71358"/>
    <w:rsid w:val="7DEE13E8"/>
    <w:rsid w:val="7E046E34"/>
    <w:rsid w:val="7E290672"/>
    <w:rsid w:val="7E513611"/>
    <w:rsid w:val="7E542977"/>
    <w:rsid w:val="7E5751DF"/>
    <w:rsid w:val="7E5A15D5"/>
    <w:rsid w:val="7E5A7B07"/>
    <w:rsid w:val="7E5E376B"/>
    <w:rsid w:val="7E7F4735"/>
    <w:rsid w:val="7E81070F"/>
    <w:rsid w:val="7E99098F"/>
    <w:rsid w:val="7EB0669D"/>
    <w:rsid w:val="7EBB576E"/>
    <w:rsid w:val="7ED405DD"/>
    <w:rsid w:val="7ED625A7"/>
    <w:rsid w:val="7EDB268C"/>
    <w:rsid w:val="7EE2275E"/>
    <w:rsid w:val="7EF46901"/>
    <w:rsid w:val="7EFD6B09"/>
    <w:rsid w:val="7F016EF9"/>
    <w:rsid w:val="7F10538E"/>
    <w:rsid w:val="7F13748D"/>
    <w:rsid w:val="7F1B26B0"/>
    <w:rsid w:val="7F480AB5"/>
    <w:rsid w:val="7F4C0ABC"/>
    <w:rsid w:val="7F4D2D93"/>
    <w:rsid w:val="7F5C4809"/>
    <w:rsid w:val="7F65046A"/>
    <w:rsid w:val="7F6E0A32"/>
    <w:rsid w:val="7F722E84"/>
    <w:rsid w:val="7F78365F"/>
    <w:rsid w:val="7F7F37E8"/>
    <w:rsid w:val="7F845F77"/>
    <w:rsid w:val="7F8E173A"/>
    <w:rsid w:val="7F99301A"/>
    <w:rsid w:val="7FA9075D"/>
    <w:rsid w:val="7FAC3308"/>
    <w:rsid w:val="7FB328E9"/>
    <w:rsid w:val="7FB421BD"/>
    <w:rsid w:val="7FF151BF"/>
    <w:rsid w:val="7FF85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99" w:name="toc 1"/>
    <w:lsdException w:qFormat="1" w:unhideWhenUsed="0" w:uiPriority="99"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4"/>
      <w:szCs w:val="21"/>
      <w:lang w:val="en-US" w:eastAsia="zh-CN" w:bidi="ar-SA"/>
    </w:rPr>
  </w:style>
  <w:style w:type="paragraph" w:styleId="2">
    <w:name w:val="heading 1"/>
    <w:basedOn w:val="1"/>
    <w:next w:val="1"/>
    <w:qFormat/>
    <w:uiPriority w:val="99"/>
    <w:pPr>
      <w:keepNext/>
      <w:keepLines/>
      <w:spacing w:before="340" w:after="330" w:line="240" w:lineRule="auto"/>
      <w:jc w:val="center"/>
      <w:outlineLvl w:val="0"/>
    </w:pPr>
    <w:rPr>
      <w:rFonts w:eastAsia="宋体"/>
      <w:b/>
      <w:bCs/>
      <w:kern w:val="44"/>
      <w:sz w:val="30"/>
      <w:szCs w:val="30"/>
    </w:rPr>
  </w:style>
  <w:style w:type="paragraph" w:styleId="3">
    <w:name w:val="heading 2"/>
    <w:basedOn w:val="1"/>
    <w:next w:val="1"/>
    <w:link w:val="34"/>
    <w:qFormat/>
    <w:uiPriority w:val="99"/>
    <w:pPr>
      <w:keepNext/>
      <w:keepLines/>
      <w:spacing w:before="260" w:after="260" w:line="360" w:lineRule="auto"/>
      <w:outlineLvl w:val="1"/>
    </w:pPr>
    <w:rPr>
      <w:rFonts w:ascii="Arial" w:hAnsi="Arial" w:eastAsia="仿宋" w:cs="Arial"/>
      <w:b/>
      <w:bCs/>
      <w:sz w:val="28"/>
      <w:szCs w:val="28"/>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szCs w:val="20"/>
    </w:rPr>
  </w:style>
  <w:style w:type="paragraph" w:styleId="7">
    <w:name w:val="annotation text"/>
    <w:basedOn w:val="1"/>
    <w:semiHidden/>
    <w:qFormat/>
    <w:uiPriority w:val="99"/>
    <w:pPr>
      <w:jc w:val="left"/>
    </w:pPr>
  </w:style>
  <w:style w:type="paragraph" w:styleId="8">
    <w:name w:val="Body Text"/>
    <w:basedOn w:val="1"/>
    <w:next w:val="1"/>
    <w:qFormat/>
    <w:uiPriority w:val="99"/>
    <w:pPr>
      <w:spacing w:after="120"/>
    </w:pPr>
  </w:style>
  <w:style w:type="paragraph" w:styleId="9">
    <w:name w:val="Body Text Indent"/>
    <w:basedOn w:val="1"/>
    <w:next w:val="10"/>
    <w:qFormat/>
    <w:uiPriority w:val="99"/>
    <w:pPr>
      <w:spacing w:after="120"/>
      <w:ind w:left="420" w:leftChars="200"/>
    </w:pPr>
  </w:style>
  <w:style w:type="paragraph" w:styleId="10">
    <w:name w:val="Body Text Indent 2"/>
    <w:basedOn w:val="1"/>
    <w:qFormat/>
    <w:uiPriority w:val="0"/>
    <w:pPr>
      <w:spacing w:after="120" w:line="480" w:lineRule="auto"/>
      <w:ind w:left="420" w:leftChars="200"/>
    </w:pPr>
  </w:style>
  <w:style w:type="paragraph" w:styleId="11">
    <w:name w:val="Block Text"/>
    <w:basedOn w:val="1"/>
    <w:qFormat/>
    <w:uiPriority w:val="0"/>
    <w:pPr>
      <w:ind w:left="1171" w:right="91" w:hanging="1080"/>
    </w:pPr>
    <w:rPr>
      <w:rFonts w:eastAsia="楷体_GB2312"/>
      <w:szCs w:val="20"/>
    </w:rPr>
  </w:style>
  <w:style w:type="paragraph" w:styleId="12">
    <w:name w:val="toc 3"/>
    <w:basedOn w:val="1"/>
    <w:next w:val="1"/>
    <w:qFormat/>
    <w:uiPriority w:val="0"/>
    <w:pPr>
      <w:ind w:left="840" w:leftChars="400"/>
    </w:pPr>
  </w:style>
  <w:style w:type="paragraph" w:styleId="13">
    <w:name w:val="Plain Text"/>
    <w:basedOn w:val="1"/>
    <w:qFormat/>
    <w:uiPriority w:val="99"/>
    <w:rPr>
      <w:rFonts w:ascii="宋体" w:hAnsi="Courier New" w:cs="宋体"/>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99"/>
  </w:style>
  <w:style w:type="paragraph" w:styleId="17">
    <w:name w:val="index 7"/>
    <w:basedOn w:val="1"/>
    <w:next w:val="1"/>
    <w:unhideWhenUsed/>
    <w:qFormat/>
    <w:uiPriority w:val="99"/>
    <w:pPr>
      <w:ind w:left="2520"/>
    </w:pPr>
    <w:rPr>
      <w:rFonts w:ascii="Calibri" w:hAnsi="Calibri"/>
      <w:szCs w:val="22"/>
    </w:rPr>
  </w:style>
  <w:style w:type="paragraph" w:styleId="18">
    <w:name w:val="toc 2"/>
    <w:basedOn w:val="1"/>
    <w:next w:val="1"/>
    <w:semiHidden/>
    <w:qFormat/>
    <w:uiPriority w:val="99"/>
    <w:pPr>
      <w:ind w:left="420" w:leftChars="200"/>
    </w:pPr>
  </w:style>
  <w:style w:type="paragraph" w:styleId="19">
    <w:name w:val="Body Text 2"/>
    <w:basedOn w:val="1"/>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Body Text First Indent 2"/>
    <w:basedOn w:val="9"/>
    <w:next w:val="6"/>
    <w:qFormat/>
    <w:uiPriority w:val="0"/>
    <w:pPr>
      <w:ind w:firstLine="420" w:firstLineChars="200"/>
    </w:pPr>
  </w:style>
  <w:style w:type="table" w:styleId="23">
    <w:name w:val="Table Grid"/>
    <w:basedOn w:val="22"/>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99"/>
    <w:rPr>
      <w:b/>
      <w:bCs/>
    </w:rPr>
  </w:style>
  <w:style w:type="character" w:styleId="26">
    <w:name w:val="page number"/>
    <w:basedOn w:val="24"/>
    <w:qFormat/>
    <w:uiPriority w:val="0"/>
  </w:style>
  <w:style w:type="character" w:styleId="27">
    <w:name w:val="Hyperlink"/>
    <w:qFormat/>
    <w:uiPriority w:val="99"/>
    <w:rPr>
      <w:color w:val="136EC2"/>
      <w:u w:val="single"/>
    </w:rPr>
  </w:style>
  <w:style w:type="paragraph" w:customStyle="1" w:styleId="28">
    <w:name w:val="Default"/>
    <w:next w:val="17"/>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9">
    <w:name w:val="正文首行缩进1"/>
    <w:basedOn w:val="1"/>
    <w:qFormat/>
    <w:uiPriority w:val="99"/>
    <w:pPr>
      <w:spacing w:after="120"/>
      <w:ind w:firstLine="420" w:firstLineChars="100"/>
    </w:pPr>
  </w:style>
  <w:style w:type="paragraph" w:customStyle="1" w:styleId="30">
    <w:name w:val="正文1"/>
    <w:basedOn w:val="1"/>
    <w:qFormat/>
    <w:uiPriority w:val="99"/>
    <w:pPr>
      <w:widowControl/>
      <w:spacing w:before="120" w:after="120"/>
      <w:jc w:val="left"/>
    </w:pPr>
    <w:rPr>
      <w:rFonts w:ascii="Arial" w:hAnsi="Arial" w:cs="Arial"/>
      <w:kern w:val="0"/>
      <w:sz w:val="24"/>
      <w:szCs w:val="24"/>
    </w:rPr>
  </w:style>
  <w:style w:type="paragraph" w:customStyle="1" w:styleId="31">
    <w:name w:val="列出段落1"/>
    <w:basedOn w:val="1"/>
    <w:qFormat/>
    <w:uiPriority w:val="0"/>
    <w:pPr>
      <w:ind w:firstLine="420" w:firstLineChars="200"/>
    </w:pPr>
    <w:rPr>
      <w:rFonts w:ascii="Calibri" w:hAnsi="Calibri"/>
      <w:szCs w:val="22"/>
    </w:rPr>
  </w:style>
  <w:style w:type="paragraph" w:customStyle="1" w:styleId="32">
    <w:name w:val="p0"/>
    <w:basedOn w:val="1"/>
    <w:qFormat/>
    <w:uiPriority w:val="99"/>
    <w:pPr>
      <w:widowControl/>
    </w:pPr>
    <w:rPr>
      <w:kern w:val="0"/>
    </w:rPr>
  </w:style>
  <w:style w:type="character" w:customStyle="1" w:styleId="33">
    <w:name w:val="NormalCharacter"/>
    <w:semiHidden/>
    <w:qFormat/>
    <w:uiPriority w:val="99"/>
    <w:rPr>
      <w:rFonts w:ascii="Calibri" w:hAnsi="Calibri" w:eastAsia="宋体" w:cs="Calibri"/>
      <w:kern w:val="2"/>
      <w:sz w:val="24"/>
      <w:szCs w:val="24"/>
      <w:lang w:val="en-US" w:eastAsia="zh-CN"/>
    </w:rPr>
  </w:style>
  <w:style w:type="character" w:customStyle="1" w:styleId="34">
    <w:name w:val="标题 2 Char"/>
    <w:link w:val="3"/>
    <w:qFormat/>
    <w:uiPriority w:val="0"/>
    <w:rPr>
      <w:rFonts w:ascii="Arial" w:hAnsi="Arial" w:eastAsia="仿宋" w:cs="Arial"/>
      <w:b/>
      <w:bCs/>
      <w:sz w:val="28"/>
      <w:szCs w:val="28"/>
    </w:rPr>
  </w:style>
  <w:style w:type="paragraph" w:customStyle="1" w:styleId="35">
    <w:name w:val="Table Paragraph"/>
    <w:basedOn w:val="1"/>
    <w:qFormat/>
    <w:uiPriority w:val="1"/>
    <w:rPr>
      <w:rFonts w:ascii="Times New Roman" w:hAnsi="Times New Roman" w:eastAsia="宋体" w:cs="Times New Roman"/>
      <w:szCs w:val="24"/>
    </w:rPr>
  </w:style>
  <w:style w:type="paragraph" w:customStyle="1" w:styleId="36">
    <w:name w:val="Normal_0_2"/>
    <w:qFormat/>
    <w:uiPriority w:val="0"/>
    <w:rPr>
      <w:rFonts w:ascii="Times New Roman" w:hAnsi="Times New Roman" w:eastAsia="宋体" w:cs="Times New Roman"/>
      <w:sz w:val="24"/>
      <w:szCs w:val="24"/>
    </w:rPr>
  </w:style>
  <w:style w:type="paragraph" w:customStyle="1" w:styleId="3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UserStyle_0"/>
    <w:basedOn w:val="1"/>
    <w:qFormat/>
    <w:uiPriority w:val="99"/>
    <w:pPr>
      <w:widowControl/>
      <w:spacing w:before="120" w:after="120"/>
      <w:jc w:val="left"/>
    </w:pPr>
    <w:rPr>
      <w:rFonts w:ascii="Arial" w:hAnsi="Arial" w:cs="Arial"/>
      <w:kern w:val="0"/>
      <w:sz w:val="24"/>
      <w:szCs w:val="24"/>
    </w:rPr>
  </w:style>
  <w:style w:type="paragraph" w:customStyle="1" w:styleId="39">
    <w:name w:val="Table Text"/>
    <w:basedOn w:val="1"/>
    <w:semiHidden/>
    <w:qFormat/>
    <w:uiPriority w:val="0"/>
    <w:rPr>
      <w:rFonts w:ascii="仿宋" w:hAnsi="仿宋" w:eastAsia="仿宋" w:cs="仿宋"/>
      <w:sz w:val="20"/>
      <w:szCs w:val="20"/>
      <w:lang w:val="en-US" w:eastAsia="en-US" w:bidi="ar-SA"/>
    </w:rPr>
  </w:style>
  <w:style w:type="table" w:customStyle="1" w:styleId="40">
    <w:name w:val="Table Normal"/>
    <w:semiHidden/>
    <w:unhideWhenUsed/>
    <w:qFormat/>
    <w:uiPriority w:val="0"/>
    <w:tblPr>
      <w:tblCellMar>
        <w:top w:w="0" w:type="dxa"/>
        <w:left w:w="0" w:type="dxa"/>
        <w:bottom w:w="0" w:type="dxa"/>
        <w:right w:w="0" w:type="dxa"/>
      </w:tblCellMar>
    </w:tblPr>
  </w:style>
  <w:style w:type="paragraph" w:customStyle="1" w:styleId="41">
    <w:name w:val="Other|1"/>
    <w:basedOn w:val="1"/>
    <w:qFormat/>
    <w:uiPriority w:val="0"/>
    <w:pPr>
      <w:widowControl w:val="0"/>
      <w:shd w:val="clear" w:color="auto" w:fill="auto"/>
      <w:spacing w:line="252" w:lineRule="exact"/>
      <w:jc w:val="center"/>
    </w:pPr>
    <w:rPr>
      <w:rFonts w:ascii="MingLiU" w:hAnsi="MingLiU" w:eastAsia="MingLiU" w:cs="MingLiU"/>
      <w:sz w:val="19"/>
      <w:szCs w:val="19"/>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6477</Words>
  <Characters>7343</Characters>
  <Lines>0</Lines>
  <Paragraphs>0</Paragraphs>
  <TotalTime>1</TotalTime>
  <ScaleCrop>false</ScaleCrop>
  <LinksUpToDate>false</LinksUpToDate>
  <CharactersWithSpaces>7748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2022-10-28T08:48:00Z</dcterms:created>
  <dc:creator>xlc</dc:creator>
  <cp:lastModifiedBy>Administrator</cp:lastModifiedBy>
  <cp:lastPrinted>2023-06-28T01:37:00Z</cp:lastPrinted>
  <dcterms:modified xsi:type="dcterms:W3CDTF">2026-07-27T07:10:17Z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544F227E44E64921AD24AC88D51EF505_13</vt:lpwstr>
  </property>
  <property fmtid="{D5CDD505-2E9C-101B-9397-08002B2CF9AE}" pid="4" name="KSOTemplateDocerSaveRecord">
    <vt:lpwstr>eyJoZGlkIjoiYmIzMjJjMTBmNmZhOGU2NjlhZTAzOWNmNDI5NDA0OWUiLCJ1c2VySWQiOiI0NjE2OTgyMTUifQ==</vt:lpwstr>
  </property>
</Properties>
</file>