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0D4FC">
      <w:pPr>
        <w:pStyle w:val="24"/>
        <w:keepNext w:val="0"/>
        <w:keepLines w:val="0"/>
        <w:pageBreakBefore w:val="0"/>
        <w:widowControl w:val="0"/>
        <w:kinsoku/>
        <w:wordWrap/>
        <w:overflowPunct/>
        <w:topLinePunct w:val="0"/>
        <w:autoSpaceDE/>
        <w:autoSpaceDN/>
        <w:bidi w:val="0"/>
        <w:spacing w:beforeAutospacing="0" w:afterAutospacing="0" w:line="1000" w:lineRule="exact"/>
        <w:jc w:val="both"/>
        <w:textAlignment w:val="auto"/>
        <w:rPr>
          <w:rFonts w:hint="eastAsia" w:ascii="宋体" w:hAnsi="宋体" w:eastAsia="宋体" w:cs="宋体"/>
          <w:b/>
          <w:bCs w:val="0"/>
          <w:sz w:val="52"/>
          <w:szCs w:val="52"/>
        </w:rPr>
      </w:pPr>
    </w:p>
    <w:p w14:paraId="5C18C445">
      <w:pPr>
        <w:pStyle w:val="24"/>
        <w:keepNext w:val="0"/>
        <w:keepLines w:val="0"/>
        <w:pageBreakBefore w:val="0"/>
        <w:widowControl w:val="0"/>
        <w:kinsoku/>
        <w:wordWrap/>
        <w:overflowPunct/>
        <w:topLinePunct w:val="0"/>
        <w:autoSpaceDE/>
        <w:autoSpaceDN/>
        <w:bidi w:val="0"/>
        <w:spacing w:beforeAutospacing="0" w:afterAutospacing="0" w:line="1000" w:lineRule="exact"/>
        <w:jc w:val="center"/>
        <w:textAlignment w:val="auto"/>
        <w:rPr>
          <w:rFonts w:hint="eastAsia" w:ascii="宋体" w:hAnsi="宋体" w:eastAsia="宋体" w:cs="宋体"/>
          <w:b/>
          <w:bCs w:val="0"/>
          <w:sz w:val="72"/>
          <w:szCs w:val="72"/>
        </w:rPr>
      </w:pPr>
      <w:r>
        <w:rPr>
          <w:rFonts w:hint="eastAsia" w:ascii="宋体" w:hAnsi="宋体" w:eastAsia="宋体" w:cs="宋体"/>
          <w:b/>
          <w:bCs w:val="0"/>
          <w:sz w:val="72"/>
          <w:szCs w:val="72"/>
        </w:rPr>
        <w:t>政府采购</w:t>
      </w:r>
    </w:p>
    <w:p w14:paraId="704761ED">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center"/>
        <w:textAlignment w:val="auto"/>
        <w:outlineLvl w:val="0"/>
        <w:rPr>
          <w:rFonts w:hint="eastAsia" w:ascii="宋体" w:hAnsi="宋体" w:eastAsia="宋体" w:cs="宋体"/>
          <w:b/>
          <w:bCs w:val="0"/>
          <w:sz w:val="72"/>
          <w:szCs w:val="72"/>
        </w:rPr>
      </w:pPr>
      <w:bookmarkStart w:id="0" w:name="_Toc20481"/>
      <w:bookmarkStart w:id="1" w:name="_Toc12974"/>
      <w:r>
        <w:rPr>
          <w:rFonts w:hint="eastAsia" w:ascii="宋体" w:hAnsi="宋体" w:eastAsia="宋体" w:cs="宋体"/>
          <w:b/>
          <w:bCs w:val="0"/>
          <w:sz w:val="72"/>
          <w:szCs w:val="72"/>
        </w:rPr>
        <w:t>竞争性磋商文件</w:t>
      </w:r>
      <w:bookmarkEnd w:id="0"/>
      <w:bookmarkEnd w:id="1"/>
    </w:p>
    <w:p w14:paraId="107DBB24">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1827" w:firstLineChars="350"/>
        <w:jc w:val="both"/>
        <w:textAlignment w:val="auto"/>
        <w:rPr>
          <w:rFonts w:hint="eastAsia" w:ascii="宋体" w:hAnsi="宋体" w:eastAsia="宋体" w:cs="宋体"/>
          <w:b/>
          <w:bCs/>
          <w:sz w:val="52"/>
          <w:szCs w:val="52"/>
        </w:rPr>
      </w:pPr>
    </w:p>
    <w:p w14:paraId="02BFCE63">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both"/>
        <w:textAlignment w:val="auto"/>
        <w:rPr>
          <w:rFonts w:hint="eastAsia" w:ascii="宋体" w:hAnsi="宋体" w:eastAsia="宋体" w:cs="宋体"/>
          <w:b/>
          <w:bCs/>
          <w:sz w:val="30"/>
          <w:szCs w:val="30"/>
        </w:rPr>
      </w:pPr>
    </w:p>
    <w:p w14:paraId="6EE2A5AE">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both"/>
        <w:textAlignment w:val="auto"/>
        <w:rPr>
          <w:rFonts w:hint="eastAsia" w:ascii="宋体" w:hAnsi="宋体" w:eastAsia="宋体" w:cs="宋体"/>
          <w:b/>
          <w:bCs/>
          <w:sz w:val="30"/>
          <w:szCs w:val="30"/>
        </w:rPr>
      </w:pPr>
      <w:r>
        <w:rPr>
          <w:rFonts w:hint="eastAsia" w:ascii="宋体" w:hAnsi="宋体" w:eastAsia="宋体" w:cs="宋体"/>
          <w:b/>
          <w:bCs/>
          <w:sz w:val="30"/>
          <w:szCs w:val="30"/>
        </w:rPr>
        <w:t>采购项目名称：华容县202</w:t>
      </w:r>
      <w:r>
        <w:rPr>
          <w:rFonts w:hint="eastAsia" w:hAnsi="宋体" w:cs="宋体"/>
          <w:b/>
          <w:bCs/>
          <w:sz w:val="30"/>
          <w:szCs w:val="30"/>
          <w:lang w:val="en-US" w:eastAsia="zh-CN"/>
        </w:rPr>
        <w:t>6</w:t>
      </w:r>
      <w:r>
        <w:rPr>
          <w:rFonts w:hint="eastAsia" w:ascii="宋体" w:hAnsi="宋体" w:eastAsia="宋体" w:cs="宋体"/>
          <w:b/>
          <w:bCs/>
          <w:sz w:val="30"/>
          <w:szCs w:val="30"/>
        </w:rPr>
        <w:t>年高素质农民培育项目</w:t>
      </w:r>
    </w:p>
    <w:p w14:paraId="28AE646D">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both"/>
        <w:textAlignment w:val="auto"/>
        <w:rPr>
          <w:rFonts w:hint="eastAsia" w:ascii="宋体" w:hAnsi="宋体" w:eastAsia="宋体" w:cs="宋体"/>
          <w:b/>
          <w:color w:val="FFFF00"/>
          <w:sz w:val="30"/>
          <w:szCs w:val="30"/>
        </w:rPr>
      </w:pPr>
      <w:r>
        <w:rPr>
          <w:rFonts w:hint="eastAsia" w:ascii="宋体" w:hAnsi="宋体" w:eastAsia="宋体" w:cs="宋体"/>
          <w:b/>
          <w:sz w:val="30"/>
          <w:szCs w:val="30"/>
        </w:rPr>
        <w:t>采购项目编号：CGXM2026430623000028</w:t>
      </w:r>
    </w:p>
    <w:p w14:paraId="51CF8C21">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both"/>
        <w:textAlignment w:val="auto"/>
        <w:rPr>
          <w:rFonts w:hint="eastAsia" w:ascii="宋体" w:hAnsi="宋体" w:eastAsia="宋体" w:cs="宋体"/>
          <w:b/>
          <w:bCs w:val="0"/>
          <w:sz w:val="30"/>
          <w:szCs w:val="30"/>
        </w:rPr>
      </w:pPr>
      <w:r>
        <w:rPr>
          <w:rFonts w:hint="eastAsia" w:ascii="宋体" w:hAnsi="宋体" w:eastAsia="宋体" w:cs="宋体"/>
          <w:b/>
          <w:bCs w:val="0"/>
          <w:sz w:val="30"/>
          <w:szCs w:val="30"/>
        </w:rPr>
        <w:t>政府采购</w:t>
      </w:r>
      <w:r>
        <w:rPr>
          <w:rFonts w:hint="eastAsia" w:ascii="宋体" w:hAnsi="宋体" w:eastAsia="宋体" w:cs="宋体"/>
          <w:b/>
          <w:bCs w:val="0"/>
          <w:sz w:val="30"/>
          <w:szCs w:val="30"/>
          <w:lang w:eastAsia="zh-CN"/>
        </w:rPr>
        <w:t>计划</w:t>
      </w:r>
      <w:r>
        <w:rPr>
          <w:rFonts w:hint="eastAsia" w:ascii="宋体" w:hAnsi="宋体" w:eastAsia="宋体" w:cs="宋体"/>
          <w:b/>
          <w:bCs w:val="0"/>
          <w:sz w:val="30"/>
          <w:szCs w:val="30"/>
        </w:rPr>
        <w:t>编号：</w:t>
      </w:r>
      <w:r>
        <w:rPr>
          <w:rFonts w:hint="eastAsia" w:ascii="宋体" w:hAnsi="宋体" w:eastAsia="宋体" w:cs="宋体"/>
          <w:b/>
          <w:bCs w:val="0"/>
          <w:i w:val="0"/>
          <w:iCs w:val="0"/>
          <w:caps w:val="0"/>
          <w:spacing w:val="0"/>
          <w:sz w:val="30"/>
          <w:szCs w:val="30"/>
          <w:shd w:val="clear" w:fill="FAFAFA"/>
        </w:rPr>
        <w:t>(2026)430623000024-1</w:t>
      </w:r>
      <w:r>
        <w:rPr>
          <w:rFonts w:hint="eastAsia" w:ascii="宋体" w:hAnsi="宋体" w:eastAsia="宋体" w:cs="宋体"/>
          <w:b/>
          <w:bCs w:val="0"/>
          <w:i w:val="0"/>
          <w:iCs w:val="0"/>
          <w:caps w:val="0"/>
          <w:spacing w:val="0"/>
          <w:sz w:val="30"/>
          <w:szCs w:val="30"/>
          <w:shd w:val="clear" w:fill="FAFAFA"/>
          <w:lang w:eastAsia="zh-CN"/>
        </w:rPr>
        <w:t>、</w:t>
      </w:r>
      <w:r>
        <w:rPr>
          <w:rFonts w:hint="eastAsia" w:ascii="宋体" w:hAnsi="宋体" w:eastAsia="宋体" w:cs="宋体"/>
          <w:b/>
          <w:bCs w:val="0"/>
          <w:i w:val="0"/>
          <w:iCs w:val="0"/>
          <w:caps w:val="0"/>
          <w:spacing w:val="0"/>
          <w:sz w:val="30"/>
          <w:szCs w:val="30"/>
          <w:shd w:val="clear" w:fill="FAFAFA"/>
        </w:rPr>
        <w:t>(2026)430623000024-2</w:t>
      </w:r>
    </w:p>
    <w:p w14:paraId="6ADF0958">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both"/>
        <w:textAlignment w:val="auto"/>
        <w:rPr>
          <w:rFonts w:hint="eastAsia" w:ascii="宋体" w:hAnsi="宋体" w:eastAsia="宋体" w:cs="宋体"/>
          <w:b/>
          <w:bCs/>
          <w:sz w:val="30"/>
          <w:szCs w:val="30"/>
        </w:rPr>
      </w:pPr>
      <w:r>
        <w:rPr>
          <w:rFonts w:hint="eastAsia" w:ascii="宋体" w:hAnsi="宋体" w:eastAsia="宋体" w:cs="宋体"/>
          <w:b/>
          <w:bCs/>
          <w:sz w:val="30"/>
          <w:szCs w:val="30"/>
        </w:rPr>
        <w:t>委托代理编号：</w:t>
      </w:r>
      <w:bookmarkStart w:id="2" w:name="_Toc29944"/>
      <w:bookmarkStart w:id="3" w:name="_Toc6076"/>
      <w:r>
        <w:rPr>
          <w:rFonts w:hint="eastAsia" w:ascii="宋体" w:hAnsi="宋体" w:eastAsia="宋体" w:cs="宋体"/>
          <w:b/>
          <w:bCs/>
          <w:sz w:val="30"/>
          <w:szCs w:val="30"/>
        </w:rPr>
        <w:t>HNZJ(FW)-2026016</w:t>
      </w:r>
    </w:p>
    <w:p w14:paraId="5957CE3C">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both"/>
        <w:textAlignment w:val="auto"/>
        <w:rPr>
          <w:rFonts w:hint="eastAsia" w:hAnsi="宋体" w:cs="宋体"/>
          <w:b/>
          <w:bCs/>
          <w:sz w:val="30"/>
          <w:szCs w:val="30"/>
          <w:lang w:val="en-US" w:eastAsia="zh-CN"/>
        </w:rPr>
      </w:pPr>
      <w:r>
        <w:rPr>
          <w:rFonts w:hint="eastAsia" w:ascii="宋体" w:hAnsi="宋体" w:eastAsia="宋体" w:cs="宋体"/>
          <w:b/>
          <w:bCs/>
          <w:sz w:val="30"/>
          <w:szCs w:val="30"/>
        </w:rPr>
        <w:t>采   购   人：</w:t>
      </w:r>
      <w:bookmarkEnd w:id="2"/>
      <w:bookmarkEnd w:id="3"/>
      <w:r>
        <w:rPr>
          <w:rFonts w:hint="eastAsia" w:ascii="宋体" w:hAnsi="宋体" w:eastAsia="宋体" w:cs="宋体"/>
          <w:b/>
          <w:bCs/>
          <w:sz w:val="30"/>
          <w:szCs w:val="30"/>
        </w:rPr>
        <w:t>华容县农业农村</w:t>
      </w:r>
      <w:r>
        <w:rPr>
          <w:rFonts w:hint="eastAsia" w:hAnsi="宋体" w:cs="宋体"/>
          <w:b/>
          <w:bCs/>
          <w:sz w:val="30"/>
          <w:szCs w:val="30"/>
          <w:lang w:val="en-US" w:eastAsia="zh-CN"/>
        </w:rPr>
        <w:t>局</w:t>
      </w:r>
    </w:p>
    <w:p w14:paraId="7E394910">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jc w:val="both"/>
        <w:textAlignment w:val="auto"/>
        <w:rPr>
          <w:rFonts w:hint="eastAsia" w:ascii="宋体" w:hAnsi="宋体" w:eastAsia="宋体" w:cs="宋体"/>
          <w:b/>
          <w:bCs/>
          <w:sz w:val="30"/>
          <w:szCs w:val="30"/>
        </w:rPr>
      </w:pPr>
    </w:p>
    <w:p w14:paraId="216900EA">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jc w:val="both"/>
        <w:textAlignment w:val="auto"/>
        <w:rPr>
          <w:rFonts w:hint="eastAsia" w:ascii="宋体" w:hAnsi="宋体" w:eastAsia="宋体" w:cs="宋体"/>
          <w:b/>
          <w:sz w:val="24"/>
          <w:szCs w:val="24"/>
          <w:u w:val="single"/>
        </w:rPr>
      </w:pPr>
      <w:r>
        <w:rPr>
          <w:rFonts w:hint="eastAsia" w:ascii="宋体" w:hAnsi="宋体" w:eastAsia="宋体" w:cs="宋体"/>
          <w:b/>
          <w:bCs/>
          <w:sz w:val="30"/>
          <w:szCs w:val="30"/>
        </w:rPr>
        <w:t>采购代理机构：湖南省中君项目管理咨询有限公司</w:t>
      </w:r>
    </w:p>
    <w:p w14:paraId="6BF2DC26">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u w:val="single"/>
        </w:rPr>
      </w:pPr>
    </w:p>
    <w:p w14:paraId="68C52A5D">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u w:val="single"/>
        </w:rPr>
      </w:pPr>
    </w:p>
    <w:p w14:paraId="3286AFE5">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52"/>
          <w:szCs w:val="52"/>
          <w:u w:val="single"/>
        </w:rPr>
      </w:pPr>
    </w:p>
    <w:p w14:paraId="5B7DF4C5">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bCs w:val="0"/>
          <w:sz w:val="52"/>
          <w:szCs w:val="52"/>
        </w:rPr>
      </w:pPr>
      <w:r>
        <w:rPr>
          <w:rFonts w:hint="eastAsia" w:ascii="宋体" w:hAnsi="宋体" w:eastAsia="宋体" w:cs="宋体"/>
          <w:b/>
          <w:bCs w:val="0"/>
          <w:sz w:val="52"/>
          <w:szCs w:val="52"/>
          <w:u w:val="none"/>
        </w:rPr>
        <w:t>202</w:t>
      </w:r>
      <w:r>
        <w:rPr>
          <w:rFonts w:hint="eastAsia" w:hAnsi="宋体" w:cs="宋体"/>
          <w:b/>
          <w:bCs w:val="0"/>
          <w:sz w:val="52"/>
          <w:szCs w:val="52"/>
          <w:u w:val="none"/>
          <w:lang w:val="en-US" w:eastAsia="zh-CN"/>
        </w:rPr>
        <w:t>6</w:t>
      </w:r>
      <w:r>
        <w:rPr>
          <w:rFonts w:hint="eastAsia" w:ascii="宋体" w:hAnsi="宋体" w:eastAsia="宋体" w:cs="宋体"/>
          <w:b/>
          <w:bCs w:val="0"/>
          <w:sz w:val="52"/>
          <w:szCs w:val="52"/>
        </w:rPr>
        <w:t>年</w:t>
      </w:r>
      <w:r>
        <w:rPr>
          <w:rFonts w:hint="eastAsia" w:hAnsi="宋体" w:cs="宋体"/>
          <w:b/>
          <w:bCs w:val="0"/>
          <w:sz w:val="52"/>
          <w:szCs w:val="52"/>
          <w:lang w:val="en-US" w:eastAsia="zh-CN"/>
        </w:rPr>
        <w:t>8</w:t>
      </w:r>
      <w:r>
        <w:rPr>
          <w:rFonts w:hint="eastAsia" w:ascii="宋体" w:hAnsi="宋体" w:eastAsia="宋体" w:cs="宋体"/>
          <w:b/>
          <w:bCs w:val="0"/>
          <w:sz w:val="52"/>
          <w:szCs w:val="52"/>
        </w:rPr>
        <w:t>月</w:t>
      </w:r>
    </w:p>
    <w:p w14:paraId="3815793E">
      <w:pPr>
        <w:pageBreakBefore w:val="0"/>
        <w:kinsoku/>
        <w:wordWrap/>
        <w:overflowPunct/>
        <w:bidi w:val="0"/>
        <w:spacing w:line="500" w:lineRule="exact"/>
        <w:jc w:val="center"/>
        <w:textAlignment w:val="auto"/>
        <w:sectPr>
          <w:headerReference r:id="rId3" w:type="default"/>
          <w:footerReference r:id="rId4" w:type="default"/>
          <w:footerReference r:id="rId5" w:type="even"/>
          <w:pgSz w:w="11906" w:h="16838"/>
          <w:pgMar w:top="1134" w:right="1417" w:bottom="1134" w:left="1417" w:header="851" w:footer="992" w:gutter="0"/>
          <w:pgNumType w:fmt="decimal"/>
          <w:cols w:space="720" w:num="1"/>
          <w:rtlGutter w:val="0"/>
          <w:docGrid w:type="lines" w:linePitch="312" w:charSpace="0"/>
        </w:sectPr>
      </w:pPr>
    </w:p>
    <w:p w14:paraId="7179C8D7">
      <w:pPr>
        <w:pStyle w:val="43"/>
        <w:sectPr>
          <w:pgSz w:w="11906" w:h="16838"/>
          <w:pgMar w:top="1134" w:right="1417" w:bottom="1134" w:left="1417" w:header="851" w:footer="992" w:gutter="0"/>
          <w:pgNumType w:fmt="decimal"/>
          <w:cols w:space="720" w:num="1"/>
          <w:rtlGutter w:val="0"/>
          <w:docGrid w:type="lines" w:linePitch="312" w:charSpace="0"/>
        </w:sectPr>
      </w:pPr>
    </w:p>
    <w:p w14:paraId="125D84BE">
      <w:pPr>
        <w:pStyle w:val="43"/>
      </w:pPr>
    </w:p>
    <w:p w14:paraId="186AD3D6">
      <w:pPr>
        <w:pStyle w:val="24"/>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bCs/>
          <w:spacing w:val="160"/>
          <w:sz w:val="24"/>
          <w:szCs w:val="24"/>
          <w:lang w:eastAsia="zh-CN"/>
        </w:rPr>
      </w:pPr>
    </w:p>
    <w:p w14:paraId="2AFBF5B8">
      <w:pPr>
        <w:pStyle w:val="24"/>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bCs/>
          <w:spacing w:val="160"/>
          <w:sz w:val="44"/>
          <w:szCs w:val="44"/>
        </w:rPr>
      </w:pPr>
    </w:p>
    <w:sdt>
      <w:sdtPr>
        <w:rPr>
          <w:rFonts w:ascii="宋体" w:hAnsi="宋体" w:eastAsia="宋体" w:cs="Times New Roman"/>
          <w:b/>
          <w:bCs/>
          <w:kern w:val="2"/>
          <w:sz w:val="21"/>
          <w:szCs w:val="24"/>
          <w:lang w:val="en-US" w:eastAsia="zh-CN" w:bidi="ar-SA"/>
        </w:rPr>
        <w:id w:val="147475644"/>
        <w15:color w:val="DBDBDB"/>
        <w:docPartObj>
          <w:docPartGallery w:val="Table of Contents"/>
          <w:docPartUnique/>
        </w:docPartObj>
      </w:sdtPr>
      <w:sdtEndPr>
        <w:rPr>
          <w:rFonts w:hint="eastAsia" w:ascii="宋体" w:hAnsi="宋体" w:eastAsia="宋体" w:cs="宋体"/>
          <w:b/>
          <w:bCs/>
          <w:kern w:val="2"/>
          <w:sz w:val="28"/>
          <w:szCs w:val="28"/>
          <w:lang w:val="en-US" w:eastAsia="zh-CN" w:bidi="ar-SA"/>
        </w:rPr>
      </w:sdtEndPr>
      <w:sdtContent>
        <w:p w14:paraId="7EF73B25">
          <w:pPr>
            <w:keepNext w:val="0"/>
            <w:keepLines w:val="0"/>
            <w:pageBreakBefore w:val="0"/>
            <w:kinsoku/>
            <w:wordWrap/>
            <w:overflowPunct/>
            <w:topLinePunct w:val="0"/>
            <w:autoSpaceDE/>
            <w:autoSpaceDN/>
            <w:bidi w:val="0"/>
            <w:adjustRightInd/>
            <w:snapToGrid/>
            <w:spacing w:before="0" w:beforeLines="0" w:after="0" w:afterLines="0" w:line="800" w:lineRule="exact"/>
            <w:ind w:left="0" w:leftChars="0" w:right="0" w:rightChars="0"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pacing w:val="160"/>
              <w:sz w:val="44"/>
              <w:szCs w:val="44"/>
            </w:rPr>
            <w:t>目录</w:t>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TOC \o "1-1" \h \u </w:instrText>
          </w:r>
          <w:r>
            <w:rPr>
              <w:rFonts w:hint="eastAsia" w:ascii="宋体" w:hAnsi="宋体" w:eastAsia="宋体" w:cs="宋体"/>
              <w:b/>
              <w:bCs/>
              <w:sz w:val="28"/>
              <w:szCs w:val="28"/>
            </w:rPr>
            <w:fldChar w:fldCharType="separate"/>
          </w:r>
        </w:p>
        <w:p w14:paraId="62719C5E">
          <w:pPr>
            <w:pStyle w:val="258"/>
            <w:keepNext w:val="0"/>
            <w:keepLines w:val="0"/>
            <w:pageBreakBefore w:val="0"/>
            <w:tabs>
              <w:tab w:val="right" w:leader="dot" w:pos="9412"/>
            </w:tabs>
            <w:kinsoku/>
            <w:wordWrap/>
            <w:overflowPunct/>
            <w:topLinePunct w:val="0"/>
            <w:autoSpaceDE/>
            <w:autoSpaceDN/>
            <w:bidi w:val="0"/>
            <w:adjustRightInd/>
            <w:snapToGrid/>
            <w:spacing w:line="800" w:lineRule="exact"/>
            <w:textAlignment w:val="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_Toc2348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第一章  磋商邀请</w:t>
          </w:r>
          <w:r>
            <w:rPr>
              <w:rFonts w:hint="eastAsia" w:ascii="宋体" w:hAnsi="宋体" w:eastAsia="宋体" w:cs="宋体"/>
              <w:b/>
              <w:bCs/>
              <w:sz w:val="28"/>
              <w:szCs w:val="28"/>
            </w:rPr>
            <w:tab/>
          </w:r>
          <w:r>
            <w:rPr>
              <w:rFonts w:hint="eastAsia" w:ascii="宋体" w:hAnsi="宋体" w:cs="宋体"/>
              <w:b/>
              <w:bCs/>
              <w:sz w:val="28"/>
              <w:szCs w:val="28"/>
              <w:lang w:val="en-US" w:eastAsia="zh-CN"/>
            </w:rPr>
            <w:t>1</w:t>
          </w:r>
          <w:r>
            <w:rPr>
              <w:rFonts w:hint="eastAsia" w:ascii="宋体" w:hAnsi="宋体" w:eastAsia="宋体" w:cs="宋体"/>
              <w:b/>
              <w:bCs/>
              <w:sz w:val="28"/>
              <w:szCs w:val="28"/>
            </w:rPr>
            <w:fldChar w:fldCharType="end"/>
          </w:r>
        </w:p>
        <w:p w14:paraId="0D4CE6A9">
          <w:pPr>
            <w:pStyle w:val="258"/>
            <w:keepNext w:val="0"/>
            <w:keepLines w:val="0"/>
            <w:pageBreakBefore w:val="0"/>
            <w:widowControl/>
            <w:tabs>
              <w:tab w:val="right" w:leader="dot" w:pos="9412"/>
            </w:tabs>
            <w:kinsoku/>
            <w:wordWrap/>
            <w:overflowPunct/>
            <w:topLinePunct w:val="0"/>
            <w:autoSpaceDE/>
            <w:autoSpaceDN/>
            <w:bidi w:val="0"/>
            <w:adjustRightInd/>
            <w:snapToGrid/>
            <w:spacing w:line="800" w:lineRule="exact"/>
            <w:textAlignment w:val="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_Toc9546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xml:space="preserve">第二章 </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磋商须知</w:t>
          </w:r>
          <w:r>
            <w:rPr>
              <w:rFonts w:hint="eastAsia" w:ascii="宋体" w:hAnsi="宋体" w:eastAsia="宋体" w:cs="宋体"/>
              <w:b/>
              <w:bCs/>
              <w:sz w:val="28"/>
              <w:szCs w:val="28"/>
            </w:rPr>
            <w:tab/>
          </w:r>
          <w:r>
            <w:rPr>
              <w:rFonts w:hint="eastAsia" w:ascii="宋体" w:hAnsi="宋体" w:cs="宋体"/>
              <w:b/>
              <w:bCs/>
              <w:sz w:val="28"/>
              <w:szCs w:val="28"/>
              <w:lang w:val="en-US" w:eastAsia="zh-CN"/>
            </w:rPr>
            <w:t>6</w:t>
          </w:r>
          <w:r>
            <w:rPr>
              <w:rFonts w:hint="eastAsia" w:ascii="宋体" w:hAnsi="宋体" w:eastAsia="宋体" w:cs="宋体"/>
              <w:b/>
              <w:bCs/>
              <w:sz w:val="28"/>
              <w:szCs w:val="28"/>
            </w:rPr>
            <w:fldChar w:fldCharType="end"/>
          </w:r>
        </w:p>
        <w:p w14:paraId="5ECDD214">
          <w:pPr>
            <w:pStyle w:val="258"/>
            <w:keepNext w:val="0"/>
            <w:keepLines w:val="0"/>
            <w:pageBreakBefore w:val="0"/>
            <w:tabs>
              <w:tab w:val="right" w:leader="dot" w:pos="9412"/>
            </w:tabs>
            <w:kinsoku/>
            <w:wordWrap/>
            <w:overflowPunct/>
            <w:topLinePunct w:val="0"/>
            <w:autoSpaceDE/>
            <w:autoSpaceDN/>
            <w:bidi w:val="0"/>
            <w:adjustRightInd/>
            <w:snapToGrid/>
            <w:spacing w:line="800" w:lineRule="exact"/>
            <w:textAlignment w:val="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_Toc18673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第三章</w:t>
          </w:r>
          <w:r>
            <w:rPr>
              <w:rFonts w:hint="eastAsia" w:ascii="宋体" w:hAnsi="宋体" w:eastAsia="宋体" w:cs="宋体"/>
              <w:b/>
              <w:bCs/>
              <w:sz w:val="28"/>
              <w:szCs w:val="28"/>
              <w:lang w:val="en-US"/>
            </w:rPr>
            <w:t xml:space="preserve">  </w:t>
          </w:r>
          <w:r>
            <w:rPr>
              <w:rFonts w:hint="eastAsia" w:ascii="宋体" w:hAnsi="宋体" w:eastAsia="宋体" w:cs="宋体"/>
              <w:b/>
              <w:bCs/>
              <w:sz w:val="28"/>
              <w:szCs w:val="28"/>
            </w:rPr>
            <w:t>评审办法及标准</w:t>
          </w:r>
          <w:r>
            <w:rPr>
              <w:rFonts w:hint="eastAsia" w:ascii="宋体" w:hAnsi="宋体" w:eastAsia="宋体" w:cs="宋体"/>
              <w:b/>
              <w:bCs/>
              <w:sz w:val="28"/>
              <w:szCs w:val="28"/>
            </w:rPr>
            <w:tab/>
          </w:r>
          <w:r>
            <w:rPr>
              <w:rFonts w:hint="eastAsia" w:ascii="宋体" w:hAnsi="宋体" w:cs="宋体"/>
              <w:b/>
              <w:bCs/>
              <w:sz w:val="28"/>
              <w:szCs w:val="28"/>
              <w:lang w:val="en-US" w:eastAsia="zh-CN"/>
            </w:rPr>
            <w:t>2</w:t>
          </w:r>
          <w:r>
            <w:rPr>
              <w:rFonts w:hint="eastAsia" w:ascii="宋体" w:hAnsi="宋体" w:eastAsia="宋体" w:cs="宋体"/>
              <w:b/>
              <w:bCs/>
              <w:sz w:val="28"/>
              <w:szCs w:val="28"/>
            </w:rPr>
            <w:fldChar w:fldCharType="end"/>
          </w:r>
          <w:r>
            <w:rPr>
              <w:rFonts w:hint="eastAsia" w:ascii="宋体" w:hAnsi="宋体" w:cs="宋体"/>
              <w:b/>
              <w:bCs/>
              <w:sz w:val="28"/>
              <w:szCs w:val="28"/>
              <w:lang w:val="en-US" w:eastAsia="zh-CN"/>
            </w:rPr>
            <w:t>6</w:t>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_Toc12140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fldChar w:fldCharType="end"/>
          </w:r>
        </w:p>
        <w:p w14:paraId="2DC05517">
          <w:pPr>
            <w:pStyle w:val="258"/>
            <w:keepNext w:val="0"/>
            <w:keepLines w:val="0"/>
            <w:pageBreakBefore w:val="0"/>
            <w:tabs>
              <w:tab w:val="right" w:leader="dot" w:pos="9412"/>
            </w:tabs>
            <w:kinsoku/>
            <w:wordWrap/>
            <w:overflowPunct/>
            <w:topLinePunct w:val="0"/>
            <w:autoSpaceDE/>
            <w:autoSpaceDN/>
            <w:bidi w:val="0"/>
            <w:adjustRightInd/>
            <w:snapToGrid/>
            <w:spacing w:line="800" w:lineRule="exact"/>
            <w:textAlignment w:val="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_Toc7000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第四章</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政府采购合同格式</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_Toc7000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31</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2C890B16">
          <w:pPr>
            <w:pStyle w:val="258"/>
            <w:keepNext w:val="0"/>
            <w:keepLines w:val="0"/>
            <w:pageBreakBefore w:val="0"/>
            <w:tabs>
              <w:tab w:val="right" w:leader="dot" w:pos="9412"/>
            </w:tabs>
            <w:kinsoku/>
            <w:wordWrap/>
            <w:overflowPunct/>
            <w:topLinePunct w:val="0"/>
            <w:autoSpaceDE/>
            <w:autoSpaceDN/>
            <w:bidi w:val="0"/>
            <w:adjustRightInd/>
            <w:snapToGrid/>
            <w:spacing w:line="80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_Toc4555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第五章</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采购需求</w:t>
          </w:r>
          <w:r>
            <w:rPr>
              <w:rFonts w:hint="eastAsia" w:ascii="宋体" w:hAnsi="宋体" w:eastAsia="宋体" w:cs="宋体"/>
              <w:b/>
              <w:bCs/>
              <w:sz w:val="28"/>
              <w:szCs w:val="28"/>
            </w:rPr>
            <w:tab/>
          </w:r>
          <w:r>
            <w:rPr>
              <w:rFonts w:hint="eastAsia" w:ascii="宋体" w:hAnsi="宋体" w:cs="宋体"/>
              <w:b/>
              <w:bCs/>
              <w:sz w:val="28"/>
              <w:szCs w:val="28"/>
              <w:lang w:val="en-US" w:eastAsia="zh-CN"/>
            </w:rPr>
            <w:t>4</w:t>
          </w:r>
          <w:r>
            <w:rPr>
              <w:rFonts w:hint="eastAsia" w:ascii="宋体" w:hAnsi="宋体" w:eastAsia="宋体" w:cs="宋体"/>
              <w:b/>
              <w:bCs/>
              <w:sz w:val="28"/>
              <w:szCs w:val="28"/>
            </w:rPr>
            <w:fldChar w:fldCharType="end"/>
          </w:r>
          <w:r>
            <w:rPr>
              <w:rFonts w:hint="eastAsia" w:ascii="宋体" w:hAnsi="宋体" w:cs="宋体"/>
              <w:b/>
              <w:bCs/>
              <w:sz w:val="28"/>
              <w:szCs w:val="28"/>
              <w:lang w:val="en-US" w:eastAsia="zh-CN"/>
            </w:rPr>
            <w:t>6</w:t>
          </w:r>
        </w:p>
        <w:p w14:paraId="53A4C34D">
          <w:pPr>
            <w:pStyle w:val="258"/>
            <w:keepNext w:val="0"/>
            <w:keepLines w:val="0"/>
            <w:pageBreakBefore w:val="0"/>
            <w:tabs>
              <w:tab w:val="right" w:leader="dot" w:pos="9412"/>
            </w:tabs>
            <w:kinsoku/>
            <w:wordWrap/>
            <w:overflowPunct/>
            <w:topLinePunct w:val="0"/>
            <w:autoSpaceDE/>
            <w:autoSpaceDN/>
            <w:bidi w:val="0"/>
            <w:adjustRightInd/>
            <w:snapToGrid/>
            <w:spacing w:line="80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_Toc20036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lang w:eastAsia="zh-CN"/>
            </w:rPr>
            <w:t>第六章</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lang w:eastAsia="zh-CN"/>
            </w:rPr>
            <w:t>响应文件组成</w:t>
          </w:r>
          <w:r>
            <w:rPr>
              <w:rFonts w:hint="eastAsia" w:ascii="宋体" w:hAnsi="宋体" w:eastAsia="宋体" w:cs="宋体"/>
              <w:b/>
              <w:bCs/>
              <w:sz w:val="28"/>
              <w:szCs w:val="28"/>
            </w:rPr>
            <w:tab/>
          </w:r>
          <w:r>
            <w:rPr>
              <w:rFonts w:hint="eastAsia" w:ascii="宋体" w:hAnsi="宋体" w:cs="宋体"/>
              <w:b/>
              <w:bCs/>
              <w:sz w:val="28"/>
              <w:szCs w:val="28"/>
              <w:lang w:val="en-US" w:eastAsia="zh-CN"/>
            </w:rPr>
            <w:t>9</w:t>
          </w:r>
          <w:r>
            <w:rPr>
              <w:rFonts w:hint="eastAsia" w:ascii="宋体" w:hAnsi="宋体" w:eastAsia="宋体" w:cs="宋体"/>
              <w:b/>
              <w:bCs/>
              <w:sz w:val="28"/>
              <w:szCs w:val="28"/>
            </w:rPr>
            <w:fldChar w:fldCharType="end"/>
          </w:r>
          <w:r>
            <w:rPr>
              <w:rFonts w:hint="eastAsia" w:ascii="宋体" w:hAnsi="宋体" w:cs="宋体"/>
              <w:b/>
              <w:bCs/>
              <w:sz w:val="28"/>
              <w:szCs w:val="28"/>
              <w:lang w:val="en-US" w:eastAsia="zh-CN"/>
            </w:rPr>
            <w:t>2</w:t>
          </w:r>
        </w:p>
        <w:p w14:paraId="14852D0A">
          <w:pPr>
            <w:keepNext w:val="0"/>
            <w:keepLines w:val="0"/>
            <w:pageBreakBefore w:val="0"/>
            <w:kinsoku/>
            <w:wordWrap/>
            <w:overflowPunct/>
            <w:topLinePunct w:val="0"/>
            <w:autoSpaceDE/>
            <w:autoSpaceDN/>
            <w:bidi w:val="0"/>
            <w:adjustRightInd/>
            <w:snapToGrid/>
            <w:spacing w:line="800" w:lineRule="exact"/>
            <w:textAlignment w:val="auto"/>
            <w:rPr>
              <w:rFonts w:hint="eastAsia" w:ascii="宋体" w:hAnsi="宋体" w:eastAsia="宋体" w:cs="宋体"/>
              <w:b/>
              <w:bCs/>
              <w:sz w:val="28"/>
              <w:szCs w:val="28"/>
            </w:rPr>
          </w:pPr>
          <w:r>
            <w:rPr>
              <w:rFonts w:hint="eastAsia" w:ascii="宋体" w:hAnsi="宋体" w:eastAsia="宋体" w:cs="宋体"/>
              <w:b/>
              <w:bCs/>
              <w:sz w:val="28"/>
              <w:szCs w:val="28"/>
            </w:rPr>
            <w:fldChar w:fldCharType="end"/>
          </w:r>
        </w:p>
      </w:sdtContent>
    </w:sdt>
    <w:p w14:paraId="26D42BA5">
      <w:pPr>
        <w:pageBreakBefore w:val="0"/>
        <w:kinsoku/>
        <w:wordWrap/>
        <w:overflowPunct/>
        <w:bidi w:val="0"/>
        <w:spacing w:beforeAutospacing="0" w:afterAutospacing="0" w:line="500" w:lineRule="exact"/>
        <w:jc w:val="center"/>
        <w:textAlignment w:val="auto"/>
        <w:outlineLvl w:val="0"/>
        <w:rPr>
          <w:rFonts w:hint="eastAsia" w:ascii="宋体" w:hAnsi="宋体" w:eastAsia="宋体" w:cs="宋体"/>
          <w:b/>
          <w:sz w:val="32"/>
          <w:szCs w:val="32"/>
        </w:rPr>
      </w:pPr>
      <w:bookmarkStart w:id="4" w:name="_Toc2348"/>
    </w:p>
    <w:p w14:paraId="66851D99">
      <w:pPr>
        <w:pageBreakBefore w:val="0"/>
        <w:kinsoku/>
        <w:wordWrap/>
        <w:overflowPunct/>
        <w:bidi w:val="0"/>
        <w:spacing w:beforeAutospacing="0" w:afterAutospacing="0" w:line="500" w:lineRule="exact"/>
        <w:jc w:val="center"/>
        <w:textAlignment w:val="auto"/>
        <w:outlineLvl w:val="0"/>
        <w:rPr>
          <w:rFonts w:hint="eastAsia" w:ascii="宋体" w:hAnsi="宋体" w:eastAsia="宋体" w:cs="宋体"/>
          <w:b/>
          <w:sz w:val="32"/>
          <w:szCs w:val="32"/>
        </w:rPr>
      </w:pPr>
    </w:p>
    <w:p w14:paraId="37767B24">
      <w:pPr>
        <w:pageBreakBefore w:val="0"/>
        <w:kinsoku/>
        <w:wordWrap/>
        <w:overflowPunct/>
        <w:bidi w:val="0"/>
        <w:spacing w:beforeAutospacing="0" w:afterAutospacing="0" w:line="500" w:lineRule="exact"/>
        <w:jc w:val="center"/>
        <w:textAlignment w:val="auto"/>
        <w:outlineLvl w:val="0"/>
        <w:rPr>
          <w:rFonts w:hint="eastAsia" w:ascii="宋体" w:hAnsi="宋体" w:eastAsia="宋体" w:cs="宋体"/>
          <w:b/>
          <w:sz w:val="32"/>
          <w:szCs w:val="32"/>
        </w:rPr>
      </w:pPr>
    </w:p>
    <w:p w14:paraId="33A7BC7E">
      <w:pPr>
        <w:pageBreakBefore w:val="0"/>
        <w:kinsoku/>
        <w:wordWrap/>
        <w:overflowPunct/>
        <w:bidi w:val="0"/>
        <w:spacing w:beforeAutospacing="0" w:afterAutospacing="0" w:line="500" w:lineRule="exact"/>
        <w:jc w:val="center"/>
        <w:textAlignment w:val="auto"/>
        <w:outlineLvl w:val="0"/>
        <w:rPr>
          <w:rFonts w:hint="eastAsia" w:ascii="宋体" w:hAnsi="宋体" w:eastAsia="宋体" w:cs="宋体"/>
          <w:b/>
          <w:sz w:val="32"/>
          <w:szCs w:val="32"/>
        </w:rPr>
      </w:pPr>
    </w:p>
    <w:p w14:paraId="4D806A6A">
      <w:pPr>
        <w:pageBreakBefore w:val="0"/>
        <w:kinsoku/>
        <w:wordWrap/>
        <w:overflowPunct/>
        <w:bidi w:val="0"/>
        <w:spacing w:beforeAutospacing="0" w:afterAutospacing="0" w:line="500" w:lineRule="exact"/>
        <w:jc w:val="center"/>
        <w:textAlignment w:val="auto"/>
        <w:outlineLvl w:val="0"/>
        <w:rPr>
          <w:rFonts w:hint="eastAsia" w:ascii="宋体" w:hAnsi="宋体" w:eastAsia="宋体" w:cs="宋体"/>
          <w:b/>
          <w:sz w:val="32"/>
          <w:szCs w:val="32"/>
        </w:rPr>
      </w:pPr>
    </w:p>
    <w:p w14:paraId="5E9C91F1">
      <w:pPr>
        <w:pageBreakBefore w:val="0"/>
        <w:kinsoku/>
        <w:wordWrap/>
        <w:overflowPunct/>
        <w:bidi w:val="0"/>
        <w:spacing w:beforeAutospacing="0" w:afterAutospacing="0" w:line="500" w:lineRule="exact"/>
        <w:jc w:val="center"/>
        <w:textAlignment w:val="auto"/>
        <w:outlineLvl w:val="0"/>
        <w:rPr>
          <w:rFonts w:hint="eastAsia" w:ascii="宋体" w:hAnsi="宋体" w:eastAsia="宋体" w:cs="宋体"/>
          <w:b/>
          <w:sz w:val="32"/>
          <w:szCs w:val="32"/>
        </w:rPr>
      </w:pPr>
    </w:p>
    <w:p w14:paraId="38CC6837">
      <w:pPr>
        <w:pageBreakBefore w:val="0"/>
        <w:kinsoku/>
        <w:wordWrap/>
        <w:overflowPunct/>
        <w:bidi w:val="0"/>
        <w:spacing w:beforeAutospacing="0" w:afterAutospacing="0" w:line="500" w:lineRule="exact"/>
        <w:jc w:val="center"/>
        <w:textAlignment w:val="auto"/>
        <w:outlineLvl w:val="0"/>
        <w:rPr>
          <w:rFonts w:hint="eastAsia" w:ascii="宋体" w:hAnsi="宋体" w:eastAsia="宋体" w:cs="宋体"/>
          <w:b/>
          <w:sz w:val="32"/>
          <w:szCs w:val="32"/>
        </w:rPr>
      </w:pPr>
    </w:p>
    <w:p w14:paraId="3E97DCCA">
      <w:pPr>
        <w:pageBreakBefore w:val="0"/>
        <w:kinsoku/>
        <w:wordWrap/>
        <w:overflowPunct/>
        <w:topLinePunct w:val="0"/>
        <w:autoSpaceDE/>
        <w:autoSpaceDN/>
        <w:bidi w:val="0"/>
        <w:spacing w:beforeAutospacing="0" w:afterAutospacing="0" w:line="500" w:lineRule="exact"/>
        <w:jc w:val="center"/>
        <w:textAlignment w:val="auto"/>
        <w:outlineLvl w:val="0"/>
        <w:rPr>
          <w:rFonts w:hint="eastAsia" w:ascii="宋体" w:hAnsi="宋体" w:eastAsia="宋体" w:cs="宋体"/>
          <w:b/>
          <w:sz w:val="32"/>
          <w:szCs w:val="32"/>
        </w:rPr>
      </w:pPr>
    </w:p>
    <w:p w14:paraId="08DCC3F0">
      <w:pPr>
        <w:pageBreakBefore w:val="0"/>
        <w:kinsoku/>
        <w:wordWrap/>
        <w:overflowPunct/>
        <w:topLinePunct w:val="0"/>
        <w:autoSpaceDE/>
        <w:autoSpaceDN/>
        <w:bidi w:val="0"/>
        <w:spacing w:beforeAutospacing="0" w:afterAutospacing="0" w:line="500" w:lineRule="exact"/>
        <w:jc w:val="center"/>
        <w:textAlignment w:val="auto"/>
        <w:outlineLvl w:val="0"/>
        <w:rPr>
          <w:rFonts w:hint="eastAsia" w:ascii="宋体" w:hAnsi="宋体" w:eastAsia="宋体" w:cs="宋体"/>
          <w:b/>
          <w:sz w:val="32"/>
          <w:szCs w:val="32"/>
        </w:rPr>
      </w:pPr>
    </w:p>
    <w:p w14:paraId="293A1D2D">
      <w:pPr>
        <w:pageBreakBefore w:val="0"/>
        <w:kinsoku/>
        <w:wordWrap/>
        <w:overflowPunct/>
        <w:topLinePunct w:val="0"/>
        <w:autoSpaceDE/>
        <w:autoSpaceDN/>
        <w:bidi w:val="0"/>
        <w:spacing w:beforeAutospacing="0" w:afterAutospacing="0" w:line="500" w:lineRule="exact"/>
        <w:jc w:val="center"/>
        <w:textAlignment w:val="auto"/>
        <w:outlineLvl w:val="0"/>
        <w:rPr>
          <w:rFonts w:hint="eastAsia" w:ascii="宋体" w:hAnsi="宋体" w:eastAsia="宋体" w:cs="宋体"/>
          <w:b/>
          <w:sz w:val="32"/>
          <w:szCs w:val="32"/>
        </w:rPr>
      </w:pPr>
    </w:p>
    <w:p w14:paraId="2191260A">
      <w:pPr>
        <w:pageBreakBefore w:val="0"/>
        <w:kinsoku/>
        <w:wordWrap/>
        <w:overflowPunct/>
        <w:topLinePunct w:val="0"/>
        <w:autoSpaceDE/>
        <w:autoSpaceDN/>
        <w:bidi w:val="0"/>
        <w:spacing w:beforeAutospacing="0" w:afterAutospacing="0" w:line="500" w:lineRule="exact"/>
        <w:jc w:val="center"/>
        <w:textAlignment w:val="auto"/>
        <w:outlineLvl w:val="0"/>
        <w:rPr>
          <w:rFonts w:hint="eastAsia" w:ascii="宋体" w:hAnsi="宋体" w:eastAsia="宋体" w:cs="宋体"/>
          <w:b/>
          <w:sz w:val="32"/>
          <w:szCs w:val="32"/>
        </w:rPr>
      </w:pPr>
    </w:p>
    <w:p w14:paraId="7312D660">
      <w:pPr>
        <w:pageBreakBefore w:val="0"/>
        <w:kinsoku/>
        <w:wordWrap/>
        <w:overflowPunct/>
        <w:topLinePunct w:val="0"/>
        <w:autoSpaceDE/>
        <w:autoSpaceDN/>
        <w:bidi w:val="0"/>
        <w:spacing w:beforeAutospacing="0" w:afterAutospacing="0" w:line="500" w:lineRule="exact"/>
        <w:jc w:val="both"/>
        <w:textAlignment w:val="auto"/>
        <w:outlineLvl w:val="0"/>
        <w:rPr>
          <w:rFonts w:hint="eastAsia" w:ascii="宋体" w:hAnsi="宋体" w:eastAsia="宋体" w:cs="宋体"/>
          <w:b/>
          <w:sz w:val="32"/>
          <w:szCs w:val="32"/>
        </w:rPr>
      </w:pPr>
    </w:p>
    <w:p w14:paraId="74127FFD">
      <w:pPr>
        <w:pageBreakBefore w:val="0"/>
        <w:kinsoku/>
        <w:wordWrap/>
        <w:overflowPunct/>
        <w:topLinePunct w:val="0"/>
        <w:autoSpaceDE/>
        <w:autoSpaceDN/>
        <w:bidi w:val="0"/>
        <w:spacing w:beforeAutospacing="0" w:afterAutospacing="0" w:line="500" w:lineRule="exact"/>
        <w:jc w:val="both"/>
        <w:textAlignment w:val="auto"/>
        <w:outlineLvl w:val="0"/>
        <w:rPr>
          <w:rFonts w:hint="eastAsia" w:ascii="宋体" w:hAnsi="宋体" w:eastAsia="宋体" w:cs="宋体"/>
          <w:b/>
          <w:sz w:val="32"/>
          <w:szCs w:val="32"/>
        </w:rPr>
      </w:pPr>
    </w:p>
    <w:p w14:paraId="67DFB62D">
      <w:pPr>
        <w:pageBreakBefore w:val="0"/>
        <w:kinsoku/>
        <w:wordWrap/>
        <w:overflowPunct/>
        <w:topLinePunct w:val="0"/>
        <w:autoSpaceDE/>
        <w:autoSpaceDN/>
        <w:bidi w:val="0"/>
        <w:spacing w:beforeAutospacing="0" w:afterAutospacing="0" w:line="500" w:lineRule="exact"/>
        <w:jc w:val="center"/>
        <w:textAlignment w:val="auto"/>
        <w:outlineLvl w:val="0"/>
        <w:rPr>
          <w:rFonts w:hint="eastAsia" w:ascii="宋体" w:hAnsi="宋体" w:eastAsia="宋体" w:cs="宋体"/>
          <w:b/>
          <w:sz w:val="32"/>
          <w:szCs w:val="32"/>
        </w:rPr>
        <w:sectPr>
          <w:footerReference r:id="rId6" w:type="default"/>
          <w:footnotePr>
            <w:numFmt w:val="decimal"/>
          </w:footnotePr>
          <w:pgSz w:w="11900" w:h="16840"/>
          <w:pgMar w:top="1134" w:right="1417" w:bottom="1134" w:left="1417" w:header="325" w:footer="6" w:gutter="0"/>
          <w:pgNumType w:fmt="decimal"/>
          <w:cols w:space="0" w:num="1"/>
          <w:rtlGutter w:val="0"/>
          <w:docGrid w:linePitch="360" w:charSpace="0"/>
        </w:sectPr>
      </w:pPr>
    </w:p>
    <w:p w14:paraId="23171D1D">
      <w:pPr>
        <w:pageBreakBefore w:val="0"/>
        <w:kinsoku/>
        <w:wordWrap/>
        <w:overflowPunct/>
        <w:topLinePunct w:val="0"/>
        <w:autoSpaceDE/>
        <w:autoSpaceDN/>
        <w:bidi w:val="0"/>
        <w:spacing w:beforeAutospacing="0" w:afterAutospacing="0" w:line="500" w:lineRule="exact"/>
        <w:jc w:val="center"/>
        <w:textAlignment w:val="auto"/>
        <w:outlineLvl w:val="0"/>
        <w:rPr>
          <w:rFonts w:hint="eastAsia" w:ascii="宋体" w:hAnsi="宋体" w:eastAsia="宋体" w:cs="宋体"/>
          <w:b/>
          <w:sz w:val="32"/>
          <w:szCs w:val="32"/>
        </w:rPr>
      </w:pPr>
      <w:r>
        <w:rPr>
          <w:rFonts w:hint="eastAsia" w:ascii="宋体" w:hAnsi="宋体" w:eastAsia="宋体" w:cs="宋体"/>
          <w:b/>
          <w:sz w:val="32"/>
          <w:szCs w:val="32"/>
        </w:rPr>
        <w:t>第一章  磋商邀请</w:t>
      </w:r>
      <w:bookmarkEnd w:id="4"/>
    </w:p>
    <w:p w14:paraId="58B2B6AB">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420"/>
        <w:jc w:val="left"/>
        <w:textAlignment w:val="auto"/>
        <w:rPr>
          <w:rFonts w:hint="eastAsia" w:ascii="宋体" w:hAnsi="宋体" w:eastAsia="宋体" w:cs="宋体"/>
          <w:i w:val="0"/>
          <w:iCs w:val="0"/>
          <w:caps w:val="0"/>
          <w:color w:val="000000"/>
          <w:spacing w:val="0"/>
          <w:kern w:val="0"/>
          <w:sz w:val="21"/>
          <w:szCs w:val="21"/>
          <w:lang w:val="en-US" w:eastAsia="zh-CN" w:bidi="ar"/>
        </w:rPr>
      </w:pPr>
      <w:bookmarkStart w:id="5" w:name="_Toc9546"/>
      <w:r>
        <w:rPr>
          <w:rFonts w:hint="eastAsia" w:ascii="宋体" w:hAnsi="宋体" w:eastAsia="宋体" w:cs="宋体"/>
          <w:i w:val="0"/>
          <w:iCs w:val="0"/>
          <w:caps w:val="0"/>
          <w:color w:val="000000"/>
          <w:spacing w:val="0"/>
          <w:kern w:val="0"/>
          <w:sz w:val="21"/>
          <w:szCs w:val="21"/>
          <w:lang w:val="en-US" w:eastAsia="zh-CN" w:bidi="ar"/>
        </w:rPr>
        <w:t>华容县农业农村局的华容县2026年高素质农民培育项目进行竞争性磋商采购，现采用发布公告方式，邀请符合资格条件的供应商提交证明材料参与资格审查活动。</w:t>
      </w:r>
    </w:p>
    <w:p w14:paraId="2C74B397">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jc w:val="left"/>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项目概况</w:t>
      </w:r>
    </w:p>
    <w:p w14:paraId="202D93B5">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420" w:firstLineChars="2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华容县2026年高素质农民培育项目的潜在供应商应在</w:t>
      </w:r>
      <w:r>
        <w:rPr>
          <w:rFonts w:hint="eastAsia" w:ascii="宋体" w:hAnsi="宋体" w:eastAsia="宋体" w:cs="宋体"/>
          <w:i w:val="0"/>
          <w:iCs w:val="0"/>
          <w:caps w:val="0"/>
          <w:color w:val="000000"/>
          <w:spacing w:val="0"/>
          <w:sz w:val="21"/>
          <w:szCs w:val="21"/>
          <w:lang w:val="en-US" w:eastAsia="zh-CN"/>
        </w:rPr>
        <w:t>[湖南省中君项目管理咨询有限公司</w:t>
      </w:r>
      <w:r>
        <w:rPr>
          <w:rFonts w:hint="eastAsia" w:ascii="宋体" w:hAnsi="宋体" w:eastAsia="宋体" w:cs="宋体"/>
          <w:i w:val="0"/>
          <w:iCs w:val="0"/>
          <w:caps w:val="0"/>
          <w:color w:val="000000"/>
          <w:spacing w:val="0"/>
          <w:sz w:val="21"/>
          <w:szCs w:val="21"/>
        </w:rPr>
        <w:t>（湖南省岳阳市岳阳楼区五里牌街道高山坡社区花板桥路君临嘉龙公馆1栋5楼506室</w:t>
      </w:r>
      <w:r>
        <w:rPr>
          <w:rFonts w:hint="eastAsia" w:ascii="宋体" w:hAnsi="宋体" w:eastAsia="宋体" w:cs="宋体"/>
          <w:i w:val="0"/>
          <w:iCs w:val="0"/>
          <w:caps w:val="0"/>
          <w:color w:val="000000"/>
          <w:spacing w:val="0"/>
          <w:sz w:val="21"/>
          <w:szCs w:val="21"/>
          <w:lang w:val="en-US" w:eastAsia="zh-CN"/>
        </w:rPr>
        <w:t>)]凭供应商营业执照副本复印件、个人身份证原件、法定代表人身份证明原件（法定代表人报名）或者授权委托书并附法定代表人身份证明原件（授权委托人报名），以上资料均加盖公章</w:t>
      </w:r>
      <w:r>
        <w:rPr>
          <w:rFonts w:hint="eastAsia" w:ascii="宋体" w:hAnsi="宋体" w:eastAsia="宋体" w:cs="宋体"/>
          <w:i w:val="0"/>
          <w:iCs w:val="0"/>
          <w:caps w:val="0"/>
          <w:color w:val="000000"/>
          <w:spacing w:val="0"/>
          <w:sz w:val="21"/>
          <w:szCs w:val="21"/>
        </w:rPr>
        <w:t>获取采购文件，并于2026年</w:t>
      </w:r>
      <w:r>
        <w:rPr>
          <w:rFonts w:hint="eastAsia" w:ascii="宋体" w:hAnsi="宋体" w:eastAsia="宋体" w:cs="宋体"/>
          <w:i w:val="0"/>
          <w:iCs w:val="0"/>
          <w:caps w:val="0"/>
          <w:color w:val="000000"/>
          <w:spacing w:val="0"/>
          <w:sz w:val="21"/>
          <w:szCs w:val="21"/>
          <w:lang w:val="en-US" w:eastAsia="zh-CN"/>
        </w:rPr>
        <w:t xml:space="preserve"> </w:t>
      </w:r>
      <w:r>
        <w:rPr>
          <w:rFonts w:hint="eastAsia" w:ascii="宋体" w:hAnsi="宋体" w:cs="宋体"/>
          <w:i w:val="0"/>
          <w:iCs w:val="0"/>
          <w:caps w:val="0"/>
          <w:color w:val="000000"/>
          <w:spacing w:val="0"/>
          <w:sz w:val="21"/>
          <w:szCs w:val="21"/>
          <w:lang w:val="en-US" w:eastAsia="zh-CN"/>
        </w:rPr>
        <w:t>9</w:t>
      </w:r>
      <w:r>
        <w:rPr>
          <w:rFonts w:hint="eastAsia" w:ascii="宋体" w:hAnsi="宋体" w:eastAsia="宋体" w:cs="宋体"/>
          <w:i w:val="0"/>
          <w:iCs w:val="0"/>
          <w:caps w:val="0"/>
          <w:color w:val="000000"/>
          <w:spacing w:val="0"/>
          <w:sz w:val="21"/>
          <w:szCs w:val="21"/>
          <w:lang w:val="en-US" w:eastAsia="zh-CN"/>
        </w:rPr>
        <w:t xml:space="preserve"> </w:t>
      </w:r>
      <w:r>
        <w:rPr>
          <w:rFonts w:hint="eastAsia" w:ascii="宋体" w:hAnsi="宋体" w:eastAsia="宋体" w:cs="宋体"/>
          <w:i w:val="0"/>
          <w:iCs w:val="0"/>
          <w:caps w:val="0"/>
          <w:color w:val="000000"/>
          <w:spacing w:val="0"/>
          <w:sz w:val="21"/>
          <w:szCs w:val="21"/>
        </w:rPr>
        <w:t>月</w:t>
      </w:r>
      <w:r>
        <w:rPr>
          <w:rFonts w:hint="eastAsia" w:ascii="宋体" w:hAnsi="宋体" w:eastAsia="宋体" w:cs="宋体"/>
          <w:i w:val="0"/>
          <w:iCs w:val="0"/>
          <w:caps w:val="0"/>
          <w:color w:val="000000"/>
          <w:spacing w:val="0"/>
          <w:sz w:val="21"/>
          <w:szCs w:val="21"/>
          <w:lang w:val="en-US" w:eastAsia="zh-CN"/>
        </w:rPr>
        <w:t xml:space="preserve"> </w:t>
      </w:r>
      <w:r>
        <w:rPr>
          <w:rFonts w:hint="eastAsia" w:ascii="宋体" w:hAnsi="宋体" w:cs="宋体"/>
          <w:i w:val="0"/>
          <w:iCs w:val="0"/>
          <w:caps w:val="0"/>
          <w:color w:val="000000"/>
          <w:spacing w:val="0"/>
          <w:sz w:val="21"/>
          <w:szCs w:val="21"/>
          <w:lang w:val="en-US" w:eastAsia="zh-CN"/>
        </w:rPr>
        <w:t>7</w:t>
      </w:r>
      <w:r>
        <w:rPr>
          <w:rFonts w:hint="eastAsia" w:ascii="宋体" w:hAnsi="宋体" w:eastAsia="宋体" w:cs="宋体"/>
          <w:i w:val="0"/>
          <w:iCs w:val="0"/>
          <w:caps w:val="0"/>
          <w:color w:val="000000"/>
          <w:spacing w:val="0"/>
          <w:sz w:val="21"/>
          <w:szCs w:val="21"/>
          <w:lang w:val="en-US" w:eastAsia="zh-CN"/>
        </w:rPr>
        <w:t xml:space="preserve"> </w:t>
      </w:r>
      <w:r>
        <w:rPr>
          <w:rFonts w:hint="eastAsia" w:ascii="宋体" w:hAnsi="宋体" w:eastAsia="宋体" w:cs="宋体"/>
          <w:i w:val="0"/>
          <w:iCs w:val="0"/>
          <w:caps w:val="0"/>
          <w:color w:val="000000"/>
          <w:spacing w:val="0"/>
          <w:sz w:val="21"/>
          <w:szCs w:val="21"/>
        </w:rPr>
        <w:t>日 09点</w:t>
      </w:r>
      <w:r>
        <w:rPr>
          <w:rFonts w:hint="eastAsia" w:ascii="宋体" w:hAnsi="宋体" w:eastAsia="宋体" w:cs="宋体"/>
          <w:i w:val="0"/>
          <w:iCs w:val="0"/>
          <w:caps w:val="0"/>
          <w:color w:val="000000"/>
          <w:spacing w:val="0"/>
          <w:sz w:val="21"/>
          <w:szCs w:val="21"/>
          <w:lang w:val="en-US" w:eastAsia="zh-CN"/>
        </w:rPr>
        <w:t>30</w:t>
      </w:r>
      <w:r>
        <w:rPr>
          <w:rFonts w:hint="eastAsia" w:ascii="宋体" w:hAnsi="宋体" w:eastAsia="宋体" w:cs="宋体"/>
          <w:i w:val="0"/>
          <w:iCs w:val="0"/>
          <w:caps w:val="0"/>
          <w:color w:val="000000"/>
          <w:spacing w:val="0"/>
          <w:sz w:val="21"/>
          <w:szCs w:val="21"/>
        </w:rPr>
        <w:t>分 （北京时间）前提交响应文件。</w:t>
      </w:r>
    </w:p>
    <w:p w14:paraId="6F6897B6">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一、采购项目基本信息</w:t>
      </w:r>
    </w:p>
    <w:p w14:paraId="5F9C7B23">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1、采购项目编号：CGXM2026430623000028</w:t>
      </w:r>
    </w:p>
    <w:p w14:paraId="6ACDD2C0">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2、采购项目名称：华容县2026年高素质农民培育项目</w:t>
      </w:r>
    </w:p>
    <w:p w14:paraId="4AA4ECC4">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3、政府采购计划编号：(2026)430623000024-1、(2026)430623000024-2</w:t>
      </w:r>
    </w:p>
    <w:p w14:paraId="3CFF70A0">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eastAsia="宋体" w:cs="宋体"/>
          <w:i w:val="0"/>
          <w:iCs w:val="0"/>
          <w:caps w:val="0"/>
          <w:color w:val="000000"/>
          <w:spacing w:val="0"/>
          <w:kern w:val="0"/>
          <w:sz w:val="21"/>
          <w:szCs w:val="21"/>
          <w:highlight w:val="none"/>
          <w:lang w:val="en-US" w:eastAsia="zh-CN" w:bidi="ar"/>
        </w:rPr>
        <w:t>4、合同履行期限：2026年12月20日前完成全年培育任务</w:t>
      </w:r>
    </w:p>
    <w:p w14:paraId="7CC06E20">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w:t>
      </w:r>
      <w:r>
        <w:rPr>
          <w:rFonts w:hint="eastAsia" w:ascii="宋体" w:hAnsi="宋体" w:eastAsia="宋体" w:cs="宋体"/>
          <w:i w:val="0"/>
          <w:iCs w:val="0"/>
          <w:caps w:val="0"/>
          <w:color w:val="000000"/>
          <w:spacing w:val="0"/>
          <w:kern w:val="0"/>
          <w:sz w:val="21"/>
          <w:szCs w:val="21"/>
          <w:u w:val="single"/>
          <w:lang w:val="en-US" w:eastAsia="zh-CN" w:bidi="ar"/>
        </w:rPr>
        <w:t> 否 </w:t>
      </w:r>
      <w:r>
        <w:rPr>
          <w:rFonts w:hint="eastAsia" w:ascii="宋体" w:hAnsi="宋体" w:eastAsia="宋体" w:cs="宋体"/>
          <w:i w:val="0"/>
          <w:iCs w:val="0"/>
          <w:caps w:val="0"/>
          <w:color w:val="000000"/>
          <w:spacing w:val="0"/>
          <w:kern w:val="0"/>
          <w:sz w:val="21"/>
          <w:szCs w:val="21"/>
          <w:lang w:val="en-US" w:eastAsia="zh-CN" w:bidi="ar"/>
        </w:rPr>
        <w:t>接受联合体投标。</w:t>
      </w:r>
    </w:p>
    <w:p w14:paraId="2F847DF2">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二、采购需求</w:t>
      </w:r>
    </w:p>
    <w:tbl>
      <w:tblPr>
        <w:tblStyle w:val="45"/>
        <w:tblW w:w="96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83"/>
        <w:gridCol w:w="1830"/>
        <w:gridCol w:w="3737"/>
        <w:gridCol w:w="1437"/>
        <w:gridCol w:w="571"/>
        <w:gridCol w:w="1119"/>
      </w:tblGrid>
      <w:tr w14:paraId="3510A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8" w:hRule="atLeast"/>
          <w:tblHeader/>
        </w:trPr>
        <w:tc>
          <w:tcPr>
            <w:tcW w:w="983"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3335B14C">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包名称</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2DE3B04">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最高限价（元）</w:t>
            </w:r>
          </w:p>
        </w:tc>
        <w:tc>
          <w:tcPr>
            <w:tcW w:w="373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7DB2293">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标的名称</w:t>
            </w:r>
          </w:p>
        </w:tc>
        <w:tc>
          <w:tcPr>
            <w:tcW w:w="143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28490AFD">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简要技术需求或服务要求</w:t>
            </w:r>
          </w:p>
        </w:tc>
        <w:tc>
          <w:tcPr>
            <w:tcW w:w="571"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38F52BE">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数量</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1AF5BF12">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预算金额（元）</w:t>
            </w:r>
          </w:p>
        </w:tc>
      </w:tr>
      <w:tr w14:paraId="7D221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83"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123874AB">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caps w:val="0"/>
                <w:spacing w:val="0"/>
                <w:sz w:val="21"/>
                <w:szCs w:val="21"/>
                <w:lang w:eastAsia="zh-CN"/>
              </w:rPr>
            </w:pPr>
            <w:r>
              <w:rPr>
                <w:rFonts w:hint="eastAsia" w:ascii="宋体" w:hAnsi="宋体" w:eastAsia="宋体" w:cs="宋体"/>
                <w:caps w:val="0"/>
                <w:spacing w:val="0"/>
                <w:sz w:val="21"/>
                <w:szCs w:val="21"/>
                <w:lang w:val="en-US" w:eastAsia="zh-CN"/>
              </w:rPr>
              <w:t>包1</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8CE07DA">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default" w:ascii="宋体" w:hAnsi="宋体" w:eastAsia="宋体" w:cs="宋体"/>
                <w:caps w:val="0"/>
                <w:spacing w:val="0"/>
                <w:sz w:val="21"/>
                <w:szCs w:val="21"/>
                <w:lang w:val="en-US" w:eastAsia="zh-CN"/>
              </w:rPr>
            </w:pPr>
            <w:r>
              <w:rPr>
                <w:rFonts w:hint="eastAsia" w:ascii="宋体" w:hAnsi="宋体" w:eastAsia="宋体" w:cs="宋体"/>
                <w:caps w:val="0"/>
                <w:spacing w:val="0"/>
                <w:sz w:val="21"/>
                <w:szCs w:val="21"/>
                <w:lang w:val="en-US" w:eastAsia="zh-CN"/>
              </w:rPr>
              <w:t>560000.00</w:t>
            </w:r>
          </w:p>
        </w:tc>
        <w:tc>
          <w:tcPr>
            <w:tcW w:w="373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1FC13DEC">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caps w:val="0"/>
                <w:spacing w:val="0"/>
                <w:sz w:val="21"/>
                <w:szCs w:val="21"/>
                <w:lang w:eastAsia="zh-CN"/>
              </w:rPr>
            </w:pPr>
            <w:r>
              <w:rPr>
                <w:rFonts w:hint="eastAsia" w:ascii="宋体" w:hAnsi="宋体" w:eastAsia="宋体" w:cs="宋体"/>
                <w:caps w:val="0"/>
                <w:spacing w:val="0"/>
                <w:sz w:val="21"/>
                <w:szCs w:val="21"/>
                <w:lang w:eastAsia="zh-CN"/>
              </w:rPr>
              <w:t>华容县2026年高素质农民培育项目</w:t>
            </w:r>
          </w:p>
        </w:tc>
        <w:tc>
          <w:tcPr>
            <w:tcW w:w="143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0D49EE21">
            <w:pPr>
              <w:keepNext w:val="0"/>
              <w:keepLines w:val="0"/>
              <w:pageBreakBefore w:val="0"/>
              <w:widowControl/>
              <w:suppressLineNumbers w:val="0"/>
              <w:kinsoku/>
              <w:overflowPunct/>
              <w:topLinePunct w:val="0"/>
              <w:autoSpaceDE/>
              <w:autoSpaceDN/>
              <w:bidi w:val="0"/>
              <w:spacing w:beforeAutospacing="0" w:line="396" w:lineRule="exact"/>
              <w:jc w:val="left"/>
              <w:textAlignment w:val="auto"/>
              <w:rPr>
                <w:rFonts w:hint="eastAsia" w:ascii="宋体" w:hAnsi="宋体" w:eastAsia="宋体" w:cs="宋体"/>
                <w:caps w:val="0"/>
                <w:spacing w:val="0"/>
                <w:sz w:val="21"/>
                <w:szCs w:val="21"/>
              </w:rPr>
            </w:pPr>
            <w:r>
              <w:rPr>
                <w:rFonts w:hint="eastAsia" w:ascii="宋体" w:hAnsi="宋体" w:eastAsia="宋体" w:cs="宋体"/>
                <w:caps w:val="0"/>
                <w:spacing w:val="0"/>
                <w:kern w:val="0"/>
                <w:sz w:val="21"/>
                <w:szCs w:val="21"/>
                <w:lang w:val="en-US" w:eastAsia="zh-CN" w:bidi="ar"/>
              </w:rPr>
              <w:t>详见磋商文件</w:t>
            </w:r>
          </w:p>
        </w:tc>
        <w:tc>
          <w:tcPr>
            <w:tcW w:w="571"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823DE7A">
            <w:pPr>
              <w:keepNext w:val="0"/>
              <w:keepLines w:val="0"/>
              <w:pageBreakBefore w:val="0"/>
              <w:widowControl/>
              <w:suppressLineNumbers w:val="0"/>
              <w:kinsoku/>
              <w:overflowPunct/>
              <w:topLinePunct w:val="0"/>
              <w:autoSpaceDE/>
              <w:autoSpaceDN/>
              <w:bidi w:val="0"/>
              <w:spacing w:beforeAutospacing="0" w:line="396" w:lineRule="exact"/>
              <w:jc w:val="left"/>
              <w:textAlignment w:val="auto"/>
              <w:rPr>
                <w:rFonts w:hint="eastAsia" w:ascii="宋体" w:hAnsi="宋体" w:eastAsia="宋体" w:cs="宋体"/>
                <w:caps w:val="0"/>
                <w:spacing w:val="0"/>
                <w:sz w:val="21"/>
                <w:szCs w:val="21"/>
              </w:rPr>
            </w:pPr>
            <w:r>
              <w:rPr>
                <w:rFonts w:hint="eastAsia" w:ascii="宋体" w:hAnsi="宋体" w:eastAsia="宋体" w:cs="宋体"/>
                <w:caps w:val="0"/>
                <w:spacing w:val="0"/>
                <w:sz w:val="21"/>
                <w:szCs w:val="21"/>
                <w:lang w:val="en-US" w:eastAsia="zh-CN"/>
              </w:rPr>
              <w:t>4</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334EBF38">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caps w:val="0"/>
                <w:spacing w:val="0"/>
                <w:sz w:val="21"/>
                <w:szCs w:val="21"/>
              </w:rPr>
            </w:pPr>
            <w:r>
              <w:rPr>
                <w:rFonts w:hint="eastAsia" w:ascii="宋体" w:hAnsi="宋体" w:eastAsia="宋体" w:cs="宋体"/>
                <w:caps w:val="0"/>
                <w:spacing w:val="0"/>
                <w:sz w:val="21"/>
                <w:szCs w:val="21"/>
                <w:lang w:val="en-US" w:eastAsia="zh-CN"/>
              </w:rPr>
              <w:t>560000.00</w:t>
            </w:r>
          </w:p>
        </w:tc>
      </w:tr>
      <w:tr w14:paraId="687DA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83"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4A5416C">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caps w:val="0"/>
                <w:spacing w:val="0"/>
                <w:sz w:val="21"/>
                <w:szCs w:val="21"/>
                <w:lang w:val="en-US" w:eastAsia="zh-CN"/>
              </w:rPr>
            </w:pPr>
            <w:r>
              <w:rPr>
                <w:rFonts w:hint="eastAsia" w:ascii="宋体" w:hAnsi="宋体" w:eastAsia="宋体" w:cs="宋体"/>
                <w:caps w:val="0"/>
                <w:spacing w:val="0"/>
                <w:sz w:val="21"/>
                <w:szCs w:val="21"/>
                <w:lang w:val="en-US" w:eastAsia="zh-CN"/>
              </w:rPr>
              <w:t>包2</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FFA01B5">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caps w:val="0"/>
                <w:spacing w:val="0"/>
                <w:sz w:val="21"/>
                <w:szCs w:val="21"/>
                <w:lang w:val="en-US" w:eastAsia="zh-CN"/>
              </w:rPr>
            </w:pPr>
            <w:r>
              <w:rPr>
                <w:rFonts w:hint="eastAsia" w:ascii="宋体" w:hAnsi="宋体" w:eastAsia="宋体" w:cs="宋体"/>
                <w:caps w:val="0"/>
                <w:spacing w:val="0"/>
                <w:sz w:val="21"/>
                <w:szCs w:val="21"/>
                <w:lang w:val="en-US" w:eastAsia="zh-CN"/>
              </w:rPr>
              <w:t>880000.00</w:t>
            </w:r>
          </w:p>
        </w:tc>
        <w:tc>
          <w:tcPr>
            <w:tcW w:w="373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85C639F">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caps w:val="0"/>
                <w:spacing w:val="0"/>
                <w:sz w:val="21"/>
                <w:szCs w:val="21"/>
                <w:lang w:eastAsia="zh-CN"/>
              </w:rPr>
            </w:pPr>
            <w:r>
              <w:rPr>
                <w:rFonts w:hint="eastAsia" w:ascii="宋体" w:hAnsi="宋体" w:eastAsia="宋体" w:cs="宋体"/>
                <w:caps w:val="0"/>
                <w:spacing w:val="0"/>
                <w:sz w:val="21"/>
                <w:szCs w:val="21"/>
                <w:lang w:eastAsia="zh-CN"/>
              </w:rPr>
              <w:t>华容县2026年高素质农民培育项目</w:t>
            </w:r>
          </w:p>
        </w:tc>
        <w:tc>
          <w:tcPr>
            <w:tcW w:w="143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58019F65">
            <w:pPr>
              <w:keepNext w:val="0"/>
              <w:keepLines w:val="0"/>
              <w:pageBreakBefore w:val="0"/>
              <w:widowControl/>
              <w:suppressLineNumbers w:val="0"/>
              <w:kinsoku/>
              <w:overflowPunct/>
              <w:topLinePunct w:val="0"/>
              <w:autoSpaceDE/>
              <w:autoSpaceDN/>
              <w:bidi w:val="0"/>
              <w:spacing w:beforeAutospacing="0" w:line="396" w:lineRule="exact"/>
              <w:jc w:val="left"/>
              <w:textAlignment w:val="auto"/>
              <w:rPr>
                <w:rFonts w:hint="eastAsia" w:ascii="宋体" w:hAnsi="宋体" w:eastAsia="宋体" w:cs="宋体"/>
                <w:caps w:val="0"/>
                <w:spacing w:val="0"/>
                <w:kern w:val="0"/>
                <w:sz w:val="21"/>
                <w:szCs w:val="21"/>
                <w:lang w:val="en-US" w:eastAsia="zh-CN" w:bidi="ar"/>
              </w:rPr>
            </w:pPr>
            <w:r>
              <w:rPr>
                <w:rFonts w:hint="eastAsia" w:ascii="宋体" w:hAnsi="宋体" w:eastAsia="宋体" w:cs="宋体"/>
                <w:caps w:val="0"/>
                <w:spacing w:val="0"/>
                <w:kern w:val="0"/>
                <w:sz w:val="21"/>
                <w:szCs w:val="21"/>
                <w:lang w:val="en-US" w:eastAsia="zh-CN" w:bidi="ar"/>
              </w:rPr>
              <w:t>详见磋商文件</w:t>
            </w:r>
          </w:p>
        </w:tc>
        <w:tc>
          <w:tcPr>
            <w:tcW w:w="571"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78414AF8">
            <w:pPr>
              <w:keepNext w:val="0"/>
              <w:keepLines w:val="0"/>
              <w:pageBreakBefore w:val="0"/>
              <w:widowControl/>
              <w:suppressLineNumbers w:val="0"/>
              <w:kinsoku/>
              <w:overflowPunct/>
              <w:topLinePunct w:val="0"/>
              <w:autoSpaceDE/>
              <w:autoSpaceDN/>
              <w:bidi w:val="0"/>
              <w:spacing w:beforeAutospacing="0" w:line="396" w:lineRule="exact"/>
              <w:jc w:val="left"/>
              <w:textAlignment w:val="auto"/>
              <w:rPr>
                <w:rFonts w:hint="eastAsia" w:ascii="宋体" w:hAnsi="宋体" w:eastAsia="宋体" w:cs="宋体"/>
                <w:caps w:val="0"/>
                <w:spacing w:val="0"/>
                <w:sz w:val="21"/>
                <w:szCs w:val="21"/>
                <w:lang w:val="en-US" w:eastAsia="zh-CN"/>
              </w:rPr>
            </w:pPr>
            <w:r>
              <w:rPr>
                <w:rFonts w:hint="eastAsia" w:ascii="宋体" w:hAnsi="宋体" w:eastAsia="宋体" w:cs="宋体"/>
                <w:caps w:val="0"/>
                <w:spacing w:val="0"/>
                <w:kern w:val="0"/>
                <w:sz w:val="21"/>
                <w:szCs w:val="21"/>
                <w:lang w:val="en-US" w:eastAsia="zh-CN" w:bidi="ar"/>
              </w:rPr>
              <w:t>4</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2A01A9CF">
            <w:pPr>
              <w:keepNext w:val="0"/>
              <w:keepLines w:val="0"/>
              <w:pageBreakBefore w:val="0"/>
              <w:widowControl/>
              <w:suppressLineNumbers w:val="0"/>
              <w:kinsoku/>
              <w:overflowPunct/>
              <w:topLinePunct w:val="0"/>
              <w:autoSpaceDE/>
              <w:autoSpaceDN/>
              <w:bidi w:val="0"/>
              <w:spacing w:beforeAutospacing="0" w:line="396" w:lineRule="exact"/>
              <w:jc w:val="center"/>
              <w:textAlignment w:val="auto"/>
              <w:rPr>
                <w:rFonts w:hint="eastAsia" w:ascii="宋体" w:hAnsi="宋体" w:eastAsia="宋体" w:cs="宋体"/>
                <w:caps w:val="0"/>
                <w:spacing w:val="0"/>
                <w:sz w:val="21"/>
                <w:szCs w:val="21"/>
                <w:lang w:val="en-US" w:eastAsia="zh-CN"/>
              </w:rPr>
            </w:pPr>
            <w:r>
              <w:rPr>
                <w:rFonts w:hint="eastAsia" w:ascii="宋体" w:hAnsi="宋体" w:eastAsia="宋体" w:cs="宋体"/>
                <w:caps w:val="0"/>
                <w:spacing w:val="0"/>
                <w:sz w:val="21"/>
                <w:szCs w:val="21"/>
                <w:lang w:val="en-US" w:eastAsia="zh-CN"/>
              </w:rPr>
              <w:t>880000.00</w:t>
            </w:r>
          </w:p>
        </w:tc>
      </w:tr>
    </w:tbl>
    <w:p w14:paraId="0E754478">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三、供应商的资格要求</w:t>
      </w:r>
    </w:p>
    <w:p w14:paraId="36139C61">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1、供应商的基本资格条件：</w:t>
      </w:r>
    </w:p>
    <w:p w14:paraId="702A65BD">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（1）供应商必须是在中华人民共和国境内注册登记的法人、其他组织或者自然人，且应当符合《政府采购法》第二十二条第一款的规定。</w:t>
      </w:r>
    </w:p>
    <w:p w14:paraId="5A112FD9">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（2）单位负责人为同一人或者存在直接控股、管理关系的不同供应商，不得参加同一合同项下的政府采购活动。</w:t>
      </w:r>
    </w:p>
    <w:p w14:paraId="495614AB">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 为本采购项目提供整体设计、规范编制或者项目管理、监理、检测等服务的，不得再参加此项目的其他采购活动。</w:t>
      </w:r>
    </w:p>
    <w:p w14:paraId="53A31432">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（4）列入失信被执行人、重大税收违法失信主体名单、政府采购严重违法失信行为记录名单的，拒绝其参与政府采购活动。</w:t>
      </w:r>
    </w:p>
    <w:p w14:paraId="0BA44924">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2、落实政府采购政策需满足的资格要求：</w:t>
      </w:r>
    </w:p>
    <w:p w14:paraId="66CB720B">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包名称：</w:t>
      </w:r>
      <w:r>
        <w:rPr>
          <w:rFonts w:hint="eastAsia" w:ascii="宋体" w:hAnsi="宋体" w:eastAsia="宋体" w:cs="宋体"/>
          <w:i w:val="0"/>
          <w:iCs w:val="0"/>
          <w:caps w:val="0"/>
          <w:color w:val="000000"/>
          <w:spacing w:val="0"/>
          <w:kern w:val="0"/>
          <w:sz w:val="21"/>
          <w:szCs w:val="21"/>
          <w:u w:val="single"/>
          <w:lang w:val="en-US" w:eastAsia="zh-CN" w:bidi="ar"/>
        </w:rPr>
        <w:t>包1、包2</w:t>
      </w:r>
    </w:p>
    <w:p w14:paraId="0583B731">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☑专门面向中小企业（含监狱及福利性单位）</w:t>
      </w:r>
    </w:p>
    <w:p w14:paraId="5B51A785">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3、供应商特定资格条件：</w:t>
      </w:r>
    </w:p>
    <w:p w14:paraId="6CB9BF52">
      <w:pPr>
        <w:keepNext w:val="0"/>
        <w:keepLines w:val="0"/>
        <w:pageBreakBefore w:val="0"/>
        <w:widowControl w:val="0"/>
        <w:numPr>
          <w:ilvl w:val="0"/>
          <w:numId w:val="0"/>
        </w:numPr>
        <w:kinsoku/>
        <w:wordWrap/>
        <w:overflowPunct/>
        <w:topLinePunct w:val="0"/>
        <w:autoSpaceDE/>
        <w:autoSpaceDN/>
        <w:bidi w:val="0"/>
        <w:adjustRightInd/>
        <w:snapToGrid/>
        <w:spacing w:beforeAutospacing="0" w:line="396" w:lineRule="exact"/>
        <w:jc w:val="both"/>
        <w:textAlignment w:val="auto"/>
        <w:outlineLvl w:val="0"/>
        <w:rPr>
          <w:rFonts w:hint="default" w:ascii="宋体" w:hAnsi="宋体" w:eastAsia="宋体" w:cs="宋体"/>
          <w:i w:val="0"/>
          <w:iCs w:val="0"/>
          <w:caps w:val="0"/>
          <w:color w:val="000000"/>
          <w:spacing w:val="0"/>
          <w:sz w:val="21"/>
          <w:szCs w:val="21"/>
          <w:u w:val="single"/>
          <w:lang w:val="en-US" w:eastAsia="zh-CN"/>
        </w:rPr>
      </w:pPr>
      <w:r>
        <w:rPr>
          <w:rFonts w:hint="eastAsia" w:ascii="宋体" w:hAnsi="宋体" w:eastAsia="宋体" w:cs="宋体"/>
          <w:i w:val="0"/>
          <w:iCs w:val="0"/>
          <w:caps w:val="0"/>
          <w:color w:val="000000"/>
          <w:spacing w:val="0"/>
          <w:sz w:val="21"/>
          <w:szCs w:val="21"/>
        </w:rPr>
        <w:t>包名称</w:t>
      </w:r>
      <w:r>
        <w:rPr>
          <w:rFonts w:hint="eastAsia" w:ascii="宋体" w:hAnsi="宋体" w:eastAsia="宋体" w:cs="宋体"/>
          <w:i w:val="0"/>
          <w:iCs w:val="0"/>
          <w:caps w:val="0"/>
          <w:color w:val="000000"/>
          <w:spacing w:val="0"/>
          <w:sz w:val="21"/>
          <w:szCs w:val="21"/>
          <w:u w:val="single"/>
        </w:rPr>
        <w:t>：</w:t>
      </w:r>
      <w:r>
        <w:rPr>
          <w:rFonts w:hint="eastAsia" w:ascii="宋体" w:hAnsi="宋体" w:eastAsia="宋体" w:cs="宋体"/>
          <w:i w:val="0"/>
          <w:iCs w:val="0"/>
          <w:caps w:val="0"/>
          <w:color w:val="000000"/>
          <w:spacing w:val="0"/>
          <w:sz w:val="21"/>
          <w:szCs w:val="21"/>
          <w:u w:val="single"/>
          <w:lang w:val="en-US" w:eastAsia="zh-CN"/>
        </w:rPr>
        <w:t>包1、包2</w:t>
      </w:r>
    </w:p>
    <w:p w14:paraId="4058B9DE">
      <w:pPr>
        <w:keepNext w:val="0"/>
        <w:keepLines w:val="0"/>
        <w:pageBreakBefore w:val="0"/>
        <w:widowControl w:val="0"/>
        <w:numPr>
          <w:ilvl w:val="0"/>
          <w:numId w:val="0"/>
        </w:numPr>
        <w:kinsoku/>
        <w:wordWrap/>
        <w:overflowPunct/>
        <w:topLinePunct w:val="0"/>
        <w:autoSpaceDE/>
        <w:autoSpaceDN/>
        <w:bidi w:val="0"/>
        <w:adjustRightInd/>
        <w:snapToGrid/>
        <w:spacing w:beforeAutospacing="0" w:line="396" w:lineRule="exact"/>
        <w:jc w:val="both"/>
        <w:textAlignment w:val="auto"/>
        <w:outlineLvl w:val="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特定资格条件：</w:t>
      </w:r>
    </w:p>
    <w:p w14:paraId="7D8AF82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6"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（1）中小企业参加投标必须提供《中小企业声明函》，否则视为无效投标。格式见财政部工业和信息化部关于《政府采购促进中小企业发展管理办法》的通知财库【2020】46号文。</w:t>
      </w:r>
    </w:p>
    <w:p w14:paraId="5724361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6"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说明：</w:t>
      </w:r>
    </w:p>
    <w:p w14:paraId="4ECC823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6" w:lineRule="exact"/>
        <w:jc w:val="left"/>
        <w:textAlignment w:val="auto"/>
        <w:rPr>
          <w:rFonts w:hint="eastAsia" w:ascii="宋体" w:hAnsi="宋体" w:eastAsia="宋体" w:cs="宋体"/>
          <w:snapToGrid/>
          <w:color w:val="000000"/>
          <w:spacing w:val="0"/>
          <w:kern w:val="2"/>
          <w:position w:val="0"/>
          <w:sz w:val="21"/>
          <w:szCs w:val="21"/>
          <w:lang w:val="en-US" w:eastAsia="zh-CN" w:bidi="ar-SA"/>
        </w:rPr>
      </w:pPr>
      <w:r>
        <w:rPr>
          <w:rFonts w:hint="eastAsia" w:ascii="宋体" w:hAnsi="宋体" w:eastAsia="宋体" w:cs="宋体"/>
          <w:snapToGrid/>
          <w:color w:val="000000"/>
          <w:spacing w:val="0"/>
          <w:kern w:val="2"/>
          <w:position w:val="0"/>
          <w:sz w:val="21"/>
          <w:szCs w:val="21"/>
          <w:lang w:val="en-US" w:eastAsia="zh-CN" w:bidi="ar-SA"/>
        </w:rPr>
        <w:t>（1）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税务登记证、社会保险登记证和统计登记证，符合基本资格条件的相关条款。</w:t>
      </w:r>
    </w:p>
    <w:p w14:paraId="56F401F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96" w:lineRule="exact"/>
        <w:jc w:val="left"/>
        <w:textAlignment w:val="auto"/>
        <w:rPr>
          <w:rFonts w:hint="eastAsia" w:ascii="宋体" w:hAnsi="宋体" w:eastAsia="宋体" w:cs="宋体"/>
          <w:snapToGrid/>
          <w:color w:val="000000"/>
          <w:spacing w:val="0"/>
          <w:kern w:val="2"/>
          <w:position w:val="0"/>
          <w:sz w:val="21"/>
          <w:szCs w:val="21"/>
          <w:lang w:val="en-US" w:eastAsia="zh-CN" w:bidi="ar-SA"/>
        </w:rPr>
      </w:pPr>
      <w:r>
        <w:rPr>
          <w:rFonts w:hint="eastAsia" w:ascii="宋体" w:hAnsi="宋体" w:eastAsia="宋体" w:cs="宋体"/>
          <w:snapToGrid/>
          <w:color w:val="000000"/>
          <w:spacing w:val="0"/>
          <w:kern w:val="2"/>
          <w:position w:val="0"/>
          <w:sz w:val="21"/>
          <w:szCs w:val="21"/>
          <w:lang w:val="en-US" w:eastAsia="zh-CN" w:bidi="ar-SA"/>
        </w:rPr>
        <w:t>（2）根据 《湖南省财政厅湖南省工业和信息化厅关于运用政府采购促进中小企业发展有关事项的通知》（湘财购【2021】16 号文）和《湖南省财政厅关于政府采购促进中小企业发展有关措施的通知》（湘财购【2022】17 号文），符合法定条件的供应商凭《湖南省政府采购供应商资格承诺函》（格式详见（湘财购【2022】17 号文））参与政府采购活动，无需提供财政状况、缴纳税收和社会保障资金等资格证明材料。经采购人或监管部门查实，提供虚假承诺的供应商将以虚假资料谋取中标（成交）的违法行为，被列入不良记录名单，采购人有权取消其中标资格）。</w:t>
      </w:r>
    </w:p>
    <w:p w14:paraId="50BF605E">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（3）携带的报名资料需注明包1或包2，且每个潜在供应商只能对</w:t>
      </w:r>
      <w:r>
        <w:rPr>
          <w:rFonts w:hint="eastAsia" w:ascii="宋体" w:hAnsi="宋体" w:cs="宋体"/>
          <w:b/>
          <w:bCs/>
          <w:i w:val="0"/>
          <w:iCs w:val="0"/>
          <w:caps w:val="0"/>
          <w:color w:val="000000"/>
          <w:spacing w:val="0"/>
          <w:kern w:val="0"/>
          <w:sz w:val="21"/>
          <w:szCs w:val="21"/>
          <w:lang w:val="en-US" w:eastAsia="zh-CN" w:bidi="ar"/>
        </w:rPr>
        <w:t>其中</w:t>
      </w:r>
      <w:r>
        <w:rPr>
          <w:rFonts w:hint="eastAsia" w:ascii="宋体" w:hAnsi="宋体" w:eastAsia="宋体" w:cs="宋体"/>
          <w:b/>
          <w:bCs/>
          <w:i w:val="0"/>
          <w:iCs w:val="0"/>
          <w:caps w:val="0"/>
          <w:color w:val="000000"/>
          <w:spacing w:val="0"/>
          <w:kern w:val="0"/>
          <w:sz w:val="21"/>
          <w:szCs w:val="21"/>
          <w:lang w:val="en-US" w:eastAsia="zh-CN" w:bidi="ar"/>
        </w:rPr>
        <w:t>一个包获取磋商文件，重复作无效处理。</w:t>
      </w:r>
    </w:p>
    <w:p w14:paraId="20841C52">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四、获取磋商文件的时间、期限、地点及方式</w:t>
      </w:r>
    </w:p>
    <w:p w14:paraId="5C52B0DE">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 xml:space="preserve">1、时间：2026年 </w:t>
      </w:r>
      <w:r>
        <w:rPr>
          <w:rFonts w:hint="eastAsia" w:ascii="宋体" w:hAnsi="宋体" w:cs="宋体"/>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 xml:space="preserve"> 月 </w:t>
      </w:r>
      <w:r>
        <w:rPr>
          <w:rFonts w:hint="eastAsia" w:ascii="宋体" w:hAnsi="宋体" w:cs="宋体"/>
          <w:i w:val="0"/>
          <w:iCs w:val="0"/>
          <w:caps w:val="0"/>
          <w:color w:val="000000"/>
          <w:spacing w:val="0"/>
          <w:kern w:val="0"/>
          <w:sz w:val="21"/>
          <w:szCs w:val="21"/>
          <w:lang w:val="en-US" w:eastAsia="zh-CN" w:bidi="ar"/>
        </w:rPr>
        <w:t>26</w:t>
      </w:r>
      <w:r>
        <w:rPr>
          <w:rFonts w:hint="eastAsia" w:ascii="宋体" w:hAnsi="宋体" w:eastAsia="宋体" w:cs="宋体"/>
          <w:i w:val="0"/>
          <w:iCs w:val="0"/>
          <w:caps w:val="0"/>
          <w:color w:val="000000"/>
          <w:spacing w:val="0"/>
          <w:kern w:val="0"/>
          <w:sz w:val="21"/>
          <w:szCs w:val="21"/>
          <w:lang w:val="en-US" w:eastAsia="zh-CN" w:bidi="ar"/>
        </w:rPr>
        <w:t xml:space="preserve"> 日至2026年</w:t>
      </w:r>
      <w:r>
        <w:rPr>
          <w:rFonts w:hint="eastAsia" w:ascii="宋体" w:hAnsi="宋体" w:cs="宋体"/>
          <w:i w:val="0"/>
          <w:iCs w:val="0"/>
          <w:caps w:val="0"/>
          <w:color w:val="000000"/>
          <w:spacing w:val="0"/>
          <w:kern w:val="0"/>
          <w:sz w:val="21"/>
          <w:szCs w:val="21"/>
          <w:lang w:val="en-US" w:eastAsia="zh-CN" w:bidi="ar"/>
        </w:rPr>
        <w:t>9</w:t>
      </w:r>
      <w:r>
        <w:rPr>
          <w:rFonts w:hint="eastAsia" w:ascii="宋体" w:hAnsi="宋体" w:eastAsia="宋体" w:cs="宋体"/>
          <w:i w:val="0"/>
          <w:iCs w:val="0"/>
          <w:caps w:val="0"/>
          <w:color w:val="000000"/>
          <w:spacing w:val="0"/>
          <w:kern w:val="0"/>
          <w:sz w:val="21"/>
          <w:szCs w:val="21"/>
          <w:lang w:val="en-US" w:eastAsia="zh-CN" w:bidi="ar"/>
        </w:rPr>
        <w:t xml:space="preserve">月 </w:t>
      </w:r>
      <w:r>
        <w:rPr>
          <w:rFonts w:hint="eastAsia" w:ascii="宋体" w:hAnsi="宋体" w:cs="宋体"/>
          <w:i w:val="0"/>
          <w:iCs w:val="0"/>
          <w:caps w:val="0"/>
          <w:color w:val="000000"/>
          <w:spacing w:val="0"/>
          <w:kern w:val="0"/>
          <w:sz w:val="21"/>
          <w:szCs w:val="21"/>
          <w:lang w:val="en-US" w:eastAsia="zh-CN" w:bidi="ar"/>
        </w:rPr>
        <w:t>2</w:t>
      </w:r>
      <w:r>
        <w:rPr>
          <w:rFonts w:hint="eastAsia" w:ascii="宋体" w:hAnsi="宋体" w:eastAsia="宋体" w:cs="宋体"/>
          <w:i w:val="0"/>
          <w:iCs w:val="0"/>
          <w:caps w:val="0"/>
          <w:color w:val="000000"/>
          <w:spacing w:val="0"/>
          <w:kern w:val="0"/>
          <w:sz w:val="21"/>
          <w:szCs w:val="21"/>
          <w:lang w:val="en-US" w:eastAsia="zh-CN" w:bidi="ar"/>
        </w:rPr>
        <w:t xml:space="preserve"> 日，每天上午9:00至12:00，下午14:00至17:00（北京时间，法定节假日除外）</w:t>
      </w:r>
    </w:p>
    <w:p w14:paraId="5D371523">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地点：湖南省中君项目管理咨询有限公司（湖南省岳阳市岳阳楼区五里牌街道高山坡社区花板桥路君临嘉龙公馆1栋5楼506室)凭供应商营业执照副本复印件、个人身份证原件、法定代表人身份证明原件（法定代表人报名）或者授权委托书并附法定代表人身份证明原件（授权委托人报名），以上资料均加盖公章。</w:t>
      </w:r>
    </w:p>
    <w:p w14:paraId="13E182CC">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3、方式：线下获取</w:t>
      </w:r>
    </w:p>
    <w:p w14:paraId="576F3A3F">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4、售价：0元</w:t>
      </w:r>
    </w:p>
    <w:p w14:paraId="23097397">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五、响应文件提交截止时间、地点</w:t>
      </w:r>
    </w:p>
    <w:p w14:paraId="58E90E14">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1、截止时间：2026年</w:t>
      </w:r>
      <w:r>
        <w:rPr>
          <w:rFonts w:hint="eastAsia" w:ascii="宋体" w:hAnsi="宋体" w:cs="宋体"/>
          <w:i w:val="0"/>
          <w:iCs w:val="0"/>
          <w:caps w:val="0"/>
          <w:color w:val="000000"/>
          <w:spacing w:val="0"/>
          <w:kern w:val="0"/>
          <w:sz w:val="21"/>
          <w:szCs w:val="21"/>
          <w:lang w:val="en-US" w:eastAsia="zh-CN" w:bidi="ar"/>
        </w:rPr>
        <w:t>9</w:t>
      </w:r>
      <w:r>
        <w:rPr>
          <w:rFonts w:hint="eastAsia" w:ascii="宋体" w:hAnsi="宋体" w:eastAsia="宋体" w:cs="宋体"/>
          <w:i w:val="0"/>
          <w:iCs w:val="0"/>
          <w:caps w:val="0"/>
          <w:color w:val="000000"/>
          <w:spacing w:val="0"/>
          <w:kern w:val="0"/>
          <w:sz w:val="21"/>
          <w:szCs w:val="21"/>
          <w:lang w:val="en-US" w:eastAsia="zh-CN" w:bidi="ar"/>
        </w:rPr>
        <w:t xml:space="preserve"> 月 </w:t>
      </w:r>
      <w:r>
        <w:rPr>
          <w:rFonts w:hint="eastAsia" w:ascii="宋体" w:hAnsi="宋体" w:cs="宋体"/>
          <w:i w:val="0"/>
          <w:iCs w:val="0"/>
          <w:caps w:val="0"/>
          <w:color w:val="000000"/>
          <w:spacing w:val="0"/>
          <w:kern w:val="0"/>
          <w:sz w:val="21"/>
          <w:szCs w:val="21"/>
          <w:lang w:val="en-US" w:eastAsia="zh-CN" w:bidi="ar"/>
        </w:rPr>
        <w:t>7</w:t>
      </w:r>
      <w:r>
        <w:rPr>
          <w:rFonts w:hint="eastAsia" w:ascii="宋体" w:hAnsi="宋体" w:eastAsia="宋体" w:cs="宋体"/>
          <w:i w:val="0"/>
          <w:iCs w:val="0"/>
          <w:caps w:val="0"/>
          <w:color w:val="000000"/>
          <w:spacing w:val="0"/>
          <w:kern w:val="0"/>
          <w:sz w:val="21"/>
          <w:szCs w:val="21"/>
          <w:lang w:val="en-US" w:eastAsia="zh-CN" w:bidi="ar"/>
        </w:rPr>
        <w:t xml:space="preserve"> 日 09点30分（北京时间）</w:t>
      </w:r>
    </w:p>
    <w:p w14:paraId="78DD2147">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2、地点：湖南省岳阳市华容县章华镇田家湖生态新区杏花村西路024号101室。</w:t>
      </w:r>
    </w:p>
    <w:p w14:paraId="050A55C1">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六、响应文件开启</w:t>
      </w:r>
    </w:p>
    <w:p w14:paraId="7753AF63">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1、开启时间：2026年</w:t>
      </w:r>
      <w:r>
        <w:rPr>
          <w:rFonts w:hint="eastAsia" w:ascii="宋体" w:hAnsi="宋体" w:cs="宋体"/>
          <w:i w:val="0"/>
          <w:iCs w:val="0"/>
          <w:caps w:val="0"/>
          <w:color w:val="000000"/>
          <w:spacing w:val="0"/>
          <w:kern w:val="0"/>
          <w:sz w:val="21"/>
          <w:szCs w:val="21"/>
          <w:lang w:val="en-US" w:eastAsia="zh-CN" w:bidi="ar"/>
        </w:rPr>
        <w:t>9</w:t>
      </w:r>
      <w:r>
        <w:rPr>
          <w:rFonts w:hint="eastAsia" w:ascii="宋体" w:hAnsi="宋体" w:eastAsia="宋体" w:cs="宋体"/>
          <w:i w:val="0"/>
          <w:iCs w:val="0"/>
          <w:caps w:val="0"/>
          <w:color w:val="000000"/>
          <w:spacing w:val="0"/>
          <w:kern w:val="0"/>
          <w:sz w:val="21"/>
          <w:szCs w:val="21"/>
          <w:lang w:val="en-US" w:eastAsia="zh-CN" w:bidi="ar"/>
        </w:rPr>
        <w:t xml:space="preserve"> 月</w:t>
      </w:r>
      <w:r>
        <w:rPr>
          <w:rFonts w:hint="eastAsia" w:ascii="宋体" w:hAnsi="宋体" w:cs="宋体"/>
          <w:i w:val="0"/>
          <w:iCs w:val="0"/>
          <w:caps w:val="0"/>
          <w:color w:val="000000"/>
          <w:spacing w:val="0"/>
          <w:kern w:val="0"/>
          <w:sz w:val="21"/>
          <w:szCs w:val="21"/>
          <w:lang w:val="en-US" w:eastAsia="zh-CN" w:bidi="ar"/>
        </w:rPr>
        <w:t>7</w:t>
      </w:r>
      <w:r>
        <w:rPr>
          <w:rFonts w:hint="eastAsia" w:ascii="宋体" w:hAnsi="宋体" w:eastAsia="宋体" w:cs="宋体"/>
          <w:i w:val="0"/>
          <w:iCs w:val="0"/>
          <w:caps w:val="0"/>
          <w:color w:val="000000"/>
          <w:spacing w:val="0"/>
          <w:kern w:val="0"/>
          <w:sz w:val="21"/>
          <w:szCs w:val="21"/>
          <w:lang w:val="en-US" w:eastAsia="zh-CN" w:bidi="ar"/>
        </w:rPr>
        <w:t xml:space="preserve"> 日 09点30分（北京时间）</w:t>
      </w:r>
    </w:p>
    <w:p w14:paraId="15F4001D">
      <w:pPr>
        <w:keepNext w:val="0"/>
        <w:keepLines w:val="0"/>
        <w:pageBreakBefore w:val="0"/>
        <w:kinsoku/>
        <w:wordWrap/>
        <w:overflowPunct/>
        <w:topLinePunct w:val="0"/>
        <w:autoSpaceDE/>
        <w:autoSpaceDN/>
        <w:bidi w:val="0"/>
        <w:spacing w:beforeAutospacing="0" w:line="396" w:lineRule="exact"/>
        <w:textAlignment w:val="auto"/>
        <w:rPr>
          <w:rFonts w:hint="eastAsia" w:ascii="宋体" w:hAnsi="宋体" w:eastAsia="宋体" w:cs="宋体"/>
          <w:i w:val="0"/>
          <w:iCs w:val="0"/>
          <w:caps w:val="0"/>
          <w:color w:val="000000"/>
          <w:spacing w:val="0"/>
          <w:sz w:val="21"/>
          <w:szCs w:val="21"/>
          <w:highlight w:val="yellow"/>
          <w:lang w:eastAsia="zh-CN"/>
        </w:rPr>
      </w:pPr>
      <w:r>
        <w:rPr>
          <w:rFonts w:hint="eastAsia" w:ascii="宋体" w:hAnsi="宋体" w:eastAsia="宋体" w:cs="宋体"/>
          <w:i w:val="0"/>
          <w:iCs w:val="0"/>
          <w:caps w:val="0"/>
          <w:color w:val="000000"/>
          <w:spacing w:val="0"/>
          <w:sz w:val="21"/>
          <w:szCs w:val="21"/>
        </w:rPr>
        <w:t>2、地点：湖南省岳阳市华容县章华镇田家湖生态新区杏花村西路024号101室</w:t>
      </w:r>
      <w:r>
        <w:rPr>
          <w:rFonts w:hint="eastAsia" w:ascii="宋体" w:hAnsi="宋体" w:eastAsia="宋体" w:cs="宋体"/>
          <w:i w:val="0"/>
          <w:iCs w:val="0"/>
          <w:caps w:val="0"/>
          <w:color w:val="000000"/>
          <w:spacing w:val="0"/>
          <w:sz w:val="21"/>
          <w:szCs w:val="21"/>
          <w:lang w:eastAsia="zh-CN"/>
        </w:rPr>
        <w:t>。</w:t>
      </w:r>
    </w:p>
    <w:p w14:paraId="78BD0D61">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七、公告期限</w:t>
      </w:r>
    </w:p>
    <w:p w14:paraId="5641ECAB">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1、本公告在中国湖南政府采购网（</w:t>
      </w:r>
      <w:r>
        <w:rPr>
          <w:rFonts w:hint="eastAsia" w:ascii="宋体" w:hAnsi="宋体" w:eastAsia="宋体" w:cs="宋体"/>
          <w:i w:val="0"/>
          <w:iCs w:val="0"/>
          <w:caps w:val="0"/>
          <w:spacing w:val="0"/>
          <w:kern w:val="0"/>
          <w:sz w:val="21"/>
          <w:szCs w:val="21"/>
          <w:lang w:val="en-US" w:eastAsia="zh-CN" w:bidi="ar"/>
        </w:rPr>
        <w:fldChar w:fldCharType="begin"/>
      </w:r>
      <w:r>
        <w:rPr>
          <w:rFonts w:hint="eastAsia" w:ascii="宋体" w:hAnsi="宋体" w:eastAsia="宋体" w:cs="宋体"/>
          <w:i w:val="0"/>
          <w:iCs w:val="0"/>
          <w:caps w:val="0"/>
          <w:spacing w:val="0"/>
          <w:kern w:val="0"/>
          <w:sz w:val="21"/>
          <w:szCs w:val="21"/>
          <w:lang w:val="en-US" w:eastAsia="zh-CN" w:bidi="ar"/>
        </w:rPr>
        <w:instrText xml:space="preserve"> HYPERLINK "http://www.ccgp-hunan.gov.cn/" \t "http://www.ccgp-hunan.gov.cn/luban/front/_blank" </w:instrText>
      </w:r>
      <w:r>
        <w:rPr>
          <w:rFonts w:hint="eastAsia" w:ascii="宋体" w:hAnsi="宋体" w:eastAsia="宋体" w:cs="宋体"/>
          <w:i w:val="0"/>
          <w:iCs w:val="0"/>
          <w:caps w:val="0"/>
          <w:spacing w:val="0"/>
          <w:kern w:val="0"/>
          <w:sz w:val="21"/>
          <w:szCs w:val="21"/>
          <w:lang w:val="en-US" w:eastAsia="zh-CN" w:bidi="ar"/>
        </w:rPr>
        <w:fldChar w:fldCharType="separate"/>
      </w:r>
      <w:r>
        <w:rPr>
          <w:rFonts w:hint="eastAsia" w:ascii="宋体" w:hAnsi="宋体" w:eastAsia="宋体" w:cs="宋体"/>
          <w:i w:val="0"/>
          <w:iCs w:val="0"/>
          <w:caps w:val="0"/>
          <w:color w:val="0000FF"/>
          <w:spacing w:val="0"/>
          <w:kern w:val="2"/>
          <w:sz w:val="21"/>
          <w:szCs w:val="21"/>
          <w:u w:val="single"/>
          <w:lang w:val="en-US" w:eastAsia="zh-CN" w:bidi="ar-SA"/>
        </w:rPr>
        <w:t>www.ccgp-hunan.gov.cn</w:t>
      </w:r>
      <w:r>
        <w:rPr>
          <w:rFonts w:hint="eastAsia" w:ascii="宋体" w:hAnsi="宋体" w:eastAsia="宋体" w:cs="宋体"/>
          <w:i w:val="0"/>
          <w:iCs w:val="0"/>
          <w:caps w:val="0"/>
          <w:spacing w:val="0"/>
          <w:kern w:val="0"/>
          <w:sz w:val="21"/>
          <w:szCs w:val="21"/>
          <w:lang w:val="en-US" w:eastAsia="zh-CN" w:bidi="ar"/>
        </w:rPr>
        <w:fldChar w:fldCharType="end"/>
      </w:r>
      <w:r>
        <w:rPr>
          <w:rFonts w:hint="eastAsia" w:ascii="宋体" w:hAnsi="宋体" w:eastAsia="宋体" w:cs="宋体"/>
          <w:i w:val="0"/>
          <w:iCs w:val="0"/>
          <w:caps w:val="0"/>
          <w:color w:val="000000"/>
          <w:spacing w:val="0"/>
          <w:kern w:val="0"/>
          <w:sz w:val="21"/>
          <w:szCs w:val="21"/>
          <w:lang w:val="en-US" w:eastAsia="zh-CN" w:bidi="ar"/>
        </w:rPr>
        <w:t>）发布。公告期限从本公告发布之日起5个工作日。</w:t>
      </w:r>
    </w:p>
    <w:p w14:paraId="172AAE71">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2、在其他媒体发布的邀请公告，公告内容以本招标公告指定媒体发布的公告为准。</w:t>
      </w:r>
    </w:p>
    <w:p w14:paraId="18C75A7B">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八、询问及质疑</w:t>
      </w:r>
    </w:p>
    <w:p w14:paraId="72081AF0">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1、供应商对政府采购活动事项如有疑问的，可以向采购人、采购代理机构提出询问。采购人、采购代理机构将在3个工作日内作出答复。</w:t>
      </w:r>
    </w:p>
    <w:p w14:paraId="7B009D9D">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2、供应商对电子交易平台办理CA证书、操作等如有疑问，请咨询电子交易平台服务机构。</w:t>
      </w:r>
    </w:p>
    <w:p w14:paraId="0650CEC0">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5FAE0DFF">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九、磋商说明</w:t>
      </w:r>
    </w:p>
    <w:p w14:paraId="615DB55F">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1、本公告选项：☑ 表示选择，☐ 表示未选择。</w:t>
      </w:r>
    </w:p>
    <w:p w14:paraId="56A42F1A">
      <w:pPr>
        <w:keepNext w:val="0"/>
        <w:keepLines w:val="0"/>
        <w:pageBreakBefore w:val="0"/>
        <w:widowControl/>
        <w:suppressLineNumbers w:val="0"/>
        <w:kinsoku/>
        <w:wordWrap w:val="0"/>
        <w:overflowPunct/>
        <w:topLinePunct w:val="0"/>
        <w:autoSpaceDE/>
        <w:autoSpaceDN/>
        <w:bidi w:val="0"/>
        <w:spacing w:before="0" w:beforeAutospacing="0" w:after="0" w:afterAutospacing="0" w:line="396"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2、供应商参与政府采购活动，无需向采购人、代理机构、交易平台缴纳任何费用。</w:t>
      </w:r>
    </w:p>
    <w:p w14:paraId="4CC7BDBC">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十、其他补充事宜:</w:t>
      </w:r>
      <w:r>
        <w:rPr>
          <w:rFonts w:hint="eastAsia" w:ascii="宋体" w:hAnsi="宋体" w:eastAsia="宋体" w:cs="宋体"/>
          <w:i w:val="0"/>
          <w:iCs w:val="0"/>
          <w:caps w:val="0"/>
          <w:color w:val="000000"/>
          <w:spacing w:val="0"/>
          <w:sz w:val="21"/>
          <w:szCs w:val="21"/>
        </w:rPr>
        <w:t>无</w:t>
      </w:r>
    </w:p>
    <w:p w14:paraId="198FC445">
      <w:pPr>
        <w:keepNext w:val="0"/>
        <w:keepLines w:val="0"/>
        <w:pageBreakBefore w:val="0"/>
        <w:widowControl/>
        <w:suppressLineNumbers w:val="0"/>
        <w:kinsoku/>
        <w:overflowPunct/>
        <w:topLinePunct w:val="0"/>
        <w:autoSpaceDE/>
        <w:autoSpaceDN/>
        <w:bidi w:val="0"/>
        <w:spacing w:beforeAutospacing="0" w:afterAutospacing="0" w:line="396"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十一、对本次采购提出询问，请按以下方式联系</w:t>
      </w:r>
    </w:p>
    <w:p w14:paraId="749CDACE">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ind w:left="211" w:hanging="211" w:hangingChars="100"/>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i w:val="0"/>
          <w:iCs w:val="0"/>
          <w:caps w:val="0"/>
          <w:color w:val="000000"/>
          <w:spacing w:val="0"/>
          <w:sz w:val="21"/>
          <w:szCs w:val="21"/>
          <w:lang w:val="en-US" w:eastAsia="zh-CN"/>
        </w:rPr>
        <w:t>1.</w:t>
      </w:r>
      <w:r>
        <w:rPr>
          <w:rFonts w:hint="eastAsia" w:ascii="宋体" w:hAnsi="宋体" w:eastAsia="宋体" w:cs="宋体"/>
          <w:b/>
          <w:i w:val="0"/>
          <w:iCs w:val="0"/>
          <w:caps w:val="0"/>
          <w:color w:val="000000"/>
          <w:spacing w:val="0"/>
          <w:sz w:val="21"/>
          <w:szCs w:val="21"/>
        </w:rPr>
        <w:t>采购人信息</w:t>
      </w:r>
    </w:p>
    <w:p w14:paraId="23D8BA75">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名称：华容县农业农村局</w:t>
      </w:r>
    </w:p>
    <w:p w14:paraId="6A47D1B4">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地址：华容县章华镇西正街24号</w:t>
      </w:r>
    </w:p>
    <w:p w14:paraId="2E8EA756">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联系人：</w:t>
      </w:r>
      <w:r>
        <w:rPr>
          <w:rFonts w:hint="eastAsia" w:ascii="宋体" w:hAnsi="宋体" w:eastAsia="宋体" w:cs="宋体"/>
          <w:i w:val="0"/>
          <w:iCs w:val="0"/>
          <w:caps w:val="0"/>
          <w:color w:val="000000"/>
          <w:spacing w:val="0"/>
          <w:sz w:val="21"/>
          <w:szCs w:val="21"/>
          <w:lang w:val="en-US" w:eastAsia="zh-CN"/>
        </w:rPr>
        <w:t>冷远杰</w:t>
      </w:r>
    </w:p>
    <w:p w14:paraId="1AF15C7B">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联系电话：</w:t>
      </w:r>
      <w:r>
        <w:rPr>
          <w:rFonts w:hint="eastAsia" w:ascii="宋体" w:hAnsi="宋体" w:eastAsia="宋体" w:cs="宋体"/>
          <w:i w:val="0"/>
          <w:iCs w:val="0"/>
          <w:caps w:val="0"/>
          <w:color w:val="000000"/>
          <w:spacing w:val="0"/>
          <w:sz w:val="21"/>
          <w:szCs w:val="21"/>
          <w:lang w:val="en-US" w:eastAsia="zh-CN"/>
        </w:rPr>
        <w:t>15074030144</w:t>
      </w:r>
    </w:p>
    <w:p w14:paraId="5139772C">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b/>
          <w:bCs w:val="0"/>
          <w:i w:val="0"/>
          <w:iCs w:val="0"/>
          <w:caps w:val="0"/>
          <w:color w:val="000000"/>
          <w:spacing w:val="0"/>
          <w:sz w:val="21"/>
          <w:szCs w:val="21"/>
        </w:rPr>
      </w:pPr>
      <w:r>
        <w:rPr>
          <w:rFonts w:hint="eastAsia" w:ascii="宋体" w:hAnsi="宋体" w:eastAsia="宋体" w:cs="宋体"/>
          <w:b/>
          <w:bCs w:val="0"/>
          <w:i w:val="0"/>
          <w:iCs w:val="0"/>
          <w:caps w:val="0"/>
          <w:color w:val="000000"/>
          <w:spacing w:val="0"/>
          <w:sz w:val="21"/>
          <w:szCs w:val="21"/>
        </w:rPr>
        <w:t>2.采购代理机构信息</w:t>
      </w:r>
    </w:p>
    <w:p w14:paraId="77B2F9D7">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spacing w:val="0"/>
          <w:position w:val="0"/>
          <w:sz w:val="21"/>
          <w:szCs w:val="21"/>
          <w:lang w:eastAsia="zh-CN"/>
        </w:rPr>
      </w:pPr>
      <w:r>
        <w:rPr>
          <w:rFonts w:hint="eastAsia" w:ascii="宋体" w:hAnsi="宋体" w:eastAsia="宋体" w:cs="宋体"/>
          <w:b w:val="0"/>
          <w:bCs/>
          <w:i w:val="0"/>
          <w:iCs w:val="0"/>
          <w:caps w:val="0"/>
          <w:color w:val="000000"/>
          <w:spacing w:val="0"/>
          <w:sz w:val="21"/>
          <w:szCs w:val="21"/>
        </w:rPr>
        <w:t>名称：</w:t>
      </w:r>
      <w:r>
        <w:rPr>
          <w:rFonts w:hint="eastAsia" w:ascii="宋体" w:hAnsi="宋体" w:eastAsia="宋体" w:cs="宋体"/>
          <w:spacing w:val="0"/>
          <w:position w:val="0"/>
          <w:sz w:val="21"/>
          <w:szCs w:val="21"/>
          <w:lang w:eastAsia="zh-CN"/>
        </w:rPr>
        <w:t>湖南省中君项目管理咨询有限公司</w:t>
      </w:r>
    </w:p>
    <w:p w14:paraId="518D6826">
      <w:pPr>
        <w:keepNext w:val="0"/>
        <w:keepLines w:val="0"/>
        <w:pageBreakBefore w:val="0"/>
        <w:widowControl w:val="0"/>
        <w:kinsoku/>
        <w:wordWrap/>
        <w:overflowPunct/>
        <w:topLinePunct w:val="0"/>
        <w:autoSpaceDE/>
        <w:autoSpaceDN/>
        <w:bidi w:val="0"/>
        <w:adjustRightInd w:val="0"/>
        <w:snapToGrid w:val="0"/>
        <w:spacing w:line="396" w:lineRule="exact"/>
        <w:jc w:val="left"/>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b w:val="0"/>
          <w:bCs/>
          <w:i w:val="0"/>
          <w:iCs w:val="0"/>
          <w:caps w:val="0"/>
          <w:color w:val="000000"/>
          <w:spacing w:val="0"/>
          <w:sz w:val="21"/>
          <w:szCs w:val="21"/>
        </w:rPr>
        <w:t>地址：</w:t>
      </w:r>
      <w:r>
        <w:rPr>
          <w:rFonts w:hint="eastAsia" w:ascii="宋体" w:hAnsi="宋体" w:eastAsia="宋体" w:cs="宋体"/>
          <w:color w:val="000000"/>
          <w:kern w:val="2"/>
          <w:sz w:val="21"/>
          <w:szCs w:val="21"/>
          <w:lang w:val="en-US" w:eastAsia="zh-CN" w:bidi="ar-SA"/>
        </w:rPr>
        <w:t>湖南省岳阳市岳阳楼区五里牌街道高山坡社区花板桥路君临嘉龙公馆1栋5楼506室</w:t>
      </w:r>
    </w:p>
    <w:p w14:paraId="4905078F">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联系人：李女士</w:t>
      </w:r>
    </w:p>
    <w:p w14:paraId="66C3B18E">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联系电话：0730-8864801</w:t>
      </w:r>
    </w:p>
    <w:p w14:paraId="4162856E">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val="0"/>
          <w:i w:val="0"/>
          <w:iCs w:val="0"/>
          <w:caps w:val="0"/>
          <w:color w:val="000000"/>
          <w:spacing w:val="0"/>
          <w:sz w:val="21"/>
          <w:szCs w:val="21"/>
        </w:rPr>
        <w:t>项目联系方式</w:t>
      </w:r>
      <w:r>
        <w:rPr>
          <w:rFonts w:hint="eastAsia" w:ascii="宋体" w:hAnsi="宋体" w:eastAsia="宋体" w:cs="宋体"/>
          <w:b/>
          <w:bCs w:val="0"/>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联系人：</w:t>
      </w:r>
      <w:r>
        <w:rPr>
          <w:rFonts w:hint="eastAsia" w:ascii="宋体" w:hAnsi="宋体" w:eastAsia="宋体" w:cs="宋体"/>
          <w:i w:val="0"/>
          <w:iCs w:val="0"/>
          <w:caps w:val="0"/>
          <w:color w:val="000000"/>
          <w:spacing w:val="0"/>
          <w:sz w:val="21"/>
          <w:szCs w:val="21"/>
          <w:lang w:val="en-US" w:eastAsia="zh-CN"/>
        </w:rPr>
        <w:t>冷远杰</w:t>
      </w:r>
    </w:p>
    <w:p w14:paraId="41F7C608">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联系电话：</w:t>
      </w:r>
      <w:r>
        <w:rPr>
          <w:rFonts w:hint="eastAsia" w:ascii="宋体" w:hAnsi="宋体" w:eastAsia="宋体" w:cs="宋体"/>
          <w:i w:val="0"/>
          <w:iCs w:val="0"/>
          <w:caps w:val="0"/>
          <w:color w:val="000000"/>
          <w:spacing w:val="0"/>
          <w:sz w:val="21"/>
          <w:szCs w:val="21"/>
          <w:lang w:val="en-US" w:eastAsia="zh-CN"/>
        </w:rPr>
        <w:t>15074030144</w:t>
      </w:r>
    </w:p>
    <w:p w14:paraId="6875FB5F">
      <w:pPr>
        <w:keepNext w:val="0"/>
        <w:keepLines w:val="0"/>
        <w:pageBreakBefore w:val="0"/>
        <w:widowControl/>
        <w:numPr>
          <w:ilvl w:val="0"/>
          <w:numId w:val="0"/>
        </w:numPr>
        <w:suppressLineNumbers w:val="0"/>
        <w:kinsoku/>
        <w:overflowPunct/>
        <w:topLinePunct w:val="0"/>
        <w:autoSpaceDE/>
        <w:autoSpaceDN/>
        <w:bidi w:val="0"/>
        <w:spacing w:beforeAutospacing="0" w:afterAutospacing="0" w:line="396" w:lineRule="exact"/>
        <w:textAlignment w:val="auto"/>
        <w:rPr>
          <w:rFonts w:hint="eastAsia" w:ascii="宋体" w:hAnsi="宋体" w:eastAsia="宋体" w:cs="宋体"/>
          <w:i w:val="0"/>
          <w:iCs w:val="0"/>
          <w:caps w:val="0"/>
          <w:color w:val="000000"/>
          <w:spacing w:val="0"/>
          <w:sz w:val="21"/>
          <w:szCs w:val="21"/>
          <w:lang w:val="en-US" w:eastAsia="zh-CN"/>
        </w:rPr>
      </w:pPr>
    </w:p>
    <w:p w14:paraId="23D4B473">
      <w:pPr>
        <w:keepNext w:val="0"/>
        <w:keepLines w:val="0"/>
        <w:pageBreakBefore w:val="0"/>
        <w:kinsoku/>
        <w:overflowPunct/>
        <w:topLinePunct w:val="0"/>
        <w:autoSpaceDE/>
        <w:autoSpaceDN/>
        <w:bidi w:val="0"/>
        <w:spacing w:beforeAutospacing="0" w:line="396" w:lineRule="exact"/>
        <w:textAlignment w:val="auto"/>
        <w:rPr>
          <w:rFonts w:hint="eastAsia" w:ascii="宋体" w:hAnsi="宋体" w:eastAsia="宋体" w:cs="宋体"/>
          <w:sz w:val="21"/>
          <w:szCs w:val="21"/>
        </w:rPr>
      </w:pPr>
    </w:p>
    <w:p w14:paraId="41089683">
      <w:pPr>
        <w:pageBreakBefore w:val="0"/>
        <w:widowControl w:val="0"/>
        <w:kinsoku/>
        <w:wordWrap/>
        <w:overflowPunct/>
        <w:topLinePunct w:val="0"/>
        <w:autoSpaceDE/>
        <w:autoSpaceDN/>
        <w:bidi w:val="0"/>
        <w:spacing w:beforeAutospacing="0" w:afterAutospacing="0" w:line="490" w:lineRule="exact"/>
        <w:ind w:firstLine="241" w:firstLineChars="100"/>
        <w:jc w:val="both"/>
        <w:textAlignment w:val="auto"/>
        <w:rPr>
          <w:rFonts w:hint="eastAsia" w:ascii="宋体" w:hAnsi="宋体" w:eastAsia="宋体" w:cs="宋体"/>
          <w:b/>
          <w:kern w:val="2"/>
          <w:sz w:val="24"/>
          <w:szCs w:val="24"/>
          <w:lang w:val="en-US" w:eastAsia="zh-CN" w:bidi="ar-SA"/>
        </w:rPr>
      </w:pPr>
    </w:p>
    <w:p w14:paraId="77DE3594">
      <w:pPr>
        <w:pStyle w:val="24"/>
        <w:pageBreakBefore w:val="0"/>
        <w:widowControl w:val="0"/>
        <w:kinsoku/>
        <w:wordWrap/>
        <w:overflowPunct/>
        <w:topLinePunct w:val="0"/>
        <w:autoSpaceDE/>
        <w:autoSpaceDN/>
        <w:bidi w:val="0"/>
        <w:spacing w:beforeAutospacing="0" w:afterAutospacing="0" w:line="500" w:lineRule="exact"/>
        <w:jc w:val="both"/>
        <w:textAlignment w:val="auto"/>
        <w:outlineLvl w:val="0"/>
        <w:rPr>
          <w:rFonts w:hint="eastAsia" w:ascii="宋体" w:hAnsi="宋体" w:eastAsia="宋体" w:cs="宋体"/>
          <w:b/>
          <w:sz w:val="32"/>
          <w:szCs w:val="32"/>
        </w:rPr>
      </w:pPr>
    </w:p>
    <w:p w14:paraId="5FA9BF13">
      <w:pPr>
        <w:pStyle w:val="24"/>
        <w:pageBreakBefore w:val="0"/>
        <w:widowControl w:val="0"/>
        <w:kinsoku/>
        <w:wordWrap/>
        <w:overflowPunct/>
        <w:topLinePunct w:val="0"/>
        <w:autoSpaceDE/>
        <w:autoSpaceDN/>
        <w:bidi w:val="0"/>
        <w:spacing w:beforeAutospacing="0" w:afterAutospacing="0" w:line="500" w:lineRule="exact"/>
        <w:jc w:val="center"/>
        <w:textAlignment w:val="auto"/>
        <w:outlineLvl w:val="0"/>
        <w:rPr>
          <w:rFonts w:hint="eastAsia" w:ascii="宋体" w:hAnsi="宋体" w:eastAsia="宋体" w:cs="宋体"/>
          <w:b/>
          <w:sz w:val="32"/>
          <w:szCs w:val="32"/>
        </w:rPr>
      </w:pPr>
    </w:p>
    <w:p w14:paraId="319E783B">
      <w:pPr>
        <w:pStyle w:val="24"/>
        <w:pageBreakBefore w:val="0"/>
        <w:widowControl w:val="0"/>
        <w:kinsoku/>
        <w:wordWrap/>
        <w:overflowPunct/>
        <w:topLinePunct w:val="0"/>
        <w:autoSpaceDE/>
        <w:autoSpaceDN/>
        <w:bidi w:val="0"/>
        <w:spacing w:beforeAutospacing="0" w:afterAutospacing="0" w:line="500" w:lineRule="exact"/>
        <w:jc w:val="center"/>
        <w:textAlignment w:val="auto"/>
        <w:outlineLvl w:val="0"/>
        <w:rPr>
          <w:rFonts w:hint="eastAsia" w:ascii="宋体" w:hAnsi="宋体" w:eastAsia="宋体" w:cs="宋体"/>
          <w:b/>
          <w:sz w:val="32"/>
          <w:szCs w:val="32"/>
        </w:rPr>
      </w:pPr>
    </w:p>
    <w:p w14:paraId="012CC9FD">
      <w:pPr>
        <w:pStyle w:val="24"/>
        <w:pageBreakBefore w:val="0"/>
        <w:widowControl w:val="0"/>
        <w:kinsoku/>
        <w:wordWrap/>
        <w:overflowPunct/>
        <w:topLinePunct w:val="0"/>
        <w:autoSpaceDE/>
        <w:autoSpaceDN/>
        <w:bidi w:val="0"/>
        <w:spacing w:beforeAutospacing="0" w:afterAutospacing="0" w:line="500" w:lineRule="exact"/>
        <w:jc w:val="center"/>
        <w:textAlignment w:val="auto"/>
        <w:outlineLvl w:val="0"/>
        <w:rPr>
          <w:rFonts w:hint="eastAsia" w:ascii="宋体" w:hAnsi="宋体" w:eastAsia="宋体" w:cs="宋体"/>
          <w:b/>
          <w:sz w:val="32"/>
          <w:szCs w:val="32"/>
        </w:rPr>
      </w:pPr>
      <w:r>
        <w:rPr>
          <w:rFonts w:hint="eastAsia" w:ascii="宋体" w:hAnsi="宋体" w:eastAsia="宋体" w:cs="宋体"/>
          <w:b/>
          <w:sz w:val="32"/>
          <w:szCs w:val="32"/>
        </w:rPr>
        <w:t>第二章 磋商须知</w:t>
      </w:r>
      <w:bookmarkEnd w:id="5"/>
    </w:p>
    <w:p w14:paraId="6ACB6915">
      <w:pPr>
        <w:pStyle w:val="24"/>
        <w:pageBreakBefore w:val="0"/>
        <w:widowControl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b/>
          <w:sz w:val="32"/>
          <w:szCs w:val="32"/>
        </w:rPr>
      </w:pPr>
      <w:r>
        <w:rPr>
          <w:rFonts w:hint="eastAsia" w:ascii="宋体" w:hAnsi="宋体" w:eastAsia="宋体" w:cs="宋体"/>
          <w:b/>
          <w:sz w:val="32"/>
          <w:szCs w:val="32"/>
        </w:rPr>
        <w:t>磋商须知前附表</w:t>
      </w:r>
    </w:p>
    <w:p w14:paraId="326368F2">
      <w:pPr>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注：如采购文件中出现前后不一致情形的，以前附表规定的为准,公告后有变更的，以变更的为准。</w:t>
      </w:r>
    </w:p>
    <w:tbl>
      <w:tblPr>
        <w:tblStyle w:val="45"/>
        <w:tblW w:w="1052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58"/>
        <w:gridCol w:w="2184"/>
        <w:gridCol w:w="7080"/>
      </w:tblGrid>
      <w:tr w14:paraId="1010E8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589A5192">
            <w:pPr>
              <w:pageBreakBefore w:val="0"/>
              <w:widowControl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条款号</w:t>
            </w:r>
          </w:p>
        </w:tc>
        <w:tc>
          <w:tcPr>
            <w:tcW w:w="2184" w:type="dxa"/>
            <w:vAlign w:val="center"/>
          </w:tcPr>
          <w:p w14:paraId="48C0F2FA">
            <w:pPr>
              <w:pageBreakBefore w:val="0"/>
              <w:widowControl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条款名称</w:t>
            </w:r>
          </w:p>
        </w:tc>
        <w:tc>
          <w:tcPr>
            <w:tcW w:w="7080" w:type="dxa"/>
            <w:vAlign w:val="center"/>
          </w:tcPr>
          <w:p w14:paraId="69221110">
            <w:pPr>
              <w:pageBreakBefore w:val="0"/>
              <w:widowControl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编辑内容规定</w:t>
            </w:r>
          </w:p>
        </w:tc>
      </w:tr>
      <w:tr w14:paraId="0226A4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27" w:hRule="atLeast"/>
          <w:jc w:val="center"/>
        </w:trPr>
        <w:tc>
          <w:tcPr>
            <w:tcW w:w="10522" w:type="dxa"/>
            <w:gridSpan w:val="3"/>
            <w:vAlign w:val="center"/>
          </w:tcPr>
          <w:p w14:paraId="11F3956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一、说明</w:t>
            </w:r>
          </w:p>
        </w:tc>
      </w:tr>
      <w:tr w14:paraId="170D99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92" w:hRule="atLeast"/>
          <w:jc w:val="center"/>
        </w:trPr>
        <w:tc>
          <w:tcPr>
            <w:tcW w:w="1258" w:type="dxa"/>
            <w:vAlign w:val="center"/>
          </w:tcPr>
          <w:p w14:paraId="2BE688A9">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503416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第1.1款</w:t>
            </w:r>
          </w:p>
        </w:tc>
        <w:tc>
          <w:tcPr>
            <w:tcW w:w="2184" w:type="dxa"/>
            <w:vAlign w:val="center"/>
          </w:tcPr>
          <w:p w14:paraId="2F0CA0D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采购项目</w:t>
            </w:r>
          </w:p>
        </w:tc>
        <w:tc>
          <w:tcPr>
            <w:tcW w:w="7080" w:type="dxa"/>
            <w:vAlign w:val="center"/>
          </w:tcPr>
          <w:p w14:paraId="6DD22A8F">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华容县202</w:t>
            </w:r>
            <w:r>
              <w:rPr>
                <w:rFonts w:hint="eastAsia" w:ascii="宋体" w:hAnsi="宋体" w:cs="宋体"/>
                <w:sz w:val="21"/>
                <w:szCs w:val="21"/>
                <w:lang w:val="en-US" w:eastAsia="zh-CN"/>
              </w:rPr>
              <w:t>6</w:t>
            </w:r>
            <w:r>
              <w:rPr>
                <w:rFonts w:hint="eastAsia" w:ascii="宋体" w:hAnsi="宋体" w:eastAsia="宋体" w:cs="宋体"/>
                <w:sz w:val="21"/>
                <w:szCs w:val="21"/>
                <w:lang w:eastAsia="zh-CN"/>
              </w:rPr>
              <w:t>年高素质农民培育项目</w:t>
            </w:r>
          </w:p>
        </w:tc>
      </w:tr>
      <w:tr w14:paraId="219202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75" w:hRule="atLeast"/>
          <w:jc w:val="center"/>
        </w:trPr>
        <w:tc>
          <w:tcPr>
            <w:tcW w:w="1258" w:type="dxa"/>
            <w:vAlign w:val="center"/>
          </w:tcPr>
          <w:p w14:paraId="10FD99B1">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CED0601">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第2.1款</w:t>
            </w:r>
          </w:p>
        </w:tc>
        <w:tc>
          <w:tcPr>
            <w:tcW w:w="2184" w:type="dxa"/>
            <w:vAlign w:val="center"/>
          </w:tcPr>
          <w:p w14:paraId="751EA788">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采购人</w:t>
            </w:r>
          </w:p>
        </w:tc>
        <w:tc>
          <w:tcPr>
            <w:tcW w:w="7080" w:type="dxa"/>
            <w:vAlign w:val="center"/>
          </w:tcPr>
          <w:p w14:paraId="53018438">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cs="宋体"/>
                <w:sz w:val="21"/>
                <w:szCs w:val="21"/>
                <w:lang w:val="en-US" w:eastAsia="zh-CN"/>
              </w:rPr>
            </w:pPr>
            <w:r>
              <w:rPr>
                <w:rFonts w:hint="eastAsia" w:ascii="宋体" w:hAnsi="宋体" w:eastAsia="宋体" w:cs="宋体"/>
                <w:sz w:val="21"/>
                <w:szCs w:val="21"/>
              </w:rPr>
              <w:t>采购人：华容县农业农村</w:t>
            </w:r>
            <w:r>
              <w:rPr>
                <w:rFonts w:hint="eastAsia" w:ascii="宋体" w:hAnsi="宋体" w:cs="宋体"/>
                <w:sz w:val="21"/>
                <w:szCs w:val="21"/>
                <w:lang w:val="en-US" w:eastAsia="zh-CN"/>
              </w:rPr>
              <w:t>局</w:t>
            </w:r>
          </w:p>
          <w:p w14:paraId="36537B7F">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地址：华容县章华镇西正街24号</w:t>
            </w:r>
          </w:p>
          <w:p w14:paraId="6D1AD269">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联系人：冷远杰</w:t>
            </w:r>
          </w:p>
          <w:p w14:paraId="4E9275B0">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联系电话：15074030144</w:t>
            </w:r>
          </w:p>
        </w:tc>
      </w:tr>
      <w:tr w14:paraId="6706E1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57722B65">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0BB3386">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第2.2款</w:t>
            </w:r>
          </w:p>
        </w:tc>
        <w:tc>
          <w:tcPr>
            <w:tcW w:w="2184" w:type="dxa"/>
            <w:vAlign w:val="center"/>
          </w:tcPr>
          <w:p w14:paraId="37E66D56">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采购代理机构</w:t>
            </w:r>
          </w:p>
        </w:tc>
        <w:tc>
          <w:tcPr>
            <w:tcW w:w="7080" w:type="dxa"/>
            <w:vAlign w:val="center"/>
          </w:tcPr>
          <w:p w14:paraId="3684FF15">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招标代理机构：湖南省中君项目管理咨询有限公司</w:t>
            </w:r>
          </w:p>
          <w:p w14:paraId="27F942E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地址：湖南省岳阳市岳阳楼区五里牌街道高山坡社区花板桥路君临嘉龙公馆1栋5楼506室</w:t>
            </w:r>
          </w:p>
          <w:p w14:paraId="5D79A596">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lang w:val="en-US"/>
              </w:rPr>
            </w:pPr>
            <w:r>
              <w:rPr>
                <w:rFonts w:hint="eastAsia" w:ascii="宋体" w:hAnsi="宋体" w:eastAsia="宋体" w:cs="宋体"/>
                <w:sz w:val="21"/>
                <w:szCs w:val="21"/>
              </w:rPr>
              <w:t>联系人：李女士</w:t>
            </w:r>
          </w:p>
          <w:p w14:paraId="57C5CD9E">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联系电话：0730-8864801</w:t>
            </w:r>
          </w:p>
        </w:tc>
      </w:tr>
      <w:tr w14:paraId="249D16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258" w:type="dxa"/>
            <w:vAlign w:val="center"/>
          </w:tcPr>
          <w:p w14:paraId="41F297D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B8F87A4">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第2.3款</w:t>
            </w:r>
          </w:p>
        </w:tc>
        <w:tc>
          <w:tcPr>
            <w:tcW w:w="2184" w:type="dxa"/>
            <w:vAlign w:val="center"/>
          </w:tcPr>
          <w:p w14:paraId="7D8D5AF1">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供应商的邀请方式</w:t>
            </w:r>
          </w:p>
        </w:tc>
        <w:tc>
          <w:tcPr>
            <w:tcW w:w="7080" w:type="dxa"/>
            <w:vAlign w:val="center"/>
          </w:tcPr>
          <w:p w14:paraId="54DB474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lang w:eastAsia="zh-CN"/>
              </w:rPr>
              <w:sym w:font="Wingdings" w:char="00FE"/>
            </w:r>
            <w:r>
              <w:rPr>
                <w:rFonts w:hint="eastAsia" w:ascii="宋体" w:hAnsi="宋体" w:eastAsia="宋体" w:cs="宋体"/>
                <w:sz w:val="21"/>
                <w:szCs w:val="21"/>
              </w:rPr>
              <w:t>发布公告</w:t>
            </w:r>
          </w:p>
          <w:p w14:paraId="184E5EFA">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□从省级以上财政部门建立的供应商库中随机抽取</w:t>
            </w:r>
          </w:p>
          <w:p w14:paraId="734FF336">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□采购人和评审专家分别书面推荐的方式</w:t>
            </w:r>
          </w:p>
        </w:tc>
      </w:tr>
      <w:tr w14:paraId="1BD418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1258" w:type="dxa"/>
            <w:vAlign w:val="center"/>
          </w:tcPr>
          <w:p w14:paraId="0D2419B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4295B5D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第3.1款</w:t>
            </w:r>
          </w:p>
          <w:p w14:paraId="5868E11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p>
        </w:tc>
        <w:tc>
          <w:tcPr>
            <w:tcW w:w="2184" w:type="dxa"/>
            <w:vAlign w:val="center"/>
          </w:tcPr>
          <w:p w14:paraId="1B993910">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供应商资格条件</w:t>
            </w:r>
          </w:p>
          <w:p w14:paraId="49A1AD9F">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p>
        </w:tc>
        <w:tc>
          <w:tcPr>
            <w:tcW w:w="7080" w:type="dxa"/>
            <w:vAlign w:val="center"/>
          </w:tcPr>
          <w:p w14:paraId="4C2680EC">
            <w:pPr>
              <w:pageBreakBefore w:val="0"/>
              <w:widowControl w:val="0"/>
              <w:kinsoku/>
              <w:wordWrap/>
              <w:overflowPunct/>
              <w:topLinePunct w:val="0"/>
              <w:autoSpaceDE/>
              <w:autoSpaceDN/>
              <w:bidi w:val="0"/>
              <w:spacing w:beforeAutospacing="0" w:afterAutospacing="0" w:line="500" w:lineRule="exact"/>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详见第一章“磋商邀请”</w:t>
            </w:r>
          </w:p>
        </w:tc>
      </w:tr>
      <w:tr w14:paraId="3B4C3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258" w:type="dxa"/>
            <w:vAlign w:val="center"/>
          </w:tcPr>
          <w:p w14:paraId="2E47E681">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77B3A23">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第6.1款</w:t>
            </w:r>
          </w:p>
        </w:tc>
        <w:tc>
          <w:tcPr>
            <w:tcW w:w="2184" w:type="dxa"/>
            <w:vAlign w:val="center"/>
          </w:tcPr>
          <w:p w14:paraId="469629CD">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联合体形式</w:t>
            </w:r>
          </w:p>
        </w:tc>
        <w:tc>
          <w:tcPr>
            <w:tcW w:w="7080" w:type="dxa"/>
            <w:vAlign w:val="center"/>
          </w:tcPr>
          <w:p w14:paraId="73BDC6E1">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lang w:eastAsia="zh-CN"/>
              </w:rPr>
              <w:sym w:font="Wingdings" w:char="00FE"/>
            </w:r>
            <w:r>
              <w:rPr>
                <w:rFonts w:hint="eastAsia" w:ascii="宋体" w:hAnsi="宋体" w:eastAsia="宋体" w:cs="宋体"/>
                <w:sz w:val="21"/>
                <w:szCs w:val="21"/>
              </w:rPr>
              <w:t>不接受</w:t>
            </w:r>
          </w:p>
          <w:p w14:paraId="44EFEE1E">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 接受</w:t>
            </w:r>
          </w:p>
        </w:tc>
      </w:tr>
      <w:tr w14:paraId="16792D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7" w:hRule="atLeast"/>
          <w:jc w:val="center"/>
        </w:trPr>
        <w:tc>
          <w:tcPr>
            <w:tcW w:w="1258" w:type="dxa"/>
            <w:vAlign w:val="center"/>
          </w:tcPr>
          <w:p w14:paraId="4E7A5F18">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522E359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第6.2款</w:t>
            </w:r>
          </w:p>
        </w:tc>
        <w:tc>
          <w:tcPr>
            <w:tcW w:w="2184" w:type="dxa"/>
            <w:vAlign w:val="center"/>
          </w:tcPr>
          <w:p w14:paraId="1FAA9A0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对联合体各方的要求</w:t>
            </w:r>
          </w:p>
        </w:tc>
        <w:tc>
          <w:tcPr>
            <w:tcW w:w="7080" w:type="dxa"/>
            <w:vAlign w:val="center"/>
          </w:tcPr>
          <w:p w14:paraId="250C6F68">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无</w:t>
            </w:r>
          </w:p>
        </w:tc>
      </w:tr>
      <w:tr w14:paraId="381A8F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0" w:hRule="exact"/>
          <w:jc w:val="center"/>
        </w:trPr>
        <w:tc>
          <w:tcPr>
            <w:tcW w:w="1258" w:type="dxa"/>
            <w:vAlign w:val="center"/>
          </w:tcPr>
          <w:p w14:paraId="3DF5C6C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2C29CD4">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第7.1款</w:t>
            </w:r>
          </w:p>
        </w:tc>
        <w:tc>
          <w:tcPr>
            <w:tcW w:w="2184" w:type="dxa"/>
            <w:vAlign w:val="center"/>
          </w:tcPr>
          <w:p w14:paraId="16B64313">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现场勘察</w:t>
            </w:r>
          </w:p>
        </w:tc>
        <w:tc>
          <w:tcPr>
            <w:tcW w:w="7080" w:type="dxa"/>
            <w:vAlign w:val="center"/>
          </w:tcPr>
          <w:p w14:paraId="088C8103">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lang w:eastAsia="zh-CN"/>
              </w:rPr>
              <w:sym w:font="Wingdings" w:char="00FE"/>
            </w:r>
            <w:r>
              <w:rPr>
                <w:rFonts w:hint="eastAsia" w:ascii="宋体" w:hAnsi="宋体" w:eastAsia="宋体" w:cs="宋体"/>
                <w:sz w:val="21"/>
                <w:szCs w:val="21"/>
              </w:rPr>
              <w:t>采购人不组织</w:t>
            </w:r>
          </w:p>
          <w:p w14:paraId="29ED0970">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 采购人组织，时间： 地点： 联系人：</w:t>
            </w:r>
          </w:p>
        </w:tc>
      </w:tr>
      <w:tr w14:paraId="10CC1E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96" w:hRule="exact"/>
          <w:jc w:val="center"/>
        </w:trPr>
        <w:tc>
          <w:tcPr>
            <w:tcW w:w="1258" w:type="dxa"/>
            <w:vAlign w:val="center"/>
          </w:tcPr>
          <w:p w14:paraId="0DA9D2AE">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C03403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第8.1款</w:t>
            </w:r>
          </w:p>
        </w:tc>
        <w:tc>
          <w:tcPr>
            <w:tcW w:w="2184" w:type="dxa"/>
            <w:vAlign w:val="center"/>
          </w:tcPr>
          <w:p w14:paraId="63689E9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采购进口产品</w:t>
            </w:r>
          </w:p>
        </w:tc>
        <w:tc>
          <w:tcPr>
            <w:tcW w:w="7080" w:type="dxa"/>
            <w:vAlign w:val="center"/>
          </w:tcPr>
          <w:p w14:paraId="6295032F">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lang w:eastAsia="zh-CN"/>
              </w:rPr>
              <w:sym w:font="Wingdings" w:char="00FE"/>
            </w:r>
            <w:r>
              <w:rPr>
                <w:rFonts w:hint="eastAsia" w:ascii="宋体" w:hAnsi="宋体" w:eastAsia="宋体" w:cs="宋体"/>
                <w:sz w:val="21"/>
                <w:szCs w:val="21"/>
              </w:rPr>
              <w:t>本项目拒绝采购进口产品</w:t>
            </w:r>
          </w:p>
          <w:p w14:paraId="00A109C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□本项目已经财政部门审核同意购买进口产品</w:t>
            </w:r>
          </w:p>
        </w:tc>
      </w:tr>
      <w:tr w14:paraId="270807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35" w:hRule="exact"/>
          <w:jc w:val="center"/>
        </w:trPr>
        <w:tc>
          <w:tcPr>
            <w:tcW w:w="1258" w:type="dxa"/>
            <w:vAlign w:val="center"/>
          </w:tcPr>
          <w:p w14:paraId="4A035CAF">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6E67C1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第9.1款</w:t>
            </w:r>
          </w:p>
        </w:tc>
        <w:tc>
          <w:tcPr>
            <w:tcW w:w="2184" w:type="dxa"/>
            <w:vAlign w:val="center"/>
          </w:tcPr>
          <w:p w14:paraId="7630014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政府采购强制采购：</w:t>
            </w:r>
          </w:p>
          <w:p w14:paraId="5D81605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1、强制采购的节能产品；</w:t>
            </w:r>
          </w:p>
          <w:p w14:paraId="14CA862E">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2、其他。</w:t>
            </w:r>
          </w:p>
        </w:tc>
        <w:tc>
          <w:tcPr>
            <w:tcW w:w="7080" w:type="dxa"/>
            <w:vAlign w:val="center"/>
          </w:tcPr>
          <w:p w14:paraId="2DAC5AD8">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lang w:val="en-US"/>
              </w:rPr>
              <w:t>□</w:t>
            </w:r>
            <w:r>
              <w:rPr>
                <w:rFonts w:hint="eastAsia" w:ascii="宋体" w:hAnsi="宋体" w:eastAsia="宋体" w:cs="宋体"/>
                <w:sz w:val="21"/>
                <w:szCs w:val="21"/>
              </w:rPr>
              <w:t xml:space="preserve"> 否</w:t>
            </w:r>
          </w:p>
          <w:p w14:paraId="177F6B0E">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 是，采购《节能产品政府采购清单》(第    期) 内标记★符号的节能产品。</w:t>
            </w:r>
          </w:p>
        </w:tc>
      </w:tr>
      <w:tr w14:paraId="58E206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2" w:hRule="atLeast"/>
          <w:jc w:val="center"/>
        </w:trPr>
        <w:tc>
          <w:tcPr>
            <w:tcW w:w="1258" w:type="dxa"/>
            <w:tcBorders>
              <w:bottom w:val="single" w:color="auto" w:sz="4" w:space="0"/>
            </w:tcBorders>
            <w:vAlign w:val="center"/>
          </w:tcPr>
          <w:p w14:paraId="5A68BA39">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3824F53">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第9.2款</w:t>
            </w:r>
          </w:p>
        </w:tc>
        <w:tc>
          <w:tcPr>
            <w:tcW w:w="2184" w:type="dxa"/>
            <w:vAlign w:val="center"/>
          </w:tcPr>
          <w:p w14:paraId="5387DFA6">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政府采购优先采购：</w:t>
            </w:r>
          </w:p>
          <w:p w14:paraId="04472FE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1、非强制采购的节能产品；</w:t>
            </w:r>
          </w:p>
          <w:p w14:paraId="4D58E60E">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2DF29534">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3、两型产品；</w:t>
            </w:r>
          </w:p>
          <w:p w14:paraId="3524527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4、支持中小企业发展；</w:t>
            </w:r>
          </w:p>
          <w:p w14:paraId="35FFA3AE">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5、其他。</w:t>
            </w:r>
          </w:p>
        </w:tc>
        <w:tc>
          <w:tcPr>
            <w:tcW w:w="7080" w:type="dxa"/>
            <w:vAlign w:val="center"/>
          </w:tcPr>
          <w:p w14:paraId="64B88E9A">
            <w:pPr>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lang w:val="en-US"/>
              </w:rPr>
              <w:t>□</w:t>
            </w:r>
            <w:r>
              <w:rPr>
                <w:rFonts w:hint="eastAsia" w:ascii="宋体" w:hAnsi="宋体" w:eastAsia="宋体" w:cs="宋体"/>
                <w:sz w:val="21"/>
                <w:szCs w:val="21"/>
              </w:rPr>
              <w:t xml:space="preserve"> 本项目非专门面向中小企业采购</w:t>
            </w:r>
          </w:p>
          <w:p w14:paraId="6C6AC993">
            <w:pPr>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lang w:val="en-US"/>
              </w:rPr>
              <w:t>☑</w:t>
            </w:r>
            <w:r>
              <w:rPr>
                <w:rFonts w:hint="eastAsia" w:ascii="宋体" w:hAnsi="宋体" w:eastAsia="宋体" w:cs="宋体"/>
                <w:sz w:val="21"/>
                <w:szCs w:val="21"/>
              </w:rPr>
              <w:t xml:space="preserve"> 本项目专门面向中小企业采购</w:t>
            </w:r>
          </w:p>
          <w:p w14:paraId="10E6EF3E">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b/>
                <w:bCs/>
                <w:sz w:val="21"/>
                <w:szCs w:val="21"/>
                <w:u w:val="single"/>
                <w:shd w:val="clear" w:color="auto" w:fill="FFFFFF" w:themeFill="background1"/>
                <w:lang w:val="en-US" w:eastAsia="zh-CN"/>
              </w:rPr>
            </w:pPr>
            <w:r>
              <w:rPr>
                <w:rFonts w:hint="eastAsia" w:ascii="宋体" w:hAnsi="宋体" w:eastAsia="宋体" w:cs="宋体"/>
                <w:sz w:val="21"/>
                <w:szCs w:val="21"/>
              </w:rPr>
              <w:t>本项目采购标的对应的中小企业划分标准所属行业为：</w:t>
            </w:r>
            <w:r>
              <w:rPr>
                <w:rFonts w:hint="eastAsia" w:ascii="宋体" w:hAnsi="宋体" w:eastAsia="宋体" w:cs="宋体"/>
                <w:b/>
                <w:bCs/>
                <w:sz w:val="21"/>
                <w:szCs w:val="21"/>
              </w:rPr>
              <w:t>农、林、牧、渔业</w:t>
            </w:r>
          </w:p>
          <w:p w14:paraId="30FE828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1、采购产品为《节能产品政府采购清单》(最新一期)内非标记★符号的，分别给予技术和价格项标准总分值5%-10%的加分。本项目具体加分比例分别为 ：技术5%、价格5%。</w:t>
            </w:r>
          </w:p>
          <w:p w14:paraId="5A8F520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2、采购产品为《环境标志产品政府采购清单》(最新一期)内的，分别给予技术和价格项标准总分值5%-10%的加分。本项目具体加分比例分别为 ：技术5%、价格5%。</w:t>
            </w:r>
          </w:p>
          <w:p w14:paraId="4CDC06C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3、采购产品为《湖南省政府采购两型产品目录》内的：</w:t>
            </w:r>
          </w:p>
          <w:p w14:paraId="53C4DCD5">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（1）分别给予技术和价格项标准总分值5%-10%的加分，本项目具体加分比例分别为 ：技术5%、价格5%。</w:t>
            </w:r>
          </w:p>
          <w:p w14:paraId="0393902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非专门面向中小企业采购，且符合政府采购促进中小企业发展相关规定的：</w:t>
            </w:r>
          </w:p>
          <w:p w14:paraId="32EEFA6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（1）给予小型和微型企业产品的价格给予</w:t>
            </w:r>
            <w:r>
              <w:rPr>
                <w:rFonts w:hint="eastAsia" w:ascii="宋体" w:hAnsi="宋体" w:cs="宋体"/>
                <w:sz w:val="21"/>
                <w:szCs w:val="21"/>
                <w:lang w:val="en-US" w:eastAsia="zh-CN"/>
              </w:rPr>
              <w:t>10</w:t>
            </w:r>
            <w:r>
              <w:rPr>
                <w:rFonts w:hint="eastAsia" w:ascii="宋体" w:hAnsi="宋体" w:eastAsia="宋体" w:cs="宋体"/>
                <w:sz w:val="21"/>
                <w:szCs w:val="21"/>
              </w:rPr>
              <w:t>%-</w:t>
            </w:r>
            <w:r>
              <w:rPr>
                <w:rFonts w:hint="eastAsia" w:ascii="宋体" w:hAnsi="宋体" w:cs="宋体"/>
                <w:sz w:val="21"/>
                <w:szCs w:val="21"/>
                <w:lang w:val="en-US" w:eastAsia="zh-CN"/>
              </w:rPr>
              <w:t>20</w:t>
            </w:r>
            <w:r>
              <w:rPr>
                <w:rFonts w:hint="eastAsia" w:ascii="宋体" w:hAnsi="宋体" w:eastAsia="宋体" w:cs="宋体"/>
                <w:sz w:val="21"/>
                <w:szCs w:val="21"/>
              </w:rPr>
              <w:t>%的扣除，用扣除后的价格参与评审，本项目具体扣除比例为/％。</w:t>
            </w:r>
          </w:p>
          <w:p w14:paraId="367FCD7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（2）给予联合体</w:t>
            </w:r>
            <w:r>
              <w:rPr>
                <w:rFonts w:hint="eastAsia" w:ascii="宋体" w:hAnsi="宋体" w:cs="宋体"/>
                <w:sz w:val="21"/>
                <w:szCs w:val="21"/>
                <w:lang w:val="en-US" w:eastAsia="zh-CN"/>
              </w:rPr>
              <w:t>4</w:t>
            </w:r>
            <w:r>
              <w:rPr>
                <w:rFonts w:hint="eastAsia" w:ascii="宋体" w:hAnsi="宋体" w:eastAsia="宋体" w:cs="宋体"/>
                <w:sz w:val="21"/>
                <w:szCs w:val="21"/>
              </w:rPr>
              <w:t>%-</w:t>
            </w:r>
            <w:r>
              <w:rPr>
                <w:rFonts w:hint="eastAsia" w:ascii="宋体" w:hAnsi="宋体" w:cs="宋体"/>
                <w:sz w:val="21"/>
                <w:szCs w:val="21"/>
                <w:lang w:val="en-US" w:eastAsia="zh-CN"/>
              </w:rPr>
              <w:t>6</w:t>
            </w:r>
            <w:r>
              <w:rPr>
                <w:rFonts w:hint="eastAsia" w:ascii="宋体" w:hAnsi="宋体" w:eastAsia="宋体" w:cs="宋体"/>
                <w:sz w:val="21"/>
                <w:szCs w:val="21"/>
              </w:rPr>
              <w:t>%的价格扣除，用扣除后的价格参与评审，本项目具体扣除比例为/％。</w:t>
            </w:r>
          </w:p>
          <w:p w14:paraId="58ECB2F1">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5、残疾人福利性单位的，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505C4620">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6、监狱企业的，在政府采购活动中，监狱企业视同小型、微型企业，享受预留份额、评审中价格扣除等政府采购促进中小企业发展的政府采购政策。向监狱企业采购的金额，计入面向中小企业采购的统计数据。</w:t>
            </w:r>
          </w:p>
          <w:p w14:paraId="113CA11D">
            <w:pPr>
              <w:pStyle w:val="2"/>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b/>
                <w:bCs/>
                <w:sz w:val="21"/>
                <w:szCs w:val="21"/>
              </w:rPr>
              <w:t>本项目专门面向中小企业采购，不再执行价格评审优惠的扶持政策。</w:t>
            </w:r>
          </w:p>
        </w:tc>
      </w:tr>
      <w:tr w14:paraId="0CD0E7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258" w:type="dxa"/>
            <w:tcBorders>
              <w:top w:val="single" w:color="auto" w:sz="4" w:space="0"/>
            </w:tcBorders>
            <w:vAlign w:val="center"/>
          </w:tcPr>
          <w:p w14:paraId="731D9A29">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03D58B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第9.6款</w:t>
            </w:r>
          </w:p>
        </w:tc>
        <w:tc>
          <w:tcPr>
            <w:tcW w:w="2184" w:type="dxa"/>
            <w:tcBorders>
              <w:top w:val="single" w:color="auto" w:sz="4" w:space="0"/>
              <w:bottom w:val="single" w:color="auto" w:sz="4" w:space="0"/>
            </w:tcBorders>
            <w:vAlign w:val="center"/>
          </w:tcPr>
          <w:p w14:paraId="26A693A0">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中小企业融资、信用担保</w:t>
            </w:r>
          </w:p>
        </w:tc>
        <w:tc>
          <w:tcPr>
            <w:tcW w:w="7080" w:type="dxa"/>
            <w:tcBorders>
              <w:top w:val="single" w:color="auto" w:sz="4" w:space="0"/>
              <w:bottom w:val="single" w:color="auto" w:sz="4" w:space="0"/>
            </w:tcBorders>
          </w:tcPr>
          <w:p w14:paraId="61BE68B8">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有融资、信用担保需求的，可登陆中国湖南政府采购网查询。</w:t>
            </w:r>
          </w:p>
        </w:tc>
      </w:tr>
      <w:tr w14:paraId="0F6420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86" w:hRule="exact"/>
          <w:jc w:val="center"/>
        </w:trPr>
        <w:tc>
          <w:tcPr>
            <w:tcW w:w="10522" w:type="dxa"/>
            <w:gridSpan w:val="3"/>
            <w:vAlign w:val="center"/>
          </w:tcPr>
          <w:p w14:paraId="0F45B1A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二、磋商文件</w:t>
            </w:r>
          </w:p>
        </w:tc>
      </w:tr>
      <w:tr w14:paraId="66846E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60" w:hRule="exact"/>
          <w:jc w:val="center"/>
        </w:trPr>
        <w:tc>
          <w:tcPr>
            <w:tcW w:w="1258" w:type="dxa"/>
            <w:vAlign w:val="center"/>
          </w:tcPr>
          <w:p w14:paraId="6410028E">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F5F83A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第10.2款</w:t>
            </w:r>
          </w:p>
        </w:tc>
        <w:tc>
          <w:tcPr>
            <w:tcW w:w="2184" w:type="dxa"/>
            <w:vAlign w:val="center"/>
          </w:tcPr>
          <w:p w14:paraId="550A430A">
            <w:pPr>
              <w:pageBreakBefore w:val="0"/>
              <w:widowControl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磋商文件的可能实质性变动内容</w:t>
            </w:r>
          </w:p>
        </w:tc>
        <w:tc>
          <w:tcPr>
            <w:tcW w:w="7080" w:type="dxa"/>
            <w:vAlign w:val="center"/>
          </w:tcPr>
          <w:p w14:paraId="28B56C60">
            <w:pPr>
              <w:pageBreakBefore w:val="0"/>
              <w:widowControl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技术、服务要求以及合同草案条款可能作实质性变动</w:t>
            </w:r>
          </w:p>
          <w:p w14:paraId="36DBD255">
            <w:pPr>
              <w:pageBreakBefore w:val="0"/>
              <w:widowControl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rPr>
            </w:pPr>
          </w:p>
        </w:tc>
      </w:tr>
      <w:tr w14:paraId="5800CD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48" w:hRule="exact"/>
          <w:jc w:val="center"/>
        </w:trPr>
        <w:tc>
          <w:tcPr>
            <w:tcW w:w="1258" w:type="dxa"/>
            <w:vAlign w:val="center"/>
          </w:tcPr>
          <w:p w14:paraId="57ECCD55">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8092E85">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第11.1款</w:t>
            </w:r>
          </w:p>
        </w:tc>
        <w:tc>
          <w:tcPr>
            <w:tcW w:w="2184" w:type="dxa"/>
            <w:vAlign w:val="center"/>
          </w:tcPr>
          <w:p w14:paraId="1BF645C8">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提供磋商文件期限</w:t>
            </w:r>
          </w:p>
        </w:tc>
        <w:tc>
          <w:tcPr>
            <w:tcW w:w="7080" w:type="dxa"/>
            <w:vMerge w:val="restart"/>
            <w:vAlign w:val="center"/>
          </w:tcPr>
          <w:p w14:paraId="64EB0051">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详见第一章“磋商邀请”</w:t>
            </w:r>
          </w:p>
          <w:p w14:paraId="11897536">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p>
        </w:tc>
      </w:tr>
      <w:tr w14:paraId="63700B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08" w:hRule="exact"/>
          <w:jc w:val="center"/>
        </w:trPr>
        <w:tc>
          <w:tcPr>
            <w:tcW w:w="1258" w:type="dxa"/>
            <w:vAlign w:val="center"/>
          </w:tcPr>
          <w:p w14:paraId="5A9F443A">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9C08CA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第11.2款</w:t>
            </w:r>
          </w:p>
        </w:tc>
        <w:tc>
          <w:tcPr>
            <w:tcW w:w="2184" w:type="dxa"/>
            <w:vAlign w:val="center"/>
          </w:tcPr>
          <w:p w14:paraId="3601286D">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lang w:val="en-US"/>
              </w:rPr>
            </w:pPr>
            <w:r>
              <w:rPr>
                <w:rFonts w:hint="eastAsia" w:ascii="宋体" w:hAnsi="宋体" w:eastAsia="宋体" w:cs="宋体"/>
                <w:sz w:val="21"/>
                <w:szCs w:val="21"/>
              </w:rPr>
              <w:t>领取或购买磋商文件时应提供的资料</w:t>
            </w:r>
            <w:r>
              <w:rPr>
                <w:rFonts w:hint="eastAsia" w:ascii="宋体" w:hAnsi="宋体" w:eastAsia="宋体" w:cs="宋体"/>
                <w:sz w:val="21"/>
                <w:szCs w:val="21"/>
                <w:lang w:val="en-US"/>
              </w:rPr>
              <w:t xml:space="preserve"> </w:t>
            </w:r>
          </w:p>
        </w:tc>
        <w:tc>
          <w:tcPr>
            <w:tcW w:w="7080" w:type="dxa"/>
            <w:vMerge w:val="continue"/>
            <w:vAlign w:val="center"/>
          </w:tcPr>
          <w:p w14:paraId="61D47079">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p>
        </w:tc>
      </w:tr>
      <w:tr w14:paraId="011734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17" w:hRule="exact"/>
          <w:jc w:val="center"/>
        </w:trPr>
        <w:tc>
          <w:tcPr>
            <w:tcW w:w="1258" w:type="dxa"/>
            <w:vAlign w:val="center"/>
          </w:tcPr>
          <w:p w14:paraId="51265431">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4EB274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第12.1款</w:t>
            </w:r>
          </w:p>
        </w:tc>
        <w:tc>
          <w:tcPr>
            <w:tcW w:w="2184" w:type="dxa"/>
            <w:vAlign w:val="center"/>
          </w:tcPr>
          <w:p w14:paraId="7F1D566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提交首次响应文件的截止时间</w:t>
            </w:r>
          </w:p>
        </w:tc>
        <w:tc>
          <w:tcPr>
            <w:tcW w:w="7080" w:type="dxa"/>
            <w:vMerge w:val="continue"/>
            <w:vAlign w:val="center"/>
          </w:tcPr>
          <w:p w14:paraId="2A1C20F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p>
        </w:tc>
      </w:tr>
      <w:tr w14:paraId="3129D0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2" w:hRule="atLeast"/>
          <w:jc w:val="center"/>
        </w:trPr>
        <w:tc>
          <w:tcPr>
            <w:tcW w:w="10522" w:type="dxa"/>
            <w:gridSpan w:val="3"/>
            <w:vAlign w:val="center"/>
          </w:tcPr>
          <w:p w14:paraId="65C05C2D">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三、响应文件的编写</w:t>
            </w:r>
          </w:p>
        </w:tc>
      </w:tr>
      <w:tr w14:paraId="29197B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52" w:hRule="atLeast"/>
          <w:jc w:val="center"/>
        </w:trPr>
        <w:tc>
          <w:tcPr>
            <w:tcW w:w="1258" w:type="dxa"/>
            <w:vAlign w:val="center"/>
          </w:tcPr>
          <w:p w14:paraId="465AB1C3">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D490CE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第16.4款</w:t>
            </w:r>
          </w:p>
        </w:tc>
        <w:tc>
          <w:tcPr>
            <w:tcW w:w="2184" w:type="dxa"/>
            <w:vAlign w:val="center"/>
          </w:tcPr>
          <w:p w14:paraId="7A8AB2B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采购项目预算</w:t>
            </w:r>
          </w:p>
        </w:tc>
        <w:tc>
          <w:tcPr>
            <w:tcW w:w="7080" w:type="dxa"/>
            <w:vAlign w:val="center"/>
          </w:tcPr>
          <w:p w14:paraId="5FFD2C1E">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采购项目</w:t>
            </w:r>
            <w:r>
              <w:rPr>
                <w:rFonts w:hint="eastAsia" w:ascii="宋体" w:hAnsi="宋体" w:cs="宋体"/>
                <w:sz w:val="21"/>
                <w:szCs w:val="21"/>
                <w:highlight w:val="none"/>
                <w:lang w:val="en-US" w:eastAsia="zh-CN"/>
              </w:rPr>
              <w:t>总</w:t>
            </w:r>
            <w:r>
              <w:rPr>
                <w:rFonts w:hint="eastAsia" w:ascii="宋体" w:hAnsi="宋体" w:eastAsia="宋体" w:cs="宋体"/>
                <w:sz w:val="21"/>
                <w:szCs w:val="21"/>
                <w:highlight w:val="none"/>
              </w:rPr>
              <w:t>预算：</w:t>
            </w:r>
            <w:r>
              <w:rPr>
                <w:rFonts w:hint="eastAsia" w:ascii="宋体" w:hAnsi="宋体" w:cs="宋体"/>
                <w:sz w:val="21"/>
                <w:szCs w:val="21"/>
                <w:highlight w:val="none"/>
                <w:lang w:val="en-US" w:eastAsia="zh-CN"/>
              </w:rPr>
              <w:t>144</w:t>
            </w:r>
            <w:r>
              <w:rPr>
                <w:rFonts w:hint="eastAsia" w:ascii="宋体" w:hAnsi="宋体" w:eastAsia="宋体" w:cs="宋体"/>
                <w:sz w:val="21"/>
                <w:szCs w:val="21"/>
                <w:highlight w:val="none"/>
                <w:lang w:val="en-US" w:eastAsia="zh-CN"/>
              </w:rPr>
              <w:t>.00万</w:t>
            </w:r>
            <w:r>
              <w:rPr>
                <w:rFonts w:hint="eastAsia" w:ascii="宋体" w:hAnsi="宋体" w:eastAsia="宋体" w:cs="宋体"/>
                <w:sz w:val="21"/>
                <w:szCs w:val="21"/>
                <w:highlight w:val="none"/>
              </w:rPr>
              <w:t>元</w:t>
            </w:r>
          </w:p>
          <w:p w14:paraId="2A92FF59">
            <w:pPr>
              <w:pStyle w:val="2"/>
              <w:rPr>
                <w:rFonts w:hint="eastAsia" w:ascii="宋体" w:hAnsi="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包1：56.00万元</w:t>
            </w:r>
          </w:p>
          <w:p w14:paraId="7D4892AE">
            <w:pPr>
              <w:rPr>
                <w:rFonts w:hint="eastAsia" w:ascii="宋体" w:hAnsi="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包2：88.00万元</w:t>
            </w:r>
          </w:p>
          <w:p w14:paraId="60BFD7A9">
            <w:pPr>
              <w:pStyle w:val="60"/>
              <w:ind w:left="0" w:leftChars="0" w:firstLine="0" w:firstLineChars="0"/>
              <w:rPr>
                <w:rFonts w:hint="default"/>
                <w:lang w:val="en-US" w:eastAsia="zh-CN"/>
              </w:rPr>
            </w:pPr>
            <w:r>
              <w:rPr>
                <w:rFonts w:hint="default"/>
                <w:lang w:val="en-US" w:eastAsia="zh-CN"/>
              </w:rPr>
              <w:t>供应商报价超过采购项目预算的视为无效投标</w:t>
            </w:r>
          </w:p>
        </w:tc>
      </w:tr>
      <w:tr w14:paraId="625FDD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258" w:type="dxa"/>
            <w:vAlign w:val="center"/>
          </w:tcPr>
          <w:p w14:paraId="0BB10784">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7B24A4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第17.3款</w:t>
            </w:r>
          </w:p>
        </w:tc>
        <w:tc>
          <w:tcPr>
            <w:tcW w:w="2184" w:type="dxa"/>
            <w:vAlign w:val="center"/>
          </w:tcPr>
          <w:p w14:paraId="25FB26A3">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非制造商的证明文件</w:t>
            </w:r>
          </w:p>
        </w:tc>
        <w:tc>
          <w:tcPr>
            <w:tcW w:w="7080" w:type="dxa"/>
            <w:vAlign w:val="center"/>
          </w:tcPr>
          <w:p w14:paraId="0FE08D26">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☑不要求提供</w:t>
            </w:r>
          </w:p>
          <w:p w14:paraId="48C68C6D">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□要求提供：（证明文件复印件须加盖供应商单位公章，否则视为无效响应。）</w:t>
            </w:r>
          </w:p>
          <w:p w14:paraId="5AD577E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经销、或代理投标货物、或为投标货物提供售后服务的证明文件。</w:t>
            </w:r>
          </w:p>
        </w:tc>
      </w:tr>
      <w:tr w14:paraId="09386A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258" w:type="dxa"/>
            <w:vAlign w:val="center"/>
          </w:tcPr>
          <w:p w14:paraId="05F36658">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954E055">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第18.1款</w:t>
            </w:r>
          </w:p>
        </w:tc>
        <w:tc>
          <w:tcPr>
            <w:tcW w:w="2184" w:type="dxa"/>
            <w:vAlign w:val="center"/>
          </w:tcPr>
          <w:p w14:paraId="2DC79AB4">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样品提供及样品提交的时间、地点</w:t>
            </w:r>
          </w:p>
        </w:tc>
        <w:tc>
          <w:tcPr>
            <w:tcW w:w="7080" w:type="dxa"/>
            <w:vAlign w:val="center"/>
          </w:tcPr>
          <w:p w14:paraId="421B124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 不要求提供</w:t>
            </w:r>
          </w:p>
          <w:p w14:paraId="635751AF">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 要求提供，提交的样品： ,提交的时间：</w:t>
            </w:r>
            <w:r>
              <w:rPr>
                <w:rFonts w:hint="eastAsia" w:ascii="宋体" w:hAnsi="宋体" w:eastAsia="宋体" w:cs="宋体"/>
                <w:sz w:val="21"/>
                <w:szCs w:val="21"/>
                <w:lang w:eastAsia="zh-CN"/>
              </w:rPr>
              <w:t>，</w:t>
            </w:r>
            <w:r>
              <w:rPr>
                <w:rFonts w:hint="eastAsia" w:ascii="宋体" w:hAnsi="宋体" w:eastAsia="宋体" w:cs="宋体"/>
                <w:sz w:val="21"/>
                <w:szCs w:val="21"/>
              </w:rPr>
              <w:t>地点： 。</w:t>
            </w:r>
          </w:p>
        </w:tc>
      </w:tr>
      <w:tr w14:paraId="58053D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97" w:hRule="atLeast"/>
          <w:jc w:val="center"/>
        </w:trPr>
        <w:tc>
          <w:tcPr>
            <w:tcW w:w="1258" w:type="dxa"/>
            <w:vAlign w:val="center"/>
          </w:tcPr>
          <w:p w14:paraId="73F64B39">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9719321">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第19.1款</w:t>
            </w:r>
          </w:p>
        </w:tc>
        <w:tc>
          <w:tcPr>
            <w:tcW w:w="2184" w:type="dxa"/>
            <w:vAlign w:val="center"/>
          </w:tcPr>
          <w:p w14:paraId="08D98536">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磋商保证金</w:t>
            </w:r>
          </w:p>
        </w:tc>
        <w:tc>
          <w:tcPr>
            <w:tcW w:w="7080" w:type="dxa"/>
            <w:vAlign w:val="center"/>
          </w:tcPr>
          <w:p w14:paraId="5E8AEA3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 不要求提供</w:t>
            </w:r>
          </w:p>
          <w:p w14:paraId="7CCB880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 要求提供</w:t>
            </w:r>
          </w:p>
        </w:tc>
      </w:tr>
      <w:tr w14:paraId="71ABDA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55E118B0">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F0EF55F">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第20.1款</w:t>
            </w:r>
          </w:p>
        </w:tc>
        <w:tc>
          <w:tcPr>
            <w:tcW w:w="2184" w:type="dxa"/>
            <w:vAlign w:val="center"/>
          </w:tcPr>
          <w:p w14:paraId="780A1CCF">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响应文件有效期</w:t>
            </w:r>
          </w:p>
        </w:tc>
        <w:tc>
          <w:tcPr>
            <w:tcW w:w="7080" w:type="dxa"/>
            <w:vAlign w:val="center"/>
          </w:tcPr>
          <w:p w14:paraId="20DC8DB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90 日（日历日）</w:t>
            </w:r>
          </w:p>
        </w:tc>
      </w:tr>
      <w:tr w14:paraId="60735F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276BE42F">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145B30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第21.1款</w:t>
            </w:r>
          </w:p>
        </w:tc>
        <w:tc>
          <w:tcPr>
            <w:tcW w:w="2184" w:type="dxa"/>
            <w:vAlign w:val="center"/>
          </w:tcPr>
          <w:p w14:paraId="021DBD1F">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响应文件副本份数</w:t>
            </w:r>
          </w:p>
        </w:tc>
        <w:tc>
          <w:tcPr>
            <w:tcW w:w="7080" w:type="dxa"/>
            <w:vAlign w:val="center"/>
          </w:tcPr>
          <w:p w14:paraId="43B87D46">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电子文件：供应商应准备所投项目的电子响应文件</w:t>
            </w:r>
            <w:r>
              <w:rPr>
                <w:rFonts w:hint="eastAsia" w:ascii="宋体" w:hAnsi="宋体" w:cs="宋体"/>
                <w:sz w:val="21"/>
                <w:szCs w:val="21"/>
                <w:lang w:val="en-US" w:eastAsia="zh-CN"/>
              </w:rPr>
              <w:t>签字盖章的扫描件一份</w:t>
            </w:r>
            <w:r>
              <w:rPr>
                <w:rFonts w:hint="eastAsia" w:ascii="宋体" w:hAnsi="宋体" w:eastAsia="宋体" w:cs="宋体"/>
                <w:sz w:val="21"/>
                <w:szCs w:val="21"/>
              </w:rPr>
              <w:t>（U 盘）。</w:t>
            </w:r>
          </w:p>
          <w:p w14:paraId="6A045645">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纸质文件：响应文件正本一份，副本贰份；</w:t>
            </w:r>
          </w:p>
          <w:p w14:paraId="65D7F469">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响应文件封面上明确写明“正本”或“副本”，正本和副本内容如不一致，以正本为准。</w:t>
            </w:r>
          </w:p>
          <w:p w14:paraId="0EA151A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装订要求：响应文件采用胶装方式装订</w:t>
            </w:r>
          </w:p>
        </w:tc>
      </w:tr>
      <w:tr w14:paraId="26204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10522" w:type="dxa"/>
            <w:gridSpan w:val="3"/>
            <w:vAlign w:val="center"/>
          </w:tcPr>
          <w:p w14:paraId="4E70809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四、响应文件的递交</w:t>
            </w:r>
          </w:p>
        </w:tc>
      </w:tr>
      <w:tr w14:paraId="61DBE0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 w:hRule="atLeast"/>
          <w:jc w:val="center"/>
        </w:trPr>
        <w:tc>
          <w:tcPr>
            <w:tcW w:w="1258" w:type="dxa"/>
            <w:vAlign w:val="center"/>
          </w:tcPr>
          <w:p w14:paraId="01D47A46">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3DE631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第22.2款</w:t>
            </w:r>
          </w:p>
        </w:tc>
        <w:tc>
          <w:tcPr>
            <w:tcW w:w="2184" w:type="dxa"/>
            <w:vAlign w:val="center"/>
          </w:tcPr>
          <w:p w14:paraId="2CFD7931">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封套上应载明的信息</w:t>
            </w:r>
          </w:p>
        </w:tc>
        <w:tc>
          <w:tcPr>
            <w:tcW w:w="7080" w:type="dxa"/>
            <w:vAlign w:val="center"/>
          </w:tcPr>
          <w:p w14:paraId="40C61F19">
            <w:pPr>
              <w:pageBreakBefore w:val="0"/>
              <w:widowControl w:val="0"/>
              <w:kinsoku/>
              <w:wordWrap/>
              <w:overflowPunct/>
              <w:topLinePunct w:val="0"/>
              <w:autoSpaceDE/>
              <w:autoSpaceDN/>
              <w:bidi w:val="0"/>
              <w:spacing w:beforeAutospacing="0" w:afterAutospacing="0" w:line="500" w:lineRule="exact"/>
              <w:jc w:val="both"/>
              <w:textAlignment w:val="auto"/>
              <w:rPr>
                <w:rFonts w:hint="eastAsia" w:ascii="宋体" w:hAnsi="宋体" w:eastAsia="宋体" w:cs="宋体"/>
                <w:sz w:val="21"/>
                <w:szCs w:val="21"/>
              </w:rPr>
            </w:pPr>
            <w:r>
              <w:rPr>
                <w:rFonts w:hint="eastAsia" w:ascii="宋体" w:hAnsi="宋体" w:cs="宋体"/>
                <w:sz w:val="21"/>
                <w:szCs w:val="21"/>
                <w:u w:val="single"/>
                <w:lang w:val="en-US" w:eastAsia="zh-CN"/>
              </w:rPr>
              <w:t xml:space="preserve">       （ 项目名称）               </w:t>
            </w:r>
            <w:r>
              <w:rPr>
                <w:rFonts w:hint="eastAsia" w:ascii="宋体" w:hAnsi="宋体" w:eastAsia="宋体" w:cs="宋体"/>
                <w:sz w:val="21"/>
                <w:szCs w:val="21"/>
              </w:rPr>
              <w:t xml:space="preserve">响应文件  </w:t>
            </w:r>
          </w:p>
          <w:p w14:paraId="7B58A68E">
            <w:pPr>
              <w:pageBreakBefore w:val="0"/>
              <w:widowControl w:val="0"/>
              <w:kinsoku/>
              <w:wordWrap/>
              <w:overflowPunct/>
              <w:topLinePunct w:val="0"/>
              <w:autoSpaceDE/>
              <w:autoSpaceDN/>
              <w:bidi w:val="0"/>
              <w:spacing w:beforeAutospacing="0" w:afterAutospacing="0" w:line="500" w:lineRule="exact"/>
              <w:textAlignment w:val="auto"/>
              <w:rPr>
                <w:rFonts w:hint="default" w:ascii="宋体" w:hAnsi="宋体" w:cs="宋体"/>
                <w:sz w:val="21"/>
                <w:szCs w:val="21"/>
                <w:u w:val="single"/>
                <w:lang w:val="en-US" w:eastAsia="zh-CN"/>
              </w:rPr>
            </w:pPr>
            <w:r>
              <w:rPr>
                <w:rFonts w:hint="eastAsia" w:ascii="宋体" w:hAnsi="宋体" w:eastAsia="宋体" w:cs="宋体"/>
                <w:sz w:val="21"/>
                <w:szCs w:val="21"/>
              </w:rPr>
              <w:t>政府采购</w:t>
            </w:r>
            <w:r>
              <w:rPr>
                <w:rFonts w:hint="eastAsia" w:ascii="宋体" w:hAnsi="宋体" w:cs="宋体"/>
                <w:sz w:val="21"/>
                <w:szCs w:val="21"/>
                <w:lang w:val="en-US" w:eastAsia="zh-CN"/>
              </w:rPr>
              <w:t>计划</w:t>
            </w:r>
            <w:r>
              <w:rPr>
                <w:rFonts w:hint="eastAsia" w:ascii="宋体" w:hAnsi="宋体" w:eastAsia="宋体" w:cs="宋体"/>
                <w:sz w:val="21"/>
                <w:szCs w:val="21"/>
              </w:rPr>
              <w:t>编号</w:t>
            </w:r>
            <w:r>
              <w:rPr>
                <w:rFonts w:hint="eastAsia" w:ascii="宋体" w:hAnsi="宋体" w:eastAsia="宋体" w:cs="宋体"/>
                <w:sz w:val="21"/>
                <w:szCs w:val="21"/>
                <w:u w:val="single"/>
              </w:rPr>
              <w:t>：</w:t>
            </w:r>
            <w:r>
              <w:rPr>
                <w:rFonts w:hint="eastAsia" w:ascii="宋体" w:hAnsi="宋体" w:cs="宋体"/>
                <w:sz w:val="21"/>
                <w:szCs w:val="21"/>
                <w:u w:val="single"/>
                <w:lang w:val="en-US" w:eastAsia="zh-CN"/>
              </w:rPr>
              <w:t xml:space="preserve">                         </w:t>
            </w:r>
          </w:p>
          <w:p w14:paraId="29E6AAE5">
            <w:pPr>
              <w:pageBreakBefore w:val="0"/>
              <w:widowControl w:val="0"/>
              <w:kinsoku/>
              <w:wordWrap/>
              <w:overflowPunct/>
              <w:topLinePunct w:val="0"/>
              <w:autoSpaceDE/>
              <w:autoSpaceDN/>
              <w:bidi w:val="0"/>
              <w:spacing w:beforeAutospacing="0" w:afterAutospacing="0" w:line="500" w:lineRule="exact"/>
              <w:textAlignment w:val="auto"/>
              <w:rPr>
                <w:rFonts w:hint="default" w:ascii="宋体" w:hAnsi="宋体" w:eastAsia="宋体" w:cs="宋体"/>
                <w:sz w:val="21"/>
                <w:szCs w:val="21"/>
                <w:u w:val="single"/>
                <w:lang w:val="en-US" w:eastAsia="zh-CN"/>
              </w:rPr>
            </w:pPr>
            <w:r>
              <w:rPr>
                <w:rFonts w:hint="eastAsia" w:ascii="宋体" w:hAnsi="宋体" w:cs="宋体"/>
                <w:sz w:val="21"/>
                <w:szCs w:val="21"/>
                <w:lang w:val="en-US" w:eastAsia="zh-CN"/>
              </w:rPr>
              <w:t>委托</w:t>
            </w:r>
            <w:r>
              <w:rPr>
                <w:rFonts w:hint="eastAsia" w:ascii="宋体" w:hAnsi="宋体" w:eastAsia="宋体" w:cs="宋体"/>
                <w:sz w:val="21"/>
                <w:szCs w:val="21"/>
              </w:rPr>
              <w:t>代理编号：</w:t>
            </w:r>
            <w:r>
              <w:rPr>
                <w:rFonts w:hint="eastAsia" w:ascii="宋体" w:hAnsi="宋体" w:cs="宋体"/>
                <w:sz w:val="21"/>
                <w:szCs w:val="21"/>
                <w:u w:val="single"/>
                <w:lang w:val="en-US" w:eastAsia="zh-CN"/>
              </w:rPr>
              <w:t xml:space="preserve">                             </w:t>
            </w:r>
          </w:p>
          <w:p w14:paraId="65FD7AEC">
            <w:pPr>
              <w:pageBreakBefore w:val="0"/>
              <w:widowControl w:val="0"/>
              <w:kinsoku/>
              <w:wordWrap/>
              <w:overflowPunct/>
              <w:topLinePunct w:val="0"/>
              <w:autoSpaceDE/>
              <w:autoSpaceDN/>
              <w:bidi w:val="0"/>
              <w:spacing w:beforeAutospacing="0" w:afterAutospacing="0" w:line="500" w:lineRule="exact"/>
              <w:jc w:val="both"/>
              <w:textAlignment w:val="auto"/>
              <w:rPr>
                <w:rFonts w:hint="default" w:ascii="宋体" w:hAnsi="宋体" w:eastAsia="宋体" w:cs="宋体"/>
                <w:sz w:val="21"/>
                <w:szCs w:val="21"/>
                <w:u w:val="single"/>
                <w:lang w:val="en-US"/>
              </w:rPr>
            </w:pPr>
            <w:r>
              <w:rPr>
                <w:rFonts w:hint="eastAsia" w:ascii="宋体" w:hAnsi="宋体" w:eastAsia="宋体" w:cs="宋体"/>
                <w:sz w:val="21"/>
                <w:szCs w:val="21"/>
              </w:rPr>
              <w:t>包</w:t>
            </w:r>
            <w:r>
              <w:rPr>
                <w:rFonts w:hint="eastAsia" w:ascii="宋体" w:hAnsi="宋体" w:cs="宋体"/>
                <w:sz w:val="21"/>
                <w:szCs w:val="21"/>
                <w:lang w:val="en-US" w:eastAsia="zh-CN"/>
              </w:rPr>
              <w:t>号</w:t>
            </w:r>
            <w:r>
              <w:rPr>
                <w:rFonts w:hint="eastAsia" w:ascii="宋体" w:hAnsi="宋体" w:eastAsia="宋体" w:cs="宋体"/>
                <w:sz w:val="21"/>
                <w:szCs w:val="21"/>
              </w:rPr>
              <w:t>或品目名：</w:t>
            </w:r>
            <w:r>
              <w:rPr>
                <w:rFonts w:hint="eastAsia" w:ascii="宋体" w:hAnsi="宋体" w:cs="宋体"/>
                <w:b/>
                <w:bCs/>
                <w:sz w:val="21"/>
                <w:szCs w:val="21"/>
                <w:highlight w:val="none"/>
                <w:u w:val="single"/>
                <w:lang w:eastAsia="zh-CN"/>
              </w:rPr>
              <w:t>（注明包</w:t>
            </w:r>
            <w:r>
              <w:rPr>
                <w:rFonts w:hint="eastAsia" w:ascii="宋体" w:hAnsi="宋体" w:cs="宋体"/>
                <w:b/>
                <w:bCs/>
                <w:sz w:val="21"/>
                <w:szCs w:val="21"/>
                <w:highlight w:val="none"/>
                <w:u w:val="single"/>
                <w:lang w:val="en-US" w:eastAsia="zh-CN"/>
              </w:rPr>
              <w:t>1或包2</w:t>
            </w:r>
            <w:r>
              <w:rPr>
                <w:rFonts w:hint="eastAsia" w:ascii="宋体" w:hAnsi="宋体" w:cs="宋体"/>
                <w:b/>
                <w:bCs/>
                <w:sz w:val="21"/>
                <w:szCs w:val="21"/>
                <w:highlight w:val="none"/>
                <w:u w:val="single"/>
                <w:lang w:eastAsia="zh-CN"/>
              </w:rPr>
              <w:t>）</w:t>
            </w:r>
            <w:r>
              <w:rPr>
                <w:rFonts w:hint="eastAsia" w:ascii="宋体" w:hAnsi="宋体" w:cs="宋体"/>
                <w:b/>
                <w:bCs/>
                <w:sz w:val="21"/>
                <w:szCs w:val="21"/>
                <w:highlight w:val="none"/>
                <w:u w:val="single"/>
                <w:lang w:val="en-US" w:eastAsia="zh-CN"/>
              </w:rPr>
              <w:t xml:space="preserve">            </w:t>
            </w:r>
          </w:p>
          <w:p w14:paraId="39FCF056">
            <w:pPr>
              <w:pageBreakBefore w:val="0"/>
              <w:widowControl w:val="0"/>
              <w:kinsoku/>
              <w:wordWrap/>
              <w:overflowPunct/>
              <w:topLinePunct w:val="0"/>
              <w:autoSpaceDE/>
              <w:autoSpaceDN/>
              <w:bidi w:val="0"/>
              <w:spacing w:beforeAutospacing="0" w:afterAutospacing="0" w:line="500" w:lineRule="exact"/>
              <w:textAlignment w:val="auto"/>
              <w:rPr>
                <w:rFonts w:hint="default" w:ascii="宋体" w:hAnsi="宋体" w:eastAsia="宋体" w:cs="宋体"/>
                <w:sz w:val="21"/>
                <w:szCs w:val="21"/>
                <w:u w:val="single"/>
                <w:lang w:val="en-US" w:eastAsia="zh-CN"/>
              </w:rPr>
            </w:pPr>
            <w:r>
              <w:rPr>
                <w:rFonts w:hint="eastAsia" w:ascii="宋体" w:hAnsi="宋体" w:eastAsia="宋体" w:cs="宋体"/>
                <w:sz w:val="21"/>
                <w:szCs w:val="21"/>
              </w:rPr>
              <w:t>投标人名称：</w:t>
            </w:r>
            <w:r>
              <w:rPr>
                <w:rFonts w:hint="eastAsia" w:ascii="宋体" w:hAnsi="宋体" w:cs="宋体"/>
                <w:sz w:val="21"/>
                <w:szCs w:val="21"/>
                <w:u w:val="single"/>
                <w:lang w:val="en-US" w:eastAsia="zh-CN"/>
              </w:rPr>
              <w:t xml:space="preserve">                               </w:t>
            </w:r>
          </w:p>
          <w:p w14:paraId="28F15B3A">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投标人地址</w:t>
            </w:r>
            <w:r>
              <w:rPr>
                <w:rFonts w:hint="eastAsia" w:ascii="宋体" w:hAnsi="宋体" w:cs="宋体"/>
                <w:sz w:val="21"/>
                <w:szCs w:val="21"/>
                <w:lang w:eastAsia="zh-CN"/>
              </w:rPr>
              <w:t>：</w:t>
            </w:r>
            <w:r>
              <w:rPr>
                <w:rFonts w:hint="eastAsia" w:ascii="宋体" w:hAnsi="宋体" w:cs="宋体"/>
                <w:sz w:val="21"/>
                <w:szCs w:val="21"/>
                <w:u w:val="single"/>
                <w:lang w:val="en-US" w:eastAsia="zh-CN"/>
              </w:rPr>
              <w:t xml:space="preserve">                               </w:t>
            </w:r>
          </w:p>
          <w:p w14:paraId="487B187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在 </w:t>
            </w:r>
            <w:r>
              <w:rPr>
                <w:rFonts w:hint="eastAsia" w:ascii="宋体" w:hAnsi="宋体" w:eastAsia="宋体" w:cs="宋体"/>
                <w:sz w:val="21"/>
                <w:szCs w:val="21"/>
                <w:lang w:val="en-US" w:eastAsia="zh-CN"/>
              </w:rPr>
              <w:t>202</w:t>
            </w:r>
            <w:r>
              <w:rPr>
                <w:rFonts w:hint="eastAsia" w:ascii="宋体" w:hAnsi="宋体" w:cs="宋体"/>
                <w:sz w:val="21"/>
                <w:szCs w:val="21"/>
                <w:lang w:val="en-US" w:eastAsia="zh-CN"/>
              </w:rPr>
              <w:t>6</w:t>
            </w:r>
            <w:r>
              <w:rPr>
                <w:rFonts w:hint="eastAsia" w:ascii="宋体" w:hAnsi="宋体" w:eastAsia="宋体" w:cs="宋体"/>
                <w:sz w:val="21"/>
                <w:szCs w:val="21"/>
              </w:rPr>
              <w:t xml:space="preserve"> 年 </w:t>
            </w:r>
            <w:r>
              <w:rPr>
                <w:rFonts w:hint="eastAsia" w:ascii="宋体" w:hAnsi="宋体" w:cs="宋体"/>
                <w:sz w:val="21"/>
                <w:szCs w:val="21"/>
                <w:lang w:val="en-US" w:eastAsia="zh-CN"/>
              </w:rPr>
              <w:t xml:space="preserve">9  </w:t>
            </w:r>
            <w:r>
              <w:rPr>
                <w:rFonts w:hint="eastAsia" w:ascii="宋体" w:hAnsi="宋体" w:eastAsia="宋体" w:cs="宋体"/>
                <w:sz w:val="21"/>
                <w:szCs w:val="21"/>
              </w:rPr>
              <w:t xml:space="preserve">月 </w:t>
            </w:r>
            <w:r>
              <w:rPr>
                <w:rFonts w:hint="eastAsia" w:ascii="宋体" w:hAnsi="宋体" w:cs="宋体"/>
                <w:sz w:val="21"/>
                <w:szCs w:val="21"/>
                <w:lang w:val="en-US" w:eastAsia="zh-CN"/>
              </w:rPr>
              <w:t xml:space="preserve">7  </w:t>
            </w:r>
            <w:r>
              <w:rPr>
                <w:rFonts w:hint="eastAsia" w:ascii="宋体" w:hAnsi="宋体" w:eastAsia="宋体" w:cs="宋体"/>
                <w:sz w:val="21"/>
                <w:szCs w:val="21"/>
              </w:rPr>
              <w:t xml:space="preserve">日 </w:t>
            </w:r>
            <w:r>
              <w:rPr>
                <w:rFonts w:hint="eastAsia" w:ascii="宋体" w:hAnsi="宋体" w:cs="宋体"/>
                <w:sz w:val="21"/>
                <w:szCs w:val="21"/>
                <w:lang w:val="en-US" w:eastAsia="zh-CN"/>
              </w:rPr>
              <w:t>9</w:t>
            </w:r>
            <w:r>
              <w:rPr>
                <w:rFonts w:hint="eastAsia" w:ascii="宋体" w:hAnsi="宋体" w:eastAsia="宋体" w:cs="宋体"/>
                <w:sz w:val="21"/>
                <w:szCs w:val="21"/>
              </w:rPr>
              <w:t xml:space="preserve"> 时 </w:t>
            </w:r>
            <w:r>
              <w:rPr>
                <w:rFonts w:hint="eastAsia" w:ascii="宋体" w:hAnsi="宋体" w:cs="宋体"/>
                <w:sz w:val="21"/>
                <w:szCs w:val="21"/>
                <w:lang w:val="en-US" w:eastAsia="zh-CN"/>
              </w:rPr>
              <w:t>30</w:t>
            </w:r>
            <w:r>
              <w:rPr>
                <w:rFonts w:hint="eastAsia" w:ascii="宋体" w:hAnsi="宋体" w:eastAsia="宋体" w:cs="宋体"/>
                <w:sz w:val="21"/>
                <w:szCs w:val="21"/>
              </w:rPr>
              <w:t xml:space="preserve"> 分之前不得启封</w:t>
            </w:r>
          </w:p>
        </w:tc>
      </w:tr>
      <w:tr w14:paraId="2EFF37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29" w:hRule="atLeast"/>
          <w:jc w:val="center"/>
        </w:trPr>
        <w:tc>
          <w:tcPr>
            <w:tcW w:w="1258" w:type="dxa"/>
            <w:vAlign w:val="center"/>
          </w:tcPr>
          <w:p w14:paraId="62C67CB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58D4332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第24.1款</w:t>
            </w:r>
          </w:p>
        </w:tc>
        <w:tc>
          <w:tcPr>
            <w:tcW w:w="2184" w:type="dxa"/>
            <w:vAlign w:val="center"/>
          </w:tcPr>
          <w:p w14:paraId="2AAF41F8">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响应文件的递交地点</w:t>
            </w:r>
          </w:p>
        </w:tc>
        <w:tc>
          <w:tcPr>
            <w:tcW w:w="7080" w:type="dxa"/>
            <w:vAlign w:val="center"/>
          </w:tcPr>
          <w:p w14:paraId="3ACFD4B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湖南省岳阳市华容县章华镇田家湖生态新区杏花村西路024号101室。</w:t>
            </w:r>
          </w:p>
        </w:tc>
      </w:tr>
      <w:tr w14:paraId="6F5EE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0522" w:type="dxa"/>
            <w:gridSpan w:val="3"/>
            <w:vAlign w:val="center"/>
          </w:tcPr>
          <w:p w14:paraId="35B212CA">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五、响应文件的磋商与评审</w:t>
            </w:r>
          </w:p>
        </w:tc>
      </w:tr>
      <w:tr w14:paraId="77CE2C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1A54A253">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1AEA453">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第31.2款</w:t>
            </w:r>
          </w:p>
        </w:tc>
        <w:tc>
          <w:tcPr>
            <w:tcW w:w="2184" w:type="dxa"/>
            <w:vAlign w:val="center"/>
          </w:tcPr>
          <w:p w14:paraId="21F205B0">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评审因素和标准</w:t>
            </w:r>
          </w:p>
        </w:tc>
        <w:tc>
          <w:tcPr>
            <w:tcW w:w="7080" w:type="dxa"/>
            <w:vAlign w:val="center"/>
          </w:tcPr>
          <w:p w14:paraId="75BF7039">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详</w:t>
            </w:r>
            <w:r>
              <w:rPr>
                <w:rFonts w:hint="eastAsia" w:ascii="宋体" w:hAnsi="宋体" w:eastAsia="宋体" w:cs="宋体"/>
                <w:sz w:val="21"/>
                <w:szCs w:val="21"/>
              </w:rPr>
              <w:t>见第三章评审因素及评分标准附表</w:t>
            </w:r>
          </w:p>
        </w:tc>
      </w:tr>
      <w:tr w14:paraId="0D6D96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78DD267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A8E5591">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第31.3款</w:t>
            </w:r>
          </w:p>
        </w:tc>
        <w:tc>
          <w:tcPr>
            <w:tcW w:w="2184" w:type="dxa"/>
            <w:vAlign w:val="center"/>
          </w:tcPr>
          <w:p w14:paraId="5CE6FCE1">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最后报价调整</w:t>
            </w:r>
          </w:p>
        </w:tc>
        <w:tc>
          <w:tcPr>
            <w:tcW w:w="7080" w:type="dxa"/>
            <w:vAlign w:val="center"/>
          </w:tcPr>
          <w:p w14:paraId="4C730FA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政府采购支持中小企业发展（货物类供应商和产品制造商应同时满足中小微企业的条件）：小型或微型企业，最后报价扣除比例为/％；联合体参与磋商的，最后报价扣除比例为/%。评审时，用扣除后的最后报价计算价格分。</w:t>
            </w:r>
          </w:p>
        </w:tc>
      </w:tr>
      <w:tr w14:paraId="157A54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7F8B22D8">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8F3F8AA">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第31.5款</w:t>
            </w:r>
          </w:p>
        </w:tc>
        <w:tc>
          <w:tcPr>
            <w:tcW w:w="2184" w:type="dxa"/>
            <w:vAlign w:val="center"/>
          </w:tcPr>
          <w:p w14:paraId="5E91D58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技术、商务、价格得分或总得分调整</w:t>
            </w:r>
          </w:p>
        </w:tc>
        <w:tc>
          <w:tcPr>
            <w:tcW w:w="7080" w:type="dxa"/>
            <w:vAlign w:val="center"/>
          </w:tcPr>
          <w:p w14:paraId="004E299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符合第二章第9.1款规定，按第二章第31.6款规定及本款分值调整：</w:t>
            </w:r>
          </w:p>
          <w:p w14:paraId="5AFA0C79">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节能产品：</w:t>
            </w:r>
          </w:p>
          <w:p w14:paraId="0643EF4A">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技术加分＝技术分值× 加分比例（比例见前附表</w:t>
            </w:r>
            <w:r>
              <w:rPr>
                <w:rFonts w:hint="eastAsia" w:ascii="宋体" w:hAnsi="宋体" w:eastAsia="宋体" w:cs="宋体"/>
                <w:sz w:val="21"/>
                <w:szCs w:val="21"/>
                <w:lang w:eastAsia="zh-CN"/>
              </w:rPr>
              <w:t>第二</w:t>
            </w:r>
            <w:r>
              <w:rPr>
                <w:rFonts w:hint="eastAsia" w:ascii="宋体" w:hAnsi="宋体" w:eastAsia="宋体" w:cs="宋体"/>
                <w:sz w:val="21"/>
                <w:szCs w:val="21"/>
                <w:lang w:val="en-US" w:eastAsia="zh-CN"/>
              </w:rPr>
              <w:t>章9.2款</w:t>
            </w:r>
            <w:r>
              <w:rPr>
                <w:rFonts w:hint="eastAsia" w:ascii="宋体" w:hAnsi="宋体" w:eastAsia="宋体" w:cs="宋体"/>
                <w:sz w:val="21"/>
                <w:szCs w:val="21"/>
              </w:rPr>
              <w:t>,下同）×（节能产品最后报价÷最后总报价）；</w:t>
            </w:r>
          </w:p>
          <w:p w14:paraId="79784CF3">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价格加分＝价格分值×加分比例×（节能产品最后报价÷最后总报价）。</w:t>
            </w:r>
          </w:p>
          <w:p w14:paraId="1F79BCF6">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5913FEE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技术加分＝技术分值× 加分比例×（环境标志产品最后报价÷最后总报价）；</w:t>
            </w:r>
          </w:p>
          <w:p w14:paraId="165E649F">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价格加分＝价格分值×加分比例×（环境标志产品最后报价÷最后总报价）。</w:t>
            </w:r>
          </w:p>
          <w:p w14:paraId="07164904">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3、两型产品：</w:t>
            </w:r>
          </w:p>
          <w:p w14:paraId="640F6810">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商务加分＝商务分值×加分比例×（两型产品最后报价÷最后总报价）；</w:t>
            </w:r>
          </w:p>
          <w:p w14:paraId="28CE236E">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技术加分＝技术分值×加分比例×（两型产品最后报价÷最后总报价）；</w:t>
            </w:r>
          </w:p>
          <w:p w14:paraId="28244C99">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价格加分＝价格分值×加分比例×（两型产品最后报价÷最后总报价）。</w:t>
            </w:r>
          </w:p>
        </w:tc>
      </w:tr>
      <w:tr w14:paraId="449D5E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578F3845">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EEEC983">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第31.6款</w:t>
            </w:r>
          </w:p>
        </w:tc>
        <w:tc>
          <w:tcPr>
            <w:tcW w:w="2184" w:type="dxa"/>
            <w:vAlign w:val="center"/>
          </w:tcPr>
          <w:p w14:paraId="46D76734">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多处或部分获得政府采购政策优惠的计算方法</w:t>
            </w:r>
          </w:p>
        </w:tc>
        <w:tc>
          <w:tcPr>
            <w:tcW w:w="7080" w:type="dxa"/>
            <w:vAlign w:val="center"/>
          </w:tcPr>
          <w:p w14:paraId="4C29271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1、符合政府采购优先采购政策的，产品只能享受节能产品、环境标志产品、两型产品等产品优惠中的一项(由供应商在响应文件中选择并填报政策功能编码，评审时进行加分) 。</w:t>
            </w:r>
          </w:p>
          <w:p w14:paraId="7AEC3E5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2、供应商享受支持中小企业发展政策优惠的，可以与同时享受节能产品、环境标志产品、两型产品等产品优惠中的一项累加。</w:t>
            </w:r>
          </w:p>
          <w:p w14:paraId="77430364">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3、同一项目中部分产品属于优先采购政策的，评审时只对该部分产品的报价实行价格扣除或加分（按该部分产品的报价占总报价的百分比调整）。</w:t>
            </w:r>
          </w:p>
        </w:tc>
      </w:tr>
      <w:tr w14:paraId="19A181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0522" w:type="dxa"/>
            <w:gridSpan w:val="3"/>
            <w:vAlign w:val="center"/>
          </w:tcPr>
          <w:p w14:paraId="615BFB05">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六、成交结果信息公布与授予合同</w:t>
            </w:r>
          </w:p>
        </w:tc>
      </w:tr>
      <w:tr w14:paraId="777049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3C91A737">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CFBE6A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第37.1款</w:t>
            </w:r>
          </w:p>
        </w:tc>
        <w:tc>
          <w:tcPr>
            <w:tcW w:w="2184" w:type="dxa"/>
            <w:vAlign w:val="center"/>
          </w:tcPr>
          <w:p w14:paraId="295F3A55">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公告发布媒体</w:t>
            </w:r>
          </w:p>
        </w:tc>
        <w:tc>
          <w:tcPr>
            <w:tcW w:w="7080" w:type="dxa"/>
            <w:vAlign w:val="center"/>
          </w:tcPr>
          <w:p w14:paraId="2C57511C">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湖南</w:t>
            </w:r>
            <w:r>
              <w:rPr>
                <w:rFonts w:hint="eastAsia" w:ascii="宋体" w:hAnsi="宋体" w:eastAsia="宋体" w:cs="宋体"/>
                <w:sz w:val="21"/>
                <w:szCs w:val="21"/>
                <w:lang w:eastAsia="zh-CN"/>
              </w:rPr>
              <w:t>省</w:t>
            </w:r>
            <w:r>
              <w:rPr>
                <w:rFonts w:hint="eastAsia" w:ascii="宋体" w:hAnsi="宋体" w:eastAsia="宋体" w:cs="宋体"/>
                <w:sz w:val="21"/>
                <w:szCs w:val="21"/>
              </w:rPr>
              <w:t>政府采购网</w:t>
            </w:r>
          </w:p>
          <w:p w14:paraId="41BE0DC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"http://www.ccgp-hunan.gov.cn/"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http://www.ccgp-hunan.gov.cn/</w:t>
            </w:r>
            <w:r>
              <w:rPr>
                <w:rFonts w:hint="eastAsia" w:ascii="宋体" w:hAnsi="宋体" w:eastAsia="宋体" w:cs="宋体"/>
                <w:sz w:val="21"/>
                <w:szCs w:val="21"/>
              </w:rPr>
              <w:fldChar w:fldCharType="end"/>
            </w:r>
          </w:p>
        </w:tc>
      </w:tr>
      <w:tr w14:paraId="7C5C0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45564486">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E59CDEF">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第39.3款</w:t>
            </w:r>
          </w:p>
        </w:tc>
        <w:tc>
          <w:tcPr>
            <w:tcW w:w="2184" w:type="dxa"/>
            <w:vAlign w:val="center"/>
          </w:tcPr>
          <w:p w14:paraId="031896B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履约担保</w:t>
            </w:r>
          </w:p>
        </w:tc>
        <w:tc>
          <w:tcPr>
            <w:tcW w:w="7080" w:type="dxa"/>
            <w:vAlign w:val="center"/>
          </w:tcPr>
          <w:p w14:paraId="57CBC2FD">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 不要求提供</w:t>
            </w:r>
          </w:p>
          <w:p w14:paraId="1D579C1A">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 要求提供，履约担保的金额为：</w:t>
            </w:r>
          </w:p>
        </w:tc>
      </w:tr>
      <w:tr w14:paraId="16E9BB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0522" w:type="dxa"/>
            <w:gridSpan w:val="3"/>
            <w:vAlign w:val="center"/>
          </w:tcPr>
          <w:p w14:paraId="3FB0516E">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七、其他规定</w:t>
            </w:r>
          </w:p>
        </w:tc>
      </w:tr>
      <w:tr w14:paraId="2DE384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51C761D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5384EE5D">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第4</w:t>
            </w:r>
            <w:r>
              <w:rPr>
                <w:rFonts w:hint="eastAsia" w:ascii="宋体" w:hAnsi="宋体" w:cs="宋体"/>
                <w:sz w:val="21"/>
                <w:szCs w:val="21"/>
                <w:lang w:val="en-US"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rPr>
              <w:t>款</w:t>
            </w:r>
          </w:p>
        </w:tc>
        <w:tc>
          <w:tcPr>
            <w:tcW w:w="2184" w:type="dxa"/>
            <w:vAlign w:val="center"/>
          </w:tcPr>
          <w:p w14:paraId="2217D075">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采购代理服务费</w:t>
            </w:r>
          </w:p>
        </w:tc>
        <w:tc>
          <w:tcPr>
            <w:tcW w:w="7080" w:type="dxa"/>
            <w:vAlign w:val="center"/>
          </w:tcPr>
          <w:p w14:paraId="50E1CF32">
            <w:pPr>
              <w:pageBreakBefore w:val="0"/>
              <w:widowControl w:val="0"/>
              <w:kinsoku/>
              <w:wordWrap/>
              <w:overflowPunct/>
              <w:topLinePunct w:val="0"/>
              <w:autoSpaceDE/>
              <w:autoSpaceDN/>
              <w:bidi w:val="0"/>
              <w:spacing w:beforeAutospacing="0" w:afterAutospacing="0" w:line="500" w:lineRule="exact"/>
              <w:textAlignment w:val="auto"/>
              <w:rPr>
                <w:rFonts w:hint="default" w:ascii="宋体" w:hAnsi="宋体" w:eastAsia="宋体" w:cs="宋体"/>
                <w:sz w:val="21"/>
                <w:szCs w:val="21"/>
                <w:lang w:val="en-US"/>
              </w:rPr>
            </w:pPr>
            <w:r>
              <w:rPr>
                <w:rFonts w:hint="eastAsia" w:ascii="宋体" w:hAnsi="宋体" w:eastAsia="宋体" w:cs="宋体"/>
                <w:sz w:val="21"/>
                <w:szCs w:val="21"/>
              </w:rPr>
              <w:t>（1）代理服务费</w:t>
            </w:r>
            <w:r>
              <w:rPr>
                <w:rFonts w:hint="eastAsia" w:ascii="宋体" w:hAnsi="宋体" w:cs="宋体"/>
                <w:sz w:val="21"/>
                <w:szCs w:val="21"/>
                <w:lang w:val="en-US" w:eastAsia="zh-CN"/>
              </w:rPr>
              <w:t>双方协商确定，采购人支付。</w:t>
            </w:r>
          </w:p>
          <w:p w14:paraId="0662836B">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（2）代理服务费的支付时间：领取</w:t>
            </w:r>
            <w:r>
              <w:rPr>
                <w:rFonts w:hint="eastAsia" w:ascii="宋体" w:hAnsi="宋体" w:eastAsia="宋体" w:cs="宋体"/>
                <w:sz w:val="21"/>
                <w:szCs w:val="21"/>
                <w:lang w:val="en-US" w:eastAsia="zh-CN"/>
              </w:rPr>
              <w:t>成交</w:t>
            </w:r>
            <w:r>
              <w:rPr>
                <w:rFonts w:hint="eastAsia" w:ascii="宋体" w:hAnsi="宋体" w:eastAsia="宋体" w:cs="宋体"/>
                <w:sz w:val="21"/>
                <w:szCs w:val="21"/>
              </w:rPr>
              <w:t>通知书前。</w:t>
            </w:r>
          </w:p>
        </w:tc>
      </w:tr>
      <w:tr w14:paraId="6C2C98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65" w:hRule="atLeast"/>
          <w:jc w:val="center"/>
        </w:trPr>
        <w:tc>
          <w:tcPr>
            <w:tcW w:w="1258" w:type="dxa"/>
            <w:vAlign w:val="center"/>
          </w:tcPr>
          <w:p w14:paraId="66175383">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第二</w:t>
            </w:r>
          </w:p>
          <w:p w14:paraId="1D625C0E">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第4</w:t>
            </w:r>
            <w:r>
              <w:rPr>
                <w:rFonts w:hint="eastAsia" w:ascii="宋体" w:hAnsi="宋体" w:cs="宋体"/>
                <w:sz w:val="21"/>
                <w:szCs w:val="21"/>
                <w:lang w:val="en-US" w:eastAsia="zh-CN"/>
              </w:rPr>
              <w:t>2</w:t>
            </w:r>
            <w:r>
              <w:rPr>
                <w:rFonts w:hint="eastAsia" w:ascii="宋体" w:hAnsi="宋体" w:eastAsia="宋体" w:cs="宋体"/>
                <w:sz w:val="21"/>
                <w:szCs w:val="21"/>
              </w:rPr>
              <w:t>款</w:t>
            </w:r>
          </w:p>
        </w:tc>
        <w:tc>
          <w:tcPr>
            <w:tcW w:w="2184" w:type="dxa"/>
            <w:vAlign w:val="center"/>
          </w:tcPr>
          <w:p w14:paraId="61691896">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其他规定</w:t>
            </w:r>
          </w:p>
        </w:tc>
        <w:tc>
          <w:tcPr>
            <w:tcW w:w="7080" w:type="dxa"/>
            <w:vAlign w:val="center"/>
          </w:tcPr>
          <w:p w14:paraId="59C21B12">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A489A40">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信用信息查询的渠道：投标人在“信用中国”网站（www.creditchina.gov.cn）未列入失信被执行人和重大税收违法案件当事人名单和“中国政府采购网”（www.ccgp.gov.cn）未列入政府采购严重违法失信行为记录名单等被禁止投标记录</w:t>
            </w:r>
          </w:p>
          <w:p w14:paraId="4AEDE899">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（2）信用信息查询的截止时间：本项目投标截止时间止。</w:t>
            </w:r>
          </w:p>
          <w:p w14:paraId="60BE7855">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（3）信用信息记录查询的具体方式：采购人或采购代理机构在开标后在规定的查询渠道进行查询。</w:t>
            </w:r>
          </w:p>
          <w:p w14:paraId="76A25784">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信用信息记录查询证据留存的具体方式：查询记录的网上打印件。</w:t>
            </w:r>
          </w:p>
          <w:p w14:paraId="32DDE639">
            <w:pPr>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 xml:space="preserve"> (4)信用信息的使用规则：查询后交由评标委员会评定。</w:t>
            </w:r>
          </w:p>
        </w:tc>
      </w:tr>
    </w:tbl>
    <w:p w14:paraId="4FA688B7">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outlineLvl w:val="1"/>
        <w:rPr>
          <w:rFonts w:hint="eastAsia" w:ascii="宋体" w:hAnsi="宋体" w:eastAsia="宋体" w:cs="宋体"/>
          <w:b/>
          <w:sz w:val="21"/>
          <w:szCs w:val="21"/>
        </w:rPr>
      </w:pPr>
      <w:bookmarkStart w:id="6" w:name="_Toc18673"/>
    </w:p>
    <w:p w14:paraId="61AC731D">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outlineLvl w:val="1"/>
        <w:rPr>
          <w:rFonts w:hint="eastAsia" w:ascii="宋体" w:hAnsi="宋体" w:eastAsia="宋体" w:cs="宋体"/>
          <w:b/>
          <w:sz w:val="32"/>
          <w:szCs w:val="32"/>
        </w:rPr>
      </w:pPr>
    </w:p>
    <w:p w14:paraId="7E8CEAF9">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outlineLvl w:val="1"/>
        <w:rPr>
          <w:rFonts w:hint="eastAsia" w:ascii="宋体" w:hAnsi="宋体" w:eastAsia="宋体" w:cs="宋体"/>
          <w:b/>
          <w:sz w:val="32"/>
          <w:szCs w:val="32"/>
        </w:rPr>
      </w:pPr>
    </w:p>
    <w:p w14:paraId="57145F4F">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outlineLvl w:val="1"/>
        <w:rPr>
          <w:rFonts w:hint="eastAsia" w:ascii="宋体" w:hAnsi="宋体" w:eastAsia="宋体" w:cs="宋体"/>
          <w:b/>
          <w:sz w:val="32"/>
          <w:szCs w:val="32"/>
        </w:rPr>
      </w:pPr>
    </w:p>
    <w:p w14:paraId="17EB5BB5">
      <w:pPr>
        <w:keepNext w:val="0"/>
        <w:keepLines w:val="0"/>
        <w:pageBreakBefore w:val="0"/>
        <w:kinsoku/>
        <w:wordWrap/>
        <w:overflowPunct/>
        <w:topLinePunct w:val="0"/>
        <w:autoSpaceDE/>
        <w:autoSpaceDN/>
        <w:bidi w:val="0"/>
        <w:adjustRightInd w:val="0"/>
        <w:snapToGrid w:val="0"/>
        <w:spacing w:beforeAutospacing="0" w:afterAutospacing="0" w:line="500" w:lineRule="exact"/>
        <w:jc w:val="both"/>
        <w:textAlignment w:val="auto"/>
        <w:outlineLvl w:val="1"/>
        <w:rPr>
          <w:rFonts w:hint="eastAsia" w:ascii="宋体" w:hAnsi="宋体" w:eastAsia="宋体" w:cs="宋体"/>
          <w:b/>
          <w:sz w:val="32"/>
          <w:szCs w:val="32"/>
        </w:rPr>
      </w:pPr>
    </w:p>
    <w:p w14:paraId="674CFA79">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outlineLvl w:val="1"/>
        <w:rPr>
          <w:rFonts w:hint="eastAsia" w:ascii="宋体" w:hAnsi="宋体" w:eastAsia="宋体" w:cs="宋体"/>
          <w:b/>
          <w:sz w:val="32"/>
          <w:szCs w:val="32"/>
        </w:rPr>
      </w:pPr>
    </w:p>
    <w:p w14:paraId="34B45627">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outlineLvl w:val="1"/>
        <w:rPr>
          <w:rFonts w:hint="eastAsia" w:ascii="宋体" w:hAnsi="宋体" w:eastAsia="宋体" w:cs="宋体"/>
          <w:b/>
          <w:sz w:val="32"/>
          <w:szCs w:val="32"/>
        </w:rPr>
      </w:pPr>
    </w:p>
    <w:p w14:paraId="579811D3">
      <w:pPr>
        <w:keepNext w:val="0"/>
        <w:keepLines w:val="0"/>
        <w:pageBreakBefore w:val="0"/>
        <w:kinsoku/>
        <w:wordWrap/>
        <w:overflowPunct/>
        <w:topLinePunct w:val="0"/>
        <w:autoSpaceDE/>
        <w:autoSpaceDN/>
        <w:bidi w:val="0"/>
        <w:adjustRightInd w:val="0"/>
        <w:snapToGrid w:val="0"/>
        <w:spacing w:beforeAutospacing="0" w:afterAutospacing="0" w:line="500" w:lineRule="exact"/>
        <w:jc w:val="both"/>
        <w:textAlignment w:val="auto"/>
        <w:outlineLvl w:val="1"/>
        <w:rPr>
          <w:rFonts w:hint="eastAsia" w:ascii="宋体" w:hAnsi="宋体" w:eastAsia="宋体" w:cs="宋体"/>
          <w:b/>
          <w:sz w:val="32"/>
          <w:szCs w:val="32"/>
        </w:rPr>
      </w:pPr>
    </w:p>
    <w:p w14:paraId="1F105058">
      <w:pPr>
        <w:pStyle w:val="43"/>
        <w:rPr>
          <w:rFonts w:hint="eastAsia" w:ascii="宋体" w:hAnsi="宋体" w:eastAsia="宋体" w:cs="宋体"/>
          <w:b/>
          <w:sz w:val="32"/>
          <w:szCs w:val="32"/>
        </w:rPr>
      </w:pPr>
    </w:p>
    <w:p w14:paraId="1A19CD04">
      <w:pPr>
        <w:pStyle w:val="43"/>
        <w:rPr>
          <w:rFonts w:hint="eastAsia" w:ascii="宋体" w:hAnsi="宋体" w:eastAsia="宋体" w:cs="宋体"/>
          <w:b/>
          <w:sz w:val="32"/>
          <w:szCs w:val="32"/>
        </w:rPr>
      </w:pPr>
    </w:p>
    <w:p w14:paraId="18A91198">
      <w:pPr>
        <w:keepNext w:val="0"/>
        <w:keepLines w:val="0"/>
        <w:pageBreakBefore w:val="0"/>
        <w:kinsoku/>
        <w:wordWrap/>
        <w:overflowPunct/>
        <w:topLinePunct w:val="0"/>
        <w:autoSpaceDE/>
        <w:autoSpaceDN/>
        <w:bidi w:val="0"/>
        <w:adjustRightInd w:val="0"/>
        <w:snapToGrid w:val="0"/>
        <w:spacing w:beforeAutospacing="0" w:afterAutospacing="0" w:line="500" w:lineRule="exact"/>
        <w:jc w:val="both"/>
        <w:textAlignment w:val="auto"/>
        <w:outlineLvl w:val="1"/>
        <w:rPr>
          <w:rFonts w:hint="eastAsia" w:ascii="宋体" w:hAnsi="宋体" w:eastAsia="宋体" w:cs="宋体"/>
          <w:b/>
          <w:sz w:val="32"/>
          <w:szCs w:val="32"/>
        </w:rPr>
      </w:pPr>
    </w:p>
    <w:p w14:paraId="13B8BD47">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outlineLvl w:val="1"/>
        <w:rPr>
          <w:rFonts w:hint="eastAsia" w:ascii="宋体" w:hAnsi="宋体" w:eastAsia="宋体" w:cs="宋体"/>
          <w:b/>
          <w:sz w:val="32"/>
          <w:szCs w:val="32"/>
        </w:rPr>
      </w:pPr>
      <w:r>
        <w:rPr>
          <w:rFonts w:hint="eastAsia" w:ascii="宋体" w:hAnsi="宋体" w:eastAsia="宋体" w:cs="宋体"/>
          <w:b/>
          <w:sz w:val="32"/>
          <w:szCs w:val="32"/>
        </w:rPr>
        <w:t>磋商须知正文</w:t>
      </w:r>
    </w:p>
    <w:p w14:paraId="0E64CC41">
      <w:pPr>
        <w:keepNext w:val="0"/>
        <w:keepLines w:val="0"/>
        <w:pageBreakBefore w:val="0"/>
        <w:kinsoku/>
        <w:wordWrap/>
        <w:overflowPunct/>
        <w:topLinePunct w:val="0"/>
        <w:autoSpaceDE/>
        <w:autoSpaceDN/>
        <w:bidi w:val="0"/>
        <w:adjustRightInd w:val="0"/>
        <w:snapToGrid w:val="0"/>
        <w:spacing w:beforeAutospacing="0" w:afterAutospacing="0" w:line="520" w:lineRule="exact"/>
        <w:textAlignment w:val="auto"/>
        <w:outlineLvl w:val="1"/>
        <w:rPr>
          <w:rFonts w:hint="eastAsia" w:ascii="宋体" w:hAnsi="宋体" w:eastAsia="宋体" w:cs="宋体"/>
          <w:b/>
          <w:sz w:val="21"/>
          <w:szCs w:val="21"/>
        </w:rPr>
      </w:pPr>
      <w:r>
        <w:rPr>
          <w:rFonts w:hint="eastAsia" w:ascii="宋体" w:hAnsi="宋体" w:eastAsia="宋体" w:cs="宋体"/>
          <w:b/>
          <w:sz w:val="21"/>
          <w:szCs w:val="21"/>
        </w:rPr>
        <w:t>一、说明</w:t>
      </w:r>
    </w:p>
    <w:p w14:paraId="1E3F24AD">
      <w:pPr>
        <w:keepNext w:val="0"/>
        <w:keepLines w:val="0"/>
        <w:pageBreakBefore w:val="0"/>
        <w:kinsoku/>
        <w:wordWrap/>
        <w:overflowPunct/>
        <w:topLinePunct w:val="0"/>
        <w:autoSpaceDE/>
        <w:autoSpaceDN/>
        <w:bidi w:val="0"/>
        <w:adjustRightInd w:val="0"/>
        <w:snapToGrid w:val="0"/>
        <w:spacing w:beforeAutospacing="0" w:afterAutospacing="0" w:line="520" w:lineRule="exact"/>
        <w:textAlignment w:val="auto"/>
        <w:outlineLvl w:val="2"/>
        <w:rPr>
          <w:rFonts w:hint="eastAsia" w:ascii="宋体" w:hAnsi="宋体" w:eastAsia="宋体" w:cs="宋体"/>
          <w:b/>
          <w:bCs/>
          <w:sz w:val="21"/>
          <w:szCs w:val="21"/>
        </w:rPr>
      </w:pPr>
      <w:r>
        <w:rPr>
          <w:rFonts w:hint="eastAsia" w:ascii="宋体" w:hAnsi="宋体" w:eastAsia="宋体" w:cs="宋体"/>
          <w:b/>
          <w:bCs/>
          <w:sz w:val="21"/>
          <w:szCs w:val="21"/>
        </w:rPr>
        <w:t>1.适用范围</w:t>
      </w:r>
    </w:p>
    <w:p w14:paraId="133CC627">
      <w:pPr>
        <w:keepNext w:val="0"/>
        <w:keepLines w:val="0"/>
        <w:pageBreakBefore w:val="0"/>
        <w:kinsoku/>
        <w:wordWrap/>
        <w:overflowPunct/>
        <w:topLinePunct w:val="0"/>
        <w:autoSpaceDE/>
        <w:autoSpaceDN/>
        <w:bidi w:val="0"/>
        <w:adjustRightInd w:val="0"/>
        <w:snapToGrid w:val="0"/>
        <w:spacing w:beforeAutospacing="0" w:afterAutospacing="0" w:line="5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1.1本磋商文件仅适用于磋商须知前附表(以下简称</w:t>
      </w:r>
      <w:r>
        <w:rPr>
          <w:rFonts w:hint="eastAsia" w:ascii="宋体" w:hAnsi="宋体" w:eastAsia="宋体" w:cs="宋体"/>
          <w:b/>
          <w:sz w:val="21"/>
          <w:szCs w:val="21"/>
        </w:rPr>
        <w:t>磋商须知前附表)</w:t>
      </w:r>
      <w:r>
        <w:rPr>
          <w:rFonts w:hint="eastAsia" w:ascii="宋体" w:hAnsi="宋体" w:eastAsia="宋体" w:cs="宋体"/>
          <w:sz w:val="21"/>
          <w:szCs w:val="21"/>
        </w:rPr>
        <w:t>中所叙述的采购项目。</w:t>
      </w:r>
    </w:p>
    <w:p w14:paraId="050D14D6">
      <w:pPr>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bCs/>
          <w:sz w:val="21"/>
          <w:szCs w:val="21"/>
        </w:rPr>
      </w:pPr>
      <w:r>
        <w:rPr>
          <w:rFonts w:hint="eastAsia" w:ascii="宋体" w:hAnsi="宋体" w:eastAsia="宋体" w:cs="宋体"/>
          <w:b/>
          <w:bCs/>
          <w:sz w:val="21"/>
          <w:szCs w:val="21"/>
        </w:rPr>
        <w:t>2.定义</w:t>
      </w:r>
    </w:p>
    <w:p w14:paraId="13403047">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sz w:val="21"/>
          <w:szCs w:val="21"/>
        </w:rPr>
      </w:pPr>
      <w:r>
        <w:rPr>
          <w:rFonts w:hint="eastAsia" w:ascii="宋体" w:hAnsi="宋体" w:eastAsia="宋体" w:cs="宋体"/>
          <w:sz w:val="21"/>
          <w:szCs w:val="21"/>
        </w:rPr>
        <w:t>2.1“采购人”是指依法进行政府采购的国家机关、事业单位、团体组织。本次政府采购的采购人名称、地址、电话、联系人见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0421DE33">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sz w:val="21"/>
          <w:szCs w:val="21"/>
        </w:rPr>
      </w:pPr>
      <w:r>
        <w:rPr>
          <w:rFonts w:hint="eastAsia" w:ascii="宋体" w:hAnsi="宋体" w:eastAsia="宋体" w:cs="宋体"/>
          <w:sz w:val="21"/>
          <w:szCs w:val="21"/>
        </w:rPr>
        <w:t>2.2“采购代理机构”是指接受采购人委托，代理采购项目的集中采购机构和其他采购代理机构。本次政府采购的采购代理机构名称、地址、电话、联系人见</w:t>
      </w:r>
      <w:r>
        <w:rPr>
          <w:rFonts w:hint="eastAsia" w:ascii="宋体" w:hAnsi="宋体" w:eastAsia="宋体" w:cs="宋体"/>
          <w:b/>
          <w:sz w:val="21"/>
          <w:szCs w:val="21"/>
        </w:rPr>
        <w:t>磋商须知前附表。</w:t>
      </w:r>
    </w:p>
    <w:p w14:paraId="22CC29B4">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kern w:val="0"/>
          <w:sz w:val="21"/>
          <w:szCs w:val="21"/>
          <w:lang w:val="en-US" w:eastAsia="zh-CN"/>
        </w:rPr>
      </w:pPr>
      <w:r>
        <w:rPr>
          <w:rFonts w:hint="eastAsia" w:ascii="宋体" w:hAnsi="宋体" w:eastAsia="宋体" w:cs="宋体"/>
          <w:sz w:val="21"/>
          <w:szCs w:val="21"/>
        </w:rPr>
        <w:t>2.3“供应商”是指响应磋商文件要求、参加竞争性磋商采购的法人、其他组织或者自然人。本次政府采购项目</w:t>
      </w:r>
      <w:r>
        <w:rPr>
          <w:rFonts w:hint="eastAsia" w:ascii="宋体" w:hAnsi="宋体" w:eastAsia="宋体" w:cs="宋体"/>
          <w:kern w:val="0"/>
          <w:sz w:val="21"/>
          <w:szCs w:val="21"/>
        </w:rPr>
        <w:t>邀请</w:t>
      </w:r>
      <w:r>
        <w:rPr>
          <w:rFonts w:hint="eastAsia" w:ascii="宋体" w:hAnsi="宋体" w:eastAsia="宋体" w:cs="宋体"/>
          <w:sz w:val="21"/>
          <w:szCs w:val="21"/>
        </w:rPr>
        <w:t>的</w:t>
      </w:r>
      <w:r>
        <w:rPr>
          <w:rFonts w:hint="eastAsia" w:ascii="宋体" w:hAnsi="宋体" w:eastAsia="宋体" w:cs="宋体"/>
          <w:kern w:val="0"/>
          <w:sz w:val="21"/>
          <w:szCs w:val="21"/>
        </w:rPr>
        <w:t>供应商通过</w:t>
      </w:r>
      <w:r>
        <w:rPr>
          <w:rFonts w:hint="eastAsia" w:ascii="宋体" w:hAnsi="宋体" w:eastAsia="宋体" w:cs="宋体"/>
          <w:b/>
          <w:sz w:val="21"/>
          <w:szCs w:val="21"/>
        </w:rPr>
        <w:t>磋商须知前附表</w:t>
      </w:r>
      <w:r>
        <w:rPr>
          <w:rFonts w:hint="eastAsia" w:ascii="宋体" w:hAnsi="宋体" w:eastAsia="宋体" w:cs="宋体"/>
          <w:sz w:val="21"/>
          <w:szCs w:val="21"/>
        </w:rPr>
        <w:t>所述方式</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邀请合格供应商，参与竞争性磋商采购活动。</w:t>
      </w:r>
    </w:p>
    <w:p w14:paraId="73A88CCA">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kern w:val="0"/>
          <w:sz w:val="21"/>
          <w:szCs w:val="21"/>
        </w:rPr>
      </w:pPr>
      <w:r>
        <w:rPr>
          <w:rFonts w:hint="eastAsia" w:ascii="宋体" w:hAnsi="宋体" w:eastAsia="宋体" w:cs="宋体"/>
          <w:sz w:val="21"/>
          <w:szCs w:val="21"/>
        </w:rPr>
        <w:t>2.4“磋商小组”是指</w:t>
      </w:r>
      <w:r>
        <w:rPr>
          <w:rFonts w:hint="eastAsia" w:ascii="宋体" w:hAnsi="宋体" w:eastAsia="宋体" w:cs="宋体"/>
          <w:kern w:val="0"/>
          <w:sz w:val="21"/>
          <w:szCs w:val="21"/>
        </w:rPr>
        <w:t>依据《中华人民共和国政府采购法》和财政部</w:t>
      </w:r>
      <w:r>
        <w:rPr>
          <w:rFonts w:hint="eastAsia" w:ascii="宋体" w:hAnsi="宋体" w:eastAsia="宋体" w:cs="宋体"/>
          <w:bCs/>
          <w:kern w:val="36"/>
          <w:sz w:val="21"/>
          <w:szCs w:val="21"/>
        </w:rPr>
        <w:t>《</w:t>
      </w:r>
      <w:r>
        <w:rPr>
          <w:rFonts w:hint="eastAsia" w:ascii="宋体" w:hAnsi="宋体" w:eastAsia="宋体" w:cs="宋体"/>
          <w:kern w:val="0"/>
          <w:sz w:val="21"/>
          <w:szCs w:val="21"/>
        </w:rPr>
        <w:t>政府采购竞争性磋商采购方式管理暂行办法</w:t>
      </w:r>
      <w:r>
        <w:rPr>
          <w:rFonts w:hint="eastAsia" w:ascii="宋体" w:hAnsi="宋体" w:eastAsia="宋体" w:cs="宋体"/>
          <w:bCs/>
          <w:kern w:val="36"/>
          <w:sz w:val="21"/>
          <w:szCs w:val="21"/>
        </w:rPr>
        <w:t>》有关规定组建，依法依规</w:t>
      </w:r>
      <w:r>
        <w:rPr>
          <w:rFonts w:hint="eastAsia" w:ascii="宋体" w:hAnsi="宋体" w:eastAsia="宋体" w:cs="宋体"/>
          <w:kern w:val="0"/>
          <w:sz w:val="21"/>
          <w:szCs w:val="21"/>
        </w:rPr>
        <w:t>履行其职责和义务的机构。</w:t>
      </w:r>
    </w:p>
    <w:p w14:paraId="4FBA5851">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2.5“货物”是指各种形态和种类的物品，包括原材料、燃料、设备、产品等，详见《政府采购品目分类目录》(</w:t>
      </w:r>
      <w:r>
        <w:rPr>
          <w:rFonts w:hint="eastAsia" w:ascii="宋体" w:hAnsi="宋体" w:eastAsia="宋体" w:cs="宋体"/>
          <w:b w:val="0"/>
          <w:sz w:val="21"/>
          <w:szCs w:val="21"/>
        </w:rPr>
        <w:t>财库[2013]189号</w:t>
      </w:r>
      <w:r>
        <w:rPr>
          <w:rFonts w:hint="eastAsia" w:ascii="宋体" w:hAnsi="宋体" w:eastAsia="宋体" w:cs="宋体"/>
          <w:sz w:val="21"/>
          <w:szCs w:val="21"/>
        </w:rPr>
        <w:t>)。</w:t>
      </w:r>
    </w:p>
    <w:p w14:paraId="6718290C">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2.6“工程”是指建设工程，包括建筑物和构筑物的新建、改建、扩建、装修、拆除、修缮等，详见《政府采购品目分类目录》(</w:t>
      </w:r>
      <w:r>
        <w:rPr>
          <w:rFonts w:hint="eastAsia" w:ascii="宋体" w:hAnsi="宋体" w:eastAsia="宋体" w:cs="宋体"/>
          <w:b w:val="0"/>
          <w:sz w:val="21"/>
          <w:szCs w:val="21"/>
        </w:rPr>
        <w:t>财库[2013]189号</w:t>
      </w:r>
      <w:r>
        <w:rPr>
          <w:rFonts w:hint="eastAsia" w:ascii="宋体" w:hAnsi="宋体" w:eastAsia="宋体" w:cs="宋体"/>
          <w:sz w:val="21"/>
          <w:szCs w:val="21"/>
        </w:rPr>
        <w:t>)。</w:t>
      </w:r>
    </w:p>
    <w:p w14:paraId="3F027062">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2.7“服务”是指除货物和工程以外的其他政府采购对象，详见《政府采购品目分类目录》(</w:t>
      </w:r>
      <w:r>
        <w:rPr>
          <w:rFonts w:hint="eastAsia" w:ascii="宋体" w:hAnsi="宋体" w:eastAsia="宋体" w:cs="宋体"/>
          <w:b w:val="0"/>
          <w:sz w:val="21"/>
          <w:szCs w:val="21"/>
        </w:rPr>
        <w:t>财库[2013]189号</w:t>
      </w:r>
      <w:r>
        <w:rPr>
          <w:rFonts w:hint="eastAsia" w:ascii="宋体" w:hAnsi="宋体" w:eastAsia="宋体" w:cs="宋体"/>
          <w:sz w:val="21"/>
          <w:szCs w:val="21"/>
        </w:rPr>
        <w:t>)。</w:t>
      </w:r>
    </w:p>
    <w:p w14:paraId="3A8AFEE0">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2.8“节能产品”或者“环保产品”是指财政部发布的《节能产品政府采购清单》或者《环境标志产品政府采购清单》的产品。</w:t>
      </w:r>
    </w:p>
    <w:p w14:paraId="33A435B1">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2.9“进口产品”是指通过中国海关报关验放进入中国境内且产自关境外的产品，详见《关于政府采购进口产品管理有关问题的通知》(财库[2007]</w:t>
      </w:r>
      <w:r>
        <w:rPr>
          <w:rFonts w:hint="eastAsia" w:ascii="宋体" w:hAnsi="宋体" w:eastAsia="宋体" w:cs="宋体"/>
          <w:kern w:val="0"/>
          <w:sz w:val="21"/>
          <w:szCs w:val="21"/>
          <w:lang w:eastAsia="zh-CN"/>
        </w:rPr>
        <w:t>10</w:t>
      </w:r>
      <w:r>
        <w:rPr>
          <w:rFonts w:hint="eastAsia" w:ascii="宋体" w:hAnsi="宋体" w:eastAsia="宋体" w:cs="宋体"/>
          <w:kern w:val="0"/>
          <w:sz w:val="21"/>
          <w:szCs w:val="21"/>
        </w:rPr>
        <w:t>9号)。</w:t>
      </w:r>
    </w:p>
    <w:p w14:paraId="15525B52">
      <w:pPr>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bCs/>
          <w:sz w:val="21"/>
          <w:szCs w:val="21"/>
        </w:rPr>
      </w:pPr>
      <w:r>
        <w:rPr>
          <w:rFonts w:hint="eastAsia" w:ascii="宋体" w:hAnsi="宋体" w:eastAsia="宋体" w:cs="宋体"/>
          <w:b/>
          <w:bCs/>
          <w:sz w:val="21"/>
          <w:szCs w:val="21"/>
        </w:rPr>
        <w:t>3.供应商的资格要求</w:t>
      </w:r>
    </w:p>
    <w:p w14:paraId="48E4B330">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3.1 供应商应当符合</w:t>
      </w:r>
      <w:r>
        <w:rPr>
          <w:rFonts w:hint="eastAsia" w:ascii="宋体" w:hAnsi="宋体" w:eastAsia="宋体" w:cs="宋体"/>
          <w:b/>
          <w:bCs/>
          <w:sz w:val="21"/>
          <w:szCs w:val="21"/>
        </w:rPr>
        <w:t>磋商须知前附表</w:t>
      </w:r>
      <w:r>
        <w:rPr>
          <w:rFonts w:hint="eastAsia" w:ascii="宋体" w:hAnsi="宋体" w:eastAsia="宋体" w:cs="宋体"/>
          <w:sz w:val="21"/>
          <w:szCs w:val="21"/>
        </w:rPr>
        <w:t>中规定的资格条件要求。</w:t>
      </w:r>
    </w:p>
    <w:p w14:paraId="133970FB">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3.2供应商为联合体形式的，除应满足本章第3.1款资格条件要求及第3.3款规定外，还应遵守以下规定： </w:t>
      </w:r>
    </w:p>
    <w:p w14:paraId="77B2A2EE">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（1）联合体各方应按磋商文件提供的格式签订联合体协议书，明确联合体牵头人和各方权利义务(含承担工作及工作量比例)；</w:t>
      </w:r>
    </w:p>
    <w:p w14:paraId="520B917C">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（2）联合体中有同类资质的供应商按照联合体分工承担相同工作的，应当按照资质等级较低的供应商确定资质等级；</w:t>
      </w:r>
    </w:p>
    <w:p w14:paraId="2D13A8E1">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（3）以联合体形式参加政府采购活动的，联合体各方不得再单独参加或者与其他供应商另外组成联合体参加同一合同项下的政府采购活动。</w:t>
      </w:r>
    </w:p>
    <w:p w14:paraId="541E7BA2">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3.3 供应商不得存在下列情形之一：</w:t>
      </w:r>
    </w:p>
    <w:p w14:paraId="60D74675">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1</w:t>
      </w:r>
      <w:r>
        <w:rPr>
          <w:rFonts w:hint="eastAsia" w:ascii="宋体" w:hAnsi="宋体" w:eastAsia="宋体" w:cs="宋体"/>
          <w:sz w:val="21"/>
          <w:szCs w:val="21"/>
        </w:rPr>
        <w:t>）与其他供应商的法定代表人（或者负责人）为同一人，或者与其他供应商存在直接控股、管理关系。</w:t>
      </w:r>
    </w:p>
    <w:p w14:paraId="28842B17">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bCs/>
          <w:sz w:val="21"/>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eastAsia="宋体" w:cs="宋体"/>
          <w:sz w:val="21"/>
          <w:szCs w:val="21"/>
        </w:rPr>
        <w:t>财政部门认定的其他重大违法记录。</w:t>
      </w:r>
    </w:p>
    <w:p w14:paraId="3956F889">
      <w:pPr>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bCs/>
          <w:sz w:val="21"/>
          <w:szCs w:val="21"/>
        </w:rPr>
      </w:pPr>
      <w:r>
        <w:rPr>
          <w:rFonts w:hint="eastAsia" w:ascii="宋体" w:hAnsi="宋体" w:eastAsia="宋体" w:cs="宋体"/>
          <w:b/>
          <w:bCs/>
          <w:sz w:val="21"/>
          <w:szCs w:val="21"/>
        </w:rPr>
        <w:t>4.参与磋商的费用</w:t>
      </w:r>
    </w:p>
    <w:p w14:paraId="571641C8">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4.1无论磋商的结果如何，供应商应自行承担所有与竞争性磋商采购活动有关的全部费用。</w:t>
      </w:r>
    </w:p>
    <w:p w14:paraId="4109CBBA">
      <w:pPr>
        <w:pageBreakBefore w:val="0"/>
        <w:widowControl w:val="0"/>
        <w:kinsoku/>
        <w:wordWrap/>
        <w:overflowPunct/>
        <w:bidi w:val="0"/>
        <w:adjustRightInd w:val="0"/>
        <w:snapToGrid w:val="0"/>
        <w:spacing w:beforeAutospacing="0" w:afterAutospacing="0" w:line="560" w:lineRule="exact"/>
        <w:jc w:val="both"/>
        <w:outlineLvl w:val="2"/>
        <w:rPr>
          <w:rFonts w:hint="eastAsia" w:ascii="宋体" w:hAnsi="宋体" w:eastAsia="宋体" w:cs="宋体"/>
          <w:b/>
          <w:bCs/>
          <w:kern w:val="2"/>
          <w:sz w:val="21"/>
          <w:szCs w:val="21"/>
          <w:lang w:val="en-US" w:eastAsia="zh-CN" w:bidi="ar-SA"/>
        </w:rPr>
      </w:pPr>
      <w:r>
        <w:rPr>
          <w:rFonts w:hint="eastAsia" w:ascii="宋体" w:hAnsi="宋体" w:eastAsia="宋体" w:cs="宋体"/>
          <w:b/>
          <w:kern w:val="2"/>
          <w:sz w:val="21"/>
          <w:szCs w:val="21"/>
          <w:lang w:val="en-US" w:eastAsia="zh-CN" w:bidi="ar-SA"/>
        </w:rPr>
        <w:t>5．</w:t>
      </w:r>
      <w:r>
        <w:rPr>
          <w:rFonts w:hint="eastAsia" w:ascii="宋体" w:hAnsi="宋体" w:eastAsia="宋体" w:cs="宋体"/>
          <w:b/>
          <w:bCs/>
          <w:kern w:val="2"/>
          <w:sz w:val="21"/>
          <w:szCs w:val="21"/>
          <w:lang w:val="en-US" w:eastAsia="zh-CN" w:bidi="ar-SA"/>
        </w:rPr>
        <w:t>授权委托</w:t>
      </w:r>
    </w:p>
    <w:p w14:paraId="14E55E27">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5.1供应商代表为供应商法定代表人的，应持有法定代表人身份证明。供应商代表不是供应商法定代表人的，应持有法定代表人授权书，并附法定代表人身份证明。</w:t>
      </w:r>
    </w:p>
    <w:p w14:paraId="02793190">
      <w:pPr>
        <w:pageBreakBefore w:val="0"/>
        <w:widowControl w:val="0"/>
        <w:kinsoku/>
        <w:wordWrap/>
        <w:overflowPunct/>
        <w:bidi w:val="0"/>
        <w:adjustRightInd w:val="0"/>
        <w:snapToGrid w:val="0"/>
        <w:spacing w:beforeAutospacing="0" w:afterAutospacing="0" w:line="560" w:lineRule="exact"/>
        <w:jc w:val="both"/>
        <w:outlineLvl w:val="2"/>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6．联合体形式</w:t>
      </w:r>
    </w:p>
    <w:p w14:paraId="076E6CA3">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6.1除</w:t>
      </w:r>
      <w:r>
        <w:rPr>
          <w:rFonts w:hint="eastAsia" w:ascii="宋体" w:hAnsi="宋体" w:eastAsia="宋体" w:cs="宋体"/>
          <w:b/>
          <w:kern w:val="2"/>
          <w:sz w:val="21"/>
          <w:szCs w:val="21"/>
          <w:lang w:val="en-US" w:eastAsia="zh-CN" w:bidi="ar-SA"/>
        </w:rPr>
        <w:t>磋商须知前附表</w:t>
      </w:r>
      <w:r>
        <w:rPr>
          <w:rFonts w:hint="eastAsia" w:ascii="宋体" w:hAnsi="宋体" w:eastAsia="宋体" w:cs="宋体"/>
          <w:kern w:val="2"/>
          <w:sz w:val="21"/>
          <w:szCs w:val="21"/>
          <w:lang w:val="en-US" w:eastAsia="zh-CN" w:bidi="ar-SA"/>
        </w:rPr>
        <w:t>中另有规定，本次磋商采购不接受为联合体形式的供应商。</w:t>
      </w:r>
    </w:p>
    <w:p w14:paraId="5655DAFC">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6.2供应商为联合体形式的，除应符合本章第3条规定外，还应遵守以下规定：</w:t>
      </w:r>
    </w:p>
    <w:p w14:paraId="4FADC9B4">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（l）联合体各方必须签订联合体协议书，明确联合体牵头人和各方的义务、工作、合同工作量比例；</w:t>
      </w:r>
    </w:p>
    <w:p w14:paraId="5339E097">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（2）联合体各方均应当符合本章第3.1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规定的供应商基本资格条件；</w:t>
      </w:r>
    </w:p>
    <w:p w14:paraId="31BDDEE9">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（3）除</w:t>
      </w:r>
      <w:r>
        <w:rPr>
          <w:rFonts w:hint="eastAsia" w:ascii="宋体" w:hAnsi="宋体" w:eastAsia="宋体" w:cs="宋体"/>
          <w:b/>
          <w:sz w:val="21"/>
          <w:szCs w:val="21"/>
        </w:rPr>
        <w:t>磋商须知前附表</w:t>
      </w:r>
      <w:r>
        <w:rPr>
          <w:rFonts w:hint="eastAsia" w:ascii="宋体" w:hAnsi="宋体" w:eastAsia="宋体" w:cs="宋体"/>
          <w:sz w:val="21"/>
          <w:szCs w:val="21"/>
        </w:rPr>
        <w:t>中另有规定，联合体各方中至少有一方应当符合本章第3.1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规定的供应商特定资格条件；</w:t>
      </w:r>
    </w:p>
    <w:p w14:paraId="08302EA0">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lang w:val="zh-CN"/>
        </w:rPr>
      </w:pPr>
      <w:r>
        <w:rPr>
          <w:rFonts w:hint="eastAsia" w:ascii="宋体" w:hAnsi="宋体" w:eastAsia="宋体" w:cs="宋体"/>
          <w:sz w:val="21"/>
          <w:szCs w:val="21"/>
        </w:rPr>
        <w:t>（4）</w:t>
      </w:r>
      <w:r>
        <w:rPr>
          <w:rFonts w:hint="eastAsia" w:ascii="宋体" w:hAnsi="宋体" w:eastAsia="宋体" w:cs="宋体"/>
          <w:kern w:val="0"/>
          <w:sz w:val="21"/>
          <w:szCs w:val="21"/>
          <w:lang w:val="zh-CN"/>
        </w:rPr>
        <w:t>联合体各方不得再单独或与其他供应商组成新的联合体参加同一项目的采购活动。</w:t>
      </w:r>
    </w:p>
    <w:p w14:paraId="6334B483">
      <w:pPr>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sz w:val="21"/>
          <w:szCs w:val="21"/>
        </w:rPr>
      </w:pPr>
      <w:r>
        <w:rPr>
          <w:rFonts w:hint="eastAsia" w:ascii="宋体" w:hAnsi="宋体" w:eastAsia="宋体" w:cs="宋体"/>
          <w:b/>
          <w:sz w:val="21"/>
          <w:szCs w:val="21"/>
        </w:rPr>
        <w:t>7.现场勘察</w:t>
      </w:r>
    </w:p>
    <w:p w14:paraId="030109C3">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7.1供应商应按</w:t>
      </w:r>
      <w:r>
        <w:rPr>
          <w:rFonts w:hint="eastAsia" w:ascii="宋体" w:hAnsi="宋体" w:eastAsia="宋体" w:cs="宋体"/>
          <w:b/>
          <w:sz w:val="21"/>
          <w:szCs w:val="21"/>
        </w:rPr>
        <w:t>磋商须知前附表</w:t>
      </w:r>
      <w:r>
        <w:rPr>
          <w:rFonts w:hint="eastAsia" w:ascii="宋体" w:hAnsi="宋体" w:eastAsia="宋体" w:cs="宋体"/>
          <w:sz w:val="21"/>
          <w:szCs w:val="21"/>
        </w:rPr>
        <w:t>中规定对采购项目现场和周围环境的现场考察。</w:t>
      </w:r>
    </w:p>
    <w:p w14:paraId="595659DA">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7.2勘察现场的费用由供应商自己承担，勘察期间所发生的人身伤害及财产损失由供应商自己负责。</w:t>
      </w:r>
    </w:p>
    <w:p w14:paraId="176F2730">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7.3采购人不对供应商据此而做出的推论、理解和结论负责。一旦成交，供应商不得以任何借口，提出额外补偿，或延长合同期限的要求。</w:t>
      </w:r>
    </w:p>
    <w:p w14:paraId="3477906F">
      <w:pPr>
        <w:pageBreakBefore w:val="0"/>
        <w:kinsoku/>
        <w:wordWrap/>
        <w:overflowPunct/>
        <w:bidi w:val="0"/>
        <w:adjustRightInd w:val="0"/>
        <w:snapToGrid w:val="0"/>
        <w:spacing w:beforeAutospacing="0" w:afterAutospacing="0" w:line="560" w:lineRule="exact"/>
        <w:jc w:val="left"/>
        <w:outlineLvl w:val="2"/>
        <w:rPr>
          <w:rFonts w:hint="eastAsia" w:ascii="宋体" w:hAnsi="宋体" w:eastAsia="宋体" w:cs="宋体"/>
          <w:b/>
          <w:sz w:val="21"/>
          <w:szCs w:val="21"/>
        </w:rPr>
      </w:pPr>
      <w:r>
        <w:rPr>
          <w:rFonts w:hint="eastAsia" w:ascii="宋体" w:hAnsi="宋体" w:eastAsia="宋体" w:cs="宋体"/>
          <w:b/>
          <w:sz w:val="21"/>
          <w:szCs w:val="21"/>
        </w:rPr>
        <w:t>8.采购进口产品</w:t>
      </w:r>
    </w:p>
    <w:p w14:paraId="38B1819C">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sz w:val="21"/>
          <w:szCs w:val="21"/>
        </w:rPr>
        <w:t>8.1除</w:t>
      </w:r>
      <w:r>
        <w:rPr>
          <w:rFonts w:hint="eastAsia" w:ascii="宋体" w:hAnsi="宋体" w:eastAsia="宋体" w:cs="宋体"/>
          <w:b/>
          <w:sz w:val="21"/>
          <w:szCs w:val="21"/>
        </w:rPr>
        <w:t>磋商文件前附表</w:t>
      </w:r>
      <w:r>
        <w:rPr>
          <w:rFonts w:hint="eastAsia" w:ascii="宋体" w:hAnsi="宋体" w:eastAsia="宋体" w:cs="宋体"/>
          <w:sz w:val="21"/>
          <w:szCs w:val="21"/>
        </w:rPr>
        <w:t>另有规定外，本项目</w:t>
      </w:r>
      <w:r>
        <w:rPr>
          <w:rFonts w:hint="eastAsia" w:ascii="宋体" w:hAnsi="宋体" w:eastAsia="宋体" w:cs="宋体"/>
          <w:kern w:val="0"/>
          <w:sz w:val="21"/>
          <w:szCs w:val="21"/>
        </w:rPr>
        <w:t>拒绝进口产品参加</w:t>
      </w:r>
      <w:r>
        <w:rPr>
          <w:rFonts w:hint="eastAsia" w:ascii="宋体" w:hAnsi="宋体" w:eastAsia="宋体" w:cs="宋体"/>
          <w:sz w:val="21"/>
          <w:szCs w:val="21"/>
        </w:rPr>
        <w:t>竞争性磋商采购活动</w:t>
      </w:r>
      <w:r>
        <w:rPr>
          <w:rFonts w:hint="eastAsia" w:ascii="宋体" w:hAnsi="宋体" w:eastAsia="宋体" w:cs="宋体"/>
          <w:kern w:val="0"/>
          <w:sz w:val="21"/>
          <w:szCs w:val="21"/>
        </w:rPr>
        <w:t>。</w:t>
      </w:r>
    </w:p>
    <w:p w14:paraId="2113E1C8">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8.2</w:t>
      </w:r>
      <w:r>
        <w:rPr>
          <w:rFonts w:hint="eastAsia" w:ascii="宋体" w:hAnsi="宋体" w:eastAsia="宋体" w:cs="宋体"/>
          <w:sz w:val="21"/>
          <w:szCs w:val="21"/>
        </w:rPr>
        <w:t>本章第8.1</w:t>
      </w:r>
      <w:r>
        <w:rPr>
          <w:rFonts w:hint="eastAsia" w:ascii="宋体" w:hAnsi="宋体" w:eastAsia="宋体" w:cs="宋体"/>
          <w:kern w:val="0"/>
          <w:sz w:val="21"/>
          <w:szCs w:val="21"/>
          <w:lang w:val="zh-CN"/>
        </w:rPr>
        <w:t>款</w:t>
      </w:r>
      <w:r>
        <w:rPr>
          <w:rFonts w:hint="eastAsia" w:ascii="宋体" w:hAnsi="宋体" w:eastAsia="宋体" w:cs="宋体"/>
          <w:sz w:val="21"/>
          <w:szCs w:val="21"/>
        </w:rPr>
        <w:t>规定</w:t>
      </w:r>
      <w:r>
        <w:rPr>
          <w:rFonts w:hint="eastAsia" w:ascii="宋体" w:hAnsi="宋体" w:eastAsia="宋体" w:cs="宋体"/>
          <w:kern w:val="0"/>
          <w:sz w:val="21"/>
          <w:szCs w:val="21"/>
        </w:rPr>
        <w:t>同意购买进口产品的，</w:t>
      </w:r>
      <w:r>
        <w:rPr>
          <w:rFonts w:hint="eastAsia" w:ascii="宋体" w:hAnsi="宋体" w:eastAsia="宋体" w:cs="宋体"/>
          <w:sz w:val="21"/>
          <w:szCs w:val="21"/>
        </w:rPr>
        <w:t>本项目</w:t>
      </w:r>
      <w:r>
        <w:rPr>
          <w:rFonts w:hint="eastAsia" w:ascii="宋体" w:hAnsi="宋体" w:eastAsia="宋体" w:cs="宋体"/>
          <w:kern w:val="0"/>
          <w:sz w:val="21"/>
          <w:szCs w:val="21"/>
          <w:lang w:val="zh-CN"/>
        </w:rPr>
        <w:t>采购活动</w:t>
      </w:r>
      <w:r>
        <w:rPr>
          <w:rFonts w:hint="eastAsia" w:ascii="宋体" w:hAnsi="宋体" w:eastAsia="宋体" w:cs="宋体"/>
          <w:kern w:val="0"/>
          <w:sz w:val="21"/>
          <w:szCs w:val="21"/>
        </w:rPr>
        <w:t>不限制满足</w:t>
      </w:r>
      <w:r>
        <w:rPr>
          <w:rFonts w:hint="eastAsia" w:ascii="宋体" w:hAnsi="宋体" w:eastAsia="宋体" w:cs="宋体"/>
          <w:sz w:val="21"/>
          <w:szCs w:val="21"/>
        </w:rPr>
        <w:t>磋商文件要求</w:t>
      </w:r>
      <w:r>
        <w:rPr>
          <w:rFonts w:hint="eastAsia" w:ascii="宋体" w:hAnsi="宋体" w:eastAsia="宋体" w:cs="宋体"/>
          <w:kern w:val="0"/>
          <w:sz w:val="21"/>
          <w:szCs w:val="21"/>
        </w:rPr>
        <w:t>的国内产品参与</w:t>
      </w:r>
      <w:r>
        <w:rPr>
          <w:rFonts w:hint="eastAsia" w:ascii="宋体" w:hAnsi="宋体" w:eastAsia="宋体" w:cs="宋体"/>
          <w:sz w:val="21"/>
          <w:szCs w:val="21"/>
        </w:rPr>
        <w:t>竞争性磋商</w:t>
      </w:r>
      <w:r>
        <w:rPr>
          <w:rFonts w:hint="eastAsia" w:ascii="宋体" w:hAnsi="宋体" w:eastAsia="宋体" w:cs="宋体"/>
          <w:kern w:val="0"/>
          <w:sz w:val="21"/>
          <w:szCs w:val="21"/>
        </w:rPr>
        <w:t>。</w:t>
      </w:r>
    </w:p>
    <w:p w14:paraId="5A77DD33">
      <w:pPr>
        <w:pageBreakBefore w:val="0"/>
        <w:kinsoku/>
        <w:wordWrap/>
        <w:overflowPunct/>
        <w:bidi w:val="0"/>
        <w:adjustRightInd w:val="0"/>
        <w:snapToGrid w:val="0"/>
        <w:spacing w:beforeAutospacing="0" w:afterAutospacing="0" w:line="560" w:lineRule="exact"/>
        <w:jc w:val="left"/>
        <w:outlineLvl w:val="2"/>
        <w:rPr>
          <w:rFonts w:hint="eastAsia" w:ascii="宋体" w:hAnsi="宋体" w:eastAsia="宋体" w:cs="宋体"/>
          <w:b/>
          <w:sz w:val="21"/>
          <w:szCs w:val="21"/>
        </w:rPr>
      </w:pPr>
      <w:r>
        <w:rPr>
          <w:rFonts w:hint="eastAsia" w:ascii="宋体" w:hAnsi="宋体" w:eastAsia="宋体" w:cs="宋体"/>
          <w:b/>
          <w:bCs/>
          <w:sz w:val="21"/>
          <w:szCs w:val="21"/>
        </w:rPr>
        <w:t>9.</w:t>
      </w:r>
      <w:r>
        <w:rPr>
          <w:rFonts w:hint="eastAsia" w:ascii="宋体" w:hAnsi="宋体" w:eastAsia="宋体" w:cs="宋体"/>
          <w:b/>
          <w:sz w:val="21"/>
          <w:szCs w:val="21"/>
        </w:rPr>
        <w:t>政府采购政策支持</w:t>
      </w:r>
    </w:p>
    <w:p w14:paraId="27E3731F">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9.1对列入财政部、国家发展改革委发布的《节能产品政府采购清单》且属于应当“强制采购的节能产品”，按照规定实行强制采购。实行政府采购强制采购的节能产品见磋商文件前附表。</w:t>
      </w:r>
    </w:p>
    <w:p w14:paraId="3B1F2CB7">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9.2对列入财政部、国家发展改革委发布的《节能产品政府采购清单》的“非强制采购节能产品”，财政部、环境保护部发布的《环境标志产品政府采购清单》的“环境标志产品”，中小企业，实行优先采购，按照省级以上财政部门有关政策规定，评审时进行价格扣除或加分。实行政府采购优先采购的优惠率见磋商文件前附表。</w:t>
      </w:r>
    </w:p>
    <w:p w14:paraId="17A94FC5">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4B896A01">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9.4同一项目中部分产品属于优先采购政策的，评审时只对该部分产品的报价实行价格扣除及加分。</w:t>
      </w:r>
    </w:p>
    <w:p w14:paraId="58BA0642">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9.5符合本章第9.1款、第9.2款规定的，应提供相关证明资料。</w:t>
      </w:r>
    </w:p>
    <w:p w14:paraId="5D9183B8">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9.6供应商有融资、担保需求的，具体办理流程可向磋商须知前附表所列金融机构和担保机构询问。</w:t>
      </w:r>
    </w:p>
    <w:p w14:paraId="4CD6962F">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r>
        <w:rPr>
          <w:rFonts w:hint="eastAsia" w:ascii="宋体" w:hAnsi="宋体" w:eastAsia="宋体" w:cs="宋体"/>
          <w:b/>
          <w:sz w:val="21"/>
          <w:szCs w:val="21"/>
        </w:rPr>
        <w:t>二、磋商文件</w:t>
      </w:r>
    </w:p>
    <w:p w14:paraId="75962E1E">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10．磋商文件的组成</w:t>
      </w:r>
    </w:p>
    <w:p w14:paraId="58815DC6">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10.1磋商文件由下列文件组成：</w:t>
      </w:r>
    </w:p>
    <w:p w14:paraId="449175AC">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第一章  磋商邀请</w:t>
      </w:r>
    </w:p>
    <w:p w14:paraId="26506A2C">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第二章  磋商须知</w:t>
      </w:r>
    </w:p>
    <w:p w14:paraId="7B00AFD4">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第三章  评审方法及标准</w:t>
      </w:r>
    </w:p>
    <w:p w14:paraId="74B1D84B">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第四章  政府采购合同格式</w:t>
      </w:r>
    </w:p>
    <w:p w14:paraId="7EE53ED4">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第五章  采购需求</w:t>
      </w:r>
    </w:p>
    <w:p w14:paraId="1732D06A">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第六章  响应文件组成</w:t>
      </w:r>
    </w:p>
    <w:p w14:paraId="4A1BE218">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10.2磋商小组根据与供应商磋商情况可能实质性变动的内容，包括采购需求中的技术、服务要求以及合同条款，在</w:t>
      </w:r>
      <w:r>
        <w:rPr>
          <w:rFonts w:hint="eastAsia" w:ascii="宋体" w:hAnsi="宋体" w:eastAsia="宋体" w:cs="宋体"/>
          <w:b/>
          <w:kern w:val="2"/>
          <w:sz w:val="21"/>
          <w:szCs w:val="21"/>
          <w:lang w:val="en-US" w:eastAsia="zh-CN" w:bidi="ar-SA"/>
        </w:rPr>
        <w:t>磋商须知前附表</w:t>
      </w:r>
      <w:r>
        <w:rPr>
          <w:rFonts w:hint="eastAsia" w:ascii="宋体" w:hAnsi="宋体" w:eastAsia="宋体" w:cs="宋体"/>
          <w:kern w:val="2"/>
          <w:sz w:val="21"/>
          <w:szCs w:val="21"/>
          <w:lang w:val="en-US" w:eastAsia="zh-CN" w:bidi="ar-SA"/>
        </w:rPr>
        <w:t>中明确。</w:t>
      </w:r>
    </w:p>
    <w:p w14:paraId="59D3CEFD">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lang w:val="en-US" w:eastAsia="zh-CN"/>
        </w:rPr>
        <w:t>3</w:t>
      </w:r>
      <w:r>
        <w:rPr>
          <w:rFonts w:hint="eastAsia" w:ascii="宋体" w:hAnsi="宋体" w:eastAsia="宋体" w:cs="宋体"/>
          <w:sz w:val="21"/>
          <w:szCs w:val="21"/>
        </w:rPr>
        <w:t>供应商应仔细阅读</w:t>
      </w:r>
      <w:r>
        <w:rPr>
          <w:rFonts w:hint="eastAsia" w:ascii="宋体" w:hAnsi="宋体" w:eastAsia="宋体" w:cs="宋体"/>
          <w:bCs/>
          <w:sz w:val="21"/>
          <w:szCs w:val="21"/>
        </w:rPr>
        <w:t>磋商</w:t>
      </w:r>
      <w:r>
        <w:rPr>
          <w:rFonts w:hint="eastAsia" w:ascii="宋体" w:hAnsi="宋体" w:eastAsia="宋体" w:cs="宋体"/>
          <w:sz w:val="21"/>
          <w:szCs w:val="21"/>
        </w:rPr>
        <w:t>文件的全部内容，按照</w:t>
      </w:r>
      <w:r>
        <w:rPr>
          <w:rFonts w:hint="eastAsia" w:ascii="宋体" w:hAnsi="宋体" w:eastAsia="宋体" w:cs="宋体"/>
          <w:bCs/>
          <w:sz w:val="21"/>
          <w:szCs w:val="21"/>
        </w:rPr>
        <w:t>磋商</w:t>
      </w:r>
      <w:r>
        <w:rPr>
          <w:rFonts w:hint="eastAsia" w:ascii="宋体" w:hAnsi="宋体" w:eastAsia="宋体" w:cs="宋体"/>
          <w:sz w:val="21"/>
          <w:szCs w:val="21"/>
        </w:rPr>
        <w:t>文件要求编制响应文件。任何对</w:t>
      </w:r>
      <w:r>
        <w:rPr>
          <w:rFonts w:hint="eastAsia" w:ascii="宋体" w:hAnsi="宋体" w:eastAsia="宋体" w:cs="宋体"/>
          <w:bCs/>
          <w:sz w:val="21"/>
          <w:szCs w:val="21"/>
        </w:rPr>
        <w:t>磋商</w:t>
      </w:r>
      <w:r>
        <w:rPr>
          <w:rFonts w:hint="eastAsia" w:ascii="宋体" w:hAnsi="宋体" w:eastAsia="宋体" w:cs="宋体"/>
          <w:sz w:val="21"/>
          <w:szCs w:val="21"/>
        </w:rPr>
        <w:t>文件的忽略或误解不能作为响应文件存在缺陷或瑕疵的理由，其风险由供应商承担。</w:t>
      </w:r>
    </w:p>
    <w:p w14:paraId="07257835">
      <w:pPr>
        <w:adjustRightInd w:val="0"/>
        <w:snapToGrid w:val="0"/>
        <w:spacing w:line="360" w:lineRule="auto"/>
        <w:ind w:right="0" w:right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1</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rPr>
        <w:t xml:space="preserve"> 磋商文件的提供期限</w:t>
      </w:r>
    </w:p>
    <w:p w14:paraId="10276165">
      <w:pPr>
        <w:adjustRightInd w:val="0"/>
        <w:snapToGrid w:val="0"/>
        <w:spacing w:line="360" w:lineRule="auto"/>
        <w:ind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.1磋商文件的提供期限自开始发出之日起不得少于五个工作日。具体提供期限见</w:t>
      </w:r>
      <w:r>
        <w:rPr>
          <w:rFonts w:hint="eastAsia" w:ascii="宋体" w:hAnsi="宋体" w:eastAsia="宋体" w:cs="宋体"/>
          <w:b/>
          <w:color w:val="auto"/>
          <w:sz w:val="21"/>
          <w:szCs w:val="21"/>
          <w:highlight w:val="none"/>
        </w:rPr>
        <w:t>磋商</w:t>
      </w:r>
      <w:r>
        <w:rPr>
          <w:rFonts w:hint="eastAsia" w:ascii="宋体" w:hAnsi="宋体" w:eastAsia="宋体" w:cs="宋体"/>
          <w:b/>
          <w:color w:val="auto"/>
          <w:sz w:val="21"/>
          <w:szCs w:val="21"/>
          <w:highlight w:val="none"/>
          <w:lang w:val="en-US" w:eastAsia="zh-CN"/>
        </w:rPr>
        <w:t>须知</w:t>
      </w:r>
      <w:r>
        <w:rPr>
          <w:rFonts w:hint="eastAsia" w:ascii="宋体" w:hAnsi="宋体" w:eastAsia="宋体" w:cs="宋体"/>
          <w:b/>
          <w:color w:val="auto"/>
          <w:sz w:val="21"/>
          <w:szCs w:val="21"/>
          <w:highlight w:val="none"/>
        </w:rPr>
        <w:t>前附表</w:t>
      </w:r>
      <w:r>
        <w:rPr>
          <w:rFonts w:hint="eastAsia" w:ascii="宋体" w:hAnsi="宋体" w:eastAsia="宋体" w:cs="宋体"/>
          <w:color w:val="auto"/>
          <w:sz w:val="21"/>
          <w:szCs w:val="21"/>
          <w:highlight w:val="none"/>
        </w:rPr>
        <w:t>。</w:t>
      </w:r>
    </w:p>
    <w:p w14:paraId="2EFFEF7E">
      <w:pPr>
        <w:keepNext/>
        <w:keepLines/>
        <w:widowControl w:val="0"/>
        <w:spacing w:line="360" w:lineRule="auto"/>
        <w:jc w:val="both"/>
        <w:outlineLvl w:val="1"/>
        <w:rPr>
          <w:rFonts w:hint="eastAsia" w:ascii="宋体" w:hAnsi="宋体" w:eastAsia="宋体" w:cs="宋体"/>
          <w:b/>
          <w:bCs/>
          <w:kern w:val="2"/>
          <w:sz w:val="21"/>
          <w:szCs w:val="21"/>
          <w:lang w:val="en-US" w:eastAsia="zh-CN" w:bidi="ar-SA"/>
        </w:rPr>
      </w:pPr>
      <w:r>
        <w:rPr>
          <w:rFonts w:hint="eastAsia" w:ascii="宋体" w:hAnsi="宋体" w:eastAsia="宋体" w:cs="宋体"/>
          <w:b/>
          <w:bCs/>
          <w:color w:val="auto"/>
          <w:kern w:val="2"/>
          <w:sz w:val="21"/>
          <w:szCs w:val="21"/>
          <w:highlight w:val="non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 xml:space="preserve">  11.2供应商应持</w:t>
      </w:r>
      <w:r>
        <w:rPr>
          <w:rFonts w:hint="eastAsia" w:ascii="宋体" w:hAnsi="宋体" w:eastAsia="宋体" w:cs="宋体"/>
          <w:b/>
          <w:bCs/>
          <w:color w:val="auto"/>
          <w:kern w:val="2"/>
          <w:sz w:val="21"/>
          <w:szCs w:val="21"/>
          <w:highlight w:val="none"/>
          <w:lang w:val="en-US" w:eastAsia="zh-CN" w:bidi="ar-SA"/>
        </w:rPr>
        <w:t>磋商须知前附表</w:t>
      </w:r>
      <w:r>
        <w:rPr>
          <w:rFonts w:hint="eastAsia" w:ascii="宋体" w:hAnsi="宋体" w:eastAsia="宋体" w:cs="宋体"/>
          <w:b w:val="0"/>
          <w:bCs w:val="0"/>
          <w:color w:val="auto"/>
          <w:kern w:val="2"/>
          <w:sz w:val="21"/>
          <w:szCs w:val="21"/>
          <w:highlight w:val="none"/>
          <w:lang w:val="en-US" w:eastAsia="zh-CN" w:bidi="ar-SA"/>
        </w:rPr>
        <w:t>规定的资料领取磋商文件。</w:t>
      </w:r>
    </w:p>
    <w:p w14:paraId="6640EE1B">
      <w:pPr>
        <w:widowControl w:val="0"/>
        <w:adjustRightInd w:val="0"/>
        <w:snapToGrid w:val="0"/>
        <w:spacing w:line="360" w:lineRule="auto"/>
        <w:ind w:right="0" w:right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12.</w:t>
      </w:r>
      <w:r>
        <w:rPr>
          <w:rFonts w:hint="eastAsia" w:ascii="宋体" w:hAnsi="宋体" w:eastAsia="宋体" w:cs="宋体"/>
          <w:b/>
          <w:color w:val="auto"/>
          <w:kern w:val="0"/>
          <w:sz w:val="21"/>
          <w:szCs w:val="21"/>
          <w:highlight w:val="none"/>
          <w:lang w:val="en-US" w:eastAsia="zh-CN" w:bidi="ar-SA"/>
        </w:rPr>
        <w:t>提交首次响应文件</w:t>
      </w:r>
      <w:r>
        <w:rPr>
          <w:rFonts w:hint="eastAsia" w:ascii="宋体" w:hAnsi="宋体" w:eastAsia="宋体" w:cs="宋体"/>
          <w:b/>
          <w:color w:val="auto"/>
          <w:kern w:val="2"/>
          <w:sz w:val="21"/>
          <w:szCs w:val="21"/>
          <w:highlight w:val="none"/>
          <w:lang w:val="en-US" w:eastAsia="zh-CN" w:bidi="ar-SA"/>
        </w:rPr>
        <w:t>的</w:t>
      </w:r>
      <w:r>
        <w:rPr>
          <w:rFonts w:hint="eastAsia" w:ascii="宋体" w:hAnsi="宋体" w:eastAsia="宋体" w:cs="宋体"/>
          <w:b/>
          <w:color w:val="auto"/>
          <w:kern w:val="0"/>
          <w:sz w:val="21"/>
          <w:szCs w:val="21"/>
          <w:highlight w:val="none"/>
          <w:lang w:val="en-US" w:eastAsia="zh-CN" w:bidi="ar-SA"/>
        </w:rPr>
        <w:t>截止</w:t>
      </w:r>
      <w:r>
        <w:rPr>
          <w:rFonts w:hint="eastAsia" w:ascii="宋体" w:hAnsi="宋体" w:eastAsia="宋体" w:cs="宋体"/>
          <w:b/>
          <w:color w:val="auto"/>
          <w:kern w:val="2"/>
          <w:sz w:val="21"/>
          <w:szCs w:val="21"/>
          <w:highlight w:val="none"/>
          <w:lang w:val="en-US" w:eastAsia="zh-CN" w:bidi="ar-SA"/>
        </w:rPr>
        <w:t>时间</w:t>
      </w:r>
    </w:p>
    <w:p w14:paraId="3265F958">
      <w:pPr>
        <w:widowControl w:val="0"/>
        <w:adjustRightInd w:val="0"/>
        <w:snapToGrid w:val="0"/>
        <w:spacing w:line="360" w:lineRule="auto"/>
        <w:ind w:right="0" w:rightChars="0"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12.1</w:t>
      </w:r>
      <w:r>
        <w:rPr>
          <w:rFonts w:hint="eastAsia" w:ascii="宋体" w:hAnsi="宋体" w:eastAsia="宋体" w:cs="宋体"/>
          <w:color w:val="auto"/>
          <w:kern w:val="0"/>
          <w:sz w:val="21"/>
          <w:szCs w:val="21"/>
          <w:highlight w:val="none"/>
          <w:lang w:val="en-US" w:eastAsia="zh-CN" w:bidi="ar-SA"/>
        </w:rPr>
        <w:t>供应商提交首次响应文件截止</w:t>
      </w:r>
      <w:r>
        <w:rPr>
          <w:rFonts w:hint="eastAsia" w:ascii="宋体" w:hAnsi="宋体" w:eastAsia="宋体" w:cs="宋体"/>
          <w:color w:val="auto"/>
          <w:kern w:val="2"/>
          <w:sz w:val="21"/>
          <w:szCs w:val="21"/>
          <w:highlight w:val="none"/>
          <w:lang w:val="en-US" w:eastAsia="zh-CN" w:bidi="ar-SA"/>
        </w:rPr>
        <w:t>时间见</w:t>
      </w:r>
      <w:r>
        <w:rPr>
          <w:rFonts w:hint="eastAsia" w:ascii="宋体" w:hAnsi="宋体" w:eastAsia="宋体" w:cs="宋体"/>
          <w:b/>
          <w:color w:val="auto"/>
          <w:kern w:val="2"/>
          <w:sz w:val="21"/>
          <w:szCs w:val="21"/>
          <w:highlight w:val="none"/>
          <w:lang w:val="en-US" w:eastAsia="zh-CN" w:bidi="ar-SA"/>
        </w:rPr>
        <w:t>磋商须知前附表</w:t>
      </w:r>
      <w:r>
        <w:rPr>
          <w:rFonts w:hint="eastAsia" w:ascii="宋体" w:hAnsi="宋体" w:eastAsia="宋体" w:cs="宋体"/>
          <w:color w:val="auto"/>
          <w:kern w:val="2"/>
          <w:sz w:val="21"/>
          <w:szCs w:val="21"/>
          <w:highlight w:val="none"/>
          <w:lang w:val="en-US" w:eastAsia="zh-CN" w:bidi="ar-SA"/>
        </w:rPr>
        <w:t>。</w:t>
      </w:r>
    </w:p>
    <w:p w14:paraId="1D9C0D41">
      <w:pPr>
        <w:adjustRightInd w:val="0"/>
        <w:snapToGrid w:val="0"/>
        <w:spacing w:line="360" w:lineRule="auto"/>
        <w:ind w:right="0" w:right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13.磋商文件的澄清</w:t>
      </w:r>
      <w:r>
        <w:rPr>
          <w:rFonts w:hint="eastAsia" w:ascii="宋体" w:hAnsi="宋体" w:eastAsia="宋体" w:cs="宋体"/>
          <w:b/>
          <w:color w:val="auto"/>
          <w:kern w:val="0"/>
          <w:sz w:val="21"/>
          <w:szCs w:val="21"/>
          <w:highlight w:val="none"/>
          <w:lang w:val="zh-CN"/>
        </w:rPr>
        <w:t>或者</w:t>
      </w:r>
      <w:r>
        <w:rPr>
          <w:rFonts w:hint="eastAsia" w:ascii="宋体" w:hAnsi="宋体" w:eastAsia="宋体" w:cs="宋体"/>
          <w:b/>
          <w:bCs/>
          <w:color w:val="auto"/>
          <w:sz w:val="21"/>
          <w:szCs w:val="21"/>
          <w:highlight w:val="none"/>
        </w:rPr>
        <w:t>修改</w:t>
      </w:r>
    </w:p>
    <w:p w14:paraId="3CD65A25">
      <w:pPr>
        <w:adjustRightInd w:val="0"/>
        <w:snapToGrid w:val="0"/>
        <w:spacing w:line="360" w:lineRule="auto"/>
        <w:ind w:right="0" w:rightChars="0"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13.1在</w:t>
      </w:r>
      <w:r>
        <w:rPr>
          <w:rFonts w:hint="eastAsia" w:ascii="宋体" w:hAnsi="宋体" w:eastAsia="宋体" w:cs="宋体"/>
          <w:color w:val="auto"/>
          <w:kern w:val="0"/>
          <w:sz w:val="21"/>
          <w:szCs w:val="21"/>
          <w:highlight w:val="none"/>
        </w:rPr>
        <w:t xml:space="preserve">提交首次响应文件截止之日前，采购人、采购代理机构可以对已发出的磋商文件进行必要的澄清或者修改。 </w:t>
      </w:r>
    </w:p>
    <w:p w14:paraId="56350452">
      <w:pPr>
        <w:adjustRightInd w:val="0"/>
        <w:snapToGrid w:val="0"/>
        <w:spacing w:line="360" w:lineRule="auto"/>
        <w:ind w:right="0" w:rightChars="0"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13.2</w:t>
      </w:r>
      <w:r>
        <w:rPr>
          <w:rFonts w:hint="eastAsia" w:ascii="宋体" w:hAnsi="宋体" w:eastAsia="宋体" w:cs="宋体"/>
          <w:color w:val="auto"/>
          <w:kern w:val="0"/>
          <w:sz w:val="21"/>
          <w:szCs w:val="21"/>
          <w:highlight w:val="none"/>
        </w:rPr>
        <w:t>澄清或者修改的内容可能影响响应文件编制的，采购人、采购代理机构应当在提交首次响应文件截止</w:t>
      </w:r>
      <w:r>
        <w:rPr>
          <w:rFonts w:hint="eastAsia" w:ascii="宋体" w:hAnsi="宋体" w:eastAsia="宋体" w:cs="宋体"/>
          <w:color w:val="auto"/>
          <w:kern w:val="0"/>
          <w:sz w:val="21"/>
          <w:szCs w:val="21"/>
          <w:highlight w:val="none"/>
          <w:lang w:eastAsia="zh-CN"/>
        </w:rPr>
        <w:t>至少</w:t>
      </w:r>
      <w:r>
        <w:rPr>
          <w:rFonts w:hint="eastAsia" w:ascii="宋体" w:hAnsi="宋体" w:eastAsia="宋体" w:cs="宋体"/>
          <w:color w:val="auto"/>
          <w:kern w:val="0"/>
          <w:sz w:val="21"/>
          <w:szCs w:val="21"/>
          <w:highlight w:val="none"/>
          <w:lang w:val="en-US" w:eastAsia="zh-CN"/>
        </w:rPr>
        <w:t>5日前</w:t>
      </w:r>
      <w:r>
        <w:rPr>
          <w:rFonts w:hint="eastAsia" w:ascii="宋体" w:hAnsi="宋体" w:eastAsia="宋体" w:cs="宋体"/>
          <w:color w:val="auto"/>
          <w:kern w:val="0"/>
          <w:sz w:val="21"/>
          <w:szCs w:val="21"/>
          <w:highlight w:val="none"/>
        </w:rPr>
        <w:t>，以书面形式通知所有接收磋商文件的供应商，不足</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日的，顺延供应商提交首次响应文件截止时间。</w:t>
      </w:r>
    </w:p>
    <w:p w14:paraId="0A840FB8">
      <w:pPr>
        <w:widowControl w:val="0"/>
        <w:adjustRightInd w:val="0"/>
        <w:snapToGrid w:val="0"/>
        <w:spacing w:line="360" w:lineRule="auto"/>
        <w:ind w:right="0" w:rightChars="0"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13.2</w:t>
      </w:r>
      <w:r>
        <w:rPr>
          <w:rFonts w:hint="eastAsia" w:ascii="宋体" w:hAnsi="宋体" w:eastAsia="宋体" w:cs="宋体"/>
          <w:color w:val="auto"/>
          <w:kern w:val="0"/>
          <w:sz w:val="21"/>
          <w:szCs w:val="21"/>
          <w:highlight w:val="none"/>
          <w:lang w:val="en-US" w:eastAsia="zh-CN" w:bidi="ar-SA"/>
        </w:rPr>
        <w:t>提交首次响应文件截止时间前对磋商文件澄清或者修改内容，为磋商文件的组成部分。</w:t>
      </w:r>
    </w:p>
    <w:p w14:paraId="60E4479D">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r>
        <w:rPr>
          <w:rFonts w:hint="eastAsia" w:ascii="宋体" w:hAnsi="宋体" w:eastAsia="宋体" w:cs="宋体"/>
          <w:b/>
          <w:sz w:val="21"/>
          <w:szCs w:val="21"/>
        </w:rPr>
        <w:t>三、响应文件</w:t>
      </w:r>
    </w:p>
    <w:p w14:paraId="27B4F83E">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.一般要求</w:t>
      </w:r>
    </w:p>
    <w:p w14:paraId="31BEFFE8">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4</w:t>
      </w:r>
      <w:r>
        <w:rPr>
          <w:rFonts w:hint="eastAsia" w:ascii="宋体" w:hAnsi="宋体" w:eastAsia="宋体" w:cs="宋体"/>
          <w:bCs/>
          <w:sz w:val="21"/>
          <w:szCs w:val="21"/>
        </w:rPr>
        <w:t>.1供应商应仔细阅读磋商文件的所有内容，按磋商文件的要求编制响应文件，并保证所提供的全部资料的真实性，以使其响应文件对磋商文件做出实质性的响应。</w:t>
      </w:r>
    </w:p>
    <w:p w14:paraId="6603DBA2">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4</w:t>
      </w:r>
      <w:r>
        <w:rPr>
          <w:rFonts w:hint="eastAsia" w:ascii="宋体" w:hAnsi="宋体" w:eastAsia="宋体" w:cs="宋体"/>
          <w:bCs/>
          <w:sz w:val="21"/>
          <w:szCs w:val="21"/>
        </w:rPr>
        <w:t>.2</w:t>
      </w:r>
      <w:r>
        <w:rPr>
          <w:rFonts w:hint="eastAsia" w:ascii="宋体" w:hAnsi="宋体" w:eastAsia="宋体" w:cs="宋体"/>
          <w:sz w:val="21"/>
          <w:szCs w:val="21"/>
        </w:rPr>
        <w:t>供应商提交的响应文件及供应商与采购人或采购代理机构、磋商小组就有关磋商的所有来往函电均使用中文。供应商可以提交其它语言的资料，但应附中文注释，在有差异时以中文为准。</w:t>
      </w:r>
    </w:p>
    <w:p w14:paraId="23F870B2">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bCs/>
          <w:kern w:val="2"/>
          <w:sz w:val="21"/>
          <w:szCs w:val="21"/>
          <w:lang w:val="en-US" w:eastAsia="zh-CN" w:bidi="ar-SA"/>
        </w:rPr>
        <w:t>14.3</w:t>
      </w:r>
      <w:r>
        <w:rPr>
          <w:rFonts w:hint="eastAsia" w:ascii="宋体" w:hAnsi="宋体" w:eastAsia="宋体" w:cs="宋体"/>
          <w:kern w:val="2"/>
          <w:sz w:val="21"/>
          <w:szCs w:val="21"/>
          <w:lang w:val="en-US" w:eastAsia="zh-CN" w:bidi="ar-SA"/>
        </w:rPr>
        <w:t>计量单位应使用我国法定计量单位，未列明时应默认为我国法定计量单位。</w:t>
      </w:r>
    </w:p>
    <w:p w14:paraId="742960CE">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14.4响应文件应采用书面形式，电报、传真、电子邮件形式的响应文件概不接受。</w:t>
      </w:r>
    </w:p>
    <w:p w14:paraId="34AB3D97">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.5供应商应按磋商文件中提供的响应文件格式填写。</w:t>
      </w:r>
    </w:p>
    <w:p w14:paraId="50FA08F8">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5</w:t>
      </w:r>
      <w:r>
        <w:rPr>
          <w:rFonts w:hint="eastAsia" w:ascii="宋体" w:hAnsi="宋体" w:eastAsia="宋体" w:cs="宋体"/>
          <w:b/>
          <w:bCs/>
          <w:sz w:val="21"/>
          <w:szCs w:val="21"/>
        </w:rPr>
        <w:t>.</w:t>
      </w:r>
      <w:r>
        <w:rPr>
          <w:rFonts w:hint="eastAsia" w:ascii="宋体" w:hAnsi="宋体" w:eastAsia="宋体" w:cs="宋体"/>
          <w:b/>
          <w:sz w:val="21"/>
          <w:szCs w:val="21"/>
        </w:rPr>
        <w:t>响应文件</w:t>
      </w:r>
      <w:r>
        <w:rPr>
          <w:rFonts w:hint="eastAsia" w:ascii="宋体" w:hAnsi="宋体" w:eastAsia="宋体" w:cs="宋体"/>
          <w:b/>
          <w:bCs/>
          <w:sz w:val="21"/>
          <w:szCs w:val="21"/>
        </w:rPr>
        <w:t>的组成</w:t>
      </w:r>
    </w:p>
    <w:p w14:paraId="52F297E5">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.1响应文件包括下列内容：</w:t>
      </w:r>
    </w:p>
    <w:p w14:paraId="17C984F2">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一、磋商响应声明</w:t>
      </w:r>
    </w:p>
    <w:p w14:paraId="132F5FB8">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二、保证金</w:t>
      </w:r>
    </w:p>
    <w:p w14:paraId="4E07B031">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三、供应商的资格证明文件</w:t>
      </w:r>
    </w:p>
    <w:p w14:paraId="0B75FB75">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四、项目实施方案</w:t>
      </w:r>
    </w:p>
    <w:p w14:paraId="630C60BE">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五、技术/商务响应与偏离表</w:t>
      </w:r>
    </w:p>
    <w:p w14:paraId="6C84C574">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六、提供政府采购政策的证明材料</w:t>
      </w:r>
    </w:p>
    <w:p w14:paraId="0F31680A">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七、报价一览表及报价文件</w:t>
      </w:r>
    </w:p>
    <w:p w14:paraId="4890CA11">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八、供应商认为需提供的其它资料</w:t>
      </w:r>
    </w:p>
    <w:p w14:paraId="33A3EDA5">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九、最终报价表</w:t>
      </w:r>
    </w:p>
    <w:p w14:paraId="502191F7">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在磋商过程中，供应商根据</w:t>
      </w:r>
      <w:r>
        <w:rPr>
          <w:rFonts w:hint="eastAsia" w:ascii="宋体" w:hAnsi="宋体" w:eastAsia="宋体" w:cs="宋体"/>
          <w:kern w:val="0"/>
          <w:sz w:val="21"/>
          <w:szCs w:val="21"/>
        </w:rPr>
        <w:t>磋商小组</w:t>
      </w:r>
      <w:r>
        <w:rPr>
          <w:rFonts w:hint="eastAsia" w:ascii="宋体" w:hAnsi="宋体" w:eastAsia="宋体" w:cs="宋体"/>
          <w:bCs/>
          <w:sz w:val="21"/>
          <w:szCs w:val="21"/>
        </w:rPr>
        <w:t>书面形式要求</w:t>
      </w:r>
      <w:r>
        <w:rPr>
          <w:rFonts w:hint="eastAsia" w:ascii="宋体" w:hAnsi="宋体" w:eastAsia="宋体" w:cs="宋体"/>
          <w:kern w:val="0"/>
          <w:sz w:val="21"/>
          <w:szCs w:val="21"/>
        </w:rPr>
        <w:t>提交的</w:t>
      </w:r>
      <w:r>
        <w:rPr>
          <w:rFonts w:hint="eastAsia" w:ascii="宋体" w:hAnsi="宋体" w:eastAsia="宋体" w:cs="宋体"/>
          <w:sz w:val="21"/>
          <w:szCs w:val="21"/>
        </w:rPr>
        <w:t>最后报价(或者</w:t>
      </w:r>
      <w:r>
        <w:rPr>
          <w:rFonts w:hint="eastAsia" w:ascii="宋体" w:hAnsi="宋体" w:eastAsia="宋体" w:cs="宋体"/>
          <w:bCs/>
          <w:sz w:val="21"/>
          <w:szCs w:val="21"/>
        </w:rPr>
        <w:t>重</w:t>
      </w:r>
      <w:r>
        <w:rPr>
          <w:rFonts w:hint="eastAsia" w:ascii="宋体" w:hAnsi="宋体" w:eastAsia="宋体" w:cs="宋体"/>
          <w:kern w:val="0"/>
          <w:sz w:val="21"/>
          <w:szCs w:val="21"/>
        </w:rPr>
        <w:t>新提交的响应文件和</w:t>
      </w:r>
      <w:r>
        <w:rPr>
          <w:rFonts w:hint="eastAsia" w:ascii="宋体" w:hAnsi="宋体" w:eastAsia="宋体" w:cs="宋体"/>
          <w:sz w:val="21"/>
          <w:szCs w:val="21"/>
        </w:rPr>
        <w:t>最后报价)是响应文件的有效组成部分。</w:t>
      </w:r>
    </w:p>
    <w:p w14:paraId="2A328219">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kern w:val="0"/>
          <w:sz w:val="21"/>
          <w:szCs w:val="21"/>
        </w:rPr>
        <w:t>磋商文件规定可能发生实质性变动的，供应商应当在</w:t>
      </w:r>
      <w:r>
        <w:rPr>
          <w:rFonts w:hint="eastAsia" w:ascii="宋体" w:hAnsi="宋体" w:eastAsia="宋体" w:cs="宋体"/>
          <w:sz w:val="21"/>
          <w:szCs w:val="21"/>
        </w:rPr>
        <w:t>《技术/商务响应与偏离表》中对应内容注明。</w:t>
      </w:r>
    </w:p>
    <w:p w14:paraId="33CA0AFB">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bCs/>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根据</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第四十二条的规定，供应商无论成交与否，其响应文件不予退还。</w:t>
      </w:r>
    </w:p>
    <w:p w14:paraId="0E0169BE">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6</w:t>
      </w:r>
      <w:r>
        <w:rPr>
          <w:rFonts w:hint="eastAsia" w:ascii="宋体" w:hAnsi="宋体" w:eastAsia="宋体" w:cs="宋体"/>
          <w:b/>
          <w:bCs/>
          <w:sz w:val="21"/>
          <w:szCs w:val="21"/>
        </w:rPr>
        <w:t>.报价</w:t>
      </w:r>
    </w:p>
    <w:p w14:paraId="08FC0F95">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.1供应商应当根据磋商文件要求和范围，以</w:t>
      </w:r>
      <w:r>
        <w:rPr>
          <w:rFonts w:hint="eastAsia" w:ascii="宋体" w:hAnsi="宋体" w:eastAsia="宋体" w:cs="宋体"/>
          <w:bCs/>
          <w:sz w:val="21"/>
          <w:szCs w:val="21"/>
        </w:rPr>
        <w:t>人民币</w:t>
      </w:r>
      <w:r>
        <w:rPr>
          <w:rFonts w:hint="eastAsia" w:ascii="宋体" w:hAnsi="宋体" w:eastAsia="宋体" w:cs="宋体"/>
          <w:sz w:val="21"/>
          <w:szCs w:val="21"/>
        </w:rPr>
        <w:t>报价，以元为单位，保留小数点后两位。</w:t>
      </w:r>
    </w:p>
    <w:p w14:paraId="0E3CC2AB">
      <w:pPr>
        <w:pageBreakBefore w:val="0"/>
        <w:widowControl/>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16.2供应商应按第六章“响应文件组成”格式填写。</w:t>
      </w:r>
    </w:p>
    <w:p w14:paraId="61A1E97E">
      <w:pPr>
        <w:pageBreakBefore w:val="0"/>
        <w:widowControl/>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16.3供应商的报价在合同执行过程中是固定不变的，不得以任何理由予以变更。以可变动价格提交的报价将被认为是非实质响应而被拒绝。</w:t>
      </w:r>
    </w:p>
    <w:p w14:paraId="487AA450">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16.4</w:t>
      </w:r>
      <w:r>
        <w:rPr>
          <w:rFonts w:hint="eastAsia" w:ascii="宋体" w:hAnsi="宋体" w:eastAsia="宋体" w:cs="宋体"/>
          <w:kern w:val="2"/>
          <w:sz w:val="21"/>
          <w:szCs w:val="21"/>
          <w:lang w:val="zh-CN" w:eastAsia="zh-CN" w:bidi="ar-SA"/>
        </w:rPr>
        <w:t>供应商</w:t>
      </w:r>
      <w:r>
        <w:rPr>
          <w:rFonts w:hint="eastAsia" w:ascii="宋体" w:hAnsi="宋体" w:eastAsia="宋体" w:cs="宋体"/>
          <w:kern w:val="2"/>
          <w:sz w:val="21"/>
          <w:szCs w:val="21"/>
          <w:lang w:val="en-US" w:eastAsia="zh-CN" w:bidi="ar-SA"/>
        </w:rPr>
        <w:t>的报价不得超过采购项目预算，采购项目预算或其计算方法见</w:t>
      </w:r>
      <w:r>
        <w:rPr>
          <w:rFonts w:hint="eastAsia" w:ascii="宋体" w:hAnsi="宋体" w:eastAsia="宋体" w:cs="宋体"/>
          <w:b/>
          <w:kern w:val="2"/>
          <w:sz w:val="21"/>
          <w:szCs w:val="21"/>
          <w:lang w:val="en-US" w:eastAsia="zh-CN" w:bidi="ar-SA"/>
        </w:rPr>
        <w:t>磋商须知前附表</w:t>
      </w:r>
      <w:r>
        <w:rPr>
          <w:rFonts w:hint="eastAsia" w:ascii="宋体" w:hAnsi="宋体" w:eastAsia="宋体" w:cs="宋体"/>
          <w:kern w:val="2"/>
          <w:sz w:val="21"/>
          <w:szCs w:val="21"/>
          <w:lang w:val="en-US" w:eastAsia="zh-CN" w:bidi="ar-SA"/>
        </w:rPr>
        <w:t>。</w:t>
      </w:r>
    </w:p>
    <w:p w14:paraId="3F5E0ED4">
      <w:pPr>
        <w:pageBreakBefore w:val="0"/>
        <w:widowControl w:val="0"/>
        <w:kinsoku/>
        <w:wordWrap/>
        <w:overflowPunct/>
        <w:bidi w:val="0"/>
        <w:adjustRightInd w:val="0"/>
        <w:snapToGrid w:val="0"/>
        <w:spacing w:beforeAutospacing="0" w:afterAutospacing="0" w:line="560" w:lineRule="exact"/>
        <w:jc w:val="both"/>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17.供应商符合磋商文件规定的证明文件。</w:t>
      </w:r>
    </w:p>
    <w:p w14:paraId="5BDB038E">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1</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lang w:val="zh-CN"/>
        </w:rPr>
        <w:t>.1供应商应提交满足本章第3.1款规定的资格条件要求的证明文件,该证明文件作为响应文件的一部分。</w:t>
      </w:r>
    </w:p>
    <w:p w14:paraId="26027776">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7</w:t>
      </w:r>
      <w:r>
        <w:rPr>
          <w:rFonts w:hint="eastAsia" w:ascii="宋体" w:hAnsi="宋体" w:eastAsia="宋体" w:cs="宋体"/>
          <w:sz w:val="21"/>
          <w:szCs w:val="21"/>
        </w:rPr>
        <w:t>.2</w:t>
      </w:r>
      <w:r>
        <w:rPr>
          <w:rFonts w:hint="eastAsia" w:ascii="宋体" w:hAnsi="宋体" w:eastAsia="宋体" w:cs="宋体"/>
          <w:kern w:val="0"/>
          <w:sz w:val="21"/>
          <w:szCs w:val="21"/>
          <w:lang w:val="zh-CN"/>
        </w:rPr>
        <w:t>供应商</w:t>
      </w:r>
      <w:r>
        <w:rPr>
          <w:rFonts w:hint="eastAsia" w:ascii="宋体" w:hAnsi="宋体" w:eastAsia="宋体" w:cs="宋体"/>
          <w:sz w:val="21"/>
          <w:szCs w:val="21"/>
        </w:rPr>
        <w:t>为联合体形式的，则应提交联合体各方资格文件、联合体协议，否则将视为非实质响应而被拒绝。</w:t>
      </w:r>
    </w:p>
    <w:p w14:paraId="6F0E4F1D">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17.3除</w:t>
      </w:r>
      <w:r>
        <w:rPr>
          <w:rFonts w:hint="eastAsia" w:ascii="宋体" w:hAnsi="宋体" w:eastAsia="宋体" w:cs="宋体"/>
          <w:b/>
          <w:kern w:val="2"/>
          <w:sz w:val="21"/>
          <w:szCs w:val="21"/>
          <w:lang w:val="en-US" w:eastAsia="zh-CN" w:bidi="ar-SA"/>
        </w:rPr>
        <w:t>磋商文件前附表</w:t>
      </w:r>
      <w:r>
        <w:rPr>
          <w:rFonts w:hint="eastAsia" w:ascii="宋体" w:hAnsi="宋体" w:eastAsia="宋体" w:cs="宋体"/>
          <w:kern w:val="2"/>
          <w:sz w:val="21"/>
          <w:szCs w:val="21"/>
          <w:lang w:val="en-US" w:eastAsia="zh-CN" w:bidi="ar-SA"/>
        </w:rPr>
        <w:t>另有规定外，供应商提供的货物及服务不是供应商制造或拥有的,则应当提供经销、或代理磋商货物、或为磋商货物提供售后服务的证明文件。</w:t>
      </w:r>
    </w:p>
    <w:p w14:paraId="60E26FEC">
      <w:pPr>
        <w:adjustRightInd w:val="0"/>
        <w:snapToGrid w:val="0"/>
        <w:spacing w:before="158" w:beforeLines="50" w:line="360" w:lineRule="auto"/>
        <w:ind w:right="0" w:rightChars="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18．样品提供</w:t>
      </w:r>
    </w:p>
    <w:p w14:paraId="27EF7A51">
      <w:pPr>
        <w:adjustRightInd w:val="0"/>
        <w:snapToGrid w:val="0"/>
        <w:spacing w:before="158" w:beforeLines="50" w:line="360" w:lineRule="auto"/>
        <w:ind w:right="0" w:righ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18.1 </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规定</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在磋商时提供样品的，</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有以下情形之一的，在评审时将其视为无效响应。</w:t>
      </w:r>
    </w:p>
    <w:p w14:paraId="0CFF141B">
      <w:pPr>
        <w:adjustRightInd w:val="0"/>
        <w:snapToGrid w:val="0"/>
        <w:spacing w:before="158" w:beforeLines="50" w:line="360" w:lineRule="auto"/>
        <w:ind w:right="-840" w:rightChars="-40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（1）未在</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规定的提交时间、地点提交的；</w:t>
      </w:r>
    </w:p>
    <w:p w14:paraId="5AB4766D">
      <w:pPr>
        <w:adjustRightInd w:val="0"/>
        <w:snapToGrid w:val="0"/>
        <w:spacing w:before="158" w:beforeLines="50" w:line="360" w:lineRule="auto"/>
        <w:ind w:right="-840" w:rightChars="-40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提供的样品与响应文件中提供样品的型号、规格不一致的。</w:t>
      </w:r>
    </w:p>
    <w:p w14:paraId="160F63BA">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9</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磋商</w:t>
      </w:r>
      <w:r>
        <w:rPr>
          <w:rFonts w:hint="eastAsia" w:ascii="宋体" w:hAnsi="宋体" w:eastAsia="宋体" w:cs="宋体"/>
          <w:b/>
          <w:bCs/>
          <w:sz w:val="21"/>
          <w:szCs w:val="21"/>
        </w:rPr>
        <w:t>保证金</w:t>
      </w:r>
    </w:p>
    <w:p w14:paraId="42FCD288">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bCs/>
          <w:kern w:val="2"/>
          <w:sz w:val="21"/>
          <w:szCs w:val="21"/>
          <w:lang w:val="en-US" w:eastAsia="zh-CN" w:bidi="ar-SA"/>
        </w:rPr>
      </w:pPr>
      <w:r>
        <w:rPr>
          <w:rFonts w:hint="eastAsia" w:ascii="宋体" w:hAnsi="宋体" w:eastAsia="宋体" w:cs="宋体"/>
          <w:kern w:val="2"/>
          <w:sz w:val="21"/>
          <w:szCs w:val="21"/>
          <w:lang w:val="en-US" w:eastAsia="zh-CN" w:bidi="ar-SA"/>
        </w:rPr>
        <w:t>19.1</w:t>
      </w:r>
      <w:r>
        <w:rPr>
          <w:rFonts w:hint="eastAsia" w:ascii="宋体" w:hAnsi="宋体" w:eastAsia="宋体" w:cs="宋体"/>
          <w:b/>
          <w:kern w:val="2"/>
          <w:sz w:val="21"/>
          <w:szCs w:val="21"/>
          <w:lang w:val="en-US" w:eastAsia="zh-CN" w:bidi="ar-SA"/>
        </w:rPr>
        <w:t>磋商须知前附表</w:t>
      </w:r>
      <w:r>
        <w:rPr>
          <w:rFonts w:hint="eastAsia" w:ascii="宋体" w:hAnsi="宋体" w:eastAsia="宋体" w:cs="宋体"/>
          <w:kern w:val="2"/>
          <w:sz w:val="21"/>
          <w:szCs w:val="21"/>
          <w:lang w:val="en-US" w:eastAsia="zh-CN" w:bidi="ar-SA"/>
        </w:rPr>
        <w:t>规定交纳</w:t>
      </w:r>
      <w:r>
        <w:rPr>
          <w:rFonts w:hint="eastAsia" w:ascii="宋体" w:hAnsi="宋体" w:eastAsia="宋体" w:cs="宋体"/>
          <w:bCs/>
          <w:kern w:val="2"/>
          <w:sz w:val="21"/>
          <w:szCs w:val="21"/>
          <w:lang w:val="en-US" w:eastAsia="zh-CN" w:bidi="ar-SA"/>
        </w:rPr>
        <w:t>保证金的</w:t>
      </w:r>
      <w:r>
        <w:rPr>
          <w:rFonts w:hint="eastAsia" w:ascii="宋体" w:hAnsi="宋体" w:eastAsia="宋体" w:cs="宋体"/>
          <w:kern w:val="2"/>
          <w:sz w:val="21"/>
          <w:szCs w:val="21"/>
          <w:lang w:val="en-US" w:eastAsia="zh-CN" w:bidi="ar-SA"/>
        </w:rPr>
        <w:t>，应按</w:t>
      </w:r>
      <w:r>
        <w:rPr>
          <w:rFonts w:hint="eastAsia" w:ascii="宋体" w:hAnsi="宋体" w:eastAsia="宋体" w:cs="宋体"/>
          <w:b/>
          <w:kern w:val="2"/>
          <w:sz w:val="21"/>
          <w:szCs w:val="21"/>
          <w:lang w:val="en-US" w:eastAsia="zh-CN" w:bidi="ar-SA"/>
        </w:rPr>
        <w:t>磋商须知前附表</w:t>
      </w:r>
      <w:r>
        <w:rPr>
          <w:rFonts w:hint="eastAsia" w:ascii="宋体" w:hAnsi="宋体" w:eastAsia="宋体" w:cs="宋体"/>
          <w:kern w:val="2"/>
          <w:sz w:val="21"/>
          <w:szCs w:val="21"/>
          <w:lang w:val="en-US" w:eastAsia="zh-CN" w:bidi="ar-SA"/>
        </w:rPr>
        <w:t>规定的</w:t>
      </w:r>
      <w:r>
        <w:rPr>
          <w:rFonts w:hint="eastAsia" w:ascii="宋体" w:hAnsi="宋体" w:eastAsia="宋体" w:cs="宋体"/>
          <w:bCs/>
          <w:kern w:val="2"/>
          <w:sz w:val="21"/>
          <w:szCs w:val="21"/>
          <w:lang w:val="en-US" w:eastAsia="zh-CN" w:bidi="ar-SA"/>
        </w:rPr>
        <w:t>保证金形式交纳，不得以现金方式交纳</w:t>
      </w:r>
      <w:r>
        <w:rPr>
          <w:rFonts w:hint="eastAsia" w:ascii="宋体" w:hAnsi="宋体" w:eastAsia="宋体" w:cs="宋体"/>
          <w:kern w:val="2"/>
          <w:sz w:val="21"/>
          <w:szCs w:val="21"/>
          <w:lang w:val="en-US" w:eastAsia="zh-CN" w:bidi="ar-SA"/>
        </w:rPr>
        <w:t>，在提交首次响应文件截止时间前，</w:t>
      </w:r>
      <w:r>
        <w:rPr>
          <w:rFonts w:hint="eastAsia" w:ascii="宋体" w:hAnsi="宋体" w:eastAsia="宋体" w:cs="宋体"/>
          <w:bCs/>
          <w:kern w:val="2"/>
          <w:sz w:val="21"/>
          <w:szCs w:val="21"/>
          <w:lang w:val="en-US" w:eastAsia="zh-CN" w:bidi="ar-SA"/>
        </w:rPr>
        <w:t>向采购代理机构交纳不超过</w:t>
      </w:r>
      <w:r>
        <w:rPr>
          <w:rFonts w:hint="eastAsia" w:ascii="宋体" w:hAnsi="宋体" w:eastAsia="宋体" w:cs="宋体"/>
          <w:kern w:val="2"/>
          <w:sz w:val="21"/>
          <w:szCs w:val="21"/>
          <w:lang w:val="zh-CN" w:eastAsia="zh-CN" w:bidi="ar-SA"/>
        </w:rPr>
        <w:t>采购项目预算2﹪</w:t>
      </w:r>
      <w:r>
        <w:rPr>
          <w:rFonts w:hint="eastAsia" w:ascii="宋体" w:hAnsi="宋体" w:eastAsia="宋体" w:cs="宋体"/>
          <w:bCs/>
          <w:kern w:val="2"/>
          <w:sz w:val="21"/>
          <w:szCs w:val="21"/>
          <w:lang w:val="en-US" w:eastAsia="zh-CN" w:bidi="ar-SA"/>
        </w:rPr>
        <w:t>的保证金（数额采用四舍五入，计算至元）</w:t>
      </w:r>
      <w:r>
        <w:rPr>
          <w:rFonts w:hint="eastAsia" w:ascii="宋体" w:hAnsi="宋体" w:eastAsia="宋体" w:cs="宋体"/>
          <w:kern w:val="2"/>
          <w:sz w:val="21"/>
          <w:szCs w:val="21"/>
          <w:lang w:val="en-US" w:eastAsia="zh-CN" w:bidi="ar-SA"/>
        </w:rPr>
        <w:t>。</w:t>
      </w:r>
      <w:r>
        <w:rPr>
          <w:rFonts w:hint="eastAsia" w:ascii="宋体" w:hAnsi="宋体" w:eastAsia="宋体" w:cs="宋体"/>
          <w:bCs/>
          <w:kern w:val="2"/>
          <w:sz w:val="21"/>
          <w:szCs w:val="21"/>
          <w:lang w:val="en-US" w:eastAsia="zh-CN" w:bidi="ar-SA"/>
        </w:rPr>
        <w:t>保证金有效期应当与</w:t>
      </w:r>
      <w:r>
        <w:rPr>
          <w:rFonts w:hint="eastAsia" w:ascii="宋体" w:hAnsi="宋体" w:eastAsia="宋体" w:cs="宋体"/>
          <w:kern w:val="2"/>
          <w:sz w:val="21"/>
          <w:szCs w:val="21"/>
          <w:lang w:val="en-US" w:eastAsia="zh-CN" w:bidi="ar-SA"/>
        </w:rPr>
        <w:t>本章第20.1</w:t>
      </w:r>
      <w:r>
        <w:rPr>
          <w:rFonts w:hint="eastAsia" w:ascii="宋体" w:hAnsi="宋体" w:eastAsia="宋体" w:cs="宋体"/>
          <w:kern w:val="2"/>
          <w:sz w:val="21"/>
          <w:szCs w:val="21"/>
          <w:lang w:val="zh-CN" w:eastAsia="zh-CN" w:bidi="ar-SA"/>
        </w:rPr>
        <w:t>款</w:t>
      </w:r>
      <w:r>
        <w:rPr>
          <w:rFonts w:hint="eastAsia" w:ascii="宋体" w:hAnsi="宋体" w:eastAsia="宋体" w:cs="宋体"/>
          <w:kern w:val="2"/>
          <w:sz w:val="21"/>
          <w:szCs w:val="21"/>
          <w:lang w:val="en-US" w:eastAsia="zh-CN" w:bidi="ar-SA"/>
        </w:rPr>
        <w:t>规定的</w:t>
      </w:r>
      <w:r>
        <w:rPr>
          <w:rFonts w:hint="eastAsia" w:ascii="宋体" w:hAnsi="宋体" w:eastAsia="宋体" w:cs="宋体"/>
          <w:bCs/>
          <w:kern w:val="2"/>
          <w:sz w:val="21"/>
          <w:szCs w:val="21"/>
          <w:lang w:val="en-US" w:eastAsia="zh-CN" w:bidi="ar-SA"/>
        </w:rPr>
        <w:t>响应文件有效期一致。</w:t>
      </w:r>
    </w:p>
    <w:p w14:paraId="5CCF4A7C">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b/>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.2</w:t>
      </w:r>
      <w:r>
        <w:rPr>
          <w:rFonts w:hint="eastAsia" w:ascii="宋体" w:hAnsi="宋体" w:eastAsia="宋体" w:cs="宋体"/>
          <w:kern w:val="0"/>
          <w:sz w:val="21"/>
          <w:szCs w:val="21"/>
          <w:lang w:val="zh-CN"/>
        </w:rPr>
        <w:t>供应商为联合体的，可以由联合体中的一方或者共同交纳保证金，其交纳的保证金，对联合体各方均具有约束力。</w:t>
      </w:r>
    </w:p>
    <w:p w14:paraId="5D1B8E41">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19.3未按磋商文件规定提交保证金的，</w:t>
      </w:r>
      <w:r>
        <w:rPr>
          <w:rFonts w:hint="eastAsia" w:ascii="宋体" w:hAnsi="宋体" w:eastAsia="宋体" w:cs="宋体"/>
          <w:bCs/>
          <w:kern w:val="2"/>
          <w:sz w:val="21"/>
          <w:szCs w:val="21"/>
          <w:lang w:val="en-US" w:eastAsia="zh-CN" w:bidi="ar-SA"/>
        </w:rPr>
        <w:t>采购人或采购代理机构应当拒绝接收供应商的响应文件</w:t>
      </w:r>
      <w:r>
        <w:rPr>
          <w:rFonts w:hint="eastAsia" w:ascii="宋体" w:hAnsi="宋体" w:eastAsia="宋体" w:cs="宋体"/>
          <w:kern w:val="2"/>
          <w:sz w:val="21"/>
          <w:szCs w:val="21"/>
          <w:lang w:val="en-US" w:eastAsia="zh-CN" w:bidi="ar-SA"/>
        </w:rPr>
        <w:t>。</w:t>
      </w:r>
    </w:p>
    <w:p w14:paraId="5CB82CB5">
      <w:pPr>
        <w:pageBreakBefore w:val="0"/>
        <w:widowControl w:val="0"/>
        <w:tabs>
          <w:tab w:val="left" w:pos="6300"/>
        </w:tabs>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19.4采购代理机构在成交通知书发出后5个工作日内退还未成交供应商的保证金；在采购合同签定后5个工作日内退还成交供应商的保证金，但因供应商自身原因导致无法及时退还的除外。</w:t>
      </w:r>
    </w:p>
    <w:p w14:paraId="5240727D">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19.5有下列情形之一的，保证金不予退还，并上缴财政部门：</w:t>
      </w:r>
    </w:p>
    <w:p w14:paraId="0C0BFEBE">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（1）供应商在提交首次响应文件截止时间后撤回响应文件的；</w:t>
      </w:r>
    </w:p>
    <w:p w14:paraId="6FCC139B">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（2）供应商在响应文件中提供虚假材料的；</w:t>
      </w:r>
    </w:p>
    <w:p w14:paraId="43316055">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（3）确定成交结果后，无正当理由放弃成交资格的；</w:t>
      </w:r>
    </w:p>
    <w:p w14:paraId="71C48024">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）除因不可抗力或磋商文件认可的情形以外，成交供应商不与采购人签订合同的；</w:t>
      </w:r>
    </w:p>
    <w:p w14:paraId="49753B13">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）供应商与采购人、其他供应商或者采购代理机构恶意串通的；</w:t>
      </w:r>
    </w:p>
    <w:p w14:paraId="07CA052B">
      <w:pPr>
        <w:pageBreakBefore w:val="0"/>
        <w:widowControl/>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）磋商文件规定的其他情形。</w:t>
      </w:r>
    </w:p>
    <w:p w14:paraId="5978B392">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20</w:t>
      </w:r>
      <w:r>
        <w:rPr>
          <w:rFonts w:hint="eastAsia" w:ascii="宋体" w:hAnsi="宋体" w:eastAsia="宋体" w:cs="宋体"/>
          <w:b/>
          <w:bCs/>
          <w:sz w:val="21"/>
          <w:szCs w:val="21"/>
        </w:rPr>
        <w:t>.</w:t>
      </w:r>
      <w:r>
        <w:rPr>
          <w:rFonts w:hint="eastAsia" w:ascii="宋体" w:hAnsi="宋体" w:eastAsia="宋体" w:cs="宋体"/>
          <w:b/>
          <w:sz w:val="21"/>
          <w:szCs w:val="21"/>
        </w:rPr>
        <w:t>响应文件有效期</w:t>
      </w:r>
    </w:p>
    <w:p w14:paraId="443AE61F">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.1响应文件有效期见</w:t>
      </w:r>
      <w:r>
        <w:rPr>
          <w:rFonts w:hint="eastAsia" w:ascii="宋体" w:hAnsi="宋体" w:eastAsia="宋体" w:cs="宋体"/>
          <w:b/>
          <w:sz w:val="21"/>
          <w:szCs w:val="21"/>
        </w:rPr>
        <w:t>磋商须知前附表</w:t>
      </w:r>
      <w:r>
        <w:rPr>
          <w:rFonts w:hint="eastAsia" w:ascii="宋体" w:hAnsi="宋体" w:eastAsia="宋体" w:cs="宋体"/>
          <w:sz w:val="21"/>
          <w:szCs w:val="21"/>
        </w:rPr>
        <w:t>，在此期间响应文件对供应商具有法律约束力，从</w:t>
      </w:r>
      <w:r>
        <w:rPr>
          <w:rFonts w:hint="eastAsia" w:ascii="宋体" w:hAnsi="宋体" w:eastAsia="宋体" w:cs="宋体"/>
          <w:kern w:val="0"/>
          <w:sz w:val="21"/>
          <w:szCs w:val="21"/>
        </w:rPr>
        <w:t>提交首次响应文件截止时间</w:t>
      </w:r>
      <w:r>
        <w:rPr>
          <w:rFonts w:hint="eastAsia" w:ascii="宋体" w:hAnsi="宋体" w:eastAsia="宋体" w:cs="宋体"/>
          <w:sz w:val="21"/>
          <w:szCs w:val="21"/>
        </w:rPr>
        <w:t>之日起计算。响应文件有效期不足的将被视为无效响应。</w:t>
      </w:r>
    </w:p>
    <w:p w14:paraId="5EA97E4D">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21</w:t>
      </w:r>
      <w:r>
        <w:rPr>
          <w:rFonts w:hint="eastAsia" w:ascii="宋体" w:hAnsi="宋体" w:eastAsia="宋体" w:cs="宋体"/>
          <w:b/>
          <w:bCs/>
          <w:sz w:val="21"/>
          <w:szCs w:val="21"/>
        </w:rPr>
        <w:t>.响应文件的签署及规定</w:t>
      </w:r>
    </w:p>
    <w:p w14:paraId="277974B9">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21.1</w:t>
      </w:r>
      <w:r>
        <w:rPr>
          <w:rFonts w:hint="eastAsia" w:ascii="宋体" w:hAnsi="宋体" w:eastAsia="宋体" w:cs="宋体"/>
          <w:kern w:val="2"/>
          <w:sz w:val="21"/>
          <w:szCs w:val="21"/>
          <w:highlight w:val="none"/>
          <w:lang w:val="en-US" w:eastAsia="zh-CN" w:bidi="ar-SA"/>
        </w:rPr>
        <w:t>响应文件的正本和副本应胶装成册，</w:t>
      </w:r>
      <w:r>
        <w:rPr>
          <w:rFonts w:hint="eastAsia" w:ascii="宋体" w:hAnsi="宋体" w:eastAsia="宋体" w:cs="宋体"/>
          <w:kern w:val="2"/>
          <w:sz w:val="21"/>
          <w:szCs w:val="21"/>
          <w:lang w:val="en-US" w:eastAsia="zh-CN" w:bidi="ar-SA"/>
        </w:rPr>
        <w:t>正本一份，副本份数见</w:t>
      </w:r>
      <w:r>
        <w:rPr>
          <w:rFonts w:hint="eastAsia" w:ascii="宋体" w:hAnsi="宋体" w:eastAsia="宋体" w:cs="宋体"/>
          <w:b/>
          <w:kern w:val="2"/>
          <w:sz w:val="21"/>
          <w:szCs w:val="21"/>
          <w:lang w:val="en-US" w:eastAsia="zh-CN" w:bidi="ar-SA"/>
        </w:rPr>
        <w:t>磋商须知前附表</w:t>
      </w:r>
      <w:r>
        <w:rPr>
          <w:rFonts w:hint="eastAsia" w:ascii="宋体" w:hAnsi="宋体" w:eastAsia="宋体" w:cs="宋体"/>
          <w:kern w:val="2"/>
          <w:sz w:val="21"/>
          <w:szCs w:val="21"/>
          <w:lang w:val="en-US" w:eastAsia="zh-CN" w:bidi="ar-SA"/>
        </w:rPr>
        <w:t>。正本和副本的封面上应标记“正本”或“副本”的字样，当正本和副本有差异时，以正本为准。</w:t>
      </w:r>
    </w:p>
    <w:p w14:paraId="6A8612B7">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21.2响应文件正本和副本应按磋商文件要求签章处盖单位章和由法定代表人或其委托代理人签字；任何加行、涂改、增删，应有法定代表人或其委托代理人在旁边签字。否则，将导致响应文件无效。</w:t>
      </w:r>
    </w:p>
    <w:p w14:paraId="780CDE20">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21.3在磋商过程中，供应商按磋商文件规定和磋商小组要求提交的最后报价(或者</w:t>
      </w:r>
      <w:r>
        <w:rPr>
          <w:rFonts w:hint="eastAsia" w:ascii="宋体" w:hAnsi="宋体" w:eastAsia="宋体" w:cs="宋体"/>
          <w:bCs/>
          <w:kern w:val="2"/>
          <w:sz w:val="21"/>
          <w:szCs w:val="21"/>
          <w:lang w:val="en-US" w:eastAsia="zh-CN" w:bidi="ar-SA"/>
        </w:rPr>
        <w:t>重</w:t>
      </w:r>
      <w:r>
        <w:rPr>
          <w:rFonts w:hint="eastAsia" w:ascii="宋体" w:hAnsi="宋体" w:eastAsia="宋体" w:cs="宋体"/>
          <w:kern w:val="2"/>
          <w:sz w:val="21"/>
          <w:szCs w:val="21"/>
          <w:lang w:val="en-US" w:eastAsia="zh-CN" w:bidi="ar-SA"/>
        </w:rPr>
        <w:t>新提交的响应文件和最后报价)，可打印或用不退色墨水书写，但需经法定代表人或其委托代理人签字，或者加盖供应商单位章。否则，将导致响应文件无效。</w:t>
      </w:r>
    </w:p>
    <w:p w14:paraId="19A81FB7">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r>
        <w:rPr>
          <w:rFonts w:hint="eastAsia" w:ascii="宋体" w:hAnsi="宋体" w:eastAsia="宋体" w:cs="宋体"/>
          <w:b/>
          <w:sz w:val="21"/>
          <w:szCs w:val="21"/>
        </w:rPr>
        <w:t>四、响应文件的递交</w:t>
      </w:r>
    </w:p>
    <w:p w14:paraId="1636CD44">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2</w:t>
      </w:r>
      <w:r>
        <w:rPr>
          <w:rFonts w:hint="eastAsia" w:ascii="宋体" w:hAnsi="宋体" w:eastAsia="宋体" w:cs="宋体"/>
          <w:b/>
          <w:bCs/>
          <w:sz w:val="21"/>
          <w:szCs w:val="21"/>
        </w:rPr>
        <w:t>.</w:t>
      </w:r>
      <w:r>
        <w:rPr>
          <w:rFonts w:hint="eastAsia" w:ascii="宋体" w:hAnsi="宋体" w:eastAsia="宋体" w:cs="宋体"/>
          <w:b/>
          <w:sz w:val="21"/>
          <w:szCs w:val="21"/>
        </w:rPr>
        <w:t>响应文件</w:t>
      </w:r>
      <w:r>
        <w:rPr>
          <w:rFonts w:hint="eastAsia" w:ascii="宋体" w:hAnsi="宋体" w:eastAsia="宋体" w:cs="宋体"/>
          <w:b/>
          <w:bCs/>
          <w:sz w:val="21"/>
          <w:szCs w:val="21"/>
        </w:rPr>
        <w:t>的密封和标记</w:t>
      </w:r>
    </w:p>
    <w:p w14:paraId="462830F5">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22.1响应文件应密封包装，加贴封条，并在封套的封口处盖供应商单位章或者由法定代表人或其委托代理人签字。</w:t>
      </w:r>
    </w:p>
    <w:p w14:paraId="12051B30">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.2响应文件封套上应写明的内容见</w:t>
      </w:r>
      <w:r>
        <w:rPr>
          <w:rFonts w:hint="eastAsia" w:ascii="宋体" w:hAnsi="宋体" w:eastAsia="宋体" w:cs="宋体"/>
          <w:b/>
          <w:sz w:val="21"/>
          <w:szCs w:val="21"/>
        </w:rPr>
        <w:t>磋商须知前附表。</w:t>
      </w:r>
    </w:p>
    <w:p w14:paraId="0E26F255">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.3响应文件如果未按上述规定密封和加写标记，采购人或采购代理机构将拒绝接收。</w:t>
      </w:r>
    </w:p>
    <w:p w14:paraId="0D7734B5">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.响应文件的</w:t>
      </w:r>
      <w:r>
        <w:rPr>
          <w:rFonts w:hint="eastAsia" w:ascii="宋体" w:hAnsi="宋体" w:eastAsia="宋体" w:cs="宋体"/>
          <w:b/>
          <w:kern w:val="0"/>
          <w:sz w:val="21"/>
          <w:szCs w:val="21"/>
          <w:lang w:val="zh-CN"/>
        </w:rPr>
        <w:t>补充、修改或者撤回</w:t>
      </w:r>
    </w:p>
    <w:p w14:paraId="7AAA16E4">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23.1供应商在提交首次响应文件截止时间前，可以对所提交的首次响应文件进行补充、修改或者撤回，并书面通知采购人、采购代理机构。该通知应有供应商法定代表人或其委托代理人签字。</w:t>
      </w:r>
    </w:p>
    <w:p w14:paraId="0F199D96">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23.2</w:t>
      </w:r>
      <w:r>
        <w:rPr>
          <w:rFonts w:hint="eastAsia" w:ascii="宋体" w:hAnsi="宋体" w:eastAsia="宋体" w:cs="宋体"/>
          <w:kern w:val="2"/>
          <w:sz w:val="21"/>
          <w:szCs w:val="21"/>
          <w:lang w:val="zh-CN" w:eastAsia="zh-CN" w:bidi="ar-SA"/>
        </w:rPr>
        <w:t>补充、修改的内容与响应文件不一致时，以补充、修改的内容为准。</w:t>
      </w:r>
    </w:p>
    <w:p w14:paraId="4695089C">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.响应文件的递交与接收</w:t>
      </w:r>
    </w:p>
    <w:p w14:paraId="175CE690">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4</w:t>
      </w:r>
      <w:r>
        <w:rPr>
          <w:rFonts w:hint="eastAsia" w:ascii="宋体" w:hAnsi="宋体" w:eastAsia="宋体" w:cs="宋体"/>
          <w:sz w:val="21"/>
          <w:szCs w:val="21"/>
        </w:rPr>
        <w:t>.1供应商应在</w:t>
      </w:r>
      <w:r>
        <w:rPr>
          <w:rFonts w:hint="eastAsia" w:ascii="宋体" w:hAnsi="宋体" w:eastAsia="宋体" w:cs="宋体"/>
          <w:kern w:val="0"/>
          <w:sz w:val="21"/>
          <w:szCs w:val="21"/>
        </w:rPr>
        <w:t>提交首次响应文件截止时间</w:t>
      </w:r>
      <w:r>
        <w:rPr>
          <w:rFonts w:hint="eastAsia" w:ascii="宋体" w:hAnsi="宋体" w:eastAsia="宋体" w:cs="宋体"/>
          <w:sz w:val="21"/>
          <w:szCs w:val="21"/>
        </w:rPr>
        <w:t>前，将响应文件送达</w:t>
      </w:r>
      <w:r>
        <w:rPr>
          <w:rFonts w:hint="eastAsia" w:ascii="宋体" w:hAnsi="宋体" w:eastAsia="宋体" w:cs="宋体"/>
          <w:b/>
          <w:sz w:val="21"/>
          <w:szCs w:val="21"/>
        </w:rPr>
        <w:t>磋商须知前附表</w:t>
      </w:r>
      <w:r>
        <w:rPr>
          <w:rFonts w:hint="eastAsia" w:ascii="宋体" w:hAnsi="宋体" w:eastAsia="宋体" w:cs="宋体"/>
          <w:sz w:val="21"/>
          <w:szCs w:val="21"/>
        </w:rPr>
        <w:t>中指定的地点。</w:t>
      </w:r>
      <w:r>
        <w:rPr>
          <w:rFonts w:hint="eastAsia" w:ascii="宋体" w:hAnsi="宋体" w:eastAsia="宋体" w:cs="宋体"/>
          <w:kern w:val="0"/>
          <w:sz w:val="21"/>
          <w:szCs w:val="21"/>
        </w:rPr>
        <w:t>在截止时间后送达的响应文件，采购人、采购代理机构或者磋商小组应当拒收。</w:t>
      </w:r>
    </w:p>
    <w:p w14:paraId="100E1C17">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24.2在提交首次响应文件截止时间后，由</w:t>
      </w:r>
      <w:r>
        <w:rPr>
          <w:rFonts w:hint="eastAsia" w:ascii="宋体" w:hAnsi="宋体" w:eastAsia="宋体" w:cs="宋体"/>
          <w:bCs/>
          <w:kern w:val="2"/>
          <w:sz w:val="21"/>
          <w:szCs w:val="21"/>
          <w:lang w:val="en-US" w:eastAsia="zh-CN" w:bidi="ar-SA"/>
        </w:rPr>
        <w:t>供应商代表</w:t>
      </w:r>
      <w:r>
        <w:rPr>
          <w:rFonts w:hint="eastAsia" w:ascii="宋体" w:hAnsi="宋体" w:eastAsia="宋体" w:cs="宋体"/>
          <w:kern w:val="2"/>
          <w:sz w:val="21"/>
          <w:szCs w:val="21"/>
          <w:lang w:val="en-US" w:eastAsia="zh-CN" w:bidi="ar-SA"/>
        </w:rPr>
        <w:t>当场查验</w:t>
      </w:r>
      <w:r>
        <w:rPr>
          <w:rFonts w:hint="eastAsia" w:ascii="宋体" w:hAnsi="宋体" w:eastAsia="宋体" w:cs="宋体"/>
          <w:bCs/>
          <w:kern w:val="2"/>
          <w:sz w:val="21"/>
          <w:szCs w:val="21"/>
          <w:lang w:val="en-US" w:eastAsia="zh-CN" w:bidi="ar-SA"/>
        </w:rPr>
        <w:t>响应文件</w:t>
      </w:r>
      <w:r>
        <w:rPr>
          <w:rFonts w:hint="eastAsia" w:ascii="宋体" w:hAnsi="宋体" w:eastAsia="宋体" w:cs="宋体"/>
          <w:kern w:val="2"/>
          <w:sz w:val="21"/>
          <w:szCs w:val="21"/>
          <w:lang w:val="en-US" w:eastAsia="zh-CN" w:bidi="ar-SA"/>
        </w:rPr>
        <w:t>的密封状况，采购人或</w:t>
      </w:r>
      <w:r>
        <w:rPr>
          <w:rFonts w:hint="eastAsia" w:ascii="宋体" w:hAnsi="宋体" w:eastAsia="宋体" w:cs="宋体"/>
          <w:bCs/>
          <w:kern w:val="2"/>
          <w:sz w:val="21"/>
          <w:szCs w:val="21"/>
          <w:lang w:val="en-US" w:eastAsia="zh-CN" w:bidi="ar-SA"/>
        </w:rPr>
        <w:t>采购代理机构</w:t>
      </w:r>
      <w:r>
        <w:rPr>
          <w:rFonts w:hint="eastAsia" w:ascii="宋体" w:hAnsi="宋体" w:eastAsia="宋体" w:cs="宋体"/>
          <w:kern w:val="2"/>
          <w:sz w:val="21"/>
          <w:szCs w:val="21"/>
          <w:lang w:val="en-US" w:eastAsia="zh-CN" w:bidi="ar-SA"/>
        </w:rPr>
        <w:t>不当场拆封</w:t>
      </w:r>
      <w:r>
        <w:rPr>
          <w:rFonts w:hint="eastAsia" w:ascii="宋体" w:hAnsi="宋体" w:eastAsia="宋体" w:cs="宋体"/>
          <w:bCs/>
          <w:kern w:val="2"/>
          <w:sz w:val="21"/>
          <w:szCs w:val="21"/>
          <w:lang w:val="en-US" w:eastAsia="zh-CN" w:bidi="ar-SA"/>
        </w:rPr>
        <w:t>响应文件</w:t>
      </w:r>
      <w:r>
        <w:rPr>
          <w:rFonts w:hint="eastAsia" w:ascii="宋体" w:hAnsi="宋体" w:eastAsia="宋体" w:cs="宋体"/>
          <w:kern w:val="2"/>
          <w:sz w:val="21"/>
          <w:szCs w:val="21"/>
          <w:lang w:val="en-US" w:eastAsia="zh-CN" w:bidi="ar-SA"/>
        </w:rPr>
        <w:t>。</w:t>
      </w:r>
    </w:p>
    <w:p w14:paraId="32401254">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r>
        <w:rPr>
          <w:rFonts w:hint="eastAsia" w:ascii="宋体" w:hAnsi="宋体" w:eastAsia="宋体" w:cs="宋体"/>
          <w:b/>
          <w:sz w:val="21"/>
          <w:szCs w:val="21"/>
        </w:rPr>
        <w:t>五、响应文件的评审与磋商</w:t>
      </w:r>
    </w:p>
    <w:p w14:paraId="7C42F5DB">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25.磋商程序</w:t>
      </w:r>
    </w:p>
    <w:p w14:paraId="0AEBD867">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25.1磋商程序：响应文件审查、磋商（包括澄清）、响应文件评审、提出成交供应商。其中，磋商按本章第30.1</w:t>
      </w:r>
      <w:r>
        <w:rPr>
          <w:rFonts w:hint="eastAsia" w:ascii="宋体" w:hAnsi="宋体" w:eastAsia="宋体" w:cs="宋体"/>
          <w:b w:val="0"/>
          <w:bCs/>
          <w:sz w:val="21"/>
          <w:szCs w:val="21"/>
          <w:lang w:val="zh-CN"/>
        </w:rPr>
        <w:t>款或者</w:t>
      </w:r>
      <w:r>
        <w:rPr>
          <w:rFonts w:hint="eastAsia" w:ascii="宋体" w:hAnsi="宋体" w:eastAsia="宋体" w:cs="宋体"/>
          <w:b w:val="0"/>
          <w:bCs/>
          <w:sz w:val="21"/>
          <w:szCs w:val="21"/>
        </w:rPr>
        <w:t>第30.2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情形进行。</w:t>
      </w:r>
    </w:p>
    <w:p w14:paraId="5BC9EDAE">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 xml:space="preserve">26. 响应文件审查 </w:t>
      </w:r>
    </w:p>
    <w:p w14:paraId="13C9DE1D">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26.1 资格性审查：根据本章第3.1项规定的供应商资格条件要求，对响应文件的资格证明等进行审查，以确定供应商是否具备磋商资格条件。</w:t>
      </w:r>
    </w:p>
    <w:p w14:paraId="4E8BBA14">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26.2符合性审查: 对响应文件(包括首次提交的响应文件、重新提交的响应文件)的有效性、完整性和响应程度进行审查，以确定是否对磋商文件的实质性要求作出响应。</w:t>
      </w:r>
    </w:p>
    <w:p w14:paraId="2FDFFAF6">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27.实质性响应</w:t>
      </w:r>
    </w:p>
    <w:p w14:paraId="40C8DB2A">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27.1实质性响应是指响应文件(包括首次响应文件、重新提交的响应文件)与磋商文件要求的所有条款、条件和规格相符，没有偏离。偏离指不满足、或不响应磋商文件的要求。</w:t>
      </w:r>
    </w:p>
    <w:p w14:paraId="4CBB6E03">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27.2响应文件是否实质性响应磋商文件要求由磋商小组依据磋商文件规定认定。磋商小组决定响应文件的响应性只根据响应文件本身的真实无误的内容，而不依据外部的证据。</w:t>
      </w:r>
    </w:p>
    <w:p w14:paraId="4D8883FF">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 xml:space="preserve">28.无效响应 </w:t>
      </w:r>
    </w:p>
    <w:p w14:paraId="633C73A9">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28.1磋商小组在对资格性和符合性进行审查时，有下列情况之一的，属无效响应，磋商小组应当告知有关供应商：</w:t>
      </w:r>
    </w:p>
    <w:p w14:paraId="073CFFED">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（1）供应商不具备本章第3.1款规定的供应商资格条件要求，或存在本章第3.</w:t>
      </w:r>
      <w:r>
        <w:rPr>
          <w:rFonts w:hint="eastAsia" w:ascii="宋体" w:hAnsi="宋体" w:eastAsia="宋体" w:cs="宋体"/>
          <w:b w:val="0"/>
          <w:bCs/>
          <w:sz w:val="21"/>
          <w:szCs w:val="21"/>
          <w:lang w:val="en-US" w:eastAsia="zh-CN"/>
        </w:rPr>
        <w:t>3</w:t>
      </w:r>
      <w:r>
        <w:rPr>
          <w:rFonts w:hint="eastAsia" w:ascii="宋体" w:hAnsi="宋体" w:eastAsia="宋体" w:cs="宋体"/>
          <w:b w:val="0"/>
          <w:bCs/>
          <w:sz w:val="21"/>
          <w:szCs w:val="21"/>
        </w:rPr>
        <w:t>款情形的；</w:t>
      </w:r>
    </w:p>
    <w:p w14:paraId="7BE84256">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（2）联合体不符合本章第3.2款规定的；</w:t>
      </w:r>
    </w:p>
    <w:p w14:paraId="33B34848">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（3）应交未交磋商保证金或金额不足、磋商保证金缴纳形式不符合磋商文件要求的；</w:t>
      </w:r>
    </w:p>
    <w:p w14:paraId="3F81CD45">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（4）响应文件未按照磋商文件要求签署、盖章的；</w:t>
      </w:r>
    </w:p>
    <w:p w14:paraId="4F58F200">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（4）响应文件不满足本章第27.1款规定的实质性要求的；</w:t>
      </w:r>
    </w:p>
    <w:p w14:paraId="3C1947A6">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（5）报价超过采购项目预算的；</w:t>
      </w:r>
    </w:p>
    <w:p w14:paraId="64BD539B">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（6）响应文件有效期不足的；</w:t>
      </w:r>
    </w:p>
    <w:p w14:paraId="5ACBD6A6">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（7）响应文件不符合法律、规章、规范性文件和磋商文件规定及要求的。</w:t>
      </w:r>
    </w:p>
    <w:p w14:paraId="0E588F34">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29.澄清</w:t>
      </w:r>
    </w:p>
    <w:p w14:paraId="42FC5EF5">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6FA5FCB1">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7532B03D">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30.磋商</w:t>
      </w:r>
    </w:p>
    <w:p w14:paraId="5752A694">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rPr>
        <w:t>30.1本章第10.2项未明确磋商文件实质性变动内容的，或者磋商文件明确了可能发生实质性变动内容，但在磋商过程中，磋商小组根据磋商情况认为磋商文件无需发生实质性变动的，磋商小组应当直接与响应文件审查合格的供应商就价格组织多轮磋商。</w:t>
      </w:r>
    </w:p>
    <w:p w14:paraId="575AEC82">
      <w:pPr>
        <w:pageBreakBefore w:val="0"/>
        <w:kinsoku/>
        <w:wordWrap/>
        <w:overflowPunct/>
        <w:bidi w:val="0"/>
        <w:adjustRightInd w:val="0"/>
        <w:snapToGrid w:val="0"/>
        <w:spacing w:beforeAutospacing="0" w:afterAutospacing="0" w:line="560" w:lineRule="exact"/>
        <w:ind w:firstLine="210" w:firstLineChars="100"/>
        <w:outlineLvl w:val="1"/>
        <w:rPr>
          <w:rFonts w:hint="eastAsia" w:ascii="宋体" w:hAnsi="宋体" w:eastAsia="宋体" w:cs="宋体"/>
          <w:b w:val="0"/>
          <w:bCs/>
          <w:sz w:val="21"/>
          <w:szCs w:val="21"/>
        </w:rPr>
      </w:pPr>
      <w:r>
        <w:rPr>
          <w:rFonts w:hint="eastAsia" w:ascii="宋体" w:hAnsi="宋体" w:eastAsia="宋体" w:cs="宋体"/>
          <w:b w:val="0"/>
          <w:bCs/>
          <w:sz w:val="21"/>
          <w:szCs w:val="21"/>
        </w:rPr>
        <w:t>（1）磋商结束后，磋商小组应当要求所有继续参加磋商的供应商在磋商小组规定时间内提交最后报价。</w:t>
      </w:r>
    </w:p>
    <w:p w14:paraId="1B1E88DC">
      <w:pPr>
        <w:pageBreakBefore w:val="0"/>
        <w:kinsoku/>
        <w:wordWrap/>
        <w:overflowPunct/>
        <w:bidi w:val="0"/>
        <w:adjustRightInd w:val="0"/>
        <w:snapToGrid w:val="0"/>
        <w:spacing w:beforeAutospacing="0" w:afterAutospacing="0" w:line="560" w:lineRule="exact"/>
        <w:ind w:firstLine="210" w:firstLineChars="100"/>
        <w:outlineLvl w:val="1"/>
        <w:rPr>
          <w:rFonts w:hint="eastAsia" w:ascii="宋体" w:hAnsi="宋体" w:eastAsia="宋体" w:cs="宋体"/>
          <w:b w:val="0"/>
          <w:bCs/>
          <w:sz w:val="21"/>
          <w:szCs w:val="21"/>
        </w:rPr>
      </w:pPr>
      <w:r>
        <w:rPr>
          <w:rFonts w:hint="eastAsia" w:ascii="宋体" w:hAnsi="宋体" w:eastAsia="宋体" w:cs="宋体"/>
          <w:b w:val="0"/>
          <w:bCs/>
          <w:sz w:val="21"/>
          <w:szCs w:val="21"/>
        </w:rPr>
        <w:t>（2）磋商文件明确可能发生实质性变动，但在磋商过程中磋商小组根据磋商情况认为磋商文件无需发生实质性变动的，磋商小组不另行通知。</w:t>
      </w:r>
    </w:p>
    <w:p w14:paraId="7C3BBE76">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30.2本章第10.2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明确磋商文件实质性变动内容的，磋商小组可以组织多轮磋商。在每一轮磋商中，磋商小组可以根据磋商文件规定和磋商情况，对磋商文件的采购需求中的技术、服务要求以及合同草案条款作实质性变动(磋商文件的实质性变动内容为磋商文件的组成部分)，并以书面形式要求响应文件审查合格的供应商，在规定的截止时间前重新提交响应文件。磋商小组应当根据本章第26.2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规定对供应商重新提交的响应文件进行审查。供应商重新提交的响应文件审查不合格的，不得进入下一轮磋商，也不得要求提交最后报价。</w:t>
      </w:r>
    </w:p>
    <w:p w14:paraId="317116AA">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（1）磋商文件能够详细列明采购需求的技术、服务要求的，磋商结束后，磋商小组应当要求所有继续参加磋商的供应商在规定时间内提交最后报价。</w:t>
      </w:r>
    </w:p>
    <w:p w14:paraId="2F98BD73">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D430B24">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30.3 重新提交的响应文件或者最后报价应按本章第21.3</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规定，由其法定代表人或其委托代理人签字或者加盖供应商单位章，在规定时间内密封递交给磋商小组。</w:t>
      </w:r>
    </w:p>
    <w:p w14:paraId="6DA85D16">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30.4</w:t>
      </w:r>
      <w:r>
        <w:rPr>
          <w:rFonts w:hint="eastAsia" w:ascii="宋体" w:hAnsi="宋体" w:eastAsia="宋体" w:cs="宋体"/>
          <w:b w:val="0"/>
          <w:bCs/>
          <w:sz w:val="21"/>
          <w:szCs w:val="21"/>
          <w:lang w:val="zh-CN"/>
        </w:rPr>
        <w:t>供应商的</w:t>
      </w:r>
      <w:r>
        <w:rPr>
          <w:rFonts w:hint="eastAsia" w:ascii="宋体" w:hAnsi="宋体" w:eastAsia="宋体" w:cs="宋体"/>
          <w:b w:val="0"/>
          <w:bCs/>
          <w:sz w:val="21"/>
          <w:szCs w:val="21"/>
        </w:rPr>
        <w:t>最</w:t>
      </w:r>
      <w:r>
        <w:rPr>
          <w:rFonts w:hint="eastAsia" w:ascii="宋体" w:hAnsi="宋体" w:eastAsia="宋体" w:cs="宋体"/>
          <w:b w:val="0"/>
          <w:bCs/>
          <w:sz w:val="21"/>
          <w:szCs w:val="21"/>
          <w:lang w:val="zh-CN"/>
        </w:rPr>
        <w:t>后</w:t>
      </w:r>
      <w:r>
        <w:rPr>
          <w:rFonts w:hint="eastAsia" w:ascii="宋体" w:hAnsi="宋体" w:eastAsia="宋体" w:cs="宋体"/>
          <w:b w:val="0"/>
          <w:bCs/>
          <w:sz w:val="21"/>
          <w:szCs w:val="21"/>
        </w:rPr>
        <w:t>报价及政府采购政策规定的价格扣除情况，磋商小组应召集所有参加最后报价的供应商当场开封公布，并由供应商代表签字确认。</w:t>
      </w:r>
    </w:p>
    <w:p w14:paraId="681EE3CE">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30.5提交首次响应文件的供应商，在提交最后报价之前，可以根据磋商情况退出磋商，并书面通知采购代理机构或者磋商小组。该通知由供应商法定代表人或其委托代理人签字。采购代理机构按本章第19.4</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规定退还退出磋商的供应商的磋商保证金。</w:t>
      </w:r>
    </w:p>
    <w:p w14:paraId="36AF0DBE">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30.6提交首次响应文件的供应商，未按磋商文件规定及磋商小组要求提交最后报价(或者重新提交的响应文件和最后报价)，且又未按本章第30.5</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规定退出磋商的，供应商的磋商保证金不予退还。</w:t>
      </w:r>
    </w:p>
    <w:p w14:paraId="2549D766">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31.响应文件评审</w:t>
      </w:r>
    </w:p>
    <w:p w14:paraId="1A144F5B">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31.1经磋商确定最终采购需求和提交最后报价的供应商后，由磋商小组采用综合评分法对提交最后报价的供应商的响应文件和最后报价进行综合评价。</w:t>
      </w:r>
    </w:p>
    <w:p w14:paraId="4CBE430A">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highlight w:val="none"/>
          <w:lang w:eastAsia="zh-CN"/>
        </w:rPr>
      </w:pPr>
      <w:r>
        <w:rPr>
          <w:rFonts w:hint="eastAsia" w:ascii="宋体" w:hAnsi="宋体" w:eastAsia="宋体" w:cs="宋体"/>
          <w:b w:val="0"/>
          <w:bCs/>
          <w:sz w:val="21"/>
          <w:szCs w:val="21"/>
          <w:highlight w:val="none"/>
        </w:rPr>
        <w:t>31.2综合评分法，是指响应文件满足磋商文件全部实质性要求且按评审因素的量化指标评审得分最高的供应商为成交候选供应商的评审方法。</w:t>
      </w:r>
      <w:r>
        <w:rPr>
          <w:rFonts w:hint="eastAsia" w:ascii="宋体" w:hAnsi="宋体" w:eastAsia="宋体" w:cs="宋体"/>
          <w:b w:val="0"/>
          <w:bCs/>
          <w:sz w:val="21"/>
          <w:szCs w:val="21"/>
          <w:highlight w:val="none"/>
          <w:lang w:val="en-US" w:eastAsia="zh-CN"/>
        </w:rPr>
        <w:t>本采购项目的评审因素和标准见</w:t>
      </w:r>
      <w:r>
        <w:rPr>
          <w:rFonts w:hint="eastAsia" w:ascii="宋体" w:hAnsi="宋体" w:eastAsia="宋体" w:cs="宋体"/>
          <w:b/>
          <w:bCs w:val="0"/>
          <w:sz w:val="21"/>
          <w:szCs w:val="21"/>
          <w:highlight w:val="none"/>
          <w:lang w:val="en-US" w:eastAsia="zh-CN"/>
        </w:rPr>
        <w:t>磋商须知前附表</w:t>
      </w:r>
      <w:r>
        <w:rPr>
          <w:rFonts w:hint="eastAsia" w:ascii="宋体" w:hAnsi="宋体" w:eastAsia="宋体" w:cs="宋体"/>
          <w:b w:val="0"/>
          <w:bCs/>
          <w:sz w:val="21"/>
          <w:szCs w:val="21"/>
          <w:highlight w:val="none"/>
          <w:lang w:eastAsia="zh-CN"/>
        </w:rPr>
        <w:t>）</w:t>
      </w:r>
    </w:p>
    <w:p w14:paraId="7D2183BD">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31.3最后报价调整。磋商小组以各供应商最后报价为基础，按照符合政府采购支持中小企业发展的相应条件，对供应商的最后报价进行价格扣除，用扣除后的最后报价计算价格得分，具体价格扣除比例见磋商须知前附表。</w:t>
      </w:r>
    </w:p>
    <w:p w14:paraId="2A13C717">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31.4综合评分法中的价格分采用低价优先法计算，即满足磋商文件要求且经调整后的最后报价最低的供应商的价格为磋商基准价，其价格分为满分。其他供应商的价格分按照下列公式计算：</w:t>
      </w:r>
    </w:p>
    <w:p w14:paraId="16E4563D">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val="0"/>
          <w:bCs/>
          <w:sz w:val="21"/>
          <w:szCs w:val="21"/>
          <w:lang w:val="en-US"/>
        </w:rPr>
      </w:pPr>
      <w:r>
        <w:rPr>
          <w:rFonts w:hint="eastAsia" w:ascii="宋体" w:hAnsi="宋体" w:eastAsia="宋体" w:cs="宋体"/>
          <w:b w:val="0"/>
          <w:bCs/>
          <w:sz w:val="21"/>
          <w:szCs w:val="21"/>
        </w:rPr>
        <w:t>磋商报价得分=（磋商基准价/最后磋商报价）×</w:t>
      </w:r>
      <w:r>
        <w:rPr>
          <w:rFonts w:hint="eastAsia" w:ascii="宋体" w:hAnsi="宋体" w:eastAsia="宋体" w:cs="宋体"/>
          <w:b w:val="0"/>
          <w:bCs/>
          <w:sz w:val="21"/>
          <w:szCs w:val="21"/>
          <w:lang w:val="en-US" w:eastAsia="zh-CN"/>
        </w:rPr>
        <w:t>投标报价权值</w:t>
      </w:r>
    </w:p>
    <w:p w14:paraId="17404606">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val="0"/>
          <w:bCs/>
          <w:sz w:val="21"/>
          <w:szCs w:val="21"/>
        </w:rPr>
      </w:pPr>
      <w:r>
        <w:rPr>
          <w:rFonts w:hint="eastAsia" w:ascii="宋体" w:hAnsi="宋体" w:eastAsia="宋体" w:cs="宋体"/>
          <w:b w:val="0"/>
          <w:bCs/>
          <w:sz w:val="21"/>
          <w:szCs w:val="21"/>
        </w:rPr>
        <w:t>项目评审过程中，不得去掉最后报价中的最高报价和最低报价。</w:t>
      </w:r>
    </w:p>
    <w:p w14:paraId="47C4C180">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31.5涉及政府采购政策优惠对供应商分值进行调整的，按</w:t>
      </w:r>
      <w:r>
        <w:rPr>
          <w:rFonts w:hint="eastAsia" w:ascii="宋体" w:hAnsi="宋体" w:eastAsia="宋体" w:cs="宋体"/>
          <w:b/>
          <w:bCs w:val="0"/>
          <w:sz w:val="21"/>
          <w:szCs w:val="21"/>
        </w:rPr>
        <w:t>磋商须知前附表</w:t>
      </w:r>
      <w:r>
        <w:rPr>
          <w:rFonts w:hint="eastAsia" w:ascii="宋体" w:hAnsi="宋体" w:eastAsia="宋体" w:cs="宋体"/>
          <w:b w:val="0"/>
          <w:bCs/>
          <w:sz w:val="21"/>
          <w:szCs w:val="21"/>
        </w:rPr>
        <w:t>规定调整供应商的技术、商务、价格得分或总得分。</w:t>
      </w:r>
    </w:p>
    <w:p w14:paraId="6274DFC7">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31.6涉及多处或部分获得政府采购政策优惠的，其多处或部分享受政府采购优惠政策的计算方法见</w:t>
      </w:r>
      <w:r>
        <w:rPr>
          <w:rFonts w:hint="eastAsia" w:ascii="宋体" w:hAnsi="宋体" w:eastAsia="宋体" w:cs="宋体"/>
          <w:b/>
          <w:bCs w:val="0"/>
          <w:sz w:val="21"/>
          <w:szCs w:val="21"/>
        </w:rPr>
        <w:t>磋商须知前附表</w:t>
      </w:r>
      <w:r>
        <w:rPr>
          <w:rFonts w:hint="eastAsia" w:ascii="宋体" w:hAnsi="宋体" w:eastAsia="宋体" w:cs="宋体"/>
          <w:b w:val="0"/>
          <w:bCs/>
          <w:sz w:val="21"/>
          <w:szCs w:val="21"/>
        </w:rPr>
        <w:t>相关规定。</w:t>
      </w:r>
    </w:p>
    <w:p w14:paraId="5169D9FD">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31.7评审时，磋商小组各成员应当独立对每个供应商的响应文件进行评价、评分，并按照政府采购优惠政策对最后报价进行价格扣除和技术、商务、价格加分后，汇总各供应商的总得分。</w:t>
      </w:r>
    </w:p>
    <w:p w14:paraId="702EC049">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32.提出成交供应商</w:t>
      </w:r>
    </w:p>
    <w:p w14:paraId="07C0CA43">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val="0"/>
          <w:bCs/>
          <w:sz w:val="21"/>
          <w:szCs w:val="21"/>
        </w:rPr>
      </w:pPr>
      <w:r>
        <w:rPr>
          <w:rFonts w:hint="eastAsia" w:ascii="宋体" w:hAnsi="宋体" w:eastAsia="宋体" w:cs="宋体"/>
          <w:b w:val="0"/>
          <w:bCs/>
          <w:sz w:val="21"/>
          <w:szCs w:val="21"/>
        </w:rPr>
        <w:t xml:space="preserve">    32.1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0868CC92">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33.确定成交供应商</w:t>
      </w:r>
    </w:p>
    <w:p w14:paraId="21789277">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33.1采购代理机构应当在评审结束后2个工作日内将评审报告送采购人确认。</w:t>
      </w:r>
    </w:p>
    <w:p w14:paraId="58A8AEDA">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33.2采购人应当在收到评审报告后5个工作日内，从评审报告提出的成交候选供应商中，按照排序由高到低的原则确定成交供应商，也可以书面授权磋商小组直接确定成交供应商。</w:t>
      </w:r>
    </w:p>
    <w:p w14:paraId="28CA64BC">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34.磋商终止</w:t>
      </w:r>
    </w:p>
    <w:p w14:paraId="4A056E5F">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 xml:space="preserve">34.1出现下列情形之一的，采购人或者采购代理机构应当终止竞争性磋商采购活动，在本章第37.1款指定的媒体上发布项目终止公告并说明原因，重新开展采购活动： </w:t>
      </w:r>
    </w:p>
    <w:p w14:paraId="24E814A0">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（1）因情况变化，不再符合规定的竞争性磋商采购方式适用情形的；</w:t>
      </w:r>
    </w:p>
    <w:p w14:paraId="6A5FE507">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（2）出现影响采购公正的违法、违规行为的；</w:t>
      </w:r>
    </w:p>
    <w:p w14:paraId="480C3A31">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（3）除《政府采购竞争性磋商采购方式管理暂行办法》(财库〔2014〕214号) 和《财政部关于政府采购竞争性磋商采购方式管理暂行办法有关问题的补充通知》（财库〔2015〕124号）所列“政府购买服务项目（含政府和社会资本合作项目）、市场竞争不充分的科研项目以及需要扶持的科技成果转化项目”情形外，在采购过程中符合要求的供应商或者报价未超过采购预算的供应商不足3家的；</w:t>
      </w:r>
    </w:p>
    <w:p w14:paraId="2349780E">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（4）因重大变故，采购任务取消的。</w:t>
      </w:r>
    </w:p>
    <w:p w14:paraId="2525949E">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35．重新评审</w:t>
      </w:r>
    </w:p>
    <w:p w14:paraId="0BC305CD">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480F3BA9">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bCs w:val="0"/>
          <w:sz w:val="21"/>
          <w:szCs w:val="21"/>
        </w:rPr>
      </w:pPr>
      <w:r>
        <w:rPr>
          <w:rFonts w:hint="eastAsia" w:ascii="宋体" w:hAnsi="宋体" w:eastAsia="宋体" w:cs="宋体"/>
          <w:b/>
          <w:bCs w:val="0"/>
          <w:sz w:val="21"/>
          <w:szCs w:val="21"/>
        </w:rPr>
        <w:t>36.保密及串通行为</w:t>
      </w:r>
    </w:p>
    <w:p w14:paraId="10A39CF1">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36.1磋商小组成员以及与评审工作有关的人员不得泄露评审情况以及评审过程中获悉的国家秘密、商业秘密。</w:t>
      </w:r>
    </w:p>
    <w:p w14:paraId="15A042D4">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rPr>
      </w:pPr>
      <w:r>
        <w:rPr>
          <w:rFonts w:hint="eastAsia" w:ascii="宋体" w:hAnsi="宋体" w:eastAsia="宋体" w:cs="宋体"/>
          <w:b w:val="0"/>
          <w:bCs/>
          <w:sz w:val="21"/>
          <w:szCs w:val="21"/>
        </w:rPr>
        <w:t>36.2供应商不得与采购人、采购代理机构、其他供应商恶意串通；不得向采购人、采购代理机构或者磋商小组成员行贿或者提供其他不正当利益；不得提供虚假资料谋取成交；不得以任何方式干扰、影响采购工作。</w:t>
      </w:r>
    </w:p>
    <w:p w14:paraId="2CB1CC1B">
      <w:pPr>
        <w:pageBreakBefore w:val="0"/>
        <w:kinsoku/>
        <w:wordWrap/>
        <w:overflowPunct/>
        <w:bidi w:val="0"/>
        <w:adjustRightInd w:val="0"/>
        <w:snapToGrid w:val="0"/>
        <w:spacing w:beforeAutospacing="0" w:afterAutospacing="0" w:line="560" w:lineRule="exact"/>
        <w:ind w:firstLine="420" w:firstLineChars="200"/>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rPr>
        <w:t>36.3</w:t>
      </w:r>
      <w:r>
        <w:rPr>
          <w:rFonts w:hint="eastAsia" w:ascii="宋体" w:hAnsi="宋体" w:eastAsia="宋体" w:cs="宋体"/>
          <w:b w:val="0"/>
          <w:bCs/>
          <w:sz w:val="21"/>
          <w:szCs w:val="21"/>
          <w:lang w:val="zh-CN"/>
        </w:rPr>
        <w:t>有下列情形之一的，属于恶意串通，对供应商依照政府采购法第七十七条第一款的规定追究法律责任：</w:t>
      </w:r>
    </w:p>
    <w:p w14:paraId="4D9F7B9F">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（一）供应商直接或者间接从采购人或者采购代理机构处获得其他供应商的相关情况并修改其投标文件或者响应文件；</w:t>
      </w:r>
    </w:p>
    <w:p w14:paraId="14A19B79">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（二）供应商按照采购人或者采购代理机构的授意撤换、修改投标文件或者响应文件；</w:t>
      </w:r>
    </w:p>
    <w:p w14:paraId="667F0598">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（三）供应商之间协商报价、技术方案等投标文件或者响应文件的实质性内容；</w:t>
      </w:r>
    </w:p>
    <w:p w14:paraId="3281F4F6">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（四）属于同一集团、协会、商会等组织成员的供应商按照该组织要求协同参加政府采购活动；</w:t>
      </w:r>
    </w:p>
    <w:p w14:paraId="2D9E9F70">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（五）供应商之间事先约定由某一特定供应商中标、成交；</w:t>
      </w:r>
    </w:p>
    <w:p w14:paraId="1C369E8A">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（六）供应商之间商定部分供应商放弃参加政府采购活动或者放弃中标、成交；</w:t>
      </w:r>
    </w:p>
    <w:p w14:paraId="33A76C14">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（七）供应商与采购人或者采购代理机构之间、供应商相互之间，为谋求特定供应商中标、成交或者排斥其他供应商的其他串通行为。</w:t>
      </w:r>
    </w:p>
    <w:p w14:paraId="675F0F64">
      <w:pPr>
        <w:pageBreakBefore w:val="0"/>
        <w:kinsoku/>
        <w:wordWrap/>
        <w:overflowPunct/>
        <w:bidi w:val="0"/>
        <w:adjustRightInd w:val="0"/>
        <w:snapToGrid w:val="0"/>
        <w:spacing w:beforeAutospacing="0" w:afterAutospacing="0" w:line="560" w:lineRule="exact"/>
        <w:outlineLvl w:val="1"/>
        <w:rPr>
          <w:rFonts w:hint="eastAsia" w:ascii="宋体" w:hAnsi="宋体" w:eastAsia="宋体" w:cs="宋体"/>
          <w:b/>
          <w:sz w:val="21"/>
          <w:szCs w:val="21"/>
        </w:rPr>
      </w:pPr>
      <w:r>
        <w:rPr>
          <w:rFonts w:hint="eastAsia" w:ascii="宋体" w:hAnsi="宋体" w:eastAsia="宋体" w:cs="宋体"/>
          <w:b/>
          <w:sz w:val="21"/>
          <w:szCs w:val="21"/>
        </w:rPr>
        <w:t>六、成交结果信息公布与授予合同</w:t>
      </w:r>
    </w:p>
    <w:p w14:paraId="78CD63B1">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38</w:t>
      </w:r>
      <w:r>
        <w:rPr>
          <w:rFonts w:hint="eastAsia" w:ascii="宋体" w:hAnsi="宋体" w:eastAsia="宋体" w:cs="宋体"/>
          <w:b/>
          <w:bCs/>
          <w:sz w:val="21"/>
          <w:szCs w:val="21"/>
        </w:rPr>
        <w:t>.成交信息的公布</w:t>
      </w:r>
    </w:p>
    <w:p w14:paraId="1EBD0457">
      <w:pPr>
        <w:pageBreakBefore w:val="0"/>
        <w:widowControl w:val="0"/>
        <w:kinsoku/>
        <w:wordWrap/>
        <w:overflowPunct/>
        <w:bidi w:val="0"/>
        <w:adjustRightInd w:val="0"/>
        <w:snapToGrid w:val="0"/>
        <w:spacing w:beforeAutospacing="0" w:afterAutospacing="0" w:line="56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38.1成交供应商确定后2个工作日内，采购人或者采购代理机构应将成交结果信息在</w:t>
      </w:r>
      <w:r>
        <w:rPr>
          <w:rFonts w:hint="eastAsia" w:ascii="宋体" w:hAnsi="宋体" w:eastAsia="宋体" w:cs="宋体"/>
          <w:b/>
          <w:kern w:val="2"/>
          <w:sz w:val="21"/>
          <w:szCs w:val="21"/>
          <w:lang w:val="en-US" w:eastAsia="zh-CN" w:bidi="ar-SA"/>
        </w:rPr>
        <w:t>磋商须知前附表</w:t>
      </w:r>
      <w:r>
        <w:rPr>
          <w:rFonts w:hint="eastAsia" w:ascii="宋体" w:hAnsi="宋体" w:eastAsia="宋体" w:cs="宋体"/>
          <w:kern w:val="2"/>
          <w:sz w:val="21"/>
          <w:szCs w:val="21"/>
          <w:lang w:val="en-US" w:eastAsia="zh-CN" w:bidi="ar-SA"/>
        </w:rPr>
        <w:t>指定的媒体上公布。</w:t>
      </w:r>
    </w:p>
    <w:p w14:paraId="2D4FF006">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rPr>
        <w:t>3</w:t>
      </w:r>
      <w:r>
        <w:rPr>
          <w:rFonts w:hint="eastAsia" w:ascii="宋体" w:hAnsi="宋体" w:eastAsia="宋体" w:cs="宋体"/>
          <w:b/>
          <w:bCs/>
          <w:sz w:val="21"/>
          <w:szCs w:val="21"/>
          <w:lang w:val="en-US" w:eastAsia="zh-CN"/>
        </w:rPr>
        <w:t>9</w:t>
      </w:r>
      <w:r>
        <w:rPr>
          <w:rFonts w:hint="eastAsia" w:ascii="宋体" w:hAnsi="宋体" w:eastAsia="宋体" w:cs="宋体"/>
          <w:b/>
          <w:bCs/>
          <w:sz w:val="21"/>
          <w:szCs w:val="21"/>
        </w:rPr>
        <w:t>.询问及质疑</w:t>
      </w:r>
    </w:p>
    <w:p w14:paraId="6B96438F">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9</w:t>
      </w:r>
      <w:r>
        <w:rPr>
          <w:rFonts w:hint="eastAsia" w:ascii="宋体" w:hAnsi="宋体" w:eastAsia="宋体" w:cs="宋体"/>
          <w:sz w:val="21"/>
          <w:szCs w:val="21"/>
        </w:rPr>
        <w:t>.1供应商对政府采购活动事项有疑问的，可以向采购人或采购代理机构提出询问。</w:t>
      </w:r>
    </w:p>
    <w:p w14:paraId="1F8BA1DF">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39</w:t>
      </w:r>
      <w:r>
        <w:rPr>
          <w:rFonts w:hint="eastAsia" w:ascii="宋体" w:hAnsi="宋体" w:eastAsia="宋体" w:cs="宋体"/>
          <w:sz w:val="21"/>
          <w:szCs w:val="21"/>
        </w:rPr>
        <w:t>.2供应商若认为磋商文件、采购过程和成交结果使自己的权益受到损害，可以按法律、规章及财政部相关文件规定向采购人或采购代理机构提出质疑。</w:t>
      </w:r>
    </w:p>
    <w:p w14:paraId="2E4C9E49">
      <w:pPr>
        <w:pageBreakBefore w:val="0"/>
        <w:kinsoku/>
        <w:wordWrap/>
        <w:overflowPunct/>
        <w:bidi w:val="0"/>
        <w:adjustRightInd w:val="0"/>
        <w:snapToGrid w:val="0"/>
        <w:spacing w:beforeAutospacing="0" w:afterAutospacing="0" w:line="56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40</w:t>
      </w:r>
      <w:r>
        <w:rPr>
          <w:rFonts w:hint="eastAsia" w:ascii="宋体" w:hAnsi="宋体" w:eastAsia="宋体" w:cs="宋体"/>
          <w:b/>
          <w:bCs/>
          <w:sz w:val="21"/>
          <w:szCs w:val="21"/>
        </w:rPr>
        <w:t>.成交通知</w:t>
      </w:r>
    </w:p>
    <w:p w14:paraId="6AA9F135">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40.1成交供应商确定后，采购人或采购代理机构将以书面形式向成交供应商发出成交通知书。成交通知书对采购人和成交供应商具有同等法律效力。</w:t>
      </w:r>
    </w:p>
    <w:p w14:paraId="705C5FB1">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40.2 成交通知书是合同文件的组成部分。</w:t>
      </w:r>
    </w:p>
    <w:p w14:paraId="2053F4B9">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40.3 成交供应商在收到采购代理机构的成交通知书后10日内，应按照磋商须知前附表的规定，向采购人提交履约担保。联合体成交的，履约担保由联合体各方或联合体中牵头人的名义提交。</w:t>
      </w:r>
    </w:p>
    <w:p w14:paraId="43A46AB0">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40.4 成交供应商没有按照本章第39.3款规定提交履约担保的，视为放弃成交资格，其保证金不予退还。</w:t>
      </w:r>
    </w:p>
    <w:p w14:paraId="0B6A24C3">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41</w:t>
      </w:r>
      <w:r>
        <w:rPr>
          <w:rFonts w:hint="eastAsia" w:ascii="宋体" w:hAnsi="宋体" w:eastAsia="宋体" w:cs="宋体"/>
          <w:b/>
          <w:bCs/>
          <w:sz w:val="21"/>
          <w:szCs w:val="21"/>
        </w:rPr>
        <w:t>.签订合同</w:t>
      </w:r>
    </w:p>
    <w:p w14:paraId="710504FF">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41.1磋商文件、成交供应商的响应文件及其补充的响应文件等均为签订政府采购合同的依据。</w:t>
      </w:r>
    </w:p>
    <w:p w14:paraId="118C4BC0">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41.2成交供应商应当在成交通知书发出之日起30日内与采购人签订政府采购合同。</w:t>
      </w:r>
    </w:p>
    <w:p w14:paraId="30DE3FC1">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41.3成交供应商应当按照合同约定履行义务。成交供应商不得向他人转让成交项目，也不得将成交项目分包后分别向他人转让。</w:t>
      </w:r>
    </w:p>
    <w:p w14:paraId="7F486BE6">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41.4成交供应商有下列情形之一的，责令限期改正，情节严重的，列入不良行为记录名单，在1至3年内禁止参加政府采购活动，并予以通报：</w:t>
      </w:r>
    </w:p>
    <w:p w14:paraId="43CDB4E8">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（一）成交后无正当理由不与采购人签订合同的；</w:t>
      </w:r>
    </w:p>
    <w:p w14:paraId="4793577B">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（二）未按照采购文件确定的事项签订政府采购合同，或者与采购人另行订立背离合同实质性内容的协议的；</w:t>
      </w:r>
    </w:p>
    <w:p w14:paraId="2882C2BA">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（三）拒绝履行合同义务的；</w:t>
      </w:r>
    </w:p>
    <w:p w14:paraId="17F4139A">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（四）违反法律、规章、规范性文件规定的。</w:t>
      </w:r>
    </w:p>
    <w:p w14:paraId="61CF3F1F">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r>
        <w:rPr>
          <w:rFonts w:hint="eastAsia" w:ascii="宋体" w:hAnsi="宋体" w:eastAsia="宋体" w:cs="宋体"/>
          <w:b/>
          <w:sz w:val="21"/>
          <w:szCs w:val="21"/>
        </w:rPr>
        <w:t>七、其他规定</w:t>
      </w:r>
    </w:p>
    <w:p w14:paraId="55B55960">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lang w:val="en-US" w:eastAsia="zh-CN"/>
        </w:rPr>
        <w:t>42</w:t>
      </w:r>
      <w:r>
        <w:rPr>
          <w:rFonts w:hint="eastAsia" w:ascii="宋体" w:hAnsi="宋体" w:eastAsia="宋体" w:cs="宋体"/>
          <w:b/>
          <w:sz w:val="21"/>
          <w:szCs w:val="21"/>
        </w:rPr>
        <w:t>.采购代理服务费</w:t>
      </w:r>
    </w:p>
    <w:p w14:paraId="3011A171">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42</w:t>
      </w:r>
      <w:r>
        <w:rPr>
          <w:rFonts w:hint="eastAsia" w:ascii="宋体" w:hAnsi="宋体" w:eastAsia="宋体" w:cs="宋体"/>
          <w:sz w:val="21"/>
          <w:szCs w:val="21"/>
        </w:rPr>
        <w:t>.1采购代理机构应按</w:t>
      </w:r>
      <w:r>
        <w:rPr>
          <w:rFonts w:hint="eastAsia" w:ascii="宋体" w:hAnsi="宋体" w:eastAsia="宋体" w:cs="宋体"/>
          <w:b/>
          <w:sz w:val="21"/>
          <w:szCs w:val="21"/>
        </w:rPr>
        <w:t>磋商须知前附表</w:t>
      </w:r>
      <w:r>
        <w:rPr>
          <w:rFonts w:hint="eastAsia" w:ascii="宋体" w:hAnsi="宋体" w:eastAsia="宋体" w:cs="宋体"/>
          <w:sz w:val="21"/>
          <w:szCs w:val="21"/>
        </w:rPr>
        <w:t>规定收取采购代理服务费。</w:t>
      </w:r>
    </w:p>
    <w:p w14:paraId="2ACA9E93">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42</w:t>
      </w:r>
      <w:r>
        <w:rPr>
          <w:rFonts w:hint="eastAsia" w:ascii="宋体" w:hAnsi="宋体" w:eastAsia="宋体" w:cs="宋体"/>
          <w:sz w:val="21"/>
          <w:szCs w:val="21"/>
        </w:rPr>
        <w:t>.2集中采购机构不得收取采购代理服务费。</w:t>
      </w:r>
    </w:p>
    <w:p w14:paraId="108403CB">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b/>
          <w:sz w:val="21"/>
          <w:szCs w:val="21"/>
        </w:rPr>
      </w:pPr>
      <w:r>
        <w:rPr>
          <w:rFonts w:hint="eastAsia" w:ascii="宋体" w:hAnsi="宋体" w:eastAsia="宋体" w:cs="宋体"/>
          <w:b/>
          <w:sz w:val="21"/>
          <w:szCs w:val="21"/>
        </w:rPr>
        <w:t>4</w:t>
      </w:r>
      <w:r>
        <w:rPr>
          <w:rFonts w:hint="eastAsia" w:ascii="宋体" w:hAnsi="宋体" w:eastAsia="宋体" w:cs="宋体"/>
          <w:b/>
          <w:sz w:val="21"/>
          <w:szCs w:val="21"/>
          <w:lang w:val="en-US" w:eastAsia="zh-CN"/>
        </w:rPr>
        <w:t>3</w:t>
      </w:r>
      <w:r>
        <w:rPr>
          <w:rFonts w:hint="eastAsia" w:ascii="宋体" w:hAnsi="宋体" w:eastAsia="宋体" w:cs="宋体"/>
          <w:b/>
          <w:sz w:val="21"/>
          <w:szCs w:val="21"/>
        </w:rPr>
        <w:t>.其他规定</w:t>
      </w:r>
    </w:p>
    <w:p w14:paraId="4D2F7A48">
      <w:pPr>
        <w:keepNext w:val="0"/>
        <w:keepLines w:val="0"/>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3</w:t>
      </w:r>
      <w:r>
        <w:rPr>
          <w:rFonts w:hint="eastAsia" w:ascii="宋体" w:hAnsi="宋体" w:eastAsia="宋体" w:cs="宋体"/>
          <w:sz w:val="21"/>
          <w:szCs w:val="21"/>
        </w:rPr>
        <w:t>.1磋商文件的其他规定见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183A8A99">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5AB17B13">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080BB39A">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6FF6E033">
      <w:pPr>
        <w:keepNext/>
        <w:keepLines/>
        <w:widowControl w:val="0"/>
        <w:spacing w:line="360" w:lineRule="auto"/>
        <w:jc w:val="both"/>
        <w:outlineLvl w:val="1"/>
        <w:rPr>
          <w:rFonts w:hint="eastAsia" w:ascii="宋体" w:hAnsi="宋体" w:eastAsia="宋体" w:cs="宋体"/>
          <w:b/>
          <w:bCs/>
          <w:kern w:val="2"/>
          <w:sz w:val="21"/>
          <w:szCs w:val="21"/>
          <w:lang w:val="en-US" w:eastAsia="zh-CN" w:bidi="ar-SA"/>
        </w:rPr>
      </w:pPr>
    </w:p>
    <w:p w14:paraId="6D054752">
      <w:pPr>
        <w:rPr>
          <w:rFonts w:hint="eastAsia" w:ascii="宋体" w:hAnsi="宋体" w:eastAsia="宋体" w:cs="宋体"/>
          <w:b/>
          <w:bCs/>
          <w:sz w:val="21"/>
          <w:szCs w:val="21"/>
        </w:rPr>
      </w:pPr>
    </w:p>
    <w:p w14:paraId="62C5CC71">
      <w:pPr>
        <w:keepNext/>
        <w:keepLines/>
        <w:widowControl w:val="0"/>
        <w:spacing w:line="360" w:lineRule="auto"/>
        <w:jc w:val="both"/>
        <w:outlineLvl w:val="1"/>
        <w:rPr>
          <w:rFonts w:hint="eastAsia" w:ascii="宋体" w:hAnsi="宋体" w:eastAsia="宋体" w:cs="宋体"/>
          <w:b/>
          <w:bCs/>
          <w:kern w:val="2"/>
          <w:sz w:val="21"/>
          <w:szCs w:val="21"/>
          <w:lang w:val="en-US" w:eastAsia="zh-CN" w:bidi="ar-SA"/>
        </w:rPr>
      </w:pPr>
    </w:p>
    <w:p w14:paraId="721BB8F7">
      <w:pPr>
        <w:rPr>
          <w:rFonts w:hint="eastAsia" w:ascii="宋体" w:hAnsi="宋体" w:eastAsia="宋体" w:cs="宋体"/>
          <w:b/>
          <w:bCs/>
          <w:sz w:val="21"/>
          <w:szCs w:val="21"/>
        </w:rPr>
      </w:pPr>
    </w:p>
    <w:p w14:paraId="1F1438E8">
      <w:pPr>
        <w:keepNext/>
        <w:keepLines/>
        <w:widowControl w:val="0"/>
        <w:spacing w:line="360" w:lineRule="auto"/>
        <w:jc w:val="both"/>
        <w:outlineLvl w:val="1"/>
        <w:rPr>
          <w:rFonts w:hint="eastAsia" w:ascii="宋体" w:hAnsi="宋体" w:eastAsia="宋体" w:cs="宋体"/>
          <w:b/>
          <w:bCs/>
          <w:kern w:val="2"/>
          <w:sz w:val="21"/>
          <w:szCs w:val="21"/>
          <w:lang w:val="en-US" w:eastAsia="zh-CN" w:bidi="ar-SA"/>
        </w:rPr>
      </w:pPr>
    </w:p>
    <w:p w14:paraId="74EE6D5F">
      <w:pPr>
        <w:rPr>
          <w:rFonts w:hint="eastAsia" w:ascii="宋体" w:hAnsi="宋体" w:eastAsia="宋体" w:cs="宋体"/>
          <w:b/>
          <w:bCs/>
          <w:sz w:val="21"/>
          <w:szCs w:val="21"/>
        </w:rPr>
      </w:pPr>
    </w:p>
    <w:p w14:paraId="50E65BA1">
      <w:pPr>
        <w:keepNext/>
        <w:keepLines/>
        <w:widowControl w:val="0"/>
        <w:spacing w:line="360" w:lineRule="auto"/>
        <w:jc w:val="both"/>
        <w:outlineLvl w:val="1"/>
        <w:rPr>
          <w:rFonts w:hint="eastAsia" w:ascii="宋体" w:hAnsi="宋体" w:eastAsia="宋体" w:cs="宋体"/>
          <w:b/>
          <w:bCs/>
          <w:kern w:val="2"/>
          <w:sz w:val="21"/>
          <w:szCs w:val="21"/>
          <w:lang w:val="en-US" w:eastAsia="zh-CN" w:bidi="ar-SA"/>
        </w:rPr>
      </w:pPr>
    </w:p>
    <w:p w14:paraId="41CCA3AA">
      <w:pPr>
        <w:rPr>
          <w:rFonts w:hint="eastAsia" w:ascii="宋体" w:hAnsi="宋体" w:eastAsia="宋体" w:cs="宋体"/>
          <w:b/>
          <w:bCs/>
          <w:sz w:val="21"/>
          <w:szCs w:val="21"/>
        </w:rPr>
      </w:pPr>
    </w:p>
    <w:p w14:paraId="4E63AC5C">
      <w:pPr>
        <w:keepNext/>
        <w:keepLines/>
        <w:widowControl w:val="0"/>
        <w:spacing w:line="360" w:lineRule="auto"/>
        <w:jc w:val="both"/>
        <w:outlineLvl w:val="1"/>
        <w:rPr>
          <w:rFonts w:hint="eastAsia" w:ascii="宋体" w:hAnsi="宋体" w:eastAsia="宋体" w:cs="宋体"/>
          <w:b/>
          <w:bCs/>
          <w:kern w:val="2"/>
          <w:sz w:val="21"/>
          <w:szCs w:val="21"/>
          <w:lang w:val="en-US" w:eastAsia="zh-CN" w:bidi="ar-SA"/>
        </w:rPr>
      </w:pPr>
    </w:p>
    <w:p w14:paraId="0CD0ADE6">
      <w:pPr>
        <w:rPr>
          <w:rFonts w:hint="eastAsia" w:ascii="Calibri" w:hAnsi="Calibri"/>
        </w:rPr>
      </w:pPr>
    </w:p>
    <w:p w14:paraId="6B688033">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04436A5C">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2EECB1B8">
      <w:pPr>
        <w:pageBreakBefore w:val="0"/>
        <w:kinsoku/>
        <w:wordWrap/>
        <w:overflowPunct/>
        <w:bidi w:val="0"/>
        <w:spacing w:beforeAutospacing="0" w:afterAutospacing="0" w:line="520" w:lineRule="exact"/>
        <w:jc w:val="center"/>
        <w:textAlignment w:val="auto"/>
        <w:outlineLvl w:val="0"/>
        <w:rPr>
          <w:rFonts w:hint="eastAsia" w:ascii="宋体" w:hAnsi="宋体" w:eastAsia="宋体" w:cs="宋体"/>
          <w:b/>
          <w:bCs/>
          <w:sz w:val="21"/>
          <w:szCs w:val="21"/>
        </w:rPr>
      </w:pPr>
    </w:p>
    <w:p w14:paraId="5F596C81">
      <w:pPr>
        <w:pageBreakBefore w:val="0"/>
        <w:kinsoku/>
        <w:wordWrap/>
        <w:overflowPunct/>
        <w:bidi w:val="0"/>
        <w:spacing w:line="360" w:lineRule="auto"/>
        <w:jc w:val="center"/>
        <w:textAlignment w:val="auto"/>
        <w:outlineLvl w:val="0"/>
        <w:rPr>
          <w:rFonts w:hint="eastAsia" w:ascii="宋体" w:hAnsi="宋体" w:eastAsia="宋体" w:cs="宋体"/>
          <w:b/>
          <w:sz w:val="28"/>
          <w:szCs w:val="28"/>
        </w:rPr>
      </w:pPr>
      <w:r>
        <w:rPr>
          <w:rFonts w:hint="eastAsia" w:ascii="宋体" w:hAnsi="宋体" w:eastAsia="宋体" w:cs="宋体"/>
          <w:b/>
          <w:sz w:val="28"/>
          <w:szCs w:val="28"/>
        </w:rPr>
        <w:t>第三章</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评审办法及标准</w:t>
      </w:r>
    </w:p>
    <w:p w14:paraId="3C004678">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r>
        <w:rPr>
          <w:rFonts w:hint="eastAsia" w:ascii="宋体" w:hAnsi="宋体" w:eastAsia="宋体" w:cs="宋体"/>
          <w:b/>
          <w:bCs/>
          <w:sz w:val="21"/>
          <w:szCs w:val="21"/>
        </w:rPr>
        <w:t xml:space="preserve"> 1.评标方法</w:t>
      </w:r>
    </w:p>
    <w:p w14:paraId="0C01D448">
      <w:pPr>
        <w:pageBreakBefore w:val="0"/>
        <w:kinsoku/>
        <w:wordWrap/>
        <w:overflowPunct/>
        <w:bidi w:val="0"/>
        <w:spacing w:beforeAutospacing="0" w:afterAutospacing="0" w:line="560" w:lineRule="exact"/>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1.1评标方法：综合评分法</w:t>
      </w:r>
      <w:r>
        <w:rPr>
          <w:rFonts w:hint="eastAsia" w:ascii="宋体" w:hAnsi="宋体" w:eastAsia="宋体" w:cs="宋体"/>
          <w:sz w:val="21"/>
          <w:szCs w:val="21"/>
          <w:lang w:eastAsia="zh-CN"/>
        </w:rPr>
        <w:t>，是</w:t>
      </w:r>
      <w:r>
        <w:rPr>
          <w:rFonts w:hint="eastAsia" w:ascii="宋体" w:hAnsi="宋体" w:eastAsia="宋体" w:cs="宋体"/>
          <w:sz w:val="21"/>
          <w:szCs w:val="21"/>
        </w:rPr>
        <w:t>指</w:t>
      </w:r>
      <w:r>
        <w:rPr>
          <w:rFonts w:hint="eastAsia" w:ascii="宋体" w:hAnsi="宋体" w:eastAsia="宋体" w:cs="宋体"/>
          <w:sz w:val="21"/>
          <w:szCs w:val="21"/>
          <w:lang w:eastAsia="zh-CN"/>
        </w:rPr>
        <w:t>响应文件</w:t>
      </w:r>
      <w:r>
        <w:rPr>
          <w:rFonts w:hint="eastAsia" w:ascii="宋体" w:hAnsi="宋体" w:eastAsia="宋体" w:cs="宋体"/>
          <w:sz w:val="21"/>
          <w:szCs w:val="21"/>
        </w:rPr>
        <w:t>满足</w:t>
      </w:r>
      <w:r>
        <w:rPr>
          <w:rFonts w:hint="eastAsia" w:ascii="宋体" w:hAnsi="宋体" w:eastAsia="宋体" w:cs="宋体"/>
          <w:sz w:val="21"/>
          <w:szCs w:val="21"/>
          <w:lang w:eastAsia="zh-CN"/>
        </w:rPr>
        <w:t>磋商文件</w:t>
      </w:r>
      <w:r>
        <w:rPr>
          <w:rFonts w:hint="eastAsia" w:ascii="宋体" w:hAnsi="宋体" w:eastAsia="宋体" w:cs="宋体"/>
          <w:sz w:val="21"/>
          <w:szCs w:val="21"/>
        </w:rPr>
        <w:t>全部实质性要求，且按照评审因素的量化指标评审得分最高的</w:t>
      </w:r>
      <w:r>
        <w:rPr>
          <w:rFonts w:hint="eastAsia" w:ascii="宋体" w:hAnsi="宋体" w:eastAsia="宋体" w:cs="宋体"/>
          <w:sz w:val="21"/>
          <w:szCs w:val="21"/>
          <w:lang w:eastAsia="zh-CN"/>
        </w:rPr>
        <w:t>供应商</w:t>
      </w:r>
      <w:r>
        <w:rPr>
          <w:rFonts w:hint="eastAsia" w:ascii="宋体" w:hAnsi="宋体" w:eastAsia="宋体" w:cs="宋体"/>
          <w:sz w:val="21"/>
          <w:szCs w:val="21"/>
        </w:rPr>
        <w:t>为中标候选人的评标方法。</w:t>
      </w:r>
    </w:p>
    <w:p w14:paraId="5F7FF374">
      <w:pPr>
        <w:pageBreakBefore w:val="0"/>
        <w:kinsoku/>
        <w:wordWrap/>
        <w:overflowPunct/>
        <w:bidi w:val="0"/>
        <w:spacing w:beforeAutospacing="0" w:afterAutospacing="0" w:line="560" w:lineRule="exact"/>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1.2评标因素：评审因素的设定应当与</w:t>
      </w:r>
      <w:r>
        <w:rPr>
          <w:rFonts w:hint="eastAsia" w:ascii="宋体" w:hAnsi="宋体" w:eastAsia="宋体" w:cs="宋体"/>
          <w:sz w:val="21"/>
          <w:szCs w:val="21"/>
          <w:lang w:eastAsia="zh-CN"/>
        </w:rPr>
        <w:t>供应商</w:t>
      </w:r>
      <w:r>
        <w:rPr>
          <w:rFonts w:hint="eastAsia" w:ascii="宋体" w:hAnsi="宋体" w:eastAsia="宋体" w:cs="宋体"/>
          <w:sz w:val="21"/>
          <w:szCs w:val="21"/>
        </w:rPr>
        <w:t>所提供服务的质量相关，包括投标报价、技术或者服务水平、履约能力、售后服务等，但不包括第一章“</w:t>
      </w:r>
      <w:r>
        <w:rPr>
          <w:rFonts w:hint="eastAsia" w:ascii="宋体" w:hAnsi="宋体" w:eastAsia="宋体" w:cs="宋体"/>
          <w:sz w:val="21"/>
          <w:szCs w:val="21"/>
          <w:lang w:eastAsia="zh-CN"/>
        </w:rPr>
        <w:t>供应商</w:t>
      </w:r>
      <w:r>
        <w:rPr>
          <w:rFonts w:hint="eastAsia" w:ascii="宋体" w:hAnsi="宋体" w:eastAsia="宋体" w:cs="宋体"/>
          <w:sz w:val="21"/>
          <w:szCs w:val="21"/>
        </w:rPr>
        <w:t>的资格要求”。</w:t>
      </w:r>
    </w:p>
    <w:p w14:paraId="5DF72B05">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r>
        <w:rPr>
          <w:rFonts w:hint="eastAsia" w:ascii="宋体" w:hAnsi="宋体" w:eastAsia="宋体" w:cs="宋体"/>
          <w:b/>
          <w:bCs/>
          <w:sz w:val="21"/>
          <w:szCs w:val="21"/>
        </w:rPr>
        <w:t>2.评标程序</w:t>
      </w:r>
    </w:p>
    <w:p w14:paraId="6AF0B89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2.1评标程序分为</w:t>
      </w:r>
      <w:r>
        <w:rPr>
          <w:rFonts w:hint="eastAsia" w:ascii="宋体" w:hAnsi="宋体" w:eastAsia="宋体" w:cs="宋体"/>
          <w:sz w:val="21"/>
          <w:szCs w:val="21"/>
          <w:lang w:eastAsia="zh-CN"/>
        </w:rPr>
        <w:t>响应文件</w:t>
      </w:r>
      <w:r>
        <w:rPr>
          <w:rFonts w:hint="eastAsia" w:ascii="宋体" w:hAnsi="宋体" w:eastAsia="宋体" w:cs="宋体"/>
          <w:sz w:val="21"/>
          <w:szCs w:val="21"/>
        </w:rPr>
        <w:t>资格审查、符合性审查、澄清有关问题、比较和评价、确定中标候选人名单。</w:t>
      </w:r>
    </w:p>
    <w:p w14:paraId="7A7E1FE3">
      <w:pPr>
        <w:pageBreakBefore w:val="0"/>
        <w:kinsoku/>
        <w:wordWrap/>
        <w:overflowPunct/>
        <w:bidi w:val="0"/>
        <w:spacing w:beforeAutospacing="0" w:afterAutospacing="0" w:line="560" w:lineRule="exact"/>
        <w:jc w:val="left"/>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rPr>
        <w:t>3.资格审查</w:t>
      </w:r>
    </w:p>
    <w:p w14:paraId="0BB054B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3.1 供应商应当符合磋商须知前附表中规定的资格条件要求。</w:t>
      </w:r>
    </w:p>
    <w:p w14:paraId="53112DE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 xml:space="preserve">3.2供应商为联合体形式的，除应满足本章第3.1款资格条件要求及第3.3款规定外，还应遵守以下规定： </w:t>
      </w:r>
    </w:p>
    <w:p w14:paraId="305638C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（1）联合体各方应按磋商文件提供的格式签订联合体协议书，明确联合体牵头人和各方权利义务(含承担工作及工作量比例)；</w:t>
      </w:r>
    </w:p>
    <w:p w14:paraId="41D357B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（2）联合体中有同类资质的供应商按照联合体分工承担相同工作的，应当按照资质等级较低的供应商确定资质等级；</w:t>
      </w:r>
    </w:p>
    <w:p w14:paraId="19B511D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（3）以联合体形式参加政府采购活动的，联合体各方不得再单独参加或者与其他供应商另外组成联合体参加同一合同项下的政府采购活动。</w:t>
      </w:r>
    </w:p>
    <w:p w14:paraId="6174679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3.3 供应商不得存在下列情形之一：</w:t>
      </w:r>
    </w:p>
    <w:p w14:paraId="4713D88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（1）与其他供应商的法定代表人（或者负责人）为同一人，或者与其他供应商存在直接控股、管理关系。</w:t>
      </w:r>
    </w:p>
    <w:p w14:paraId="70BE9F4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受到刑事处罚，或者受到三万元以上的罚款、责令停产停业、在一至三年内禁止参加政府采购活动、暂扣或者吊销许可证、暂扣或者吊销执照等情形之一的行政处罚，或者存在财政部门认定的其他重大违法记录。</w:t>
      </w:r>
    </w:p>
    <w:p w14:paraId="1B5F428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响应文件</w:t>
      </w:r>
      <w:r>
        <w:rPr>
          <w:rFonts w:hint="eastAsia" w:ascii="宋体" w:hAnsi="宋体" w:eastAsia="宋体" w:cs="宋体"/>
          <w:sz w:val="21"/>
          <w:szCs w:val="21"/>
        </w:rPr>
        <w:t>属下列情况之一的，投标无效：</w:t>
      </w:r>
    </w:p>
    <w:p w14:paraId="7A6310E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（1）不符合第二章第3条</w:t>
      </w:r>
      <w:r>
        <w:rPr>
          <w:rFonts w:hint="eastAsia" w:ascii="宋体" w:hAnsi="宋体" w:eastAsia="宋体" w:cs="宋体"/>
          <w:sz w:val="21"/>
          <w:szCs w:val="21"/>
          <w:lang w:eastAsia="zh-CN"/>
        </w:rPr>
        <w:t>供应商</w:t>
      </w:r>
      <w:r>
        <w:rPr>
          <w:rFonts w:hint="eastAsia" w:ascii="宋体" w:hAnsi="宋体" w:eastAsia="宋体" w:cs="宋体"/>
          <w:sz w:val="21"/>
          <w:szCs w:val="21"/>
        </w:rPr>
        <w:t>的资格要求的；</w:t>
      </w:r>
    </w:p>
    <w:p w14:paraId="28021B2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（2）联合体没有提交联合体协议书，或未提交联合体各方资格证明文件的；</w:t>
      </w:r>
    </w:p>
    <w:p w14:paraId="1984910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响应文件</w:t>
      </w:r>
      <w:r>
        <w:rPr>
          <w:rFonts w:hint="eastAsia" w:ascii="宋体" w:hAnsi="宋体" w:eastAsia="宋体" w:cs="宋体"/>
          <w:sz w:val="21"/>
          <w:szCs w:val="21"/>
        </w:rPr>
        <w:t>中资格证明文件未按照</w:t>
      </w:r>
      <w:r>
        <w:rPr>
          <w:rFonts w:hint="eastAsia" w:ascii="宋体" w:hAnsi="宋体" w:eastAsia="宋体" w:cs="宋体"/>
          <w:sz w:val="21"/>
          <w:szCs w:val="21"/>
          <w:lang w:eastAsia="zh-CN"/>
        </w:rPr>
        <w:t>磋商文件</w:t>
      </w:r>
      <w:r>
        <w:rPr>
          <w:rFonts w:hint="eastAsia" w:ascii="宋体" w:hAnsi="宋体" w:eastAsia="宋体" w:cs="宋体"/>
          <w:sz w:val="21"/>
          <w:szCs w:val="21"/>
        </w:rPr>
        <w:t>要求签署、盖章的；</w:t>
      </w:r>
    </w:p>
    <w:p w14:paraId="3BDDB61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（4）不符合法律、法规和</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规定的其他投标无效情形的。</w:t>
      </w:r>
    </w:p>
    <w:p w14:paraId="7B990A9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5</w:t>
      </w:r>
      <w:r>
        <w:rPr>
          <w:rFonts w:hint="eastAsia" w:ascii="宋体" w:hAnsi="宋体" w:eastAsia="宋体" w:cs="宋体"/>
          <w:sz w:val="21"/>
          <w:szCs w:val="21"/>
        </w:rPr>
        <w:t>对未通过资格审查的</w:t>
      </w:r>
      <w:r>
        <w:rPr>
          <w:rFonts w:hint="eastAsia" w:ascii="宋体" w:hAnsi="宋体" w:eastAsia="宋体" w:cs="宋体"/>
          <w:sz w:val="21"/>
          <w:szCs w:val="21"/>
          <w:lang w:eastAsia="zh-CN"/>
        </w:rPr>
        <w:t>供应商</w:t>
      </w:r>
      <w:r>
        <w:rPr>
          <w:rFonts w:hint="eastAsia" w:ascii="宋体" w:hAnsi="宋体" w:eastAsia="宋体" w:cs="宋体"/>
          <w:sz w:val="21"/>
          <w:szCs w:val="21"/>
        </w:rPr>
        <w:t>，应当告知其未通过的原因。</w:t>
      </w:r>
    </w:p>
    <w:p w14:paraId="1175B4E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6</w:t>
      </w:r>
      <w:r>
        <w:rPr>
          <w:rFonts w:hint="eastAsia" w:ascii="宋体" w:hAnsi="宋体" w:eastAsia="宋体" w:cs="宋体"/>
          <w:sz w:val="21"/>
          <w:szCs w:val="21"/>
        </w:rPr>
        <w:t>已进行资格预审的，可以不再对</w:t>
      </w:r>
      <w:r>
        <w:rPr>
          <w:rFonts w:hint="eastAsia" w:ascii="宋体" w:hAnsi="宋体" w:eastAsia="宋体" w:cs="宋体"/>
          <w:sz w:val="21"/>
          <w:szCs w:val="21"/>
          <w:lang w:eastAsia="zh-CN"/>
        </w:rPr>
        <w:t>供应商</w:t>
      </w:r>
      <w:r>
        <w:rPr>
          <w:rFonts w:hint="eastAsia" w:ascii="宋体" w:hAnsi="宋体" w:eastAsia="宋体" w:cs="宋体"/>
          <w:sz w:val="21"/>
          <w:szCs w:val="21"/>
        </w:rPr>
        <w:t>资格进行审查。资格预审合格的</w:t>
      </w:r>
      <w:r>
        <w:rPr>
          <w:rFonts w:hint="eastAsia" w:ascii="宋体" w:hAnsi="宋体" w:eastAsia="宋体" w:cs="宋体"/>
          <w:sz w:val="21"/>
          <w:szCs w:val="21"/>
          <w:lang w:eastAsia="zh-CN"/>
        </w:rPr>
        <w:t>供应商</w:t>
      </w:r>
      <w:r>
        <w:rPr>
          <w:rFonts w:hint="eastAsia" w:ascii="宋体" w:hAnsi="宋体" w:eastAsia="宋体" w:cs="宋体"/>
          <w:sz w:val="21"/>
          <w:szCs w:val="21"/>
        </w:rPr>
        <w:t>在提交</w:t>
      </w:r>
      <w:r>
        <w:rPr>
          <w:rFonts w:hint="eastAsia" w:ascii="宋体" w:hAnsi="宋体" w:eastAsia="宋体" w:cs="宋体"/>
          <w:sz w:val="21"/>
          <w:szCs w:val="21"/>
          <w:lang w:eastAsia="zh-CN"/>
        </w:rPr>
        <w:t>响应文件</w:t>
      </w:r>
      <w:r>
        <w:rPr>
          <w:rFonts w:hint="eastAsia" w:ascii="宋体" w:hAnsi="宋体" w:eastAsia="宋体" w:cs="宋体"/>
          <w:sz w:val="21"/>
          <w:szCs w:val="21"/>
        </w:rPr>
        <w:t>的截止时间前资格发生变化的，应当按新情况更新或补充其资格审查证明资料，以证实其各项资格条件仍能继续满足资格预审公告的要求。</w:t>
      </w:r>
    </w:p>
    <w:p w14:paraId="50E05FB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7</w:t>
      </w:r>
      <w:r>
        <w:rPr>
          <w:rFonts w:hint="eastAsia" w:ascii="宋体" w:hAnsi="宋体" w:eastAsia="宋体" w:cs="宋体"/>
          <w:sz w:val="21"/>
          <w:szCs w:val="21"/>
        </w:rPr>
        <w:t>资格审查结束后，采购人及采购代理机构应将资格审查结果送交评标委员会。合格</w:t>
      </w:r>
      <w:r>
        <w:rPr>
          <w:rFonts w:hint="eastAsia" w:ascii="宋体" w:hAnsi="宋体" w:eastAsia="宋体" w:cs="宋体"/>
          <w:sz w:val="21"/>
          <w:szCs w:val="21"/>
          <w:lang w:eastAsia="zh-CN"/>
        </w:rPr>
        <w:t>供应商</w:t>
      </w:r>
      <w:r>
        <w:rPr>
          <w:rFonts w:hint="eastAsia" w:ascii="宋体" w:hAnsi="宋体" w:eastAsia="宋体" w:cs="宋体"/>
          <w:sz w:val="21"/>
          <w:szCs w:val="21"/>
        </w:rPr>
        <w:t>不足3家的，不得进入评标环节。</w:t>
      </w:r>
    </w:p>
    <w:p w14:paraId="5F405136">
      <w:pPr>
        <w:pageBreakBefore w:val="0"/>
        <w:kinsoku/>
        <w:wordWrap/>
        <w:overflowPunct/>
        <w:topLinePunct w:val="0"/>
        <w:bidi w:val="0"/>
        <w:spacing w:beforeAutospacing="0" w:afterAutospacing="0" w:line="560" w:lineRule="exact"/>
        <w:jc w:val="left"/>
        <w:outlineLvl w:val="0"/>
        <w:rPr>
          <w:rFonts w:hint="eastAsia" w:ascii="Calibri" w:hAnsi="Calibri" w:eastAsia="宋体"/>
          <w:lang w:eastAsia="zh-CN"/>
        </w:rPr>
      </w:pPr>
      <w:r>
        <w:rPr>
          <w:rFonts w:hint="eastAsia" w:ascii="宋体" w:hAnsi="宋体" w:eastAsia="宋体" w:cs="宋体"/>
          <w:b/>
          <w:bCs/>
          <w:sz w:val="21"/>
          <w:szCs w:val="21"/>
        </w:rPr>
        <w:t>附表1</w:t>
      </w:r>
      <w:r>
        <w:rPr>
          <w:rFonts w:hint="eastAsia" w:ascii="宋体" w:hAnsi="宋体" w:eastAsia="宋体" w:cs="宋体"/>
          <w:b/>
          <w:bCs/>
          <w:sz w:val="21"/>
          <w:szCs w:val="21"/>
          <w:lang w:eastAsia="zh-CN"/>
        </w:rPr>
        <w:t>：</w:t>
      </w:r>
      <w:r>
        <w:rPr>
          <w:rFonts w:hint="eastAsia" w:ascii="宋体" w:hAnsi="宋体" w:eastAsia="宋体" w:cs="宋体"/>
          <w:b/>
          <w:bCs/>
          <w:sz w:val="21"/>
          <w:szCs w:val="21"/>
        </w:rPr>
        <w:t>供应商资格性审查表</w:t>
      </w:r>
      <w:r>
        <w:rPr>
          <w:rFonts w:hint="eastAsia" w:ascii="宋体" w:hAnsi="宋体" w:cs="宋体"/>
          <w:b/>
          <w:bCs/>
          <w:sz w:val="21"/>
          <w:szCs w:val="21"/>
          <w:lang w:eastAsia="zh-CN"/>
        </w:rPr>
        <w:t>（</w:t>
      </w:r>
      <w:r>
        <w:rPr>
          <w:rFonts w:hint="eastAsia" w:ascii="宋体" w:hAnsi="宋体" w:cs="宋体"/>
          <w:b/>
          <w:bCs/>
          <w:sz w:val="21"/>
          <w:szCs w:val="21"/>
          <w:lang w:val="en-US" w:eastAsia="zh-CN"/>
        </w:rPr>
        <w:t>包1、包2</w:t>
      </w:r>
      <w:r>
        <w:rPr>
          <w:rFonts w:hint="eastAsia" w:ascii="宋体" w:hAnsi="宋体" w:cs="宋体"/>
          <w:b/>
          <w:bCs/>
          <w:sz w:val="21"/>
          <w:szCs w:val="21"/>
          <w:lang w:eastAsia="zh-CN"/>
        </w:rPr>
        <w:t>）</w:t>
      </w:r>
    </w:p>
    <w:tbl>
      <w:tblPr>
        <w:tblStyle w:val="45"/>
        <w:tblpPr w:leftFromText="180" w:rightFromText="180" w:vertAnchor="text" w:horzAnchor="page" w:tblpX="1095" w:tblpY="202"/>
        <w:tblW w:w="9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6600"/>
        <w:gridCol w:w="685"/>
        <w:gridCol w:w="879"/>
        <w:gridCol w:w="824"/>
      </w:tblGrid>
      <w:tr w14:paraId="3BCD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71" w:type="dxa"/>
            <w:vMerge w:val="restart"/>
            <w:tcBorders>
              <w:top w:val="single" w:color="auto" w:sz="4" w:space="0"/>
              <w:left w:val="single" w:color="auto" w:sz="4" w:space="0"/>
              <w:right w:val="single" w:color="auto" w:sz="4" w:space="0"/>
            </w:tcBorders>
            <w:noWrap w:val="0"/>
            <w:vAlign w:val="center"/>
          </w:tcPr>
          <w:p w14:paraId="7ED2214F">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6600" w:type="dxa"/>
            <w:vMerge w:val="restart"/>
            <w:tcBorders>
              <w:top w:val="single" w:color="auto" w:sz="4" w:space="0"/>
              <w:left w:val="single" w:color="auto" w:sz="4" w:space="0"/>
              <w:right w:val="single" w:color="auto" w:sz="4" w:space="0"/>
            </w:tcBorders>
            <w:noWrap w:val="0"/>
            <w:vAlign w:val="center"/>
          </w:tcPr>
          <w:p w14:paraId="72AABA64">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r>
              <w:rPr>
                <w:rFonts w:hint="eastAsia" w:ascii="宋体" w:hAnsi="宋体" w:eastAsia="宋体" w:cs="宋体"/>
                <w:sz w:val="21"/>
                <w:szCs w:val="21"/>
                <w:lang w:val="en-US" w:eastAsia="zh-CN"/>
              </w:rPr>
              <w:t>资格性审查</w:t>
            </w:r>
            <w:r>
              <w:rPr>
                <w:rFonts w:hint="eastAsia" w:ascii="宋体" w:hAnsi="宋体" w:eastAsia="宋体" w:cs="宋体"/>
                <w:sz w:val="21"/>
                <w:szCs w:val="21"/>
              </w:rPr>
              <w:t>内容</w:t>
            </w:r>
          </w:p>
        </w:tc>
        <w:tc>
          <w:tcPr>
            <w:tcW w:w="2388" w:type="dxa"/>
            <w:gridSpan w:val="3"/>
            <w:tcBorders>
              <w:top w:val="single" w:color="auto" w:sz="4" w:space="0"/>
              <w:left w:val="single" w:color="auto" w:sz="4" w:space="0"/>
              <w:right w:val="single" w:color="auto" w:sz="4" w:space="0"/>
            </w:tcBorders>
            <w:noWrap w:val="0"/>
            <w:vAlign w:val="center"/>
          </w:tcPr>
          <w:p w14:paraId="0FC96F3D">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r>
              <w:rPr>
                <w:rFonts w:hint="eastAsia" w:ascii="宋体" w:hAnsi="宋体" w:eastAsia="宋体" w:cs="宋体"/>
                <w:sz w:val="21"/>
                <w:szCs w:val="21"/>
              </w:rPr>
              <w:t>供应商名称</w:t>
            </w:r>
          </w:p>
        </w:tc>
      </w:tr>
      <w:tr w14:paraId="42FC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671" w:type="dxa"/>
            <w:vMerge w:val="continue"/>
            <w:tcBorders>
              <w:left w:val="single" w:color="auto" w:sz="4" w:space="0"/>
              <w:right w:val="single" w:color="auto" w:sz="4" w:space="0"/>
            </w:tcBorders>
            <w:noWrap w:val="0"/>
            <w:vAlign w:val="center"/>
          </w:tcPr>
          <w:p w14:paraId="60642A12">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sz w:val="21"/>
                <w:szCs w:val="21"/>
              </w:rPr>
            </w:pPr>
          </w:p>
        </w:tc>
        <w:tc>
          <w:tcPr>
            <w:tcW w:w="6600" w:type="dxa"/>
            <w:vMerge w:val="continue"/>
            <w:tcBorders>
              <w:left w:val="single" w:color="auto" w:sz="4" w:space="0"/>
              <w:right w:val="single" w:color="auto" w:sz="4" w:space="0"/>
            </w:tcBorders>
            <w:noWrap w:val="0"/>
            <w:vAlign w:val="center"/>
          </w:tcPr>
          <w:p w14:paraId="2327E9C1">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685" w:type="dxa"/>
            <w:tcBorders>
              <w:top w:val="single" w:color="auto" w:sz="4" w:space="0"/>
              <w:left w:val="single" w:color="auto" w:sz="4" w:space="0"/>
              <w:right w:val="single" w:color="auto" w:sz="4" w:space="0"/>
            </w:tcBorders>
            <w:noWrap w:val="0"/>
            <w:vAlign w:val="top"/>
          </w:tcPr>
          <w:p w14:paraId="39B28B1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top w:val="single" w:color="auto" w:sz="4" w:space="0"/>
              <w:left w:val="single" w:color="auto" w:sz="4" w:space="0"/>
              <w:right w:val="single" w:color="auto" w:sz="4" w:space="0"/>
            </w:tcBorders>
            <w:noWrap w:val="0"/>
            <w:vAlign w:val="top"/>
          </w:tcPr>
          <w:p w14:paraId="2FF6C25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top w:val="single" w:color="auto" w:sz="4" w:space="0"/>
              <w:left w:val="single" w:color="auto" w:sz="4" w:space="0"/>
              <w:right w:val="single" w:color="auto" w:sz="4" w:space="0"/>
            </w:tcBorders>
            <w:noWrap w:val="0"/>
            <w:vAlign w:val="top"/>
          </w:tcPr>
          <w:p w14:paraId="05D6823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14AD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269E5A61">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348A882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《磋商响应声明》原件或复印件。</w:t>
            </w:r>
          </w:p>
        </w:tc>
        <w:tc>
          <w:tcPr>
            <w:tcW w:w="685" w:type="dxa"/>
            <w:tcBorders>
              <w:left w:val="single" w:color="auto" w:sz="4" w:space="0"/>
              <w:right w:val="single" w:color="auto" w:sz="4" w:space="0"/>
            </w:tcBorders>
            <w:noWrap w:val="0"/>
            <w:vAlign w:val="center"/>
          </w:tcPr>
          <w:p w14:paraId="2A30D46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D607FA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C5AE2C4">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4673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4782A4B3">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105952FB">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法人提交法定代表人身份证明或者法定代表人授权委托书并附法定代表人身份证明，自然人提交身份证复印件。</w:t>
            </w:r>
          </w:p>
        </w:tc>
        <w:tc>
          <w:tcPr>
            <w:tcW w:w="685" w:type="dxa"/>
            <w:tcBorders>
              <w:left w:val="single" w:color="auto" w:sz="4" w:space="0"/>
              <w:right w:val="single" w:color="auto" w:sz="4" w:space="0"/>
            </w:tcBorders>
            <w:noWrap w:val="0"/>
            <w:vAlign w:val="center"/>
          </w:tcPr>
          <w:p w14:paraId="2F66F6A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2454A0A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1232714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0F94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53F1C0E1">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7103B077">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《供应商资格声明》原件或复印件。</w:t>
            </w:r>
          </w:p>
        </w:tc>
        <w:tc>
          <w:tcPr>
            <w:tcW w:w="685" w:type="dxa"/>
            <w:tcBorders>
              <w:left w:val="single" w:color="auto" w:sz="4" w:space="0"/>
              <w:right w:val="single" w:color="auto" w:sz="4" w:space="0"/>
            </w:tcBorders>
            <w:noWrap w:val="0"/>
            <w:vAlign w:val="center"/>
          </w:tcPr>
          <w:p w14:paraId="0B7A5309">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72BFA59">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46E02E0E">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281E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48809ECE">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1EC0D355">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营业执照副本、税务登记证副本、组织机构代码证（“三证合一或五证合一”只提供营业执照副本）。</w:t>
            </w:r>
          </w:p>
        </w:tc>
        <w:tc>
          <w:tcPr>
            <w:tcW w:w="685" w:type="dxa"/>
            <w:tcBorders>
              <w:left w:val="single" w:color="auto" w:sz="4" w:space="0"/>
              <w:right w:val="single" w:color="auto" w:sz="4" w:space="0"/>
            </w:tcBorders>
            <w:noWrap w:val="0"/>
            <w:vAlign w:val="center"/>
          </w:tcPr>
          <w:p w14:paraId="2516F07D">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36DD74B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4D10DF2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18E3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18C0E5DD">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5A687904">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《湖南省政府采购供应商资格承诺函》（提供此承诺函的无需提供财务状况、缴纳税收和社会保障资金等资格证明材料）。</w:t>
            </w:r>
          </w:p>
        </w:tc>
        <w:tc>
          <w:tcPr>
            <w:tcW w:w="685" w:type="dxa"/>
            <w:tcBorders>
              <w:left w:val="single" w:color="auto" w:sz="4" w:space="0"/>
              <w:right w:val="single" w:color="auto" w:sz="4" w:space="0"/>
            </w:tcBorders>
            <w:noWrap w:val="0"/>
            <w:vAlign w:val="center"/>
          </w:tcPr>
          <w:p w14:paraId="2A28064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1915242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7C91CE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4830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77AAF6A3">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3D438F6F">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投标人参加本次政府采购活动前3年内没有重大违法记录的声明承诺。</w:t>
            </w:r>
          </w:p>
        </w:tc>
        <w:tc>
          <w:tcPr>
            <w:tcW w:w="685" w:type="dxa"/>
            <w:tcBorders>
              <w:left w:val="single" w:color="auto" w:sz="4" w:space="0"/>
              <w:right w:val="single" w:color="auto" w:sz="4" w:space="0"/>
            </w:tcBorders>
            <w:noWrap w:val="0"/>
            <w:vAlign w:val="center"/>
          </w:tcPr>
          <w:p w14:paraId="3DE42D8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7173DB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25717E3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6A55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6CA9CC83">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5762D87E">
            <w:pPr>
              <w:keepNext w:val="0"/>
              <w:keepLines w:val="0"/>
              <w:pageBreakBefore w:val="0"/>
              <w:widowControl w:val="0"/>
              <w:kinsoku/>
              <w:wordWrap w:val="0"/>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投标人在“信用中国”网站（www.creditchina.gov.cn）列入失信被执行人和重大税收违法案件当事人名单和“中国政府采购网”（www.ccgp.gov.cn）网站未列入政府采购严重违法失信行为记录名单等被禁止投标记录</w:t>
            </w:r>
          </w:p>
        </w:tc>
        <w:tc>
          <w:tcPr>
            <w:tcW w:w="685" w:type="dxa"/>
            <w:tcBorders>
              <w:left w:val="single" w:color="auto" w:sz="4" w:space="0"/>
              <w:right w:val="single" w:color="auto" w:sz="4" w:space="0"/>
            </w:tcBorders>
            <w:noWrap w:val="0"/>
            <w:vAlign w:val="center"/>
          </w:tcPr>
          <w:p w14:paraId="24C9208D">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4329C0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3951ABDD">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7B80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29B45A0E">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7D8EAF">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中小企业参加投标必须提供《中小企业声明函》，否则视为无效投标。格式见财政部工业和信息化部关于《政府采购促进中小企业发展管理办法》的通知财库【2020】46号文。</w:t>
            </w:r>
          </w:p>
        </w:tc>
        <w:tc>
          <w:tcPr>
            <w:tcW w:w="685" w:type="dxa"/>
            <w:tcBorders>
              <w:left w:val="single" w:color="auto" w:sz="4" w:space="0"/>
              <w:right w:val="single" w:color="auto" w:sz="4" w:space="0"/>
            </w:tcBorders>
            <w:noWrap w:val="0"/>
            <w:vAlign w:val="center"/>
          </w:tcPr>
          <w:p w14:paraId="45296F5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978707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1FC2D63D">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6351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1DE060">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9</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735C7F">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法律、法规和磋商文件规定的其他投标无效情形的</w:t>
            </w:r>
          </w:p>
        </w:tc>
        <w:tc>
          <w:tcPr>
            <w:tcW w:w="685" w:type="dxa"/>
            <w:tcBorders>
              <w:left w:val="single" w:color="auto" w:sz="4" w:space="0"/>
              <w:right w:val="single" w:color="auto" w:sz="4" w:space="0"/>
            </w:tcBorders>
            <w:noWrap w:val="0"/>
            <w:vAlign w:val="center"/>
          </w:tcPr>
          <w:p w14:paraId="0DBA9F4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1C242FE4">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693A104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r w14:paraId="2B14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271" w:type="dxa"/>
            <w:gridSpan w:val="2"/>
            <w:tcBorders>
              <w:top w:val="single" w:color="auto" w:sz="4" w:space="0"/>
              <w:left w:val="single" w:color="auto" w:sz="4" w:space="0"/>
              <w:bottom w:val="single" w:color="auto" w:sz="4" w:space="0"/>
              <w:right w:val="single" w:color="auto" w:sz="4" w:space="0"/>
            </w:tcBorders>
            <w:noWrap w:val="0"/>
            <w:vAlign w:val="center"/>
          </w:tcPr>
          <w:p w14:paraId="64235D94">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0"/>
              <w:rPr>
                <w:rFonts w:hint="eastAsia" w:ascii="宋体" w:hAnsi="宋体" w:eastAsia="宋体" w:cs="宋体"/>
                <w:sz w:val="21"/>
                <w:szCs w:val="21"/>
              </w:rPr>
            </w:pPr>
            <w:r>
              <w:rPr>
                <w:rFonts w:hint="eastAsia" w:ascii="宋体" w:hAnsi="宋体" w:eastAsia="宋体" w:cs="宋体"/>
                <w:sz w:val="21"/>
                <w:szCs w:val="21"/>
              </w:rPr>
              <w:t>结论（合格/不合格）</w:t>
            </w:r>
          </w:p>
        </w:tc>
        <w:tc>
          <w:tcPr>
            <w:tcW w:w="685" w:type="dxa"/>
            <w:tcBorders>
              <w:left w:val="single" w:color="auto" w:sz="4" w:space="0"/>
              <w:right w:val="single" w:color="auto" w:sz="4" w:space="0"/>
            </w:tcBorders>
            <w:noWrap w:val="0"/>
            <w:vAlign w:val="center"/>
          </w:tcPr>
          <w:p w14:paraId="13CA771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042CB5D">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CB4F35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p>
        </w:tc>
      </w:tr>
    </w:tbl>
    <w:p w14:paraId="1B33AC9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备注：1、达到要求的标记“√”，未达到的标记“╳”并注明其理由。</w:t>
      </w:r>
    </w:p>
    <w:p w14:paraId="79595069">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 xml:space="preserve">      2、结论填写“合格”或“不合格”。</w:t>
      </w:r>
    </w:p>
    <w:p w14:paraId="1F844E8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4"/>
          <w:szCs w:val="24"/>
        </w:rPr>
      </w:pPr>
      <w:r>
        <w:rPr>
          <w:rFonts w:hint="eastAsia" w:ascii="宋体" w:hAnsi="宋体" w:eastAsia="宋体" w:cs="宋体"/>
          <w:sz w:val="21"/>
          <w:szCs w:val="21"/>
        </w:rPr>
        <w:t xml:space="preserve">      3、结论“不合格”的供应商不进入下一轮评</w:t>
      </w:r>
      <w:r>
        <w:rPr>
          <w:rFonts w:hint="eastAsia" w:ascii="宋体" w:hAnsi="宋体" w:eastAsia="宋体" w:cs="宋体"/>
          <w:sz w:val="21"/>
          <w:szCs w:val="21"/>
          <w:lang w:val="en-US" w:eastAsia="zh-CN"/>
        </w:rPr>
        <w:t>审</w:t>
      </w:r>
      <w:r>
        <w:rPr>
          <w:rFonts w:hint="eastAsia" w:ascii="宋体" w:hAnsi="宋体" w:eastAsia="宋体" w:cs="宋体"/>
          <w:sz w:val="21"/>
          <w:szCs w:val="21"/>
        </w:rPr>
        <w:t>。</w:t>
      </w:r>
    </w:p>
    <w:p w14:paraId="293617CB">
      <w:pPr>
        <w:pageBreakBefore w:val="0"/>
        <w:kinsoku/>
        <w:wordWrap/>
        <w:overflowPunct/>
        <w:topLinePunct w:val="0"/>
        <w:bidi w:val="0"/>
        <w:spacing w:beforeAutospacing="0" w:afterAutospacing="0" w:line="560" w:lineRule="exact"/>
        <w:jc w:val="left"/>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rPr>
        <w:t>4、符合性审查</w:t>
      </w:r>
    </w:p>
    <w:p w14:paraId="13738A6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4.1评标委员会应当对资格审查合格的</w:t>
      </w:r>
      <w:r>
        <w:rPr>
          <w:rFonts w:hint="eastAsia" w:ascii="宋体" w:hAnsi="宋体" w:eastAsia="宋体" w:cs="宋体"/>
          <w:sz w:val="21"/>
          <w:szCs w:val="21"/>
          <w:lang w:eastAsia="zh-CN"/>
        </w:rPr>
        <w:t>供应商</w:t>
      </w:r>
      <w:r>
        <w:rPr>
          <w:rFonts w:hint="eastAsia" w:ascii="宋体" w:hAnsi="宋体" w:eastAsia="宋体" w:cs="宋体"/>
          <w:sz w:val="21"/>
          <w:szCs w:val="21"/>
        </w:rPr>
        <w:t>的</w:t>
      </w:r>
      <w:r>
        <w:rPr>
          <w:rFonts w:hint="eastAsia" w:ascii="宋体" w:hAnsi="宋体" w:eastAsia="宋体" w:cs="宋体"/>
          <w:sz w:val="21"/>
          <w:szCs w:val="21"/>
          <w:lang w:eastAsia="zh-CN"/>
        </w:rPr>
        <w:t>响应文件</w:t>
      </w:r>
      <w:r>
        <w:rPr>
          <w:rFonts w:hint="eastAsia" w:ascii="宋体" w:hAnsi="宋体" w:eastAsia="宋体" w:cs="宋体"/>
          <w:sz w:val="21"/>
          <w:szCs w:val="21"/>
        </w:rPr>
        <w:t>进行符合性审查，以确定其是否满足</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w:t>
      </w:r>
    </w:p>
    <w:p w14:paraId="1BD00C8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（1）依据</w:t>
      </w:r>
      <w:r>
        <w:rPr>
          <w:rFonts w:hint="eastAsia" w:ascii="宋体" w:hAnsi="宋体" w:eastAsia="宋体" w:cs="宋体"/>
          <w:sz w:val="21"/>
          <w:szCs w:val="21"/>
          <w:lang w:eastAsia="zh-CN"/>
        </w:rPr>
        <w:t>磋商文件</w:t>
      </w:r>
      <w:r>
        <w:rPr>
          <w:rFonts w:hint="eastAsia" w:ascii="宋体" w:hAnsi="宋体" w:eastAsia="宋体" w:cs="宋体"/>
          <w:sz w:val="21"/>
          <w:szCs w:val="21"/>
        </w:rPr>
        <w:t>的规定，从</w:t>
      </w:r>
      <w:r>
        <w:rPr>
          <w:rFonts w:hint="eastAsia" w:ascii="宋体" w:hAnsi="宋体" w:eastAsia="宋体" w:cs="宋体"/>
          <w:sz w:val="21"/>
          <w:szCs w:val="21"/>
          <w:lang w:eastAsia="zh-CN"/>
        </w:rPr>
        <w:t>响应文件</w:t>
      </w:r>
      <w:r>
        <w:rPr>
          <w:rFonts w:hint="eastAsia" w:ascii="宋体" w:hAnsi="宋体" w:eastAsia="宋体" w:cs="宋体"/>
          <w:sz w:val="21"/>
          <w:szCs w:val="21"/>
        </w:rPr>
        <w:t>的有效性、完整性和对</w:t>
      </w:r>
      <w:r>
        <w:rPr>
          <w:rFonts w:hint="eastAsia" w:ascii="宋体" w:hAnsi="宋体" w:eastAsia="宋体" w:cs="宋体"/>
          <w:sz w:val="21"/>
          <w:szCs w:val="21"/>
          <w:lang w:eastAsia="zh-CN"/>
        </w:rPr>
        <w:t>磋商文件</w:t>
      </w:r>
      <w:r>
        <w:rPr>
          <w:rFonts w:hint="eastAsia" w:ascii="宋体" w:hAnsi="宋体" w:eastAsia="宋体" w:cs="宋体"/>
          <w:sz w:val="21"/>
          <w:szCs w:val="21"/>
        </w:rPr>
        <w:t>的响应程度进行审查，以确定是否对</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的实质性要求作出响应。评标委员会决定</w:t>
      </w:r>
      <w:r>
        <w:rPr>
          <w:rFonts w:hint="eastAsia" w:ascii="宋体" w:hAnsi="宋体" w:eastAsia="宋体" w:cs="宋体"/>
          <w:sz w:val="21"/>
          <w:szCs w:val="21"/>
          <w:lang w:eastAsia="zh-CN"/>
        </w:rPr>
        <w:t>响应文件</w:t>
      </w:r>
      <w:r>
        <w:rPr>
          <w:rFonts w:hint="eastAsia" w:ascii="宋体" w:hAnsi="宋体" w:eastAsia="宋体" w:cs="宋体"/>
          <w:sz w:val="21"/>
          <w:szCs w:val="21"/>
        </w:rPr>
        <w:t>的响应性只根据</w:t>
      </w:r>
      <w:r>
        <w:rPr>
          <w:rFonts w:hint="eastAsia" w:ascii="宋体" w:hAnsi="宋体" w:eastAsia="宋体" w:cs="宋体"/>
          <w:sz w:val="21"/>
          <w:szCs w:val="21"/>
          <w:lang w:eastAsia="zh-CN"/>
        </w:rPr>
        <w:t>响应文件</w:t>
      </w:r>
      <w:r>
        <w:rPr>
          <w:rFonts w:hint="eastAsia" w:ascii="宋体" w:hAnsi="宋体" w:eastAsia="宋体" w:cs="宋体"/>
          <w:sz w:val="21"/>
          <w:szCs w:val="21"/>
        </w:rPr>
        <w:t>真实无误的内容，而不依据外部的证据，但</w:t>
      </w:r>
      <w:r>
        <w:rPr>
          <w:rFonts w:hint="eastAsia" w:ascii="宋体" w:hAnsi="宋体" w:eastAsia="宋体" w:cs="宋体"/>
          <w:sz w:val="21"/>
          <w:szCs w:val="21"/>
          <w:lang w:eastAsia="zh-CN"/>
        </w:rPr>
        <w:t>响应文件</w:t>
      </w:r>
      <w:r>
        <w:rPr>
          <w:rFonts w:hint="eastAsia" w:ascii="宋体" w:hAnsi="宋体" w:eastAsia="宋体" w:cs="宋体"/>
          <w:sz w:val="21"/>
          <w:szCs w:val="21"/>
        </w:rPr>
        <w:t>有不真实、不正确的内容时除外。</w:t>
      </w:r>
    </w:p>
    <w:p w14:paraId="23A4CF3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供应商</w:t>
      </w:r>
      <w:r>
        <w:rPr>
          <w:rFonts w:hint="eastAsia" w:ascii="宋体" w:hAnsi="宋体" w:eastAsia="宋体" w:cs="宋体"/>
          <w:sz w:val="21"/>
          <w:szCs w:val="21"/>
        </w:rPr>
        <w:t>不得通过修正或撤销不合要求的偏离从而使其投标成为实质上响应的投标。</w:t>
      </w:r>
    </w:p>
    <w:p w14:paraId="2E7CEC6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4.2</w:t>
      </w:r>
      <w:r>
        <w:rPr>
          <w:rFonts w:hint="eastAsia" w:ascii="宋体" w:hAnsi="宋体" w:eastAsia="宋体" w:cs="宋体"/>
          <w:sz w:val="21"/>
          <w:szCs w:val="21"/>
          <w:lang w:eastAsia="zh-CN"/>
        </w:rPr>
        <w:t>响应文件</w:t>
      </w:r>
      <w:r>
        <w:rPr>
          <w:rFonts w:hint="eastAsia" w:ascii="宋体" w:hAnsi="宋体" w:eastAsia="宋体" w:cs="宋体"/>
          <w:sz w:val="21"/>
          <w:szCs w:val="21"/>
        </w:rPr>
        <w:t>属下列情况之一的，投标无效：</w:t>
      </w:r>
    </w:p>
    <w:p w14:paraId="5C15ED7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响应文件</w:t>
      </w:r>
      <w:r>
        <w:rPr>
          <w:rFonts w:hint="eastAsia" w:ascii="宋体" w:hAnsi="宋体" w:eastAsia="宋体" w:cs="宋体"/>
          <w:sz w:val="21"/>
          <w:szCs w:val="21"/>
        </w:rPr>
        <w:t>中商务技术文件未按照</w:t>
      </w:r>
      <w:r>
        <w:rPr>
          <w:rFonts w:hint="eastAsia" w:ascii="宋体" w:hAnsi="宋体" w:eastAsia="宋体" w:cs="宋体"/>
          <w:sz w:val="21"/>
          <w:szCs w:val="21"/>
          <w:lang w:eastAsia="zh-CN"/>
        </w:rPr>
        <w:t>磋商文件</w:t>
      </w:r>
      <w:r>
        <w:rPr>
          <w:rFonts w:hint="eastAsia" w:ascii="宋体" w:hAnsi="宋体" w:eastAsia="宋体" w:cs="宋体"/>
          <w:sz w:val="21"/>
          <w:szCs w:val="21"/>
        </w:rPr>
        <w:t>规定要求签署、盖章的；</w:t>
      </w:r>
    </w:p>
    <w:p w14:paraId="6233A42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响应文件</w:t>
      </w:r>
      <w:r>
        <w:rPr>
          <w:rFonts w:hint="eastAsia" w:ascii="宋体" w:hAnsi="宋体" w:eastAsia="宋体" w:cs="宋体"/>
          <w:sz w:val="21"/>
          <w:szCs w:val="21"/>
        </w:rPr>
        <w:t>没有对</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的实质性要求和条件作出响应，或者对</w:t>
      </w:r>
      <w:r>
        <w:rPr>
          <w:rFonts w:hint="eastAsia" w:ascii="宋体" w:hAnsi="宋体" w:eastAsia="宋体" w:cs="宋体"/>
          <w:sz w:val="21"/>
          <w:szCs w:val="21"/>
          <w:lang w:eastAsia="zh-CN"/>
        </w:rPr>
        <w:t>磋商文件</w:t>
      </w:r>
      <w:r>
        <w:rPr>
          <w:rFonts w:hint="eastAsia" w:ascii="宋体" w:hAnsi="宋体" w:eastAsia="宋体" w:cs="宋体"/>
          <w:sz w:val="21"/>
          <w:szCs w:val="21"/>
        </w:rPr>
        <w:t>的偏差超出</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规定的偏差范围或最高项数；</w:t>
      </w:r>
    </w:p>
    <w:p w14:paraId="1965CD7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（3）报价超过</w:t>
      </w:r>
      <w:r>
        <w:rPr>
          <w:rFonts w:hint="eastAsia" w:ascii="宋体" w:hAnsi="宋体" w:eastAsia="宋体" w:cs="宋体"/>
          <w:sz w:val="21"/>
          <w:szCs w:val="21"/>
          <w:lang w:eastAsia="zh-CN"/>
        </w:rPr>
        <w:t>磋商文件</w:t>
      </w:r>
      <w:r>
        <w:rPr>
          <w:rFonts w:hint="eastAsia" w:ascii="宋体" w:hAnsi="宋体" w:eastAsia="宋体" w:cs="宋体"/>
          <w:sz w:val="21"/>
          <w:szCs w:val="21"/>
        </w:rPr>
        <w:t xml:space="preserve">中规定的最高限价和最低价的； </w:t>
      </w:r>
    </w:p>
    <w:p w14:paraId="5F66187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响应文件有效期</w:t>
      </w:r>
      <w:r>
        <w:rPr>
          <w:rFonts w:hint="eastAsia" w:ascii="宋体" w:hAnsi="宋体" w:eastAsia="宋体" w:cs="宋体"/>
          <w:sz w:val="21"/>
          <w:szCs w:val="21"/>
        </w:rPr>
        <w:t>不足的；</w:t>
      </w:r>
    </w:p>
    <w:p w14:paraId="5025B1F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响应文件</w:t>
      </w:r>
      <w:r>
        <w:rPr>
          <w:rFonts w:hint="eastAsia" w:ascii="宋体" w:hAnsi="宋体" w:eastAsia="宋体" w:cs="宋体"/>
          <w:sz w:val="21"/>
          <w:szCs w:val="21"/>
        </w:rPr>
        <w:t>含有采购人不能接受的附加条件的；</w:t>
      </w:r>
    </w:p>
    <w:p w14:paraId="604A701A">
      <w:pPr>
        <w:pageBreakBefore w:val="0"/>
        <w:kinsoku/>
        <w:wordWrap/>
        <w:overflowPunct/>
        <w:topLinePunct w:val="0"/>
        <w:bidi w:val="0"/>
        <w:spacing w:beforeAutospacing="0" w:afterAutospacing="0" w:line="560" w:lineRule="exact"/>
        <w:ind w:left="0" w:leftChars="0" w:firstLine="420" w:firstLineChars="200"/>
        <w:jc w:val="left"/>
        <w:outlineLvl w:val="0"/>
        <w:rPr>
          <w:rFonts w:hint="eastAsia" w:ascii="宋体" w:hAnsi="宋体" w:eastAsia="宋体" w:cs="宋体"/>
          <w:b/>
          <w:bCs/>
          <w:sz w:val="21"/>
          <w:szCs w:val="21"/>
          <w:lang w:val="en-US" w:eastAsia="zh-CN"/>
        </w:rPr>
      </w:pPr>
      <w:r>
        <w:rPr>
          <w:rFonts w:hint="eastAsia" w:ascii="宋体" w:hAnsi="宋体" w:eastAsia="宋体" w:cs="宋体"/>
          <w:sz w:val="21"/>
          <w:szCs w:val="21"/>
        </w:rPr>
        <w:t>（6）法律、法规和</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规定的其他投标无效情形的。</w:t>
      </w:r>
    </w:p>
    <w:p w14:paraId="0A8D297A">
      <w:pPr>
        <w:pageBreakBefore w:val="0"/>
        <w:kinsoku/>
        <w:wordWrap/>
        <w:overflowPunct/>
        <w:topLinePunct w:val="0"/>
        <w:bidi w:val="0"/>
        <w:spacing w:beforeAutospacing="0" w:afterAutospacing="0" w:line="560" w:lineRule="exact"/>
        <w:jc w:val="left"/>
        <w:outlineLvl w:val="0"/>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附表2：</w:t>
      </w:r>
      <w:r>
        <w:rPr>
          <w:rFonts w:hint="eastAsia" w:ascii="宋体" w:hAnsi="宋体" w:eastAsia="宋体" w:cs="宋体"/>
          <w:b/>
          <w:bCs/>
          <w:sz w:val="21"/>
          <w:szCs w:val="21"/>
        </w:rPr>
        <w:t>符合性审查表</w:t>
      </w:r>
      <w:r>
        <w:rPr>
          <w:rFonts w:hint="eastAsia" w:ascii="宋体" w:hAnsi="宋体" w:cs="宋体"/>
          <w:b/>
          <w:bCs/>
          <w:sz w:val="21"/>
          <w:szCs w:val="21"/>
          <w:lang w:eastAsia="zh-CN"/>
        </w:rPr>
        <w:t>（</w:t>
      </w:r>
      <w:r>
        <w:rPr>
          <w:rFonts w:hint="eastAsia" w:ascii="宋体" w:hAnsi="宋体" w:cs="宋体"/>
          <w:b/>
          <w:bCs/>
          <w:sz w:val="21"/>
          <w:szCs w:val="21"/>
          <w:lang w:val="en-US" w:eastAsia="zh-CN"/>
        </w:rPr>
        <w:t>包1、包2</w:t>
      </w:r>
      <w:r>
        <w:rPr>
          <w:rFonts w:hint="eastAsia" w:ascii="宋体" w:hAnsi="宋体" w:cs="宋体"/>
          <w:b/>
          <w:bCs/>
          <w:sz w:val="21"/>
          <w:szCs w:val="21"/>
          <w:lang w:eastAsia="zh-CN"/>
        </w:rPr>
        <w:t>）</w:t>
      </w:r>
    </w:p>
    <w:tbl>
      <w:tblPr>
        <w:tblStyle w:val="45"/>
        <w:tblW w:w="9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4811"/>
        <w:gridCol w:w="1550"/>
        <w:gridCol w:w="1567"/>
        <w:gridCol w:w="1504"/>
      </w:tblGrid>
      <w:tr w14:paraId="19DD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26" w:type="dxa"/>
            <w:vMerge w:val="restart"/>
            <w:vAlign w:val="center"/>
          </w:tcPr>
          <w:p w14:paraId="4DD511C4">
            <w:pPr>
              <w:rPr>
                <w:rFonts w:hint="eastAsia" w:ascii="宋体" w:hAnsi="宋体" w:eastAsia="宋体" w:cs="宋体"/>
                <w:b w:val="0"/>
                <w:bCs w:val="0"/>
                <w:sz w:val="21"/>
                <w:szCs w:val="21"/>
              </w:rPr>
            </w:pPr>
            <w:r>
              <w:rPr>
                <w:rFonts w:hint="eastAsia" w:ascii="宋体" w:hAnsi="宋体" w:eastAsia="宋体" w:cs="宋体"/>
                <w:b w:val="0"/>
                <w:bCs w:val="0"/>
                <w:sz w:val="21"/>
                <w:szCs w:val="21"/>
              </w:rPr>
              <w:t>序号</w:t>
            </w:r>
          </w:p>
        </w:tc>
        <w:tc>
          <w:tcPr>
            <w:tcW w:w="4811" w:type="dxa"/>
            <w:vMerge w:val="restart"/>
            <w:vAlign w:val="center"/>
          </w:tcPr>
          <w:p w14:paraId="0C8332AF">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符合性审查</w:t>
            </w:r>
            <w:r>
              <w:rPr>
                <w:rFonts w:hint="eastAsia" w:ascii="宋体" w:hAnsi="宋体" w:eastAsia="宋体" w:cs="宋体"/>
                <w:b w:val="0"/>
                <w:bCs w:val="0"/>
                <w:sz w:val="21"/>
                <w:szCs w:val="21"/>
              </w:rPr>
              <w:t>内容</w:t>
            </w:r>
          </w:p>
        </w:tc>
        <w:tc>
          <w:tcPr>
            <w:tcW w:w="4621" w:type="dxa"/>
            <w:gridSpan w:val="3"/>
            <w:vAlign w:val="center"/>
          </w:tcPr>
          <w:p w14:paraId="11BDC12B">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供应商</w:t>
            </w:r>
          </w:p>
        </w:tc>
      </w:tr>
      <w:tr w14:paraId="7F61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26" w:type="dxa"/>
            <w:vMerge w:val="continue"/>
            <w:vAlign w:val="center"/>
          </w:tcPr>
          <w:p w14:paraId="6533D88A">
            <w:pPr>
              <w:jc w:val="center"/>
              <w:rPr>
                <w:rFonts w:hint="eastAsia" w:ascii="宋体" w:hAnsi="宋体" w:eastAsia="宋体" w:cs="宋体"/>
                <w:sz w:val="21"/>
                <w:szCs w:val="21"/>
              </w:rPr>
            </w:pPr>
          </w:p>
        </w:tc>
        <w:tc>
          <w:tcPr>
            <w:tcW w:w="4811" w:type="dxa"/>
            <w:vMerge w:val="continue"/>
            <w:vAlign w:val="center"/>
          </w:tcPr>
          <w:p w14:paraId="3E0D3F0C">
            <w:pPr>
              <w:jc w:val="center"/>
              <w:rPr>
                <w:rFonts w:hint="eastAsia" w:ascii="宋体" w:hAnsi="宋体" w:eastAsia="宋体" w:cs="宋体"/>
                <w:sz w:val="21"/>
                <w:szCs w:val="21"/>
              </w:rPr>
            </w:pPr>
          </w:p>
        </w:tc>
        <w:tc>
          <w:tcPr>
            <w:tcW w:w="1550" w:type="dxa"/>
            <w:vAlign w:val="center"/>
          </w:tcPr>
          <w:p w14:paraId="61AB51A7">
            <w:pPr>
              <w:spacing w:line="240" w:lineRule="atLeast"/>
              <w:jc w:val="center"/>
              <w:rPr>
                <w:rFonts w:hint="eastAsia" w:ascii="宋体" w:hAnsi="宋体" w:eastAsia="宋体" w:cs="宋体"/>
                <w:b/>
                <w:bCs/>
                <w:sz w:val="21"/>
                <w:szCs w:val="21"/>
              </w:rPr>
            </w:pPr>
          </w:p>
        </w:tc>
        <w:tc>
          <w:tcPr>
            <w:tcW w:w="1567" w:type="dxa"/>
            <w:vAlign w:val="center"/>
          </w:tcPr>
          <w:p w14:paraId="1575CBB7">
            <w:pPr>
              <w:spacing w:line="240" w:lineRule="atLeast"/>
              <w:ind w:left="211" w:leftChars="0" w:hanging="211" w:hangingChars="100"/>
              <w:jc w:val="left"/>
              <w:rPr>
                <w:rFonts w:hint="eastAsia" w:ascii="宋体" w:hAnsi="宋体" w:eastAsia="宋体" w:cs="宋体"/>
                <w:b/>
                <w:bCs/>
                <w:sz w:val="21"/>
                <w:szCs w:val="21"/>
                <w:lang w:eastAsia="zh-CN"/>
              </w:rPr>
            </w:pPr>
          </w:p>
        </w:tc>
        <w:tc>
          <w:tcPr>
            <w:tcW w:w="1504" w:type="dxa"/>
            <w:vAlign w:val="center"/>
          </w:tcPr>
          <w:p w14:paraId="1C7B8A69">
            <w:pPr>
              <w:spacing w:line="240" w:lineRule="atLeast"/>
              <w:jc w:val="center"/>
              <w:rPr>
                <w:rFonts w:hint="eastAsia" w:ascii="宋体" w:hAnsi="宋体" w:eastAsia="宋体" w:cs="宋体"/>
                <w:b/>
                <w:bCs/>
                <w:sz w:val="21"/>
                <w:szCs w:val="21"/>
              </w:rPr>
            </w:pPr>
          </w:p>
        </w:tc>
      </w:tr>
      <w:tr w14:paraId="381E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26" w:type="dxa"/>
            <w:vAlign w:val="center"/>
          </w:tcPr>
          <w:p w14:paraId="498FEBE8">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1</w:t>
            </w:r>
          </w:p>
        </w:tc>
        <w:tc>
          <w:tcPr>
            <w:tcW w:w="4811" w:type="dxa"/>
            <w:vAlign w:val="center"/>
          </w:tcPr>
          <w:p w14:paraId="5850DEF6">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响应文件的签署、盖章符合磋商文件要求</w:t>
            </w:r>
          </w:p>
        </w:tc>
        <w:tc>
          <w:tcPr>
            <w:tcW w:w="1550" w:type="dxa"/>
          </w:tcPr>
          <w:p w14:paraId="4C6C3C53">
            <w:pPr>
              <w:jc w:val="center"/>
              <w:rPr>
                <w:rFonts w:hint="eastAsia" w:ascii="宋体" w:hAnsi="宋体" w:eastAsia="宋体" w:cs="宋体"/>
                <w:sz w:val="21"/>
                <w:szCs w:val="21"/>
              </w:rPr>
            </w:pPr>
          </w:p>
        </w:tc>
        <w:tc>
          <w:tcPr>
            <w:tcW w:w="1567" w:type="dxa"/>
          </w:tcPr>
          <w:p w14:paraId="3F388AE6">
            <w:pPr>
              <w:jc w:val="center"/>
              <w:rPr>
                <w:rFonts w:hint="eastAsia" w:ascii="宋体" w:hAnsi="宋体" w:eastAsia="宋体" w:cs="宋体"/>
                <w:sz w:val="21"/>
                <w:szCs w:val="21"/>
              </w:rPr>
            </w:pPr>
          </w:p>
        </w:tc>
        <w:tc>
          <w:tcPr>
            <w:tcW w:w="1504" w:type="dxa"/>
          </w:tcPr>
          <w:p w14:paraId="2DB5414D">
            <w:pPr>
              <w:jc w:val="center"/>
              <w:rPr>
                <w:rFonts w:hint="eastAsia" w:ascii="宋体" w:hAnsi="宋体" w:eastAsia="宋体" w:cs="宋体"/>
                <w:sz w:val="21"/>
                <w:szCs w:val="21"/>
              </w:rPr>
            </w:pPr>
          </w:p>
        </w:tc>
      </w:tr>
      <w:tr w14:paraId="70CE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26" w:type="dxa"/>
            <w:vAlign w:val="center"/>
          </w:tcPr>
          <w:p w14:paraId="47B4E416">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2</w:t>
            </w:r>
          </w:p>
        </w:tc>
        <w:tc>
          <w:tcPr>
            <w:tcW w:w="4811" w:type="dxa"/>
            <w:vAlign w:val="center"/>
          </w:tcPr>
          <w:p w14:paraId="389B2161">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投标有效期满足</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398475BA">
            <w:pPr>
              <w:jc w:val="center"/>
              <w:rPr>
                <w:rFonts w:hint="eastAsia" w:ascii="宋体" w:hAnsi="宋体" w:eastAsia="宋体" w:cs="宋体"/>
                <w:sz w:val="21"/>
                <w:szCs w:val="21"/>
              </w:rPr>
            </w:pPr>
          </w:p>
        </w:tc>
        <w:tc>
          <w:tcPr>
            <w:tcW w:w="1567" w:type="dxa"/>
          </w:tcPr>
          <w:p w14:paraId="38C9BE99">
            <w:pPr>
              <w:jc w:val="center"/>
              <w:rPr>
                <w:rFonts w:hint="eastAsia" w:ascii="宋体" w:hAnsi="宋体" w:eastAsia="宋体" w:cs="宋体"/>
                <w:sz w:val="21"/>
                <w:szCs w:val="21"/>
              </w:rPr>
            </w:pPr>
          </w:p>
        </w:tc>
        <w:tc>
          <w:tcPr>
            <w:tcW w:w="1504" w:type="dxa"/>
          </w:tcPr>
          <w:p w14:paraId="3A690EAD">
            <w:pPr>
              <w:jc w:val="center"/>
              <w:rPr>
                <w:rFonts w:hint="eastAsia" w:ascii="宋体" w:hAnsi="宋体" w:eastAsia="宋体" w:cs="宋体"/>
                <w:sz w:val="21"/>
                <w:szCs w:val="21"/>
              </w:rPr>
            </w:pPr>
          </w:p>
        </w:tc>
      </w:tr>
      <w:tr w14:paraId="6F74D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526" w:type="dxa"/>
            <w:vAlign w:val="center"/>
          </w:tcPr>
          <w:p w14:paraId="222C8CA1">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3</w:t>
            </w:r>
          </w:p>
        </w:tc>
        <w:tc>
          <w:tcPr>
            <w:tcW w:w="4811" w:type="dxa"/>
            <w:vAlign w:val="center"/>
          </w:tcPr>
          <w:p w14:paraId="205F97ED">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lang w:eastAsia="zh-CN"/>
              </w:rPr>
              <w:t>期</w:t>
            </w:r>
            <w:r>
              <w:rPr>
                <w:rFonts w:hint="eastAsia" w:ascii="宋体" w:hAnsi="宋体" w:eastAsia="宋体" w:cs="宋体"/>
                <w:sz w:val="21"/>
                <w:szCs w:val="21"/>
                <w:highlight w:val="none"/>
              </w:rPr>
              <w:t>满足</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3C31C316">
            <w:pPr>
              <w:jc w:val="center"/>
              <w:rPr>
                <w:rFonts w:hint="eastAsia" w:ascii="宋体" w:hAnsi="宋体" w:eastAsia="宋体" w:cs="宋体"/>
                <w:sz w:val="21"/>
                <w:szCs w:val="21"/>
              </w:rPr>
            </w:pPr>
          </w:p>
        </w:tc>
        <w:tc>
          <w:tcPr>
            <w:tcW w:w="1567" w:type="dxa"/>
          </w:tcPr>
          <w:p w14:paraId="2EC7EF46">
            <w:pPr>
              <w:jc w:val="center"/>
              <w:rPr>
                <w:rFonts w:hint="eastAsia" w:ascii="宋体" w:hAnsi="宋体" w:eastAsia="宋体" w:cs="宋体"/>
                <w:sz w:val="21"/>
                <w:szCs w:val="21"/>
              </w:rPr>
            </w:pPr>
          </w:p>
        </w:tc>
        <w:tc>
          <w:tcPr>
            <w:tcW w:w="1504" w:type="dxa"/>
          </w:tcPr>
          <w:p w14:paraId="160332EC">
            <w:pPr>
              <w:jc w:val="center"/>
              <w:rPr>
                <w:rFonts w:hint="eastAsia" w:ascii="宋体" w:hAnsi="宋体" w:eastAsia="宋体" w:cs="宋体"/>
                <w:sz w:val="21"/>
                <w:szCs w:val="21"/>
              </w:rPr>
            </w:pPr>
          </w:p>
        </w:tc>
      </w:tr>
      <w:tr w14:paraId="13FA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26" w:type="dxa"/>
            <w:vAlign w:val="center"/>
          </w:tcPr>
          <w:p w14:paraId="39F1FE8F">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4</w:t>
            </w:r>
          </w:p>
        </w:tc>
        <w:tc>
          <w:tcPr>
            <w:tcW w:w="4811" w:type="dxa"/>
            <w:vAlign w:val="center"/>
          </w:tcPr>
          <w:p w14:paraId="5E1E6170">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付款方式响应</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2A4ADD4C">
            <w:pPr>
              <w:jc w:val="center"/>
              <w:rPr>
                <w:rFonts w:hint="eastAsia" w:ascii="宋体" w:hAnsi="宋体" w:eastAsia="宋体" w:cs="宋体"/>
                <w:sz w:val="21"/>
                <w:szCs w:val="21"/>
              </w:rPr>
            </w:pPr>
          </w:p>
        </w:tc>
        <w:tc>
          <w:tcPr>
            <w:tcW w:w="1567" w:type="dxa"/>
          </w:tcPr>
          <w:p w14:paraId="20DF5E3C">
            <w:pPr>
              <w:jc w:val="center"/>
              <w:rPr>
                <w:rFonts w:hint="eastAsia" w:ascii="宋体" w:hAnsi="宋体" w:eastAsia="宋体" w:cs="宋体"/>
                <w:sz w:val="21"/>
                <w:szCs w:val="21"/>
              </w:rPr>
            </w:pPr>
          </w:p>
        </w:tc>
        <w:tc>
          <w:tcPr>
            <w:tcW w:w="1504" w:type="dxa"/>
          </w:tcPr>
          <w:p w14:paraId="20EA1F09">
            <w:pPr>
              <w:jc w:val="center"/>
              <w:rPr>
                <w:rFonts w:hint="eastAsia" w:ascii="宋体" w:hAnsi="宋体" w:eastAsia="宋体" w:cs="宋体"/>
                <w:sz w:val="21"/>
                <w:szCs w:val="21"/>
              </w:rPr>
            </w:pPr>
          </w:p>
        </w:tc>
      </w:tr>
      <w:tr w14:paraId="7CBA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26" w:type="dxa"/>
            <w:vAlign w:val="center"/>
          </w:tcPr>
          <w:p w14:paraId="1444338A">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4811" w:type="dxa"/>
            <w:vAlign w:val="center"/>
          </w:tcPr>
          <w:p w14:paraId="7B4E1B11">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服务</w:t>
            </w:r>
            <w:r>
              <w:rPr>
                <w:rFonts w:hint="eastAsia" w:ascii="宋体" w:hAnsi="宋体" w:cs="宋体"/>
                <w:sz w:val="21"/>
                <w:szCs w:val="21"/>
                <w:highlight w:val="none"/>
                <w:lang w:val="en-US" w:eastAsia="zh-CN"/>
              </w:rPr>
              <w:t>标准</w:t>
            </w:r>
            <w:r>
              <w:rPr>
                <w:rFonts w:hint="eastAsia" w:ascii="宋体" w:hAnsi="宋体" w:eastAsia="宋体" w:cs="宋体"/>
                <w:sz w:val="21"/>
                <w:szCs w:val="21"/>
                <w:highlight w:val="none"/>
                <w:lang w:val="en-US" w:eastAsia="zh-CN"/>
              </w:rPr>
              <w:t>满足磋商文件要求</w:t>
            </w:r>
          </w:p>
        </w:tc>
        <w:tc>
          <w:tcPr>
            <w:tcW w:w="1550" w:type="dxa"/>
          </w:tcPr>
          <w:p w14:paraId="3075553C">
            <w:pPr>
              <w:jc w:val="center"/>
              <w:rPr>
                <w:rFonts w:hint="eastAsia" w:ascii="宋体" w:hAnsi="宋体" w:eastAsia="宋体" w:cs="宋体"/>
                <w:sz w:val="21"/>
                <w:szCs w:val="21"/>
              </w:rPr>
            </w:pPr>
          </w:p>
        </w:tc>
        <w:tc>
          <w:tcPr>
            <w:tcW w:w="1567" w:type="dxa"/>
          </w:tcPr>
          <w:p w14:paraId="5A9CAFE6">
            <w:pPr>
              <w:jc w:val="center"/>
              <w:rPr>
                <w:rFonts w:hint="eastAsia" w:ascii="宋体" w:hAnsi="宋体" w:eastAsia="宋体" w:cs="宋体"/>
                <w:sz w:val="21"/>
                <w:szCs w:val="21"/>
              </w:rPr>
            </w:pPr>
          </w:p>
        </w:tc>
        <w:tc>
          <w:tcPr>
            <w:tcW w:w="1504" w:type="dxa"/>
          </w:tcPr>
          <w:p w14:paraId="61DEBE7F">
            <w:pPr>
              <w:jc w:val="center"/>
              <w:rPr>
                <w:rFonts w:hint="eastAsia" w:ascii="宋体" w:hAnsi="宋体" w:eastAsia="宋体" w:cs="宋体"/>
                <w:sz w:val="21"/>
                <w:szCs w:val="21"/>
              </w:rPr>
            </w:pPr>
          </w:p>
        </w:tc>
      </w:tr>
      <w:tr w14:paraId="0F9E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526" w:type="dxa"/>
            <w:vAlign w:val="center"/>
          </w:tcPr>
          <w:p w14:paraId="2911620A">
            <w:pPr>
              <w:keepNext w:val="0"/>
              <w:keepLines w:val="0"/>
              <w:pageBreakBefore w:val="0"/>
              <w:widowControl/>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4811" w:type="dxa"/>
            <w:vAlign w:val="center"/>
          </w:tcPr>
          <w:p w14:paraId="5A1AB230">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响应文件</w:t>
            </w:r>
            <w:r>
              <w:rPr>
                <w:rFonts w:hint="eastAsia" w:ascii="宋体" w:hAnsi="宋体" w:eastAsia="宋体" w:cs="宋体"/>
                <w:sz w:val="21"/>
                <w:szCs w:val="21"/>
                <w:highlight w:val="none"/>
              </w:rPr>
              <w:t>报价没有超过</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文件中规定的预算金额或者最高限价</w:t>
            </w:r>
          </w:p>
        </w:tc>
        <w:tc>
          <w:tcPr>
            <w:tcW w:w="1550" w:type="dxa"/>
          </w:tcPr>
          <w:p w14:paraId="3779F525">
            <w:pPr>
              <w:jc w:val="center"/>
              <w:rPr>
                <w:rFonts w:hint="eastAsia" w:ascii="宋体" w:hAnsi="宋体" w:eastAsia="宋体" w:cs="宋体"/>
                <w:sz w:val="21"/>
                <w:szCs w:val="21"/>
              </w:rPr>
            </w:pPr>
          </w:p>
        </w:tc>
        <w:tc>
          <w:tcPr>
            <w:tcW w:w="1567" w:type="dxa"/>
          </w:tcPr>
          <w:p w14:paraId="2A31848B">
            <w:pPr>
              <w:jc w:val="center"/>
              <w:rPr>
                <w:rFonts w:hint="eastAsia" w:ascii="宋体" w:hAnsi="宋体" w:eastAsia="宋体" w:cs="宋体"/>
                <w:sz w:val="21"/>
                <w:szCs w:val="21"/>
              </w:rPr>
            </w:pPr>
          </w:p>
        </w:tc>
        <w:tc>
          <w:tcPr>
            <w:tcW w:w="1504" w:type="dxa"/>
          </w:tcPr>
          <w:p w14:paraId="07FEF492">
            <w:pPr>
              <w:jc w:val="center"/>
              <w:rPr>
                <w:rFonts w:hint="eastAsia" w:ascii="宋体" w:hAnsi="宋体" w:eastAsia="宋体" w:cs="宋体"/>
                <w:sz w:val="21"/>
                <w:szCs w:val="21"/>
              </w:rPr>
            </w:pPr>
          </w:p>
        </w:tc>
      </w:tr>
      <w:tr w14:paraId="762B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526" w:type="dxa"/>
            <w:vAlign w:val="center"/>
          </w:tcPr>
          <w:p w14:paraId="099EB571">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lang w:eastAsia="zh-CN"/>
              </w:rPr>
            </w:pPr>
            <w:r>
              <w:rPr>
                <w:rFonts w:hint="eastAsia" w:ascii="宋体" w:hAnsi="宋体" w:cs="宋体"/>
                <w:sz w:val="21"/>
                <w:szCs w:val="21"/>
                <w:highlight w:val="none"/>
                <w:lang w:val="en-US" w:eastAsia="zh-CN"/>
              </w:rPr>
              <w:t>7</w:t>
            </w:r>
          </w:p>
        </w:tc>
        <w:tc>
          <w:tcPr>
            <w:tcW w:w="4811" w:type="dxa"/>
            <w:vAlign w:val="center"/>
          </w:tcPr>
          <w:p w14:paraId="61866AC1">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文件中没有不符合法律、法规和</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文件其他实质性规定</w:t>
            </w:r>
          </w:p>
        </w:tc>
        <w:tc>
          <w:tcPr>
            <w:tcW w:w="1550" w:type="dxa"/>
          </w:tcPr>
          <w:p w14:paraId="25BF188C">
            <w:pPr>
              <w:jc w:val="center"/>
              <w:rPr>
                <w:rFonts w:hint="eastAsia" w:ascii="宋体" w:hAnsi="宋体" w:eastAsia="宋体" w:cs="宋体"/>
                <w:sz w:val="21"/>
                <w:szCs w:val="21"/>
              </w:rPr>
            </w:pPr>
          </w:p>
        </w:tc>
        <w:tc>
          <w:tcPr>
            <w:tcW w:w="1567" w:type="dxa"/>
          </w:tcPr>
          <w:p w14:paraId="56BA82B7">
            <w:pPr>
              <w:jc w:val="center"/>
              <w:rPr>
                <w:rFonts w:hint="eastAsia" w:ascii="宋体" w:hAnsi="宋体" w:eastAsia="宋体" w:cs="宋体"/>
                <w:sz w:val="21"/>
                <w:szCs w:val="21"/>
              </w:rPr>
            </w:pPr>
          </w:p>
        </w:tc>
        <w:tc>
          <w:tcPr>
            <w:tcW w:w="1504" w:type="dxa"/>
          </w:tcPr>
          <w:p w14:paraId="04E965C6">
            <w:pPr>
              <w:jc w:val="center"/>
              <w:rPr>
                <w:rFonts w:hint="eastAsia" w:ascii="宋体" w:hAnsi="宋体" w:eastAsia="宋体" w:cs="宋体"/>
                <w:sz w:val="21"/>
                <w:szCs w:val="21"/>
              </w:rPr>
            </w:pPr>
          </w:p>
        </w:tc>
      </w:tr>
      <w:tr w14:paraId="3ED5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5337" w:type="dxa"/>
            <w:gridSpan w:val="2"/>
            <w:vAlign w:val="center"/>
          </w:tcPr>
          <w:p w14:paraId="34C392B3">
            <w:pPr>
              <w:keepNext w:val="0"/>
              <w:keepLines w:val="0"/>
              <w:pageBreakBefore w:val="0"/>
              <w:widowControl/>
              <w:kinsoku/>
              <w:wordWrap/>
              <w:overflowPunct/>
              <w:topLinePunct w:val="0"/>
              <w:autoSpaceDE/>
              <w:autoSpaceDN/>
              <w:bidi w:val="0"/>
              <w:spacing w:beforeAutospacing="0" w:afterAutospacing="0" w:line="5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结论（合格/不合格）</w:t>
            </w:r>
          </w:p>
        </w:tc>
        <w:tc>
          <w:tcPr>
            <w:tcW w:w="1550" w:type="dxa"/>
          </w:tcPr>
          <w:p w14:paraId="506C3DFF">
            <w:pPr>
              <w:jc w:val="center"/>
              <w:rPr>
                <w:rFonts w:hint="eastAsia" w:ascii="宋体" w:hAnsi="宋体" w:eastAsia="宋体" w:cs="宋体"/>
                <w:sz w:val="21"/>
                <w:szCs w:val="21"/>
              </w:rPr>
            </w:pPr>
          </w:p>
        </w:tc>
        <w:tc>
          <w:tcPr>
            <w:tcW w:w="1567" w:type="dxa"/>
          </w:tcPr>
          <w:p w14:paraId="6E670028">
            <w:pPr>
              <w:jc w:val="center"/>
              <w:rPr>
                <w:rFonts w:hint="eastAsia" w:ascii="宋体" w:hAnsi="宋体" w:eastAsia="宋体" w:cs="宋体"/>
                <w:sz w:val="21"/>
                <w:szCs w:val="21"/>
              </w:rPr>
            </w:pPr>
          </w:p>
        </w:tc>
        <w:tc>
          <w:tcPr>
            <w:tcW w:w="1504" w:type="dxa"/>
          </w:tcPr>
          <w:p w14:paraId="7A147F07">
            <w:pPr>
              <w:jc w:val="center"/>
              <w:rPr>
                <w:rFonts w:hint="eastAsia" w:ascii="宋体" w:hAnsi="宋体" w:eastAsia="宋体" w:cs="宋体"/>
                <w:sz w:val="21"/>
                <w:szCs w:val="21"/>
              </w:rPr>
            </w:pPr>
          </w:p>
        </w:tc>
      </w:tr>
    </w:tbl>
    <w:p w14:paraId="5F46BED5">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备注：1、达到要求的标记“√”，未达到的标记“╳”并注明其理由。</w:t>
      </w:r>
    </w:p>
    <w:p w14:paraId="1DEBB0D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 xml:space="preserve">      2、结论填写“合格”或“不合格”。</w:t>
      </w:r>
    </w:p>
    <w:p w14:paraId="187B003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 xml:space="preserve">      3、结论“不合格”的供应商不进入下一轮评</w:t>
      </w:r>
      <w:r>
        <w:rPr>
          <w:rFonts w:hint="eastAsia" w:ascii="宋体" w:hAnsi="宋体" w:eastAsia="宋体" w:cs="宋体"/>
          <w:sz w:val="21"/>
          <w:szCs w:val="21"/>
          <w:lang w:val="en-US" w:eastAsia="zh-CN"/>
        </w:rPr>
        <w:t>审</w:t>
      </w:r>
      <w:r>
        <w:rPr>
          <w:rFonts w:hint="eastAsia" w:ascii="宋体" w:hAnsi="宋体" w:eastAsia="宋体" w:cs="宋体"/>
          <w:sz w:val="21"/>
          <w:szCs w:val="21"/>
        </w:rPr>
        <w:t>。</w:t>
      </w:r>
    </w:p>
    <w:p w14:paraId="3E31C0E7">
      <w:pPr>
        <w:pageBreakBefore w:val="0"/>
        <w:kinsoku/>
        <w:wordWrap/>
        <w:overflowPunct/>
        <w:topLinePunct w:val="0"/>
        <w:bidi w:val="0"/>
        <w:spacing w:beforeAutospacing="0" w:afterAutospacing="0" w:line="560" w:lineRule="exact"/>
        <w:jc w:val="left"/>
        <w:outlineLvl w:val="0"/>
        <w:rPr>
          <w:rFonts w:hint="eastAsia" w:ascii="宋体" w:hAnsi="宋体" w:eastAsia="宋体" w:cs="宋体"/>
          <w:b/>
          <w:bCs/>
          <w:sz w:val="21"/>
          <w:szCs w:val="21"/>
        </w:rPr>
      </w:pPr>
      <w:r>
        <w:rPr>
          <w:rFonts w:hint="eastAsia" w:ascii="宋体" w:hAnsi="宋体" w:eastAsia="宋体" w:cs="宋体"/>
          <w:b/>
          <w:bCs/>
          <w:sz w:val="21"/>
          <w:szCs w:val="21"/>
        </w:rPr>
        <w:t>5.澄清有关问题</w:t>
      </w:r>
    </w:p>
    <w:p w14:paraId="5ED0F70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5.1对于</w:t>
      </w:r>
      <w:r>
        <w:rPr>
          <w:rFonts w:hint="eastAsia" w:ascii="宋体" w:hAnsi="宋体" w:eastAsia="宋体" w:cs="宋体"/>
          <w:sz w:val="21"/>
          <w:szCs w:val="21"/>
          <w:lang w:eastAsia="zh-CN"/>
        </w:rPr>
        <w:t>响应文件</w:t>
      </w:r>
      <w:r>
        <w:rPr>
          <w:rFonts w:hint="eastAsia" w:ascii="宋体" w:hAnsi="宋体" w:eastAsia="宋体" w:cs="宋体"/>
          <w:sz w:val="21"/>
          <w:szCs w:val="21"/>
        </w:rPr>
        <w:t>中含义不明确、同类问题表述不一致或者有明显文字和计算错误的内容，评标委员会应当以书面形式要求</w:t>
      </w:r>
      <w:r>
        <w:rPr>
          <w:rFonts w:hint="eastAsia" w:ascii="宋体" w:hAnsi="宋体" w:eastAsia="宋体" w:cs="宋体"/>
          <w:sz w:val="21"/>
          <w:szCs w:val="21"/>
          <w:lang w:eastAsia="zh-CN"/>
        </w:rPr>
        <w:t>供应商</w:t>
      </w:r>
      <w:r>
        <w:rPr>
          <w:rFonts w:hint="eastAsia" w:ascii="宋体" w:hAnsi="宋体" w:eastAsia="宋体" w:cs="宋体"/>
          <w:sz w:val="21"/>
          <w:szCs w:val="21"/>
        </w:rPr>
        <w:t>作出必要的澄清、说明或者补正。</w:t>
      </w:r>
    </w:p>
    <w:p w14:paraId="5839E72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5.2</w:t>
      </w:r>
      <w:r>
        <w:rPr>
          <w:rFonts w:hint="eastAsia" w:ascii="宋体" w:hAnsi="宋体" w:eastAsia="宋体" w:cs="宋体"/>
          <w:sz w:val="21"/>
          <w:szCs w:val="21"/>
          <w:lang w:eastAsia="zh-CN"/>
        </w:rPr>
        <w:t>响应文件</w:t>
      </w:r>
      <w:r>
        <w:rPr>
          <w:rFonts w:hint="eastAsia" w:ascii="宋体" w:hAnsi="宋体" w:eastAsia="宋体" w:cs="宋体"/>
          <w:sz w:val="21"/>
          <w:szCs w:val="21"/>
        </w:rPr>
        <w:t>报价出现前后不一致的，除【评标方法及标准前附表】另有规定外，按照下列规定修正：</w:t>
      </w:r>
    </w:p>
    <w:p w14:paraId="1AA241D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响应文件</w:t>
      </w:r>
      <w:r>
        <w:rPr>
          <w:rFonts w:hint="eastAsia" w:ascii="宋体" w:hAnsi="宋体" w:eastAsia="宋体" w:cs="宋体"/>
          <w:sz w:val="21"/>
          <w:szCs w:val="21"/>
        </w:rPr>
        <w:t>中开标一览表内容与</w:t>
      </w:r>
      <w:r>
        <w:rPr>
          <w:rFonts w:hint="eastAsia" w:ascii="宋体" w:hAnsi="宋体" w:eastAsia="宋体" w:cs="宋体"/>
          <w:sz w:val="21"/>
          <w:szCs w:val="21"/>
          <w:lang w:eastAsia="zh-CN"/>
        </w:rPr>
        <w:t>响应文件</w:t>
      </w:r>
      <w:r>
        <w:rPr>
          <w:rFonts w:hint="eastAsia" w:ascii="宋体" w:hAnsi="宋体" w:eastAsia="宋体" w:cs="宋体"/>
          <w:sz w:val="21"/>
          <w:szCs w:val="21"/>
        </w:rPr>
        <w:t>中相应内容不一致的，以开标一览表为准；</w:t>
      </w:r>
    </w:p>
    <w:p w14:paraId="5AF11DE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（2）大写金额和小写金额不一致的，以大写金额为准；</w:t>
      </w:r>
    </w:p>
    <w:p w14:paraId="77C5C34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（3）单价金额小数点或者百分比有明显错位的，以</w:t>
      </w:r>
      <w:r>
        <w:rPr>
          <w:rFonts w:hint="eastAsia" w:ascii="宋体" w:hAnsi="宋体" w:eastAsia="宋体" w:cs="宋体"/>
          <w:sz w:val="21"/>
          <w:szCs w:val="21"/>
          <w:lang w:val="en-US" w:eastAsia="zh-CN"/>
        </w:rPr>
        <w:t>报价</w:t>
      </w:r>
      <w:r>
        <w:rPr>
          <w:rFonts w:hint="eastAsia" w:ascii="宋体" w:hAnsi="宋体" w:eastAsia="宋体" w:cs="宋体"/>
          <w:sz w:val="21"/>
          <w:szCs w:val="21"/>
        </w:rPr>
        <w:t>一览表的总价为准，并修改单价；</w:t>
      </w:r>
    </w:p>
    <w:p w14:paraId="0393714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（4）总价金额与按单价汇总金额不一致的，以单价金额计算结果为准。</w:t>
      </w:r>
    </w:p>
    <w:p w14:paraId="4C1C382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5.3</w:t>
      </w:r>
      <w:r>
        <w:rPr>
          <w:rFonts w:hint="eastAsia" w:ascii="宋体" w:hAnsi="宋体" w:eastAsia="宋体" w:cs="宋体"/>
          <w:sz w:val="21"/>
          <w:szCs w:val="21"/>
          <w:lang w:eastAsia="zh-CN"/>
        </w:rPr>
        <w:t>响应文件</w:t>
      </w:r>
      <w:r>
        <w:rPr>
          <w:rFonts w:hint="eastAsia" w:ascii="宋体" w:hAnsi="宋体" w:eastAsia="宋体" w:cs="宋体"/>
          <w:sz w:val="21"/>
          <w:szCs w:val="21"/>
        </w:rPr>
        <w:t>报价同时出现两种以上不一致的，按照前款规定的顺序修正。修正后的报价由</w:t>
      </w:r>
      <w:r>
        <w:rPr>
          <w:rFonts w:hint="eastAsia" w:ascii="宋体" w:hAnsi="宋体" w:eastAsia="宋体" w:cs="宋体"/>
          <w:sz w:val="21"/>
          <w:szCs w:val="21"/>
          <w:lang w:eastAsia="zh-CN"/>
        </w:rPr>
        <w:t>供应商</w:t>
      </w:r>
      <w:r>
        <w:rPr>
          <w:rFonts w:hint="eastAsia" w:ascii="宋体" w:hAnsi="宋体" w:eastAsia="宋体" w:cs="宋体"/>
          <w:sz w:val="21"/>
          <w:szCs w:val="21"/>
        </w:rPr>
        <w:t>代表签字或者加盖单位章确认后产生约束力，</w:t>
      </w:r>
      <w:r>
        <w:rPr>
          <w:rFonts w:hint="eastAsia" w:ascii="宋体" w:hAnsi="宋体" w:eastAsia="宋体" w:cs="宋体"/>
          <w:sz w:val="21"/>
          <w:szCs w:val="21"/>
          <w:lang w:eastAsia="zh-CN"/>
        </w:rPr>
        <w:t>供应商</w:t>
      </w:r>
      <w:r>
        <w:rPr>
          <w:rFonts w:hint="eastAsia" w:ascii="宋体" w:hAnsi="宋体" w:eastAsia="宋体" w:cs="宋体"/>
          <w:sz w:val="21"/>
          <w:szCs w:val="21"/>
        </w:rPr>
        <w:t>不确认的，其投标无效。</w:t>
      </w:r>
    </w:p>
    <w:p w14:paraId="20AFDA6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5.4</w:t>
      </w:r>
      <w:r>
        <w:rPr>
          <w:rFonts w:hint="eastAsia" w:ascii="宋体" w:hAnsi="宋体" w:eastAsia="宋体" w:cs="宋体"/>
          <w:sz w:val="21"/>
          <w:szCs w:val="21"/>
          <w:lang w:eastAsia="zh-CN"/>
        </w:rPr>
        <w:t>供应商</w:t>
      </w:r>
      <w:r>
        <w:rPr>
          <w:rFonts w:hint="eastAsia" w:ascii="宋体" w:hAnsi="宋体" w:eastAsia="宋体" w:cs="宋体"/>
          <w:sz w:val="21"/>
          <w:szCs w:val="21"/>
        </w:rPr>
        <w:t>的澄清、说明或者补正应当采用书面形式，并加盖公章，或者由法定代表人或其授权的代表签字，并按评标委员会的通知要求递交。</w:t>
      </w:r>
      <w:r>
        <w:rPr>
          <w:rFonts w:hint="eastAsia" w:ascii="宋体" w:hAnsi="宋体" w:eastAsia="宋体" w:cs="宋体"/>
          <w:sz w:val="21"/>
          <w:szCs w:val="21"/>
          <w:lang w:eastAsia="zh-CN"/>
        </w:rPr>
        <w:t>供应商</w:t>
      </w:r>
      <w:r>
        <w:rPr>
          <w:rFonts w:hint="eastAsia" w:ascii="宋体" w:hAnsi="宋体" w:eastAsia="宋体" w:cs="宋体"/>
          <w:sz w:val="21"/>
          <w:szCs w:val="21"/>
        </w:rPr>
        <w:t>的澄清、说明或者补正不得超出</w:t>
      </w:r>
      <w:r>
        <w:rPr>
          <w:rFonts w:hint="eastAsia" w:ascii="宋体" w:hAnsi="宋体" w:eastAsia="宋体" w:cs="宋体"/>
          <w:sz w:val="21"/>
          <w:szCs w:val="21"/>
          <w:lang w:eastAsia="zh-CN"/>
        </w:rPr>
        <w:t>响应文件</w:t>
      </w:r>
      <w:r>
        <w:rPr>
          <w:rFonts w:hint="eastAsia" w:ascii="宋体" w:hAnsi="宋体" w:eastAsia="宋体" w:cs="宋体"/>
          <w:sz w:val="21"/>
          <w:szCs w:val="21"/>
        </w:rPr>
        <w:t>的范围或者改变</w:t>
      </w:r>
      <w:r>
        <w:rPr>
          <w:rFonts w:hint="eastAsia" w:ascii="宋体" w:hAnsi="宋体" w:eastAsia="宋体" w:cs="宋体"/>
          <w:sz w:val="21"/>
          <w:szCs w:val="21"/>
          <w:lang w:eastAsia="zh-CN"/>
        </w:rPr>
        <w:t>响应文件</w:t>
      </w:r>
      <w:r>
        <w:rPr>
          <w:rFonts w:hint="eastAsia" w:ascii="宋体" w:hAnsi="宋体" w:eastAsia="宋体" w:cs="宋体"/>
          <w:sz w:val="21"/>
          <w:szCs w:val="21"/>
        </w:rPr>
        <w:t>的实质性内容。</w:t>
      </w:r>
    </w:p>
    <w:p w14:paraId="3838E8E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5.5有效的书面澄清材料，是</w:t>
      </w:r>
      <w:r>
        <w:rPr>
          <w:rFonts w:hint="eastAsia" w:ascii="宋体" w:hAnsi="宋体" w:eastAsia="宋体" w:cs="宋体"/>
          <w:sz w:val="21"/>
          <w:szCs w:val="21"/>
          <w:lang w:eastAsia="zh-CN"/>
        </w:rPr>
        <w:t>响应文件</w:t>
      </w:r>
      <w:r>
        <w:rPr>
          <w:rFonts w:hint="eastAsia" w:ascii="宋体" w:hAnsi="宋体" w:eastAsia="宋体" w:cs="宋体"/>
          <w:sz w:val="21"/>
          <w:szCs w:val="21"/>
        </w:rPr>
        <w:t>的补充材料，成为</w:t>
      </w:r>
      <w:r>
        <w:rPr>
          <w:rFonts w:hint="eastAsia" w:ascii="宋体" w:hAnsi="宋体" w:eastAsia="宋体" w:cs="宋体"/>
          <w:sz w:val="21"/>
          <w:szCs w:val="21"/>
          <w:lang w:eastAsia="zh-CN"/>
        </w:rPr>
        <w:t>响应文件</w:t>
      </w:r>
      <w:r>
        <w:rPr>
          <w:rFonts w:hint="eastAsia" w:ascii="宋体" w:hAnsi="宋体" w:eastAsia="宋体" w:cs="宋体"/>
          <w:sz w:val="21"/>
          <w:szCs w:val="21"/>
        </w:rPr>
        <w:t>的组成部分。</w:t>
      </w:r>
    </w:p>
    <w:p w14:paraId="7822E6B1">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r>
        <w:rPr>
          <w:rFonts w:hint="eastAsia" w:ascii="宋体" w:hAnsi="宋体" w:eastAsia="宋体" w:cs="宋体"/>
          <w:b/>
          <w:bCs/>
          <w:sz w:val="21"/>
          <w:szCs w:val="21"/>
        </w:rPr>
        <w:t>6.比较与评价</w:t>
      </w:r>
    </w:p>
    <w:p w14:paraId="164F5BE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6.1评标委员会应按照</w:t>
      </w:r>
      <w:r>
        <w:rPr>
          <w:rFonts w:hint="eastAsia" w:ascii="宋体" w:hAnsi="宋体" w:eastAsia="宋体" w:cs="宋体"/>
          <w:sz w:val="21"/>
          <w:szCs w:val="21"/>
          <w:lang w:eastAsia="zh-CN"/>
        </w:rPr>
        <w:t>磋商文件</w:t>
      </w:r>
      <w:r>
        <w:rPr>
          <w:rFonts w:hint="eastAsia" w:ascii="宋体" w:hAnsi="宋体" w:eastAsia="宋体" w:cs="宋体"/>
          <w:sz w:val="21"/>
          <w:szCs w:val="21"/>
        </w:rPr>
        <w:t>中规定的评标方法、标准和评标因素，对资格性检查和符合性检查合格的</w:t>
      </w:r>
      <w:r>
        <w:rPr>
          <w:rFonts w:hint="eastAsia" w:ascii="宋体" w:hAnsi="宋体" w:eastAsia="宋体" w:cs="宋体"/>
          <w:sz w:val="21"/>
          <w:szCs w:val="21"/>
          <w:lang w:eastAsia="zh-CN"/>
        </w:rPr>
        <w:t>响应文件</w:t>
      </w:r>
      <w:r>
        <w:rPr>
          <w:rFonts w:hint="eastAsia" w:ascii="宋体" w:hAnsi="宋体" w:eastAsia="宋体" w:cs="宋体"/>
          <w:sz w:val="21"/>
          <w:szCs w:val="21"/>
        </w:rPr>
        <w:t>进行评估，综合比较与评价。</w:t>
      </w:r>
    </w:p>
    <w:p w14:paraId="7646B94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6.2投标报价的修正或调整：</w:t>
      </w:r>
    </w:p>
    <w:p w14:paraId="549494A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（1）如果有算术错误，投标报价将按本章第4.2款进行算术修正及修正次序规则修正。</w:t>
      </w:r>
    </w:p>
    <w:p w14:paraId="740164D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（2）评标基准价和投标报价按照上述顺序修正或调整。</w:t>
      </w:r>
    </w:p>
    <w:p w14:paraId="1F98D51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6.3投标报价评价：价格分应当采用低价优先法计算，即满足</w:t>
      </w:r>
      <w:r>
        <w:rPr>
          <w:rFonts w:hint="eastAsia" w:ascii="宋体" w:hAnsi="宋体" w:eastAsia="宋体" w:cs="宋体"/>
          <w:sz w:val="21"/>
          <w:szCs w:val="21"/>
          <w:lang w:eastAsia="zh-CN"/>
        </w:rPr>
        <w:t>磋商文件</w:t>
      </w:r>
      <w:r>
        <w:rPr>
          <w:rFonts w:hint="eastAsia" w:ascii="宋体" w:hAnsi="宋体" w:eastAsia="宋体" w:cs="宋体"/>
          <w:sz w:val="21"/>
          <w:szCs w:val="21"/>
        </w:rPr>
        <w:t>要求且投标价格最低的投标报价为评标基准价，其价格分为满分（报价权重分）。其他</w:t>
      </w:r>
      <w:r>
        <w:rPr>
          <w:rFonts w:hint="eastAsia" w:ascii="宋体" w:hAnsi="宋体" w:eastAsia="宋体" w:cs="宋体"/>
          <w:sz w:val="21"/>
          <w:szCs w:val="21"/>
          <w:lang w:eastAsia="zh-CN"/>
        </w:rPr>
        <w:t>供应商</w:t>
      </w:r>
      <w:r>
        <w:rPr>
          <w:rFonts w:hint="eastAsia" w:ascii="宋体" w:hAnsi="宋体" w:eastAsia="宋体" w:cs="宋体"/>
          <w:sz w:val="21"/>
          <w:szCs w:val="21"/>
        </w:rPr>
        <w:t>的价格分统一按照下列公式计算：</w:t>
      </w:r>
    </w:p>
    <w:p w14:paraId="70CEC69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投标报价得分=（评标基准价调整／） ×报价权重分</w:t>
      </w:r>
    </w:p>
    <w:p w14:paraId="5DF762A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6.4技术、商务等评分项响应评价</w:t>
      </w:r>
    </w:p>
    <w:p w14:paraId="120EC79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（1）技术、商务等评分项响应评分。按本章第1.2款规定的评标因素和标准，对技术、商务等评分项计算得分。</w:t>
      </w:r>
    </w:p>
    <w:p w14:paraId="0B518CF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6.5评标总得分</w:t>
      </w:r>
    </w:p>
    <w:p w14:paraId="11D8DA3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评标总得分＝F1＋F2＋……＋Fn</w:t>
      </w:r>
    </w:p>
    <w:p w14:paraId="5E3FF82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F1、F2……Fn分别为各项评审因素的得分；</w:t>
      </w:r>
    </w:p>
    <w:p w14:paraId="625714B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评标过程中，不得去掉报价中的最高报价和最低报价。</w:t>
      </w:r>
    </w:p>
    <w:p w14:paraId="363B7CC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6.6评分分值计算保留小数点后两位，小数点后第三位“四舍五入”。</w:t>
      </w:r>
    </w:p>
    <w:p w14:paraId="57C8A67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6.7评标时，评标委员会各成员应当独立对每个</w:t>
      </w:r>
      <w:r>
        <w:rPr>
          <w:rFonts w:hint="eastAsia" w:ascii="宋体" w:hAnsi="宋体" w:eastAsia="宋体" w:cs="宋体"/>
          <w:sz w:val="21"/>
          <w:szCs w:val="21"/>
          <w:lang w:eastAsia="zh-CN"/>
        </w:rPr>
        <w:t>供应商</w:t>
      </w:r>
      <w:r>
        <w:rPr>
          <w:rFonts w:hint="eastAsia" w:ascii="宋体" w:hAnsi="宋体" w:eastAsia="宋体" w:cs="宋体"/>
          <w:sz w:val="21"/>
          <w:szCs w:val="21"/>
        </w:rPr>
        <w:t>的</w:t>
      </w:r>
      <w:r>
        <w:rPr>
          <w:rFonts w:hint="eastAsia" w:ascii="宋体" w:hAnsi="宋体" w:eastAsia="宋体" w:cs="宋体"/>
          <w:sz w:val="21"/>
          <w:szCs w:val="21"/>
          <w:lang w:eastAsia="zh-CN"/>
        </w:rPr>
        <w:t>响应文件</w:t>
      </w:r>
      <w:r>
        <w:rPr>
          <w:rFonts w:hint="eastAsia" w:ascii="宋体" w:hAnsi="宋体" w:eastAsia="宋体" w:cs="宋体"/>
          <w:sz w:val="21"/>
          <w:szCs w:val="21"/>
        </w:rPr>
        <w:t>进行评价、评分，然后汇总每个</w:t>
      </w:r>
      <w:r>
        <w:rPr>
          <w:rFonts w:hint="eastAsia" w:ascii="宋体" w:hAnsi="宋体" w:eastAsia="宋体" w:cs="宋体"/>
          <w:sz w:val="21"/>
          <w:szCs w:val="21"/>
          <w:lang w:eastAsia="zh-CN"/>
        </w:rPr>
        <w:t>供应商</w:t>
      </w:r>
      <w:r>
        <w:rPr>
          <w:rFonts w:hint="eastAsia" w:ascii="宋体" w:hAnsi="宋体" w:eastAsia="宋体" w:cs="宋体"/>
          <w:sz w:val="21"/>
          <w:szCs w:val="21"/>
        </w:rPr>
        <w:t>每项评分因素的得分。每个供应商的最终得分为所有磋商小组成员评分的算术平均值。</w:t>
      </w:r>
    </w:p>
    <w:p w14:paraId="28121D5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6.8评审得分相同的，由采购人或者采购人委托评标委员会按照【评标方法及标准前附表】规定的方式确定一个</w:t>
      </w:r>
      <w:r>
        <w:rPr>
          <w:rFonts w:hint="eastAsia" w:ascii="宋体" w:hAnsi="宋体" w:eastAsia="宋体" w:cs="宋体"/>
          <w:sz w:val="21"/>
          <w:szCs w:val="21"/>
          <w:lang w:eastAsia="zh-CN"/>
        </w:rPr>
        <w:t>供应商</w:t>
      </w:r>
      <w:r>
        <w:rPr>
          <w:rFonts w:hint="eastAsia" w:ascii="宋体" w:hAnsi="宋体" w:eastAsia="宋体" w:cs="宋体"/>
          <w:sz w:val="21"/>
          <w:szCs w:val="21"/>
        </w:rPr>
        <w:t>获得</w:t>
      </w:r>
      <w:r>
        <w:rPr>
          <w:rFonts w:hint="eastAsia" w:ascii="宋体" w:hAnsi="宋体" w:eastAsia="宋体" w:cs="宋体"/>
          <w:sz w:val="21"/>
          <w:szCs w:val="21"/>
          <w:lang w:eastAsia="zh-CN"/>
        </w:rPr>
        <w:t>成交供应商</w:t>
      </w:r>
      <w:r>
        <w:rPr>
          <w:rFonts w:hint="eastAsia" w:ascii="宋体" w:hAnsi="宋体" w:eastAsia="宋体" w:cs="宋体"/>
          <w:sz w:val="21"/>
          <w:szCs w:val="21"/>
        </w:rPr>
        <w:t>推荐资格，</w:t>
      </w:r>
      <w:r>
        <w:rPr>
          <w:rFonts w:hint="eastAsia" w:ascii="宋体" w:hAnsi="宋体" w:eastAsia="宋体" w:cs="宋体"/>
          <w:sz w:val="21"/>
          <w:szCs w:val="21"/>
          <w:lang w:eastAsia="zh-CN"/>
        </w:rPr>
        <w:t>磋商文件</w:t>
      </w:r>
      <w:r>
        <w:rPr>
          <w:rFonts w:hint="eastAsia" w:ascii="宋体" w:hAnsi="宋体" w:eastAsia="宋体" w:cs="宋体"/>
          <w:sz w:val="21"/>
          <w:szCs w:val="21"/>
        </w:rPr>
        <w:t>未规定的采取随机抽取方式确定。</w:t>
      </w:r>
    </w:p>
    <w:p w14:paraId="10B277C5">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r>
        <w:rPr>
          <w:rFonts w:hint="eastAsia" w:ascii="宋体" w:hAnsi="宋体" w:eastAsia="宋体" w:cs="宋体"/>
          <w:b/>
          <w:bCs/>
          <w:sz w:val="21"/>
          <w:szCs w:val="21"/>
        </w:rPr>
        <w:t>7.</w:t>
      </w:r>
      <w:r>
        <w:rPr>
          <w:rFonts w:hint="eastAsia" w:ascii="宋体" w:hAnsi="宋体" w:eastAsia="宋体" w:cs="宋体"/>
          <w:b/>
          <w:bCs/>
          <w:sz w:val="21"/>
          <w:szCs w:val="21"/>
          <w:lang w:val="en-US" w:eastAsia="zh-CN"/>
        </w:rPr>
        <w:t>推荐成交</w:t>
      </w:r>
      <w:r>
        <w:rPr>
          <w:rFonts w:hint="eastAsia" w:ascii="宋体" w:hAnsi="宋体" w:eastAsia="宋体" w:cs="宋体"/>
          <w:b/>
          <w:bCs/>
          <w:sz w:val="21"/>
          <w:szCs w:val="21"/>
        </w:rPr>
        <w:t>候选人名单</w:t>
      </w:r>
    </w:p>
    <w:p w14:paraId="584318A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7.1评标结果按评审后得分由高到低顺序排列。得分相同的，按投标报价由低到高顺序排列。得分与投标报价均相同的，按技术得分由高到低顺序排名。</w:t>
      </w:r>
      <w:r>
        <w:rPr>
          <w:rFonts w:hint="eastAsia" w:ascii="宋体" w:hAnsi="宋体" w:eastAsia="宋体" w:cs="宋体"/>
          <w:sz w:val="21"/>
          <w:szCs w:val="21"/>
          <w:lang w:eastAsia="zh-CN"/>
        </w:rPr>
        <w:t>响应文件</w:t>
      </w:r>
      <w:r>
        <w:rPr>
          <w:rFonts w:hint="eastAsia" w:ascii="宋体" w:hAnsi="宋体" w:eastAsia="宋体" w:cs="宋体"/>
          <w:sz w:val="21"/>
          <w:szCs w:val="21"/>
        </w:rPr>
        <w:t>满足</w:t>
      </w:r>
      <w:r>
        <w:rPr>
          <w:rFonts w:hint="eastAsia" w:ascii="宋体" w:hAnsi="宋体" w:eastAsia="宋体" w:cs="宋体"/>
          <w:sz w:val="21"/>
          <w:szCs w:val="21"/>
          <w:lang w:eastAsia="zh-CN"/>
        </w:rPr>
        <w:t>磋商文件</w:t>
      </w:r>
      <w:r>
        <w:rPr>
          <w:rFonts w:hint="eastAsia" w:ascii="宋体" w:hAnsi="宋体" w:eastAsia="宋体" w:cs="宋体"/>
          <w:sz w:val="21"/>
          <w:szCs w:val="21"/>
        </w:rPr>
        <w:t>全部实质性要求，且按照评审因素的量化指标评审得分排名前三名的</w:t>
      </w:r>
      <w:r>
        <w:rPr>
          <w:rFonts w:hint="eastAsia" w:ascii="宋体" w:hAnsi="宋体" w:eastAsia="宋体" w:cs="宋体"/>
          <w:sz w:val="21"/>
          <w:szCs w:val="21"/>
          <w:lang w:eastAsia="zh-CN"/>
        </w:rPr>
        <w:t>供应商</w:t>
      </w:r>
      <w:r>
        <w:rPr>
          <w:rFonts w:hint="eastAsia" w:ascii="宋体" w:hAnsi="宋体" w:eastAsia="宋体" w:cs="宋体"/>
          <w:sz w:val="21"/>
          <w:szCs w:val="21"/>
        </w:rPr>
        <w:t>为中标候选人。</w:t>
      </w:r>
    </w:p>
    <w:p w14:paraId="7B99E6DD">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r>
        <w:rPr>
          <w:rFonts w:hint="eastAsia" w:ascii="宋体" w:hAnsi="宋体" w:eastAsia="宋体" w:cs="宋体"/>
          <w:b/>
          <w:bCs/>
          <w:sz w:val="21"/>
          <w:szCs w:val="21"/>
        </w:rPr>
        <w:t>8.编写评</w:t>
      </w:r>
      <w:r>
        <w:rPr>
          <w:rFonts w:hint="eastAsia" w:ascii="宋体" w:hAnsi="宋体" w:eastAsia="宋体" w:cs="宋体"/>
          <w:b/>
          <w:bCs/>
          <w:sz w:val="21"/>
          <w:szCs w:val="21"/>
          <w:lang w:val="en-US" w:eastAsia="zh-CN"/>
        </w:rPr>
        <w:t>审</w:t>
      </w:r>
      <w:r>
        <w:rPr>
          <w:rFonts w:hint="eastAsia" w:ascii="宋体" w:hAnsi="宋体" w:eastAsia="宋体" w:cs="宋体"/>
          <w:b/>
          <w:bCs/>
          <w:sz w:val="21"/>
          <w:szCs w:val="21"/>
        </w:rPr>
        <w:t>报告</w:t>
      </w:r>
    </w:p>
    <w:p w14:paraId="5F6C87D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8.1评标委员会根据全体评标成员签字的原始评标记录和评标结果编写评</w:t>
      </w:r>
      <w:r>
        <w:rPr>
          <w:rFonts w:hint="eastAsia" w:ascii="宋体" w:hAnsi="宋体" w:eastAsia="宋体" w:cs="宋体"/>
          <w:sz w:val="21"/>
          <w:szCs w:val="21"/>
          <w:lang w:val="en-US" w:eastAsia="zh-CN"/>
        </w:rPr>
        <w:t>审</w:t>
      </w:r>
      <w:r>
        <w:rPr>
          <w:rFonts w:hint="eastAsia" w:ascii="宋体" w:hAnsi="宋体" w:eastAsia="宋体" w:cs="宋体"/>
          <w:sz w:val="21"/>
          <w:szCs w:val="21"/>
        </w:rPr>
        <w:t>报告。</w:t>
      </w:r>
    </w:p>
    <w:p w14:paraId="59E8798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8.2评标委员会成员对需要共同认定的事项存在争议的，应当按照少数服从多数的原则作出结论。持不同意见的评标委员会成员应当在评标报告上签署不同意见及理由，否则视为同意评</w:t>
      </w:r>
      <w:r>
        <w:rPr>
          <w:rFonts w:hint="eastAsia" w:ascii="宋体" w:hAnsi="宋体" w:eastAsia="宋体" w:cs="宋体"/>
          <w:sz w:val="21"/>
          <w:szCs w:val="21"/>
          <w:lang w:val="en-US" w:eastAsia="zh-CN"/>
        </w:rPr>
        <w:t>审</w:t>
      </w:r>
      <w:r>
        <w:rPr>
          <w:rFonts w:hint="eastAsia" w:ascii="宋体" w:hAnsi="宋体" w:eastAsia="宋体" w:cs="宋体"/>
          <w:sz w:val="21"/>
          <w:szCs w:val="21"/>
        </w:rPr>
        <w:t>报告。</w:t>
      </w:r>
    </w:p>
    <w:p w14:paraId="33F58A8E">
      <w:pPr>
        <w:pageBreakBefore w:val="0"/>
        <w:kinsoku/>
        <w:wordWrap/>
        <w:overflowPunct/>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9.评</w:t>
      </w:r>
      <w:r>
        <w:rPr>
          <w:rFonts w:hint="eastAsia" w:ascii="宋体" w:hAnsi="宋体" w:eastAsia="宋体" w:cs="宋体"/>
          <w:sz w:val="21"/>
          <w:szCs w:val="21"/>
          <w:lang w:val="en-US" w:eastAsia="zh-CN"/>
        </w:rPr>
        <w:t>审</w:t>
      </w:r>
      <w:r>
        <w:rPr>
          <w:rFonts w:hint="eastAsia" w:ascii="宋体" w:hAnsi="宋体" w:eastAsia="宋体" w:cs="宋体"/>
          <w:sz w:val="21"/>
          <w:szCs w:val="21"/>
        </w:rPr>
        <w:t>报告复核</w:t>
      </w:r>
    </w:p>
    <w:p w14:paraId="6BAF600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9.1汇总完成后，除下列情形外，任何人不得修改评标结果：</w:t>
      </w:r>
    </w:p>
    <w:p w14:paraId="6B25BC2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（1）分值汇总计算错误的；</w:t>
      </w:r>
    </w:p>
    <w:p w14:paraId="765F9BB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（2）分项评分超出评分标准范围的；</w:t>
      </w:r>
    </w:p>
    <w:p w14:paraId="6293456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（3）评标委员会成员对客观评审因素评分不一致的；</w:t>
      </w:r>
    </w:p>
    <w:p w14:paraId="1DE69C2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（4）经评标委员会认定评分畸高、畸低的。</w:t>
      </w:r>
    </w:p>
    <w:p w14:paraId="1082D0C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9.2评</w:t>
      </w:r>
      <w:r>
        <w:rPr>
          <w:rFonts w:hint="eastAsia" w:ascii="宋体" w:hAnsi="宋体" w:eastAsia="宋体" w:cs="宋体"/>
          <w:sz w:val="21"/>
          <w:szCs w:val="21"/>
          <w:lang w:val="en-US" w:eastAsia="zh-CN"/>
        </w:rPr>
        <w:t>审</w:t>
      </w:r>
      <w:r>
        <w:rPr>
          <w:rFonts w:hint="eastAsia" w:ascii="宋体" w:hAnsi="宋体" w:eastAsia="宋体" w:cs="宋体"/>
          <w:sz w:val="21"/>
          <w:szCs w:val="21"/>
        </w:rPr>
        <w:t>报告签署前，经复核发现存在以上情形之一的，评标委员会应当当场修改评</w:t>
      </w:r>
      <w:r>
        <w:rPr>
          <w:rFonts w:hint="eastAsia" w:ascii="宋体" w:hAnsi="宋体" w:eastAsia="宋体" w:cs="宋体"/>
          <w:sz w:val="21"/>
          <w:szCs w:val="21"/>
          <w:lang w:val="en-US" w:eastAsia="zh-CN"/>
        </w:rPr>
        <w:t>审</w:t>
      </w:r>
      <w:r>
        <w:rPr>
          <w:rFonts w:hint="eastAsia" w:ascii="宋体" w:hAnsi="宋体" w:eastAsia="宋体" w:cs="宋体"/>
          <w:sz w:val="21"/>
          <w:szCs w:val="21"/>
        </w:rPr>
        <w:t>结果，并在评</w:t>
      </w:r>
      <w:r>
        <w:rPr>
          <w:rFonts w:hint="eastAsia" w:ascii="宋体" w:hAnsi="宋体" w:eastAsia="宋体" w:cs="宋体"/>
          <w:sz w:val="21"/>
          <w:szCs w:val="21"/>
          <w:lang w:val="en-US" w:eastAsia="zh-CN"/>
        </w:rPr>
        <w:t>审</w:t>
      </w:r>
      <w:r>
        <w:rPr>
          <w:rFonts w:hint="eastAsia" w:ascii="宋体" w:hAnsi="宋体" w:eastAsia="宋体" w:cs="宋体"/>
          <w:sz w:val="21"/>
          <w:szCs w:val="21"/>
        </w:rPr>
        <w:t>报告中记载；评</w:t>
      </w:r>
      <w:r>
        <w:rPr>
          <w:rFonts w:hint="eastAsia" w:ascii="宋体" w:hAnsi="宋体" w:eastAsia="宋体" w:cs="宋体"/>
          <w:sz w:val="21"/>
          <w:szCs w:val="21"/>
          <w:lang w:val="en-US" w:eastAsia="zh-CN"/>
        </w:rPr>
        <w:t>审</w:t>
      </w:r>
      <w:r>
        <w:rPr>
          <w:rFonts w:hint="eastAsia" w:ascii="宋体" w:hAnsi="宋体" w:eastAsia="宋体" w:cs="宋体"/>
          <w:sz w:val="21"/>
          <w:szCs w:val="21"/>
        </w:rPr>
        <w:t>报告签署后，采购人或者采购代理机构发现存在以上情形之一的，应当组织原评标委员会进行重新评审，重新评审改变评</w:t>
      </w:r>
      <w:r>
        <w:rPr>
          <w:rFonts w:hint="eastAsia" w:ascii="宋体" w:hAnsi="宋体" w:eastAsia="宋体" w:cs="宋体"/>
          <w:sz w:val="21"/>
          <w:szCs w:val="21"/>
          <w:lang w:val="en-US" w:eastAsia="zh-CN"/>
        </w:rPr>
        <w:t>审</w:t>
      </w:r>
      <w:r>
        <w:rPr>
          <w:rFonts w:hint="eastAsia" w:ascii="宋体" w:hAnsi="宋体" w:eastAsia="宋体" w:cs="宋体"/>
          <w:sz w:val="21"/>
          <w:szCs w:val="21"/>
        </w:rPr>
        <w:t>结果的，书面报告监督管理部门。</w:t>
      </w:r>
    </w:p>
    <w:p w14:paraId="02CA162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9.3</w:t>
      </w:r>
      <w:r>
        <w:rPr>
          <w:rFonts w:hint="eastAsia" w:ascii="宋体" w:hAnsi="宋体" w:eastAsia="宋体" w:cs="宋体"/>
          <w:sz w:val="21"/>
          <w:szCs w:val="21"/>
          <w:lang w:eastAsia="zh-CN"/>
        </w:rPr>
        <w:t>供应商</w:t>
      </w:r>
      <w:r>
        <w:rPr>
          <w:rFonts w:hint="eastAsia" w:ascii="宋体" w:hAnsi="宋体" w:eastAsia="宋体" w:cs="宋体"/>
          <w:sz w:val="21"/>
          <w:szCs w:val="21"/>
        </w:rPr>
        <w:t>对本条第一款情形提出质疑的，采购人或者采购代理机构可以组织原评标委员会进行重新评审，重新评审改变评标结果的，书面报告监督管理部门。</w:t>
      </w:r>
    </w:p>
    <w:p w14:paraId="46B2F331">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r>
        <w:rPr>
          <w:rFonts w:hint="eastAsia" w:ascii="宋体" w:hAnsi="宋体" w:eastAsia="宋体" w:cs="宋体"/>
          <w:b/>
          <w:bCs/>
          <w:sz w:val="21"/>
          <w:szCs w:val="21"/>
        </w:rPr>
        <w:t>10.停止评标</w:t>
      </w:r>
    </w:p>
    <w:p w14:paraId="1E000C8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10.1评标委员会发现</w:t>
      </w:r>
      <w:r>
        <w:rPr>
          <w:rFonts w:hint="eastAsia" w:ascii="宋体" w:hAnsi="宋体" w:eastAsia="宋体" w:cs="宋体"/>
          <w:sz w:val="21"/>
          <w:szCs w:val="21"/>
          <w:lang w:eastAsia="zh-CN"/>
        </w:rPr>
        <w:t>磋商文件</w:t>
      </w:r>
      <w:r>
        <w:rPr>
          <w:rFonts w:hint="eastAsia" w:ascii="宋体" w:hAnsi="宋体" w:eastAsia="宋体" w:cs="宋体"/>
          <w:sz w:val="21"/>
          <w:szCs w:val="21"/>
        </w:rPr>
        <w:t>存在歧义、重大缺陷导致评标工作无法进行，或者</w:t>
      </w:r>
      <w:r>
        <w:rPr>
          <w:rFonts w:hint="eastAsia" w:ascii="宋体" w:hAnsi="宋体" w:eastAsia="宋体" w:cs="宋体"/>
          <w:sz w:val="21"/>
          <w:szCs w:val="21"/>
          <w:lang w:eastAsia="zh-CN"/>
        </w:rPr>
        <w:t>磋商文件</w:t>
      </w:r>
      <w:r>
        <w:rPr>
          <w:rFonts w:hint="eastAsia" w:ascii="宋体" w:hAnsi="宋体" w:eastAsia="宋体" w:cs="宋体"/>
          <w:sz w:val="21"/>
          <w:szCs w:val="21"/>
        </w:rPr>
        <w:t>内容违反国家有关强制性规定的，应当停止评标工作，与采购人或者采购代理机构沟通并作书面记录。采购人或者采购代理机构确认后，应当修改</w:t>
      </w:r>
      <w:r>
        <w:rPr>
          <w:rFonts w:hint="eastAsia" w:ascii="宋体" w:hAnsi="宋体" w:eastAsia="宋体" w:cs="宋体"/>
          <w:sz w:val="21"/>
          <w:szCs w:val="21"/>
          <w:lang w:eastAsia="zh-CN"/>
        </w:rPr>
        <w:t>磋商文件</w:t>
      </w:r>
      <w:r>
        <w:rPr>
          <w:rFonts w:hint="eastAsia" w:ascii="宋体" w:hAnsi="宋体" w:eastAsia="宋体" w:cs="宋体"/>
          <w:sz w:val="21"/>
          <w:szCs w:val="21"/>
        </w:rPr>
        <w:t>，重新组织采购活动。</w:t>
      </w:r>
    </w:p>
    <w:p w14:paraId="35CE17DA">
      <w:pPr>
        <w:pageBreakBefore w:val="0"/>
        <w:kinsoku/>
        <w:wordWrap/>
        <w:overflowPunct/>
        <w:bidi w:val="0"/>
        <w:spacing w:beforeAutospacing="0" w:afterAutospacing="0" w:line="560" w:lineRule="exact"/>
        <w:jc w:val="left"/>
        <w:outlineLvl w:val="0"/>
        <w:rPr>
          <w:rFonts w:hint="eastAsia" w:ascii="宋体" w:hAnsi="宋体" w:eastAsia="宋体" w:cs="宋体"/>
          <w:b/>
          <w:bCs/>
          <w:sz w:val="21"/>
          <w:szCs w:val="21"/>
        </w:rPr>
      </w:pPr>
      <w:r>
        <w:rPr>
          <w:rFonts w:hint="eastAsia" w:ascii="宋体" w:hAnsi="宋体" w:eastAsia="宋体" w:cs="宋体"/>
          <w:b/>
          <w:bCs/>
          <w:sz w:val="21"/>
          <w:szCs w:val="21"/>
          <w:lang w:eastAsia="zh-CN"/>
        </w:rPr>
        <w:t>1</w:t>
      </w:r>
      <w:r>
        <w:rPr>
          <w:rFonts w:hint="eastAsia" w:ascii="宋体" w:hAnsi="宋体" w:eastAsia="宋体" w:cs="宋体"/>
          <w:b/>
          <w:bCs/>
          <w:sz w:val="21"/>
          <w:szCs w:val="21"/>
          <w:lang w:val="en-US" w:eastAsia="zh-CN"/>
        </w:rPr>
        <w:t>1</w:t>
      </w:r>
      <w:r>
        <w:rPr>
          <w:rFonts w:hint="eastAsia" w:ascii="宋体" w:hAnsi="宋体" w:eastAsia="宋体" w:cs="宋体"/>
          <w:b/>
          <w:bCs/>
          <w:sz w:val="21"/>
          <w:szCs w:val="21"/>
        </w:rPr>
        <w:t>.重新组建评标委员会进行评标</w:t>
      </w:r>
    </w:p>
    <w:p w14:paraId="7F741D9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rPr>
        <w:t>.1评标委员会或者其成员存在下列情形导致评标结果无效的，采购人、采购代理机构可以重新组建评标委员会进行评标，并书面报告监督管理部门，但采购合同已经履行的除外：</w:t>
      </w:r>
    </w:p>
    <w:p w14:paraId="7AA4C98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（1）评标委员会组成不符合《政府采购货物和服务招标投标管理办法》规定的；</w:t>
      </w:r>
    </w:p>
    <w:p w14:paraId="67C2F65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（2）有《政府采购货物和服务招标投标管理办法》第六十二条第一至五项情形的；</w:t>
      </w:r>
    </w:p>
    <w:p w14:paraId="49C03A4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（3）评标委员会及其成员独立评标受到非法干预的；</w:t>
      </w:r>
    </w:p>
    <w:p w14:paraId="3CD234A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（4）有政府采购法实施条例第七十五条规定的违法行为的。</w:t>
      </w:r>
    </w:p>
    <w:p w14:paraId="55B8970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lang w:eastAsia="zh-CN"/>
        </w:rPr>
        <w:t>10</w:t>
      </w:r>
      <w:r>
        <w:rPr>
          <w:rFonts w:hint="eastAsia" w:ascii="宋体" w:hAnsi="宋体" w:eastAsia="宋体" w:cs="宋体"/>
          <w:sz w:val="21"/>
          <w:szCs w:val="21"/>
        </w:rPr>
        <w:t>.2有违法违规行为的原评标委员会成员不得参加重新组建的评标委员会。</w:t>
      </w:r>
    </w:p>
    <w:p w14:paraId="3FF640FC">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附表：评审因素及评分标准</w:t>
      </w:r>
    </w:p>
    <w:tbl>
      <w:tblPr>
        <w:tblStyle w:val="45"/>
        <w:tblW w:w="0" w:type="auto"/>
        <w:tblInd w:w="113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2"/>
        <w:gridCol w:w="3526"/>
        <w:gridCol w:w="2927"/>
      </w:tblGrid>
      <w:tr w14:paraId="69733D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1012" w:type="dxa"/>
            <w:vAlign w:val="center"/>
          </w:tcPr>
          <w:p w14:paraId="57AEE5BF">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526" w:type="dxa"/>
            <w:vAlign w:val="center"/>
          </w:tcPr>
          <w:p w14:paraId="1E18F599">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    目</w:t>
            </w:r>
          </w:p>
        </w:tc>
        <w:tc>
          <w:tcPr>
            <w:tcW w:w="2927" w:type="dxa"/>
            <w:vAlign w:val="center"/>
          </w:tcPr>
          <w:p w14:paraId="4EB0BD92">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权值范围</w:t>
            </w:r>
          </w:p>
        </w:tc>
      </w:tr>
      <w:tr w14:paraId="34018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1012" w:type="dxa"/>
            <w:vAlign w:val="center"/>
          </w:tcPr>
          <w:p w14:paraId="21C5F687">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526" w:type="dxa"/>
            <w:vAlign w:val="center"/>
          </w:tcPr>
          <w:p w14:paraId="6DA6ED7A">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w:t>
            </w:r>
          </w:p>
        </w:tc>
        <w:tc>
          <w:tcPr>
            <w:tcW w:w="2927" w:type="dxa"/>
            <w:vAlign w:val="center"/>
          </w:tcPr>
          <w:p w14:paraId="60BE7DD8">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0%</w:t>
            </w:r>
          </w:p>
        </w:tc>
      </w:tr>
      <w:tr w14:paraId="3EF92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1012" w:type="dxa"/>
            <w:vAlign w:val="center"/>
          </w:tcPr>
          <w:p w14:paraId="1263CEB1">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526" w:type="dxa"/>
            <w:vAlign w:val="center"/>
          </w:tcPr>
          <w:p w14:paraId="18C4F7ED">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tc>
        <w:tc>
          <w:tcPr>
            <w:tcW w:w="2927" w:type="dxa"/>
            <w:vAlign w:val="center"/>
          </w:tcPr>
          <w:p w14:paraId="4298B75C">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0%</w:t>
            </w:r>
          </w:p>
        </w:tc>
      </w:tr>
      <w:tr w14:paraId="134A38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1012" w:type="dxa"/>
            <w:vAlign w:val="center"/>
          </w:tcPr>
          <w:p w14:paraId="2B5B7EF2">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526" w:type="dxa"/>
            <w:shd w:val="clear" w:color="auto" w:fill="auto"/>
            <w:vAlign w:val="center"/>
          </w:tcPr>
          <w:p w14:paraId="7CAA4132">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技术</w:t>
            </w:r>
          </w:p>
        </w:tc>
        <w:tc>
          <w:tcPr>
            <w:tcW w:w="2927" w:type="dxa"/>
            <w:shd w:val="clear" w:color="auto" w:fill="auto"/>
            <w:vAlign w:val="center"/>
          </w:tcPr>
          <w:p w14:paraId="3D94C5F8">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p>
        </w:tc>
      </w:tr>
      <w:tr w14:paraId="4E1576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538" w:type="dxa"/>
            <w:gridSpan w:val="2"/>
            <w:vAlign w:val="center"/>
          </w:tcPr>
          <w:p w14:paraId="18B65C2E">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∑(1+2+3)=100</w:t>
            </w:r>
          </w:p>
        </w:tc>
        <w:tc>
          <w:tcPr>
            <w:tcW w:w="2927" w:type="dxa"/>
            <w:vAlign w:val="center"/>
          </w:tcPr>
          <w:p w14:paraId="3412F338">
            <w:pPr>
              <w:keepNext w:val="0"/>
              <w:keepLines w:val="0"/>
              <w:pageBreakBefore w:val="0"/>
              <w:widowControl w:val="0"/>
              <w:kinsoku/>
              <w:wordWrap/>
              <w:overflowPunct/>
              <w:topLinePunct w:val="0"/>
              <w:bidi w:val="0"/>
              <w:adjustRightInd w:val="0"/>
              <w:snapToGrid w:val="0"/>
              <w:spacing w:beforeAutospacing="0" w:afterAutospacing="0"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r>
    </w:tbl>
    <w:p w14:paraId="5BEEB8F6">
      <w:pPr>
        <w:rPr>
          <w:rFonts w:hint="eastAsia"/>
          <w:color w:val="FF0000"/>
          <w:highlight w:val="none"/>
        </w:rPr>
        <w:sectPr>
          <w:footerReference r:id="rId7" w:type="default"/>
          <w:pgSz w:w="11906" w:h="16838"/>
          <w:pgMar w:top="1417" w:right="1247" w:bottom="1417" w:left="1247" w:header="851" w:footer="992" w:gutter="0"/>
          <w:pgNumType w:fmt="decimal" w:start="1"/>
          <w:cols w:space="720" w:num="1"/>
          <w:rtlGutter w:val="0"/>
          <w:docGrid w:type="lines" w:linePitch="312" w:charSpace="0"/>
        </w:sectPr>
      </w:pPr>
    </w:p>
    <w:p w14:paraId="6EA3D1F4">
      <w:pPr>
        <w:keepNext w:val="0"/>
        <w:keepLines w:val="0"/>
        <w:pageBreakBefore w:val="0"/>
        <w:kinsoku/>
        <w:wordWrap/>
        <w:overflowPunct/>
        <w:topLinePunct w:val="0"/>
        <w:bidi w:val="0"/>
        <w:spacing w:line="400" w:lineRule="exact"/>
        <w:textAlignment w:val="auto"/>
        <w:rPr>
          <w:rFonts w:hint="default" w:ascii="宋体" w:hAnsi="宋体" w:eastAsia="宋体" w:cs="宋体"/>
          <w:b/>
          <w:sz w:val="32"/>
          <w:szCs w:val="32"/>
          <w:lang w:val="en-US" w:eastAsia="zh-CN"/>
        </w:rPr>
      </w:pPr>
      <w:r>
        <w:rPr>
          <w:rFonts w:hint="eastAsia" w:ascii="宋体" w:hAnsi="宋体" w:eastAsia="宋体" w:cs="宋体"/>
          <w:b/>
          <w:sz w:val="21"/>
          <w:szCs w:val="21"/>
          <w:highlight w:val="none"/>
        </w:rPr>
        <w:t>附表：评审因素及评分标准</w:t>
      </w:r>
      <w:r>
        <w:rPr>
          <w:rFonts w:hint="eastAsia" w:ascii="宋体" w:hAnsi="宋体" w:cs="宋体"/>
          <w:b/>
          <w:sz w:val="21"/>
          <w:szCs w:val="21"/>
          <w:highlight w:val="none"/>
          <w:lang w:eastAsia="zh-CN"/>
        </w:rPr>
        <w:t>（</w:t>
      </w:r>
      <w:r>
        <w:rPr>
          <w:rFonts w:hint="eastAsia" w:ascii="宋体" w:hAnsi="宋体" w:cs="宋体"/>
          <w:b/>
          <w:sz w:val="21"/>
          <w:szCs w:val="21"/>
          <w:highlight w:val="none"/>
          <w:lang w:val="en-US" w:eastAsia="zh-CN"/>
        </w:rPr>
        <w:t>包1、包2</w:t>
      </w:r>
      <w:r>
        <w:rPr>
          <w:rFonts w:hint="eastAsia" w:ascii="宋体" w:hAnsi="宋体" w:cs="宋体"/>
          <w:b/>
          <w:sz w:val="21"/>
          <w:szCs w:val="21"/>
          <w:highlight w:val="none"/>
          <w:lang w:eastAsia="zh-CN"/>
        </w:rPr>
        <w:t>）</w:t>
      </w:r>
    </w:p>
    <w:bookmarkEnd w:id="6"/>
    <w:tbl>
      <w:tblPr>
        <w:tblStyle w:val="46"/>
        <w:tblpPr w:leftFromText="180" w:rightFromText="180" w:vertAnchor="text" w:horzAnchor="page" w:tblpX="624" w:tblpY="591"/>
        <w:tblOverlap w:val="never"/>
        <w:tblW w:w="10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424"/>
        <w:gridCol w:w="772"/>
        <w:gridCol w:w="1092"/>
        <w:gridCol w:w="6684"/>
      </w:tblGrid>
      <w:tr w14:paraId="03C2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665" w:type="dxa"/>
            <w:vAlign w:val="top"/>
          </w:tcPr>
          <w:p w14:paraId="00C47197">
            <w:pPr>
              <w:keepNext w:val="0"/>
              <w:keepLines w:val="0"/>
              <w:pageBreakBefore w:val="0"/>
              <w:kinsoku/>
              <w:wordWrap/>
              <w:overflowPunct/>
              <w:topLinePunct w:val="0"/>
              <w:bidi w:val="0"/>
              <w:spacing w:line="400" w:lineRule="exact"/>
              <w:textAlignment w:val="auto"/>
              <w:rPr>
                <w:rFonts w:hint="default"/>
                <w:highlight w:val="none"/>
                <w:lang w:val="en-US" w:eastAsia="zh-CN"/>
              </w:rPr>
            </w:pPr>
            <w:bookmarkStart w:id="7" w:name="_Toc7000"/>
            <w:r>
              <w:rPr>
                <w:rFonts w:hint="eastAsia"/>
                <w:highlight w:val="none"/>
                <w:lang w:val="en-US" w:eastAsia="zh-CN"/>
              </w:rPr>
              <w:t>序号</w:t>
            </w:r>
          </w:p>
        </w:tc>
        <w:tc>
          <w:tcPr>
            <w:tcW w:w="2196" w:type="dxa"/>
            <w:gridSpan w:val="2"/>
            <w:vAlign w:val="top"/>
          </w:tcPr>
          <w:p w14:paraId="037187D6">
            <w:pPr>
              <w:keepNext w:val="0"/>
              <w:keepLines w:val="0"/>
              <w:pageBreakBefore w:val="0"/>
              <w:kinsoku/>
              <w:wordWrap/>
              <w:overflowPunct/>
              <w:topLinePunct w:val="0"/>
              <w:autoSpaceDE/>
              <w:autoSpaceDN/>
              <w:bidi w:val="0"/>
              <w:spacing w:beforeAutospacing="0" w:afterAutospacing="0" w:line="400" w:lineRule="exact"/>
              <w:jc w:val="center"/>
              <w:textAlignment w:val="auto"/>
              <w:outlineLvl w:val="0"/>
              <w:rPr>
                <w:rFonts w:hint="eastAsia" w:ascii="宋体" w:hAnsi="宋体" w:cs="宋体"/>
                <w:b/>
                <w:bCs/>
                <w:color w:val="000000"/>
                <w:sz w:val="21"/>
                <w:szCs w:val="21"/>
                <w:highlight w:val="none"/>
                <w:vertAlign w:val="baseline"/>
                <w:lang w:val="en-US" w:eastAsia="zh-CN"/>
              </w:rPr>
            </w:pPr>
            <w:r>
              <w:rPr>
                <w:rFonts w:hint="eastAsia" w:ascii="宋体" w:hAnsi="宋体" w:cs="宋体"/>
                <w:b/>
                <w:bCs/>
                <w:color w:val="000000"/>
                <w:sz w:val="21"/>
                <w:szCs w:val="21"/>
                <w:highlight w:val="none"/>
                <w:vertAlign w:val="baseline"/>
                <w:lang w:val="en-US" w:eastAsia="zh-CN"/>
              </w:rPr>
              <w:t>评审因素</w:t>
            </w:r>
          </w:p>
        </w:tc>
        <w:tc>
          <w:tcPr>
            <w:tcW w:w="1092" w:type="dxa"/>
            <w:vAlign w:val="top"/>
          </w:tcPr>
          <w:p w14:paraId="474B1301">
            <w:pPr>
              <w:keepNext w:val="0"/>
              <w:keepLines w:val="0"/>
              <w:pageBreakBefore w:val="0"/>
              <w:kinsoku/>
              <w:wordWrap/>
              <w:overflowPunct/>
              <w:topLinePunct w:val="0"/>
              <w:autoSpaceDE/>
              <w:autoSpaceDN/>
              <w:bidi w:val="0"/>
              <w:spacing w:beforeAutospacing="0" w:afterAutospacing="0" w:line="400" w:lineRule="exact"/>
              <w:jc w:val="center"/>
              <w:textAlignment w:val="auto"/>
              <w:outlineLvl w:val="0"/>
              <w:rPr>
                <w:rFonts w:hint="default" w:ascii="宋体" w:hAnsi="宋体" w:eastAsia="宋体" w:cs="宋体"/>
                <w:b/>
                <w:bCs/>
                <w:color w:val="000000"/>
                <w:sz w:val="21"/>
                <w:szCs w:val="21"/>
                <w:highlight w:val="none"/>
                <w:vertAlign w:val="baseline"/>
                <w:lang w:val="en-US" w:eastAsia="zh-CN"/>
              </w:rPr>
            </w:pPr>
            <w:r>
              <w:rPr>
                <w:rFonts w:hint="eastAsia" w:ascii="宋体" w:hAnsi="宋体" w:cs="宋体"/>
                <w:b/>
                <w:bCs/>
                <w:color w:val="000000"/>
                <w:sz w:val="21"/>
                <w:szCs w:val="21"/>
                <w:highlight w:val="none"/>
                <w:vertAlign w:val="baseline"/>
                <w:lang w:val="en-US" w:eastAsia="zh-CN"/>
              </w:rPr>
              <w:t>分值</w:t>
            </w:r>
          </w:p>
        </w:tc>
        <w:tc>
          <w:tcPr>
            <w:tcW w:w="6684" w:type="dxa"/>
            <w:vAlign w:val="top"/>
          </w:tcPr>
          <w:p w14:paraId="294C4CD3">
            <w:pPr>
              <w:keepNext w:val="0"/>
              <w:keepLines w:val="0"/>
              <w:pageBreakBefore w:val="0"/>
              <w:kinsoku/>
              <w:wordWrap/>
              <w:overflowPunct/>
              <w:topLinePunct w:val="0"/>
              <w:autoSpaceDE/>
              <w:autoSpaceDN/>
              <w:bidi w:val="0"/>
              <w:spacing w:beforeAutospacing="0" w:afterAutospacing="0" w:line="400" w:lineRule="exact"/>
              <w:jc w:val="center"/>
              <w:textAlignment w:val="auto"/>
              <w:outlineLvl w:val="0"/>
              <w:rPr>
                <w:rFonts w:hint="eastAsia" w:ascii="宋体" w:hAnsi="宋体" w:eastAsia="宋体" w:cs="宋体"/>
                <w:b/>
                <w:bCs/>
                <w:color w:val="000000"/>
                <w:sz w:val="21"/>
                <w:szCs w:val="21"/>
                <w:highlight w:val="none"/>
                <w:vertAlign w:val="baseline"/>
                <w:lang w:eastAsia="zh-CN"/>
              </w:rPr>
            </w:pPr>
            <w:r>
              <w:rPr>
                <w:rFonts w:hint="eastAsia" w:ascii="宋体" w:hAnsi="宋体" w:eastAsia="宋体" w:cs="宋体"/>
                <w:b/>
                <w:bCs/>
                <w:color w:val="000000"/>
                <w:sz w:val="21"/>
                <w:szCs w:val="21"/>
                <w:highlight w:val="none"/>
                <w:vertAlign w:val="baseline"/>
                <w:lang w:eastAsia="zh-CN"/>
              </w:rPr>
              <w:t>评分标准</w:t>
            </w:r>
          </w:p>
        </w:tc>
      </w:tr>
      <w:tr w14:paraId="2104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665" w:type="dxa"/>
            <w:vAlign w:val="center"/>
          </w:tcPr>
          <w:p w14:paraId="296B4294">
            <w:pPr>
              <w:keepNext w:val="0"/>
              <w:keepLines w:val="0"/>
              <w:pageBreakBefore w:val="0"/>
              <w:kinsoku/>
              <w:wordWrap/>
              <w:overflowPunct/>
              <w:topLinePunct w:val="0"/>
              <w:autoSpaceDE/>
              <w:autoSpaceDN/>
              <w:bidi w:val="0"/>
              <w:spacing w:beforeAutospacing="0" w:afterAutospacing="0" w:line="400" w:lineRule="exact"/>
              <w:jc w:val="center"/>
              <w:textAlignment w:val="auto"/>
              <w:outlineLvl w:val="0"/>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1</w:t>
            </w:r>
          </w:p>
        </w:tc>
        <w:tc>
          <w:tcPr>
            <w:tcW w:w="1424" w:type="dxa"/>
            <w:vAlign w:val="center"/>
          </w:tcPr>
          <w:p w14:paraId="1A851530">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 w:val="0"/>
                <w:bCs w:val="0"/>
                <w:color w:val="000000"/>
                <w:sz w:val="21"/>
                <w:szCs w:val="21"/>
                <w:highlight w:val="none"/>
                <w:vertAlign w:val="baseline"/>
              </w:rPr>
            </w:pPr>
            <w:r>
              <w:rPr>
                <w:rFonts w:hint="eastAsia" w:ascii="宋体" w:hAnsi="宋体" w:eastAsia="宋体" w:cs="宋体"/>
                <w:sz w:val="21"/>
                <w:szCs w:val="21"/>
              </w:rPr>
              <w:t>价格部分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20%）</w:t>
            </w:r>
          </w:p>
        </w:tc>
        <w:tc>
          <w:tcPr>
            <w:tcW w:w="772" w:type="dxa"/>
            <w:vAlign w:val="center"/>
          </w:tcPr>
          <w:p w14:paraId="14FF6E40">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 w:val="0"/>
                <w:bCs w:val="0"/>
                <w:color w:val="000000"/>
                <w:sz w:val="21"/>
                <w:szCs w:val="21"/>
                <w:highlight w:val="none"/>
                <w:vertAlign w:val="baseline"/>
              </w:rPr>
            </w:pPr>
            <w:r>
              <w:rPr>
                <w:rFonts w:hint="eastAsia" w:ascii="宋体" w:hAnsi="宋体" w:eastAsia="宋体" w:cs="宋体"/>
                <w:sz w:val="21"/>
                <w:szCs w:val="21"/>
              </w:rPr>
              <w:t>投标报价</w:t>
            </w:r>
          </w:p>
        </w:tc>
        <w:tc>
          <w:tcPr>
            <w:tcW w:w="1092" w:type="dxa"/>
            <w:vAlign w:val="center"/>
          </w:tcPr>
          <w:p w14:paraId="6F6EF754">
            <w:pPr>
              <w:keepNext w:val="0"/>
              <w:keepLines w:val="0"/>
              <w:pageBreakBefore w:val="0"/>
              <w:kinsoku/>
              <w:wordWrap/>
              <w:overflowPunct/>
              <w:topLinePunct w:val="0"/>
              <w:autoSpaceDE/>
              <w:autoSpaceDN/>
              <w:bidi w:val="0"/>
              <w:spacing w:beforeAutospacing="0" w:afterAutospacing="0" w:line="400" w:lineRule="exact"/>
              <w:jc w:val="center"/>
              <w:textAlignment w:val="auto"/>
              <w:outlineLvl w:val="0"/>
              <w:rPr>
                <w:rFonts w:hint="eastAsia" w:ascii="宋体" w:hAnsi="宋体" w:eastAsia="宋体" w:cs="宋体"/>
                <w:b/>
                <w:bCs/>
                <w:color w:val="000000"/>
                <w:sz w:val="21"/>
                <w:szCs w:val="21"/>
                <w:highlight w:val="none"/>
                <w:vertAlign w:val="baseline"/>
                <w:lang w:val="en-US" w:eastAsia="zh-CN"/>
              </w:rPr>
            </w:pPr>
            <w:r>
              <w:rPr>
                <w:rFonts w:hint="eastAsia" w:ascii="宋体" w:hAnsi="宋体" w:cs="宋体"/>
                <w:b/>
                <w:bCs/>
                <w:color w:val="000000"/>
                <w:sz w:val="21"/>
                <w:szCs w:val="21"/>
                <w:highlight w:val="none"/>
                <w:vertAlign w:val="baseline"/>
                <w:lang w:val="en-US" w:eastAsia="zh-CN"/>
              </w:rPr>
              <w:t>100</w:t>
            </w:r>
            <w:r>
              <w:rPr>
                <w:rFonts w:hint="eastAsia" w:ascii="宋体" w:hAnsi="宋体" w:eastAsia="宋体" w:cs="宋体"/>
                <w:b/>
                <w:bCs/>
                <w:color w:val="000000"/>
                <w:sz w:val="21"/>
                <w:szCs w:val="21"/>
                <w:highlight w:val="none"/>
                <w:vertAlign w:val="baseline"/>
                <w:lang w:val="en-US" w:eastAsia="zh-CN"/>
              </w:rPr>
              <w:t>（分）</w:t>
            </w:r>
          </w:p>
        </w:tc>
        <w:tc>
          <w:tcPr>
            <w:tcW w:w="6684" w:type="dxa"/>
          </w:tcPr>
          <w:p w14:paraId="45850147">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jc w:val="left"/>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sz w:val="21"/>
                <w:szCs w:val="21"/>
                <w:highlight w:val="none"/>
                <w:lang w:val="en-US" w:eastAsia="zh-CN"/>
              </w:rPr>
              <w:t>本项目报价采用承诺制，供应商承诺按照磋商文件要求的预算金额包1：56万元，包2：88万元完成培育服务工作，提供相关承诺函计</w:t>
            </w:r>
            <w:r>
              <w:rPr>
                <w:rFonts w:hint="eastAsia" w:ascii="宋体" w:hAnsi="宋体" w:cs="宋体"/>
                <w:sz w:val="21"/>
                <w:szCs w:val="21"/>
                <w:highlight w:val="none"/>
                <w:lang w:val="en-US" w:eastAsia="zh-CN"/>
              </w:rPr>
              <w:t>100</w:t>
            </w:r>
            <w:r>
              <w:rPr>
                <w:rFonts w:hint="eastAsia" w:ascii="宋体" w:hAnsi="宋体" w:eastAsia="宋体" w:cs="宋体"/>
                <w:sz w:val="21"/>
                <w:szCs w:val="21"/>
                <w:highlight w:val="none"/>
                <w:lang w:val="en-US" w:eastAsia="zh-CN"/>
              </w:rPr>
              <w:t>分，否则不计分。（承诺函格式自拟）</w:t>
            </w:r>
          </w:p>
        </w:tc>
      </w:tr>
      <w:tr w14:paraId="23CD2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trPr>
        <w:tc>
          <w:tcPr>
            <w:tcW w:w="665" w:type="dxa"/>
            <w:vMerge w:val="restart"/>
            <w:vAlign w:val="center"/>
          </w:tcPr>
          <w:p w14:paraId="045F33F2">
            <w:pPr>
              <w:keepNext w:val="0"/>
              <w:keepLines w:val="0"/>
              <w:pageBreakBefore w:val="0"/>
              <w:kinsoku/>
              <w:wordWrap/>
              <w:overflowPunct/>
              <w:topLinePunct w:val="0"/>
              <w:autoSpaceDE/>
              <w:autoSpaceDN/>
              <w:bidi w:val="0"/>
              <w:spacing w:beforeAutospacing="0" w:afterAutospacing="0" w:line="400" w:lineRule="exact"/>
              <w:jc w:val="center"/>
              <w:textAlignment w:val="auto"/>
              <w:outlineLvl w:val="0"/>
              <w:rPr>
                <w:rFonts w:hint="eastAsia" w:ascii="宋体" w:hAnsi="宋体" w:eastAsia="宋体" w:cs="宋体"/>
                <w:b/>
                <w:bCs/>
                <w:color w:val="000000"/>
                <w:sz w:val="21"/>
                <w:szCs w:val="21"/>
                <w:highlight w:val="none"/>
                <w:vertAlign w:val="baseline"/>
                <w:lang w:eastAsia="zh-CN"/>
              </w:rPr>
            </w:pPr>
            <w:r>
              <w:rPr>
                <w:rFonts w:hint="eastAsia" w:ascii="宋体" w:hAnsi="宋体" w:eastAsia="宋体" w:cs="宋体"/>
                <w:b/>
                <w:bCs/>
                <w:color w:val="000000"/>
                <w:sz w:val="21"/>
                <w:szCs w:val="21"/>
                <w:highlight w:val="none"/>
                <w:vertAlign w:val="baseline"/>
                <w:lang w:val="en-US" w:eastAsia="zh-CN"/>
              </w:rPr>
              <w:t>2</w:t>
            </w:r>
          </w:p>
        </w:tc>
        <w:tc>
          <w:tcPr>
            <w:tcW w:w="1424" w:type="dxa"/>
            <w:vMerge w:val="restart"/>
            <w:vAlign w:val="center"/>
          </w:tcPr>
          <w:p w14:paraId="1A558B49">
            <w:pPr>
              <w:pStyle w:val="61"/>
              <w:keepNext w:val="0"/>
              <w:keepLines w:val="0"/>
              <w:pageBreakBefore w:val="0"/>
              <w:kinsoku/>
              <w:wordWrap/>
              <w:overflowPunct/>
              <w:topLinePunct w:val="0"/>
              <w:bidi w:val="0"/>
              <w:adjustRightInd/>
              <w:snapToGrid/>
              <w:spacing w:line="400" w:lineRule="exact"/>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商务部分（40%）</w:t>
            </w:r>
          </w:p>
        </w:tc>
        <w:tc>
          <w:tcPr>
            <w:tcW w:w="772" w:type="dxa"/>
            <w:vAlign w:val="center"/>
          </w:tcPr>
          <w:p w14:paraId="6AD7F803">
            <w:pPr>
              <w:pStyle w:val="61"/>
              <w:keepNext w:val="0"/>
              <w:keepLines w:val="0"/>
              <w:pageBreakBefore w:val="0"/>
              <w:kinsoku/>
              <w:wordWrap/>
              <w:overflowPunct/>
              <w:topLinePunct w:val="0"/>
              <w:bidi w:val="0"/>
              <w:adjustRightInd/>
              <w:snapToGrid/>
              <w:spacing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类似业绩</w:t>
            </w:r>
          </w:p>
        </w:tc>
        <w:tc>
          <w:tcPr>
            <w:tcW w:w="1092" w:type="dxa"/>
            <w:vAlign w:val="center"/>
          </w:tcPr>
          <w:p w14:paraId="19A7AD91">
            <w:pPr>
              <w:pStyle w:val="269"/>
              <w:keepNext w:val="0"/>
              <w:keepLines w:val="0"/>
              <w:pageBreakBefore w:val="0"/>
              <w:kinsoku/>
              <w:wordWrap/>
              <w:overflowPunct/>
              <w:topLinePunct w:val="0"/>
              <w:bidi w:val="0"/>
              <w:spacing w:line="400" w:lineRule="exact"/>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lang w:val="en-US" w:eastAsia="zh-CN"/>
              </w:rPr>
              <w:t>分</w:t>
            </w:r>
          </w:p>
        </w:tc>
        <w:tc>
          <w:tcPr>
            <w:tcW w:w="6684" w:type="dxa"/>
            <w:vAlign w:val="center"/>
          </w:tcPr>
          <w:p w14:paraId="53941CF3">
            <w:pPr>
              <w:keepNext w:val="0"/>
              <w:keepLines w:val="0"/>
              <w:pageBreakBefore w:val="0"/>
              <w:numPr>
                <w:ilvl w:val="0"/>
                <w:numId w:val="0"/>
              </w:numPr>
              <w:kinsoku/>
              <w:wordWrap/>
              <w:overflowPunct/>
              <w:topLinePunct w:val="0"/>
              <w:bidi w:val="0"/>
              <w:spacing w:line="400" w:lineRule="exact"/>
              <w:textAlignment w:val="auto"/>
              <w:rPr>
                <w:rStyle w:val="47"/>
                <w:rFonts w:hint="eastAsia" w:ascii="宋体" w:hAnsi="宋体" w:eastAsia="宋体" w:cs="宋体"/>
                <w:b w:val="0"/>
                <w:color w:val="auto"/>
                <w:sz w:val="21"/>
                <w:szCs w:val="21"/>
                <w:highlight w:val="none"/>
                <w:lang w:val="en-US" w:eastAsia="zh-CN" w:bidi="ar-SA"/>
              </w:rPr>
            </w:pPr>
            <w:r>
              <w:rPr>
                <w:rStyle w:val="47"/>
                <w:rFonts w:hint="eastAsia" w:ascii="宋体" w:hAnsi="宋体" w:eastAsia="宋体" w:cs="宋体"/>
                <w:b w:val="0"/>
                <w:color w:val="auto"/>
                <w:sz w:val="21"/>
                <w:szCs w:val="21"/>
                <w:highlight w:val="none"/>
                <w:lang w:val="en-US" w:eastAsia="zh-CN" w:bidi="ar-SA"/>
              </w:rPr>
              <w:t>供应商提供近三年（投标截止时间前36个月）类似项目业绩的，每提供一个计</w:t>
            </w:r>
            <w:r>
              <w:rPr>
                <w:rStyle w:val="47"/>
                <w:rFonts w:hint="eastAsia" w:ascii="宋体" w:hAnsi="宋体" w:cs="宋体"/>
                <w:b w:val="0"/>
                <w:color w:val="auto"/>
                <w:sz w:val="21"/>
                <w:szCs w:val="21"/>
                <w:highlight w:val="none"/>
                <w:lang w:val="en-US" w:eastAsia="zh-CN" w:bidi="ar-SA"/>
              </w:rPr>
              <w:t>20</w:t>
            </w:r>
            <w:r>
              <w:rPr>
                <w:rStyle w:val="47"/>
                <w:rFonts w:hint="eastAsia" w:ascii="宋体" w:hAnsi="宋体" w:eastAsia="宋体" w:cs="宋体"/>
                <w:b w:val="0"/>
                <w:color w:val="auto"/>
                <w:sz w:val="21"/>
                <w:szCs w:val="21"/>
                <w:highlight w:val="none"/>
                <w:lang w:val="en-US" w:eastAsia="zh-CN" w:bidi="ar-SA"/>
              </w:rPr>
              <w:t>分。</w:t>
            </w:r>
          </w:p>
          <w:p w14:paraId="6CC854BE">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right="0"/>
              <w:jc w:val="both"/>
              <w:textAlignment w:val="auto"/>
              <w:rPr>
                <w:rFonts w:hint="eastAsia" w:ascii="宋体" w:hAnsi="宋体" w:eastAsia="宋体" w:cs="宋体"/>
                <w:color w:val="auto"/>
                <w:sz w:val="21"/>
                <w:szCs w:val="21"/>
                <w:highlight w:val="none"/>
              </w:rPr>
            </w:pPr>
            <w:r>
              <w:rPr>
                <w:rStyle w:val="47"/>
                <w:rFonts w:hint="eastAsia" w:ascii="宋体" w:hAnsi="宋体" w:eastAsia="宋体" w:cs="宋体"/>
                <w:b/>
                <w:bCs/>
                <w:color w:val="auto"/>
                <w:kern w:val="2"/>
                <w:sz w:val="21"/>
                <w:szCs w:val="21"/>
                <w:highlight w:val="none"/>
                <w:lang w:val="en-US" w:eastAsia="zh-CN" w:bidi="ar-SA"/>
              </w:rPr>
              <w:t>注：1、以合同签订日期为准；2、</w:t>
            </w:r>
            <w:r>
              <w:rPr>
                <w:rFonts w:hint="eastAsia" w:ascii="宋体" w:hAnsi="宋体" w:eastAsia="宋体" w:cs="宋体"/>
                <w:b/>
                <w:bCs/>
                <w:sz w:val="21"/>
                <w:szCs w:val="21"/>
                <w:highlight w:val="none"/>
                <w:lang w:val="en-US" w:eastAsia="zh-CN"/>
              </w:rPr>
              <w:t>以上业绩均需提供合同书复印件并加盖供应商公章</w:t>
            </w:r>
            <w:r>
              <w:rPr>
                <w:rStyle w:val="47"/>
                <w:rFonts w:hint="eastAsia" w:ascii="宋体" w:hAnsi="宋体" w:eastAsia="宋体" w:cs="宋体"/>
                <w:b/>
                <w:bCs/>
                <w:color w:val="auto"/>
                <w:kern w:val="2"/>
                <w:sz w:val="21"/>
                <w:szCs w:val="21"/>
                <w:highlight w:val="none"/>
                <w:lang w:val="en-US" w:eastAsia="zh-CN" w:bidi="ar-SA"/>
              </w:rPr>
              <w:t>，否则不计分。</w:t>
            </w:r>
          </w:p>
        </w:tc>
      </w:tr>
      <w:tr w14:paraId="15D1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0" w:hRule="atLeast"/>
        </w:trPr>
        <w:tc>
          <w:tcPr>
            <w:tcW w:w="665" w:type="dxa"/>
            <w:vMerge w:val="continue"/>
            <w:vAlign w:val="center"/>
          </w:tcPr>
          <w:p w14:paraId="0218D4DB">
            <w:pPr>
              <w:keepNext w:val="0"/>
              <w:keepLines w:val="0"/>
              <w:pageBreakBefore w:val="0"/>
              <w:kinsoku/>
              <w:wordWrap/>
              <w:overflowPunct/>
              <w:topLinePunct w:val="0"/>
              <w:autoSpaceDE/>
              <w:autoSpaceDN/>
              <w:bidi w:val="0"/>
              <w:spacing w:beforeAutospacing="0" w:afterAutospacing="0" w:line="400" w:lineRule="exact"/>
              <w:jc w:val="center"/>
              <w:textAlignment w:val="auto"/>
              <w:outlineLvl w:val="0"/>
              <w:rPr>
                <w:rFonts w:hint="eastAsia" w:ascii="宋体" w:hAnsi="宋体" w:eastAsia="宋体" w:cs="宋体"/>
                <w:b/>
                <w:bCs/>
                <w:color w:val="000000"/>
                <w:sz w:val="21"/>
                <w:szCs w:val="21"/>
                <w:highlight w:val="none"/>
                <w:vertAlign w:val="baseline"/>
                <w:lang w:eastAsia="zh-CN"/>
              </w:rPr>
            </w:pPr>
          </w:p>
        </w:tc>
        <w:tc>
          <w:tcPr>
            <w:tcW w:w="1424" w:type="dxa"/>
            <w:vMerge w:val="continue"/>
            <w:vAlign w:val="center"/>
          </w:tcPr>
          <w:p w14:paraId="04B7DF0D">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firstLine="210" w:firstLineChars="100"/>
              <w:jc w:val="left"/>
              <w:textAlignment w:val="auto"/>
              <w:rPr>
                <w:rFonts w:hint="eastAsia" w:ascii="宋体" w:hAnsi="宋体" w:eastAsia="宋体" w:cs="宋体"/>
                <w:color w:val="auto"/>
                <w:sz w:val="21"/>
                <w:szCs w:val="21"/>
                <w:highlight w:val="none"/>
              </w:rPr>
            </w:pPr>
          </w:p>
        </w:tc>
        <w:tc>
          <w:tcPr>
            <w:tcW w:w="772" w:type="dxa"/>
            <w:vAlign w:val="center"/>
          </w:tcPr>
          <w:p w14:paraId="56C4CBAC">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培训资质</w:t>
            </w:r>
          </w:p>
        </w:tc>
        <w:tc>
          <w:tcPr>
            <w:tcW w:w="1092" w:type="dxa"/>
            <w:vAlign w:val="center"/>
          </w:tcPr>
          <w:p w14:paraId="530109CA">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firstLine="210" w:firstLineChars="100"/>
              <w:jc w:val="left"/>
              <w:textAlignment w:val="auto"/>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60</w:t>
            </w:r>
            <w:r>
              <w:rPr>
                <w:rFonts w:hint="eastAsia" w:ascii="宋体" w:hAnsi="宋体" w:eastAsia="宋体" w:cs="宋体"/>
                <w:color w:val="auto"/>
                <w:sz w:val="21"/>
                <w:szCs w:val="21"/>
                <w:highlight w:val="none"/>
                <w:lang w:val="en-US" w:eastAsia="zh-CN"/>
              </w:rPr>
              <w:t>分</w:t>
            </w:r>
          </w:p>
        </w:tc>
        <w:tc>
          <w:tcPr>
            <w:tcW w:w="6684" w:type="dxa"/>
            <w:vAlign w:val="center"/>
          </w:tcPr>
          <w:p w14:paraId="4DC5A4F5">
            <w:pPr>
              <w:pStyle w:val="40"/>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入选中国农村远程教育网（http://wwwngxnetcn）培训库</w:t>
            </w:r>
            <w:r>
              <w:rPr>
                <w:rFonts w:hint="eastAsia" w:ascii="宋体" w:hAnsi="宋体" w:eastAsia="宋体" w:cs="宋体"/>
                <w:color w:val="auto"/>
                <w:sz w:val="21"/>
                <w:szCs w:val="21"/>
                <w:highlight w:val="none"/>
                <w:lang w:val="en-US" w:eastAsia="zh-CN"/>
              </w:rPr>
              <w:t>计</w:t>
            </w:r>
            <w:r>
              <w:rPr>
                <w:rFonts w:hint="eastAsia" w:cs="宋体"/>
                <w:color w:val="auto"/>
                <w:sz w:val="21"/>
                <w:szCs w:val="21"/>
                <w:highlight w:val="none"/>
                <w:lang w:val="en-US" w:eastAsia="zh-CN"/>
              </w:rPr>
              <w:t>30</w:t>
            </w:r>
            <w:r>
              <w:rPr>
                <w:rFonts w:hint="eastAsia" w:ascii="宋体" w:hAnsi="宋体" w:eastAsia="宋体" w:cs="宋体"/>
                <w:color w:val="auto"/>
                <w:sz w:val="21"/>
                <w:szCs w:val="21"/>
                <w:highlight w:val="none"/>
                <w:lang w:val="en-US" w:eastAsia="zh-CN"/>
              </w:rPr>
              <w:t>分。</w:t>
            </w:r>
          </w:p>
          <w:p w14:paraId="44A0B6A3">
            <w:pPr>
              <w:pStyle w:val="4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注：提供中国农村远程教育网农民信息教育系统截图，并加盖公章，否则不计分</w:t>
            </w:r>
            <w:r>
              <w:rPr>
                <w:rFonts w:hint="eastAsia" w:ascii="宋体" w:hAnsi="宋体" w:eastAsia="宋体" w:cs="宋体"/>
                <w:color w:val="auto"/>
                <w:sz w:val="21"/>
                <w:szCs w:val="21"/>
                <w:highlight w:val="none"/>
                <w:lang w:val="en-US" w:eastAsia="zh-CN"/>
              </w:rPr>
              <w:t>。</w:t>
            </w:r>
          </w:p>
          <w:p w14:paraId="2CD84CC6">
            <w:pPr>
              <w:pStyle w:val="4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right="0" w:rightChars="0"/>
              <w:jc w:val="left"/>
              <w:textAlignment w:val="auto"/>
              <w:rPr>
                <w:rFonts w:hint="eastAsia" w:ascii="宋体" w:hAnsi="宋体" w:eastAsia="宋体" w:cs="宋体"/>
                <w:b w:val="0"/>
                <w:bCs w:val="0"/>
                <w:color w:val="auto"/>
                <w:sz w:val="21"/>
                <w:szCs w:val="21"/>
                <w:highlight w:val="none"/>
                <w:lang w:val="en-US" w:eastAsia="zh-CN"/>
              </w:rPr>
            </w:pPr>
            <w:r>
              <w:rPr>
                <w:rFonts w:hint="eastAsia"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有长期合作培训实训基地（涉农）的计</w:t>
            </w:r>
            <w:r>
              <w:rPr>
                <w:rFonts w:hint="eastAsia" w:cs="宋体"/>
                <w:b w:val="0"/>
                <w:bCs w:val="0"/>
                <w:color w:val="auto"/>
                <w:sz w:val="21"/>
                <w:szCs w:val="21"/>
                <w:highlight w:val="none"/>
                <w:lang w:val="en-US" w:eastAsia="zh-CN"/>
              </w:rPr>
              <w:t>15</w:t>
            </w:r>
            <w:r>
              <w:rPr>
                <w:rFonts w:hint="eastAsia" w:ascii="宋体" w:hAnsi="宋体" w:eastAsia="宋体" w:cs="宋体"/>
                <w:b w:val="0"/>
                <w:bCs w:val="0"/>
                <w:color w:val="auto"/>
                <w:sz w:val="21"/>
                <w:szCs w:val="21"/>
                <w:highlight w:val="none"/>
                <w:lang w:val="en-US" w:eastAsia="zh-CN"/>
              </w:rPr>
              <w:t>分。</w:t>
            </w:r>
          </w:p>
          <w:p w14:paraId="03FEAD74">
            <w:pPr>
              <w:pStyle w:val="4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right="0" w:right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注：提供合同，否则不计分。</w:t>
            </w:r>
          </w:p>
          <w:p w14:paraId="16DF771C">
            <w:pPr>
              <w:pStyle w:val="4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right="0" w:rightChars="0"/>
              <w:jc w:val="left"/>
              <w:textAlignment w:val="auto"/>
              <w:rPr>
                <w:rFonts w:hint="eastAsia" w:ascii="宋体" w:hAnsi="宋体" w:eastAsia="宋体" w:cs="宋体"/>
                <w:b w:val="0"/>
                <w:bCs w:val="0"/>
                <w:color w:val="auto"/>
                <w:sz w:val="21"/>
                <w:szCs w:val="21"/>
                <w:highlight w:val="none"/>
                <w:lang w:val="en-US" w:eastAsia="zh-CN"/>
              </w:rPr>
            </w:pPr>
            <w:r>
              <w:rPr>
                <w:rFonts w:hint="eastAsia"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val="en-US" w:eastAsia="zh-CN"/>
              </w:rPr>
              <w:t>培训机构具备提供50人以上的培训场地（多媒体教室）的能力计</w:t>
            </w:r>
            <w:r>
              <w:rPr>
                <w:rFonts w:hint="eastAsia" w:cs="宋体"/>
                <w:b w:val="0"/>
                <w:bCs w:val="0"/>
                <w:color w:val="auto"/>
                <w:sz w:val="21"/>
                <w:szCs w:val="21"/>
                <w:highlight w:val="none"/>
                <w:lang w:val="en-US" w:eastAsia="zh-CN"/>
              </w:rPr>
              <w:t>15</w:t>
            </w:r>
            <w:r>
              <w:rPr>
                <w:rFonts w:hint="eastAsia" w:ascii="宋体" w:hAnsi="宋体" w:eastAsia="宋体" w:cs="宋体"/>
                <w:b w:val="0"/>
                <w:bCs w:val="0"/>
                <w:color w:val="auto"/>
                <w:sz w:val="21"/>
                <w:szCs w:val="21"/>
                <w:highlight w:val="none"/>
                <w:lang w:val="en-US" w:eastAsia="zh-CN"/>
              </w:rPr>
              <w:t>分。</w:t>
            </w:r>
          </w:p>
          <w:p w14:paraId="19F21618">
            <w:pPr>
              <w:pStyle w:val="4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注：提供场地图片，并加盖公章，否则不计分。</w:t>
            </w:r>
          </w:p>
        </w:tc>
      </w:tr>
      <w:tr w14:paraId="2892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exact"/>
        </w:trPr>
        <w:tc>
          <w:tcPr>
            <w:tcW w:w="665" w:type="dxa"/>
            <w:vMerge w:val="continue"/>
            <w:vAlign w:val="center"/>
          </w:tcPr>
          <w:p w14:paraId="19CED31E">
            <w:pPr>
              <w:keepNext w:val="0"/>
              <w:keepLines w:val="0"/>
              <w:pageBreakBefore w:val="0"/>
              <w:kinsoku/>
              <w:wordWrap/>
              <w:overflowPunct/>
              <w:topLinePunct w:val="0"/>
              <w:autoSpaceDE/>
              <w:autoSpaceDN/>
              <w:bidi w:val="0"/>
              <w:spacing w:beforeAutospacing="0" w:afterAutospacing="0" w:line="400" w:lineRule="exact"/>
              <w:jc w:val="center"/>
              <w:textAlignment w:val="auto"/>
              <w:outlineLvl w:val="0"/>
              <w:rPr>
                <w:rFonts w:hint="eastAsia" w:ascii="宋体" w:hAnsi="宋体" w:eastAsia="宋体" w:cs="宋体"/>
                <w:b/>
                <w:bCs/>
                <w:color w:val="000000"/>
                <w:sz w:val="21"/>
                <w:szCs w:val="21"/>
                <w:highlight w:val="yellow"/>
                <w:vertAlign w:val="baseline"/>
                <w:lang w:eastAsia="zh-CN"/>
              </w:rPr>
            </w:pPr>
          </w:p>
        </w:tc>
        <w:tc>
          <w:tcPr>
            <w:tcW w:w="1424" w:type="dxa"/>
            <w:vMerge w:val="continue"/>
            <w:shd w:val="clear" w:color="auto" w:fill="auto"/>
            <w:vAlign w:val="center"/>
          </w:tcPr>
          <w:p w14:paraId="1CD844EC">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jc w:val="center"/>
              <w:textAlignment w:val="auto"/>
              <w:rPr>
                <w:rFonts w:hint="eastAsia" w:ascii="宋体" w:hAnsi="宋体" w:eastAsia="宋体" w:cs="宋体"/>
                <w:bCs/>
                <w:color w:val="000000"/>
                <w:kern w:val="2"/>
                <w:sz w:val="21"/>
                <w:szCs w:val="21"/>
                <w:highlight w:val="yellow"/>
                <w:lang w:val="zh-CN" w:eastAsia="zh-CN" w:bidi="ar-SA"/>
              </w:rPr>
            </w:pPr>
          </w:p>
        </w:tc>
        <w:tc>
          <w:tcPr>
            <w:tcW w:w="772" w:type="dxa"/>
            <w:shd w:val="clear" w:color="auto" w:fill="auto"/>
            <w:vAlign w:val="center"/>
          </w:tcPr>
          <w:p w14:paraId="42BAE4DB">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培训师资</w:t>
            </w:r>
          </w:p>
        </w:tc>
        <w:tc>
          <w:tcPr>
            <w:tcW w:w="1092" w:type="dxa"/>
            <w:shd w:val="clear" w:color="auto" w:fill="auto"/>
            <w:vAlign w:val="center"/>
          </w:tcPr>
          <w:p w14:paraId="7E5FF936">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jc w:val="center"/>
              <w:textAlignment w:val="auto"/>
              <w:rPr>
                <w:rFonts w:hint="eastAsia" w:ascii="宋体" w:hAnsi="宋体" w:eastAsia="宋体" w:cs="宋体"/>
                <w:bCs/>
                <w:color w:val="000000"/>
                <w:kern w:val="2"/>
                <w:sz w:val="21"/>
                <w:szCs w:val="21"/>
                <w:highlight w:val="yellow"/>
                <w:lang w:val="en-US" w:eastAsia="zh-CN" w:bidi="ar-SA"/>
              </w:rPr>
            </w:pPr>
            <w:r>
              <w:rPr>
                <w:rFonts w:hint="eastAsia" w:cs="宋体"/>
                <w:color w:val="auto"/>
                <w:sz w:val="21"/>
                <w:szCs w:val="21"/>
                <w:lang w:val="en-US" w:eastAsia="zh-CN"/>
              </w:rPr>
              <w:t>20</w:t>
            </w:r>
            <w:r>
              <w:rPr>
                <w:rFonts w:hint="eastAsia" w:ascii="宋体" w:hAnsi="宋体" w:eastAsia="宋体" w:cs="宋体"/>
                <w:color w:val="auto"/>
                <w:sz w:val="21"/>
                <w:szCs w:val="21"/>
              </w:rPr>
              <w:t>分</w:t>
            </w:r>
          </w:p>
        </w:tc>
        <w:tc>
          <w:tcPr>
            <w:tcW w:w="6684" w:type="dxa"/>
            <w:shd w:val="clear" w:color="auto" w:fill="auto"/>
            <w:vAlign w:val="center"/>
          </w:tcPr>
          <w:p w14:paraId="079A91B9">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rPr>
              <w:t>正高、副高职称占师资总人数</w:t>
            </w:r>
            <w:r>
              <w:rPr>
                <w:rFonts w:hint="eastAsia" w:ascii="宋体" w:hAnsi="宋体" w:eastAsia="宋体" w:cs="宋体"/>
                <w:color w:val="auto"/>
                <w:sz w:val="21"/>
                <w:szCs w:val="21"/>
                <w:lang w:val="en-US" w:eastAsia="zh-CN"/>
              </w:rPr>
              <w:t>80</w:t>
            </w:r>
            <w:r>
              <w:rPr>
                <w:rFonts w:hint="eastAsia" w:ascii="宋体" w:hAnsi="宋体" w:eastAsia="宋体" w:cs="宋体"/>
                <w:color w:val="auto"/>
                <w:sz w:val="21"/>
                <w:szCs w:val="21"/>
              </w:rPr>
              <w:t>%以上（含）的，计分</w:t>
            </w:r>
            <w:r>
              <w:rPr>
                <w:rFonts w:hint="eastAsia" w:cs="宋体"/>
                <w:color w:val="auto"/>
                <w:sz w:val="21"/>
                <w:szCs w:val="21"/>
                <w:lang w:val="en-US" w:eastAsia="zh-CN"/>
              </w:rPr>
              <w:t>20</w:t>
            </w:r>
            <w:r>
              <w:rPr>
                <w:rFonts w:hint="eastAsia" w:ascii="宋体" w:hAnsi="宋体" w:eastAsia="宋体" w:cs="宋体"/>
                <w:color w:val="auto"/>
                <w:sz w:val="21"/>
                <w:szCs w:val="21"/>
                <w:lang w:val="en-US" w:eastAsia="zh-CN"/>
              </w:rPr>
              <w:t>分</w:t>
            </w:r>
            <w:r>
              <w:rPr>
                <w:rFonts w:hint="eastAsia" w:ascii="宋体" w:hAnsi="宋体" w:eastAsia="宋体" w:cs="宋体"/>
                <w:color w:val="auto"/>
                <w:sz w:val="21"/>
                <w:szCs w:val="21"/>
              </w:rPr>
              <w:t>；</w:t>
            </w:r>
          </w:p>
          <w:p w14:paraId="68307A72">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正高、副高职称占师资总人数70%以上（含）的，计分</w:t>
            </w:r>
            <w:r>
              <w:rPr>
                <w:rFonts w:hint="eastAsia" w:cs="宋体"/>
                <w:color w:val="auto"/>
                <w:sz w:val="21"/>
                <w:szCs w:val="21"/>
                <w:lang w:val="en-US" w:eastAsia="zh-CN"/>
              </w:rPr>
              <w:t>17</w:t>
            </w:r>
            <w:r>
              <w:rPr>
                <w:rFonts w:hint="eastAsia" w:ascii="宋体" w:hAnsi="宋体" w:eastAsia="宋体" w:cs="宋体"/>
                <w:color w:val="auto"/>
                <w:sz w:val="21"/>
                <w:szCs w:val="21"/>
                <w:lang w:val="en-US" w:eastAsia="zh-CN"/>
              </w:rPr>
              <w:t>分</w:t>
            </w:r>
            <w:r>
              <w:rPr>
                <w:rFonts w:hint="eastAsia" w:ascii="宋体" w:hAnsi="宋体" w:eastAsia="宋体" w:cs="宋体"/>
                <w:color w:val="auto"/>
                <w:sz w:val="21"/>
                <w:szCs w:val="21"/>
              </w:rPr>
              <w:t>；</w:t>
            </w:r>
          </w:p>
          <w:p w14:paraId="7E7C4599">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正高、副高职称占师资总人数60%以上（含）的，计</w:t>
            </w:r>
            <w:r>
              <w:rPr>
                <w:rFonts w:hint="eastAsia" w:cs="宋体"/>
                <w:color w:val="auto"/>
                <w:sz w:val="21"/>
                <w:szCs w:val="21"/>
                <w:lang w:val="en-US" w:eastAsia="zh-CN"/>
              </w:rPr>
              <w:t>14</w:t>
            </w:r>
            <w:r>
              <w:rPr>
                <w:rFonts w:hint="eastAsia" w:ascii="宋体" w:hAnsi="宋体" w:eastAsia="宋体" w:cs="宋体"/>
                <w:color w:val="auto"/>
                <w:sz w:val="21"/>
                <w:szCs w:val="21"/>
              </w:rPr>
              <w:t>分；</w:t>
            </w:r>
          </w:p>
          <w:p w14:paraId="5BCFBE76">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正高、副高职称占师资总人数50%以下（含）的，计</w:t>
            </w:r>
            <w:r>
              <w:rPr>
                <w:rFonts w:hint="eastAsia" w:cs="宋体"/>
                <w:color w:val="auto"/>
                <w:sz w:val="21"/>
                <w:szCs w:val="21"/>
                <w:lang w:val="en-US" w:eastAsia="zh-CN"/>
              </w:rPr>
              <w:t>10</w:t>
            </w:r>
            <w:r>
              <w:rPr>
                <w:rFonts w:hint="eastAsia" w:ascii="宋体" w:hAnsi="宋体" w:eastAsia="宋体" w:cs="宋体"/>
                <w:color w:val="auto"/>
                <w:sz w:val="21"/>
                <w:szCs w:val="21"/>
              </w:rPr>
              <w:t>分；</w:t>
            </w:r>
          </w:p>
          <w:p w14:paraId="5C5DD846">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jc w:val="both"/>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注：提供相关人员职称证书复印件并加盖公章，否则不计分</w:t>
            </w:r>
          </w:p>
          <w:p w14:paraId="31ACD6FA">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jc w:val="both"/>
              <w:textAlignment w:val="auto"/>
              <w:rPr>
                <w:rFonts w:hint="eastAsia" w:ascii="宋体" w:hAnsi="宋体" w:eastAsia="宋体" w:cs="宋体"/>
                <w:color w:val="auto"/>
                <w:kern w:val="0"/>
                <w:sz w:val="21"/>
                <w:szCs w:val="21"/>
                <w:lang w:val="en-US" w:eastAsia="zh-CN" w:bidi="ar-SA"/>
              </w:rPr>
            </w:pPr>
          </w:p>
        </w:tc>
      </w:tr>
      <w:tr w14:paraId="3FB8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trPr>
        <w:tc>
          <w:tcPr>
            <w:tcW w:w="665" w:type="dxa"/>
            <w:vMerge w:val="restart"/>
            <w:vAlign w:val="center"/>
          </w:tcPr>
          <w:p w14:paraId="57C08598">
            <w:pPr>
              <w:keepNext w:val="0"/>
              <w:keepLines w:val="0"/>
              <w:pageBreakBefore w:val="0"/>
              <w:kinsoku/>
              <w:wordWrap/>
              <w:overflowPunct/>
              <w:topLinePunct w:val="0"/>
              <w:autoSpaceDE/>
              <w:autoSpaceDN/>
              <w:bidi w:val="0"/>
              <w:spacing w:beforeAutospacing="0" w:afterAutospacing="0" w:line="400" w:lineRule="exact"/>
              <w:jc w:val="center"/>
              <w:textAlignment w:val="auto"/>
              <w:outlineLvl w:val="0"/>
              <w:rPr>
                <w:rFonts w:hint="eastAsia" w:ascii="宋体" w:hAnsi="宋体" w:eastAsia="宋体" w:cs="宋体"/>
                <w:b/>
                <w:bCs/>
                <w:color w:val="000000"/>
                <w:sz w:val="21"/>
                <w:szCs w:val="21"/>
                <w:vertAlign w:val="baseline"/>
              </w:rPr>
            </w:pPr>
            <w:r>
              <w:rPr>
                <w:rFonts w:hint="eastAsia" w:ascii="宋体" w:hAnsi="宋体" w:eastAsia="宋体" w:cs="宋体"/>
                <w:b/>
                <w:bCs/>
                <w:color w:val="000000"/>
                <w:sz w:val="21"/>
                <w:szCs w:val="21"/>
                <w:vertAlign w:val="baseline"/>
                <w:lang w:val="en-US" w:eastAsia="zh-CN"/>
              </w:rPr>
              <w:t>3</w:t>
            </w:r>
          </w:p>
        </w:tc>
        <w:tc>
          <w:tcPr>
            <w:tcW w:w="1424" w:type="dxa"/>
            <w:vMerge w:val="restart"/>
            <w:vAlign w:val="center"/>
          </w:tcPr>
          <w:p w14:paraId="7CAF4AF8">
            <w:pPr>
              <w:pStyle w:val="61"/>
              <w:keepNext w:val="0"/>
              <w:keepLines w:val="0"/>
              <w:pageBreakBefore w:val="0"/>
              <w:kinsoku/>
              <w:wordWrap/>
              <w:overflowPunct/>
              <w:topLinePunct w:val="0"/>
              <w:bidi w:val="0"/>
              <w:adjustRightInd/>
              <w:snapToGrid/>
              <w:spacing w:line="40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技术部分（40%）</w:t>
            </w:r>
          </w:p>
        </w:tc>
        <w:tc>
          <w:tcPr>
            <w:tcW w:w="772" w:type="dxa"/>
            <w:vAlign w:val="center"/>
          </w:tcPr>
          <w:p w14:paraId="1B7A2E39">
            <w:pPr>
              <w:pStyle w:val="61"/>
              <w:keepNext w:val="0"/>
              <w:keepLines w:val="0"/>
              <w:pageBreakBefore w:val="0"/>
              <w:kinsoku/>
              <w:wordWrap/>
              <w:overflowPunct/>
              <w:topLinePunct w:val="0"/>
              <w:bidi w:val="0"/>
              <w:adjustRightInd/>
              <w:snapToGrid/>
              <w:spacing w:line="40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培训方案</w:t>
            </w:r>
          </w:p>
        </w:tc>
        <w:tc>
          <w:tcPr>
            <w:tcW w:w="1092" w:type="dxa"/>
            <w:vAlign w:val="center"/>
          </w:tcPr>
          <w:p w14:paraId="095377F6">
            <w:pPr>
              <w:pStyle w:val="269"/>
              <w:keepNext w:val="0"/>
              <w:keepLines w:val="0"/>
              <w:pageBreakBefore w:val="0"/>
              <w:kinsoku/>
              <w:wordWrap/>
              <w:overflowPunct/>
              <w:topLinePunct w:val="0"/>
              <w:bidi w:val="0"/>
              <w:spacing w:line="400" w:lineRule="exact"/>
              <w:jc w:val="center"/>
              <w:textAlignment w:val="auto"/>
              <w:rPr>
                <w:rFonts w:hint="eastAsia" w:ascii="宋体" w:hAnsi="宋体" w:eastAsia="宋体" w:cs="宋体"/>
                <w:b/>
                <w:bCs/>
                <w:color w:val="000000"/>
                <w:sz w:val="21"/>
                <w:szCs w:val="21"/>
                <w:vertAlign w:val="baseline"/>
                <w:lang w:val="en-US" w:eastAsia="zh-CN"/>
              </w:rPr>
            </w:pPr>
            <w:r>
              <w:rPr>
                <w:rFonts w:hint="eastAsia" w:ascii="宋体" w:hAnsi="宋体" w:cs="宋体"/>
                <w:color w:val="auto"/>
                <w:sz w:val="21"/>
                <w:szCs w:val="21"/>
                <w:highlight w:val="none"/>
                <w:lang w:val="en-US" w:eastAsia="zh-CN"/>
              </w:rPr>
              <w:t>36</w:t>
            </w:r>
            <w:r>
              <w:rPr>
                <w:rFonts w:hint="eastAsia" w:ascii="宋体" w:hAnsi="宋体" w:eastAsia="宋体" w:cs="宋体"/>
                <w:color w:val="auto"/>
                <w:sz w:val="21"/>
                <w:szCs w:val="21"/>
                <w:highlight w:val="none"/>
                <w:lang w:val="en-US" w:eastAsia="zh-CN"/>
              </w:rPr>
              <w:t>分</w:t>
            </w:r>
          </w:p>
        </w:tc>
        <w:tc>
          <w:tcPr>
            <w:tcW w:w="6684" w:type="dxa"/>
            <w:vAlign w:val="center"/>
          </w:tcPr>
          <w:p w14:paraId="1D6B8453">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right="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磋商小组成员</w:t>
            </w:r>
            <w:r>
              <w:rPr>
                <w:rFonts w:hint="eastAsia" w:ascii="宋体" w:hAnsi="宋体" w:eastAsia="宋体" w:cs="宋体"/>
                <w:color w:val="auto"/>
                <w:sz w:val="21"/>
                <w:szCs w:val="21"/>
              </w:rPr>
              <w:t>根据投标人</w:t>
            </w:r>
            <w:r>
              <w:rPr>
                <w:rFonts w:hint="eastAsia" w:ascii="宋体" w:hAnsi="宋体" w:eastAsia="宋体" w:cs="宋体"/>
                <w:color w:val="auto"/>
                <w:sz w:val="21"/>
                <w:szCs w:val="21"/>
                <w:lang w:val="en-US" w:eastAsia="zh-CN"/>
              </w:rPr>
              <w:t>针</w:t>
            </w:r>
            <w:r>
              <w:rPr>
                <w:rFonts w:hint="eastAsia" w:ascii="宋体" w:hAnsi="宋体" w:eastAsia="宋体" w:cs="宋体"/>
                <w:color w:val="auto"/>
                <w:sz w:val="21"/>
                <w:szCs w:val="21"/>
              </w:rPr>
              <w:t>对本项目提供</w:t>
            </w:r>
            <w:r>
              <w:rPr>
                <w:rFonts w:hint="eastAsia" w:ascii="宋体" w:hAnsi="宋体" w:eastAsia="宋体" w:cs="宋体"/>
                <w:color w:val="auto"/>
                <w:sz w:val="21"/>
                <w:szCs w:val="21"/>
                <w:lang w:val="en-US" w:eastAsia="zh-CN"/>
              </w:rPr>
              <w:t>的培训方案进行综合评分，内容包括：①</w:t>
            </w:r>
            <w:r>
              <w:rPr>
                <w:rFonts w:hint="eastAsia" w:ascii="宋体" w:hAnsi="宋体" w:eastAsia="宋体" w:cs="宋体"/>
                <w:color w:val="auto"/>
                <w:sz w:val="21"/>
                <w:szCs w:val="21"/>
              </w:rPr>
              <w:t>培训目标</w:t>
            </w:r>
            <w:r>
              <w:rPr>
                <w:rFonts w:hint="eastAsia" w:ascii="宋体" w:hAnsi="宋体" w:eastAsia="宋体" w:cs="宋体"/>
                <w:color w:val="auto"/>
                <w:sz w:val="21"/>
                <w:szCs w:val="21"/>
                <w:lang w:val="en-US" w:eastAsia="zh-CN"/>
              </w:rPr>
              <w:t>；②</w:t>
            </w:r>
            <w:r>
              <w:rPr>
                <w:rFonts w:hint="eastAsia" w:ascii="宋体" w:hAnsi="宋体" w:eastAsia="宋体" w:cs="宋体"/>
                <w:color w:val="auto"/>
                <w:sz w:val="21"/>
                <w:szCs w:val="21"/>
              </w:rPr>
              <w:t>培训内容</w:t>
            </w:r>
            <w:r>
              <w:rPr>
                <w:rFonts w:hint="eastAsia" w:ascii="宋体" w:hAnsi="宋体" w:eastAsia="宋体" w:cs="宋体"/>
                <w:color w:val="auto"/>
                <w:sz w:val="21"/>
                <w:szCs w:val="21"/>
                <w:lang w:val="en-US" w:eastAsia="zh-CN"/>
              </w:rPr>
              <w:t>；③</w:t>
            </w:r>
            <w:r>
              <w:rPr>
                <w:rFonts w:hint="eastAsia" w:ascii="宋体" w:hAnsi="宋体" w:eastAsia="宋体" w:cs="宋体"/>
                <w:color w:val="auto"/>
                <w:sz w:val="21"/>
                <w:szCs w:val="21"/>
              </w:rPr>
              <w:t>课程设计</w:t>
            </w:r>
            <w:r>
              <w:rPr>
                <w:rFonts w:hint="eastAsia" w:ascii="宋体" w:hAnsi="宋体" w:eastAsia="宋体" w:cs="宋体"/>
                <w:color w:val="auto"/>
                <w:sz w:val="21"/>
                <w:szCs w:val="21"/>
                <w:lang w:val="en-US" w:eastAsia="zh-CN"/>
              </w:rPr>
              <w:t>；④</w:t>
            </w:r>
            <w:r>
              <w:rPr>
                <w:rFonts w:hint="eastAsia" w:ascii="宋体" w:hAnsi="宋体" w:eastAsia="宋体" w:cs="宋体"/>
                <w:color w:val="auto"/>
                <w:sz w:val="21"/>
                <w:szCs w:val="21"/>
              </w:rPr>
              <w:t>培训形式</w:t>
            </w:r>
            <w:r>
              <w:rPr>
                <w:rFonts w:hint="eastAsia" w:ascii="宋体" w:hAnsi="宋体" w:eastAsia="宋体" w:cs="宋体"/>
                <w:color w:val="auto"/>
                <w:sz w:val="21"/>
                <w:szCs w:val="21"/>
                <w:lang w:val="en-US" w:eastAsia="zh-CN"/>
              </w:rPr>
              <w:t>；⑤</w:t>
            </w:r>
            <w:r>
              <w:rPr>
                <w:rFonts w:hint="eastAsia" w:ascii="宋体" w:hAnsi="宋体" w:eastAsia="宋体" w:cs="宋体"/>
                <w:color w:val="auto"/>
                <w:sz w:val="21"/>
                <w:szCs w:val="21"/>
              </w:rPr>
              <w:t>教学评估</w:t>
            </w:r>
            <w:r>
              <w:rPr>
                <w:rFonts w:hint="eastAsia" w:ascii="宋体" w:hAnsi="宋体" w:eastAsia="宋体" w:cs="宋体"/>
                <w:color w:val="auto"/>
                <w:sz w:val="21"/>
                <w:szCs w:val="21"/>
                <w:lang w:val="en-US" w:eastAsia="zh-CN"/>
              </w:rPr>
              <w:t>；⑥</w:t>
            </w:r>
            <w:r>
              <w:rPr>
                <w:rFonts w:hint="eastAsia" w:ascii="宋体" w:hAnsi="宋体" w:eastAsia="宋体" w:cs="宋体"/>
                <w:color w:val="auto"/>
                <w:sz w:val="21"/>
                <w:szCs w:val="21"/>
              </w:rPr>
              <w:t>分工与管理措施</w:t>
            </w:r>
            <w:r>
              <w:rPr>
                <w:rFonts w:hint="eastAsia" w:ascii="宋体" w:hAnsi="宋体" w:eastAsia="宋体" w:cs="宋体"/>
                <w:color w:val="auto"/>
                <w:sz w:val="21"/>
                <w:szCs w:val="21"/>
                <w:lang w:eastAsia="zh-CN"/>
              </w:rPr>
              <w:t>。</w:t>
            </w:r>
          </w:p>
          <w:p w14:paraId="2DDF3555">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right="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以上各项</w:t>
            </w:r>
            <w:r>
              <w:rPr>
                <w:rFonts w:hint="eastAsia" w:ascii="宋体" w:hAnsi="宋体" w:eastAsia="宋体" w:cs="宋体"/>
                <w:color w:val="auto"/>
                <w:sz w:val="21"/>
                <w:szCs w:val="21"/>
              </w:rPr>
              <w:t>培训方案完全满足要求并有创新举措的，计</w:t>
            </w:r>
            <w:r>
              <w:rPr>
                <w:rFonts w:hint="eastAsia" w:cs="宋体"/>
                <w:color w:val="auto"/>
                <w:sz w:val="21"/>
                <w:szCs w:val="21"/>
                <w:lang w:val="en-US" w:eastAsia="zh-CN"/>
              </w:rPr>
              <w:t>36</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p>
          <w:p w14:paraId="3A3B2DEC">
            <w:pPr>
              <w:pStyle w:val="60"/>
              <w:keepNext w:val="0"/>
              <w:keepLines w:val="0"/>
              <w:pageBreakBefore w:val="0"/>
              <w:kinsoku/>
              <w:wordWrap/>
              <w:overflowPunct/>
              <w:topLinePunct w:val="0"/>
              <w:bidi w:val="0"/>
              <w:spacing w:line="400" w:lineRule="exact"/>
              <w:ind w:left="0" w:leftChars="0" w:firstLine="0" w:firstLineChars="0"/>
              <w:textAlignment w:val="auto"/>
              <w:rPr>
                <w:rFonts w:hint="eastAsia" w:ascii="宋体" w:hAnsi="宋体" w:eastAsia="宋体" w:cs="宋体"/>
                <w:b/>
                <w:bCs/>
                <w:color w:val="000000"/>
                <w:sz w:val="21"/>
                <w:szCs w:val="21"/>
                <w:vertAlign w:val="baseline"/>
                <w:lang w:eastAsia="zh-CN"/>
              </w:rPr>
            </w:pPr>
            <w:r>
              <w:rPr>
                <w:rFonts w:hint="eastAsia" w:ascii="宋体" w:hAnsi="宋体" w:eastAsia="宋体" w:cs="宋体"/>
                <w:b w:val="0"/>
                <w:bCs w:val="0"/>
                <w:color w:val="000000"/>
                <w:sz w:val="21"/>
                <w:szCs w:val="21"/>
                <w:vertAlign w:val="baseline"/>
                <w:lang w:eastAsia="zh-CN"/>
              </w:rPr>
              <w:t>有缺漏项的每项扣</w:t>
            </w:r>
            <w:r>
              <w:rPr>
                <w:rFonts w:hint="eastAsia" w:ascii="宋体" w:hAnsi="宋体" w:cs="宋体"/>
                <w:b w:val="0"/>
                <w:bCs w:val="0"/>
                <w:color w:val="000000"/>
                <w:sz w:val="21"/>
                <w:szCs w:val="21"/>
                <w:vertAlign w:val="baseline"/>
                <w:lang w:val="en-US" w:eastAsia="zh-CN"/>
              </w:rPr>
              <w:t>6</w:t>
            </w:r>
            <w:r>
              <w:rPr>
                <w:rFonts w:hint="eastAsia" w:ascii="宋体" w:hAnsi="宋体" w:eastAsia="宋体" w:cs="宋体"/>
                <w:b w:val="0"/>
                <w:bCs w:val="0"/>
                <w:color w:val="000000"/>
                <w:sz w:val="21"/>
                <w:szCs w:val="21"/>
                <w:vertAlign w:val="baseline"/>
                <w:lang w:eastAsia="zh-CN"/>
              </w:rPr>
              <w:t>分，各项内容不完整、欠合理的每处扣</w:t>
            </w:r>
            <w:r>
              <w:rPr>
                <w:rFonts w:hint="eastAsia" w:ascii="宋体" w:hAnsi="宋体" w:cs="宋体"/>
                <w:b w:val="0"/>
                <w:bCs w:val="0"/>
                <w:color w:val="000000"/>
                <w:sz w:val="21"/>
                <w:szCs w:val="21"/>
                <w:vertAlign w:val="baseline"/>
                <w:lang w:val="en-US" w:eastAsia="zh-CN"/>
              </w:rPr>
              <w:t>3</w:t>
            </w:r>
            <w:r>
              <w:rPr>
                <w:rFonts w:hint="eastAsia" w:ascii="宋体" w:hAnsi="宋体" w:eastAsia="宋体" w:cs="宋体"/>
                <w:b w:val="0"/>
                <w:bCs w:val="0"/>
                <w:color w:val="000000"/>
                <w:sz w:val="21"/>
                <w:szCs w:val="21"/>
                <w:vertAlign w:val="baseline"/>
                <w:lang w:eastAsia="zh-CN"/>
              </w:rPr>
              <w:t>分，有语言、文字及其他错误的每处扣</w:t>
            </w:r>
            <w:r>
              <w:rPr>
                <w:rFonts w:hint="eastAsia" w:ascii="宋体" w:hAnsi="宋体" w:cs="宋体"/>
                <w:b w:val="0"/>
                <w:bCs w:val="0"/>
                <w:color w:val="000000"/>
                <w:sz w:val="21"/>
                <w:szCs w:val="21"/>
                <w:vertAlign w:val="baseline"/>
                <w:lang w:val="en-US" w:eastAsia="zh-CN"/>
              </w:rPr>
              <w:t>1</w:t>
            </w:r>
            <w:r>
              <w:rPr>
                <w:rFonts w:hint="eastAsia" w:ascii="宋体" w:hAnsi="宋体" w:eastAsia="宋体" w:cs="宋体"/>
                <w:b w:val="0"/>
                <w:bCs w:val="0"/>
                <w:color w:val="000000"/>
                <w:sz w:val="21"/>
                <w:szCs w:val="21"/>
                <w:vertAlign w:val="baseline"/>
                <w:lang w:eastAsia="zh-CN"/>
              </w:rPr>
              <w:t>分，扣完为止，未提供方案的计0分。</w:t>
            </w:r>
          </w:p>
        </w:tc>
      </w:tr>
      <w:tr w14:paraId="2214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trPr>
        <w:tc>
          <w:tcPr>
            <w:tcW w:w="665" w:type="dxa"/>
            <w:vMerge w:val="continue"/>
            <w:vAlign w:val="center"/>
          </w:tcPr>
          <w:p w14:paraId="1D62227C">
            <w:pPr>
              <w:keepNext w:val="0"/>
              <w:keepLines w:val="0"/>
              <w:pageBreakBefore w:val="0"/>
              <w:kinsoku/>
              <w:wordWrap/>
              <w:overflowPunct/>
              <w:topLinePunct w:val="0"/>
              <w:autoSpaceDE/>
              <w:autoSpaceDN/>
              <w:bidi w:val="0"/>
              <w:spacing w:beforeAutospacing="0" w:afterAutospacing="0" w:line="400" w:lineRule="exact"/>
              <w:jc w:val="center"/>
              <w:textAlignment w:val="auto"/>
              <w:outlineLvl w:val="0"/>
              <w:rPr>
                <w:rFonts w:hint="eastAsia" w:ascii="宋体" w:hAnsi="宋体" w:eastAsia="宋体" w:cs="宋体"/>
                <w:b/>
                <w:bCs/>
                <w:color w:val="000000"/>
                <w:sz w:val="21"/>
                <w:szCs w:val="21"/>
                <w:vertAlign w:val="baseline"/>
                <w:lang w:eastAsia="zh-CN"/>
              </w:rPr>
            </w:pPr>
          </w:p>
        </w:tc>
        <w:tc>
          <w:tcPr>
            <w:tcW w:w="1424" w:type="dxa"/>
            <w:vMerge w:val="continue"/>
            <w:vAlign w:val="center"/>
          </w:tcPr>
          <w:p w14:paraId="0A50C730">
            <w:pPr>
              <w:pStyle w:val="61"/>
              <w:keepNext w:val="0"/>
              <w:keepLines w:val="0"/>
              <w:pageBreakBefore w:val="0"/>
              <w:kinsoku/>
              <w:wordWrap/>
              <w:overflowPunct/>
              <w:topLinePunct w:val="0"/>
              <w:bidi w:val="0"/>
              <w:adjustRightInd/>
              <w:snapToGrid/>
              <w:spacing w:line="400" w:lineRule="exact"/>
              <w:jc w:val="center"/>
              <w:textAlignment w:val="auto"/>
              <w:rPr>
                <w:rFonts w:hint="eastAsia" w:ascii="宋体" w:hAnsi="宋体" w:eastAsia="宋体" w:cs="宋体"/>
                <w:kern w:val="0"/>
                <w:sz w:val="21"/>
                <w:szCs w:val="21"/>
                <w:lang w:val="en-US" w:eastAsia="zh-CN" w:bidi="ar-SA"/>
              </w:rPr>
            </w:pPr>
          </w:p>
        </w:tc>
        <w:tc>
          <w:tcPr>
            <w:tcW w:w="772" w:type="dxa"/>
            <w:shd w:val="clear" w:color="auto" w:fill="auto"/>
            <w:vAlign w:val="center"/>
          </w:tcPr>
          <w:p w14:paraId="4F0CDC44">
            <w:pPr>
              <w:pStyle w:val="61"/>
              <w:keepNext w:val="0"/>
              <w:keepLines w:val="0"/>
              <w:pageBreakBefore w:val="0"/>
              <w:kinsoku/>
              <w:wordWrap/>
              <w:overflowPunct/>
              <w:topLinePunct w:val="0"/>
              <w:bidi w:val="0"/>
              <w:adjustRightInd/>
              <w:snapToGrid/>
              <w:spacing w:line="40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跟踪服务方案</w:t>
            </w:r>
          </w:p>
        </w:tc>
        <w:tc>
          <w:tcPr>
            <w:tcW w:w="1092" w:type="dxa"/>
            <w:vAlign w:val="center"/>
          </w:tcPr>
          <w:p w14:paraId="5E19510D">
            <w:pPr>
              <w:pStyle w:val="269"/>
              <w:keepNext w:val="0"/>
              <w:keepLines w:val="0"/>
              <w:pageBreakBefore w:val="0"/>
              <w:kinsoku/>
              <w:wordWrap/>
              <w:overflowPunct/>
              <w:topLinePunct w:val="0"/>
              <w:bidi w:val="0"/>
              <w:spacing w:line="400" w:lineRule="exact"/>
              <w:jc w:val="center"/>
              <w:textAlignment w:val="auto"/>
              <w:rPr>
                <w:rFonts w:hint="eastAsia" w:ascii="宋体" w:hAnsi="宋体" w:eastAsia="宋体" w:cs="宋体"/>
                <w:b/>
                <w:bCs/>
                <w:color w:val="000000"/>
                <w:sz w:val="21"/>
                <w:szCs w:val="21"/>
                <w:vertAlign w:val="baseline"/>
                <w:lang w:val="en-US" w:eastAsia="zh-CN"/>
              </w:rPr>
            </w:pPr>
            <w:r>
              <w:rPr>
                <w:rFonts w:hint="eastAsia" w:ascii="宋体" w:hAnsi="宋体" w:cs="宋体"/>
                <w:color w:val="auto"/>
                <w:sz w:val="21"/>
                <w:szCs w:val="21"/>
                <w:highlight w:val="none"/>
                <w:lang w:val="en-US" w:eastAsia="zh-CN"/>
              </w:rPr>
              <w:t>28</w:t>
            </w:r>
            <w:r>
              <w:rPr>
                <w:rFonts w:hint="eastAsia" w:ascii="宋体" w:hAnsi="宋体" w:eastAsia="宋体" w:cs="宋体"/>
                <w:color w:val="auto"/>
                <w:sz w:val="21"/>
                <w:szCs w:val="21"/>
                <w:highlight w:val="none"/>
                <w:lang w:val="en-US" w:eastAsia="zh-CN"/>
              </w:rPr>
              <w:t>分</w:t>
            </w:r>
          </w:p>
        </w:tc>
        <w:tc>
          <w:tcPr>
            <w:tcW w:w="6684" w:type="dxa"/>
            <w:vAlign w:val="center"/>
          </w:tcPr>
          <w:p w14:paraId="4F7B5949">
            <w:pPr>
              <w:keepNext w:val="0"/>
              <w:keepLines w:val="0"/>
              <w:pageBreakBefore w:val="0"/>
              <w:widowControl/>
              <w:kinsoku/>
              <w:wordWrap/>
              <w:overflowPunct/>
              <w:topLinePunct w:val="0"/>
              <w:bidi w:val="0"/>
              <w:spacing w:line="400" w:lineRule="exact"/>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sz w:val="21"/>
                <w:szCs w:val="21"/>
                <w:lang w:val="en-US" w:eastAsia="zh-CN"/>
              </w:rPr>
              <w:t>磋商小组成员</w:t>
            </w:r>
            <w:r>
              <w:rPr>
                <w:rStyle w:val="47"/>
                <w:rFonts w:hint="eastAsia" w:ascii="宋体" w:hAnsi="宋体" w:eastAsia="宋体" w:cs="宋体"/>
                <w:b w:val="0"/>
                <w:color w:val="auto"/>
                <w:sz w:val="21"/>
                <w:szCs w:val="21"/>
                <w:lang w:val="en-US" w:eastAsia="zh-CN" w:bidi="ar-SA"/>
              </w:rPr>
              <w:t>根据投标人对本项目提供跟踪服务方案进行综合评分，内容包括：</w:t>
            </w:r>
            <w:r>
              <w:rPr>
                <w:rFonts w:hint="eastAsia" w:ascii="宋体" w:hAnsi="宋体" w:eastAsia="宋体" w:cs="宋体"/>
                <w:color w:val="auto"/>
                <w:sz w:val="21"/>
                <w:szCs w:val="21"/>
                <w:lang w:val="en-US" w:eastAsia="zh-CN"/>
              </w:rPr>
              <w:t>①</w:t>
            </w:r>
            <w:r>
              <w:rPr>
                <w:rFonts w:hint="eastAsia" w:ascii="宋体" w:hAnsi="宋体" w:eastAsia="宋体" w:cs="宋体"/>
                <w:color w:val="auto"/>
                <w:sz w:val="21"/>
                <w:szCs w:val="21"/>
              </w:rPr>
              <w:t>跟踪服务方式</w:t>
            </w:r>
            <w:r>
              <w:rPr>
                <w:rFonts w:hint="eastAsia" w:ascii="宋体" w:hAnsi="宋体" w:eastAsia="宋体" w:cs="宋体"/>
                <w:color w:val="auto"/>
                <w:sz w:val="21"/>
                <w:szCs w:val="21"/>
                <w:lang w:val="en-US" w:eastAsia="zh-CN"/>
              </w:rPr>
              <w:t>；②</w:t>
            </w:r>
            <w:r>
              <w:rPr>
                <w:rFonts w:hint="eastAsia" w:ascii="宋体" w:hAnsi="宋体" w:eastAsia="宋体" w:cs="宋体"/>
                <w:color w:val="auto"/>
                <w:sz w:val="21"/>
                <w:szCs w:val="21"/>
              </w:rPr>
              <w:t>服务团队能力</w:t>
            </w:r>
            <w:r>
              <w:rPr>
                <w:rFonts w:hint="eastAsia" w:ascii="宋体" w:hAnsi="宋体" w:eastAsia="宋体" w:cs="宋体"/>
                <w:color w:val="auto"/>
                <w:sz w:val="21"/>
                <w:szCs w:val="21"/>
                <w:lang w:val="en-US" w:eastAsia="zh-CN"/>
              </w:rPr>
              <w:t>；③</w:t>
            </w:r>
            <w:r>
              <w:rPr>
                <w:rFonts w:hint="eastAsia" w:ascii="宋体" w:hAnsi="宋体" w:eastAsia="宋体" w:cs="宋体"/>
                <w:color w:val="auto"/>
                <w:sz w:val="21"/>
                <w:szCs w:val="21"/>
              </w:rPr>
              <w:t>服务覆盖率</w:t>
            </w:r>
            <w:r>
              <w:rPr>
                <w:rFonts w:hint="eastAsia" w:ascii="宋体" w:hAnsi="宋体" w:eastAsia="宋体" w:cs="宋体"/>
                <w:color w:val="auto"/>
                <w:sz w:val="21"/>
                <w:szCs w:val="21"/>
                <w:lang w:val="en-US" w:eastAsia="zh-CN"/>
              </w:rPr>
              <w:t>；④</w:t>
            </w:r>
            <w:r>
              <w:rPr>
                <w:rFonts w:hint="eastAsia" w:ascii="宋体" w:hAnsi="宋体" w:eastAsia="宋体" w:cs="宋体"/>
                <w:color w:val="auto"/>
                <w:sz w:val="21"/>
                <w:szCs w:val="21"/>
              </w:rPr>
              <w:t>经费保障</w:t>
            </w:r>
            <w:r>
              <w:rPr>
                <w:rFonts w:hint="eastAsia" w:ascii="宋体" w:hAnsi="宋体" w:eastAsia="宋体" w:cs="宋体"/>
                <w:color w:val="auto"/>
                <w:sz w:val="21"/>
                <w:szCs w:val="21"/>
                <w:lang w:eastAsia="zh-CN"/>
              </w:rPr>
              <w:t>。</w:t>
            </w:r>
          </w:p>
          <w:p w14:paraId="791D4CF4">
            <w:pPr>
              <w:pStyle w:val="60"/>
              <w:keepNext w:val="0"/>
              <w:keepLines w:val="0"/>
              <w:pageBreakBefore w:val="0"/>
              <w:kinsoku/>
              <w:wordWrap/>
              <w:overflowPunct/>
              <w:topLinePunct w:val="0"/>
              <w:bidi w:val="0"/>
              <w:spacing w:line="400" w:lineRule="exact"/>
              <w:ind w:left="0" w:leftChars="0" w:firstLine="0" w:firstLineChars="0"/>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以上各项</w:t>
            </w:r>
            <w:r>
              <w:rPr>
                <w:rFonts w:hint="eastAsia" w:ascii="宋体" w:hAnsi="宋体" w:eastAsia="宋体" w:cs="宋体"/>
                <w:color w:val="auto"/>
                <w:sz w:val="21"/>
                <w:szCs w:val="21"/>
              </w:rPr>
              <w:t>跟踪服务方案完全满足要求并有创新举措的</w:t>
            </w:r>
            <w:r>
              <w:rPr>
                <w:rFonts w:hint="eastAsia" w:ascii="宋体" w:hAnsi="宋体" w:eastAsia="宋体" w:cs="宋体"/>
                <w:b w:val="0"/>
                <w:bCs w:val="0"/>
                <w:color w:val="000000"/>
                <w:sz w:val="21"/>
                <w:szCs w:val="21"/>
                <w:vertAlign w:val="baseline"/>
                <w:lang w:val="en-US" w:eastAsia="zh-CN"/>
              </w:rPr>
              <w:t>计</w:t>
            </w:r>
            <w:r>
              <w:rPr>
                <w:rFonts w:hint="eastAsia" w:ascii="宋体" w:hAnsi="宋体" w:cs="宋体"/>
                <w:b w:val="0"/>
                <w:bCs w:val="0"/>
                <w:color w:val="000000"/>
                <w:sz w:val="21"/>
                <w:szCs w:val="21"/>
                <w:vertAlign w:val="baseline"/>
                <w:lang w:val="en-US" w:eastAsia="zh-CN"/>
              </w:rPr>
              <w:t>28</w:t>
            </w:r>
            <w:r>
              <w:rPr>
                <w:rFonts w:hint="eastAsia" w:ascii="宋体" w:hAnsi="宋体" w:eastAsia="宋体" w:cs="宋体"/>
                <w:b w:val="0"/>
                <w:bCs w:val="0"/>
                <w:color w:val="000000"/>
                <w:sz w:val="21"/>
                <w:szCs w:val="21"/>
                <w:vertAlign w:val="baseline"/>
                <w:lang w:val="en-US" w:eastAsia="zh-CN"/>
              </w:rPr>
              <w:t>分；有缺漏项的每项扣</w:t>
            </w:r>
            <w:r>
              <w:rPr>
                <w:rFonts w:hint="eastAsia" w:ascii="宋体" w:hAnsi="宋体" w:cs="宋体"/>
                <w:b w:val="0"/>
                <w:bCs w:val="0"/>
                <w:color w:val="000000"/>
                <w:sz w:val="21"/>
                <w:szCs w:val="21"/>
                <w:vertAlign w:val="baseline"/>
                <w:lang w:val="en-US" w:eastAsia="zh-CN"/>
              </w:rPr>
              <w:t>7</w:t>
            </w:r>
            <w:r>
              <w:rPr>
                <w:rFonts w:hint="eastAsia" w:ascii="宋体" w:hAnsi="宋体" w:eastAsia="宋体" w:cs="宋体"/>
                <w:b w:val="0"/>
                <w:bCs w:val="0"/>
                <w:color w:val="000000"/>
                <w:sz w:val="21"/>
                <w:szCs w:val="21"/>
                <w:vertAlign w:val="baseline"/>
                <w:lang w:val="en-US" w:eastAsia="zh-CN"/>
              </w:rPr>
              <w:t>分，各项内容不完整、欠合理的每处扣</w:t>
            </w:r>
            <w:r>
              <w:rPr>
                <w:rFonts w:hint="eastAsia" w:ascii="宋体" w:hAnsi="宋体" w:cs="宋体"/>
                <w:b w:val="0"/>
                <w:bCs w:val="0"/>
                <w:color w:val="000000"/>
                <w:sz w:val="21"/>
                <w:szCs w:val="21"/>
                <w:vertAlign w:val="baseline"/>
                <w:lang w:val="en-US" w:eastAsia="zh-CN"/>
              </w:rPr>
              <w:t>2</w:t>
            </w:r>
            <w:r>
              <w:rPr>
                <w:rFonts w:hint="eastAsia" w:ascii="宋体" w:hAnsi="宋体" w:eastAsia="宋体" w:cs="宋体"/>
                <w:b w:val="0"/>
                <w:bCs w:val="0"/>
                <w:color w:val="000000"/>
                <w:sz w:val="21"/>
                <w:szCs w:val="21"/>
                <w:vertAlign w:val="baseline"/>
                <w:lang w:val="en-US" w:eastAsia="zh-CN"/>
              </w:rPr>
              <w:t>分，有语言、文字及其他错误的每处扣</w:t>
            </w:r>
            <w:r>
              <w:rPr>
                <w:rFonts w:hint="eastAsia" w:ascii="宋体" w:hAnsi="宋体" w:cs="宋体"/>
                <w:b w:val="0"/>
                <w:bCs w:val="0"/>
                <w:color w:val="000000"/>
                <w:sz w:val="21"/>
                <w:szCs w:val="21"/>
                <w:vertAlign w:val="baseline"/>
                <w:lang w:val="en-US" w:eastAsia="zh-CN"/>
              </w:rPr>
              <w:t>1</w:t>
            </w:r>
            <w:r>
              <w:rPr>
                <w:rFonts w:hint="eastAsia" w:ascii="宋体" w:hAnsi="宋体" w:eastAsia="宋体" w:cs="宋体"/>
                <w:b w:val="0"/>
                <w:bCs w:val="0"/>
                <w:color w:val="000000"/>
                <w:sz w:val="21"/>
                <w:szCs w:val="21"/>
                <w:vertAlign w:val="baseline"/>
                <w:lang w:val="en-US" w:eastAsia="zh-CN"/>
              </w:rPr>
              <w:t>分，扣完为止，未提供方案的计0分。</w:t>
            </w:r>
          </w:p>
        </w:tc>
      </w:tr>
      <w:tr w14:paraId="4A04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5" w:type="dxa"/>
            <w:vMerge w:val="continue"/>
            <w:vAlign w:val="center"/>
          </w:tcPr>
          <w:p w14:paraId="43C3E74E">
            <w:pPr>
              <w:keepNext w:val="0"/>
              <w:keepLines w:val="0"/>
              <w:pageBreakBefore w:val="0"/>
              <w:kinsoku/>
              <w:wordWrap/>
              <w:overflowPunct/>
              <w:topLinePunct w:val="0"/>
              <w:autoSpaceDE/>
              <w:autoSpaceDN/>
              <w:bidi w:val="0"/>
              <w:spacing w:beforeAutospacing="0" w:afterAutospacing="0" w:line="400" w:lineRule="exact"/>
              <w:jc w:val="center"/>
              <w:textAlignment w:val="auto"/>
              <w:outlineLvl w:val="0"/>
              <w:rPr>
                <w:rFonts w:hint="eastAsia" w:ascii="宋体" w:hAnsi="宋体" w:eastAsia="宋体" w:cs="宋体"/>
                <w:b/>
                <w:bCs/>
                <w:color w:val="000000"/>
                <w:sz w:val="21"/>
                <w:szCs w:val="21"/>
                <w:vertAlign w:val="baseline"/>
                <w:lang w:eastAsia="zh-CN"/>
              </w:rPr>
            </w:pPr>
          </w:p>
        </w:tc>
        <w:tc>
          <w:tcPr>
            <w:tcW w:w="1424" w:type="dxa"/>
            <w:vMerge w:val="continue"/>
            <w:shd w:val="clear" w:color="auto" w:fill="auto"/>
            <w:vAlign w:val="center"/>
          </w:tcPr>
          <w:p w14:paraId="58BC3767">
            <w:pPr>
              <w:pStyle w:val="61"/>
              <w:keepNext w:val="0"/>
              <w:keepLines w:val="0"/>
              <w:pageBreakBefore w:val="0"/>
              <w:kinsoku/>
              <w:wordWrap/>
              <w:overflowPunct/>
              <w:topLinePunct w:val="0"/>
              <w:bidi w:val="0"/>
              <w:adjustRightInd/>
              <w:snapToGrid/>
              <w:spacing w:line="400" w:lineRule="exact"/>
              <w:jc w:val="center"/>
              <w:textAlignment w:val="auto"/>
              <w:rPr>
                <w:rFonts w:hint="eastAsia" w:ascii="宋体" w:hAnsi="宋体" w:eastAsia="宋体" w:cs="宋体"/>
                <w:kern w:val="0"/>
                <w:sz w:val="21"/>
                <w:szCs w:val="21"/>
                <w:lang w:val="en-US" w:eastAsia="zh-CN" w:bidi="ar-SA"/>
              </w:rPr>
            </w:pPr>
          </w:p>
        </w:tc>
        <w:tc>
          <w:tcPr>
            <w:tcW w:w="772" w:type="dxa"/>
            <w:shd w:val="clear" w:color="auto" w:fill="auto"/>
            <w:vAlign w:val="center"/>
          </w:tcPr>
          <w:p w14:paraId="7A883A70">
            <w:pPr>
              <w:pStyle w:val="61"/>
              <w:keepNext w:val="0"/>
              <w:keepLines w:val="0"/>
              <w:pageBreakBefore w:val="0"/>
              <w:kinsoku/>
              <w:wordWrap/>
              <w:overflowPunct/>
              <w:topLinePunct w:val="0"/>
              <w:bidi w:val="0"/>
              <w:adjustRightInd/>
              <w:snapToGrid/>
              <w:spacing w:line="40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应急保障方案</w:t>
            </w:r>
          </w:p>
        </w:tc>
        <w:tc>
          <w:tcPr>
            <w:tcW w:w="1092" w:type="dxa"/>
            <w:shd w:val="clear" w:color="auto" w:fill="auto"/>
            <w:vAlign w:val="center"/>
          </w:tcPr>
          <w:p w14:paraId="3E055B8F">
            <w:pPr>
              <w:pStyle w:val="269"/>
              <w:keepNext w:val="0"/>
              <w:keepLines w:val="0"/>
              <w:pageBreakBefore w:val="0"/>
              <w:kinsoku/>
              <w:wordWrap/>
              <w:overflowPunct/>
              <w:topLinePunct w:val="0"/>
              <w:bidi w:val="0"/>
              <w:spacing w:line="400" w:lineRule="exact"/>
              <w:jc w:val="center"/>
              <w:textAlignment w:val="auto"/>
              <w:rPr>
                <w:rFonts w:hint="eastAsia" w:ascii="宋体" w:hAnsi="宋体" w:eastAsia="宋体" w:cs="宋体"/>
                <w:b/>
                <w:bCs/>
                <w:color w:val="000000"/>
                <w:kern w:val="2"/>
                <w:sz w:val="21"/>
                <w:szCs w:val="21"/>
                <w:vertAlign w:val="baseline"/>
                <w:lang w:val="en-US" w:eastAsia="zh-CN" w:bidi="ar-SA"/>
              </w:rPr>
            </w:pPr>
            <w:r>
              <w:rPr>
                <w:rFonts w:hint="eastAsia" w:ascii="宋体" w:hAnsi="宋体" w:cs="宋体"/>
                <w:color w:val="auto"/>
                <w:sz w:val="21"/>
                <w:szCs w:val="21"/>
                <w:highlight w:val="none"/>
                <w:lang w:val="en-US" w:eastAsia="zh-CN"/>
              </w:rPr>
              <w:t>26</w:t>
            </w:r>
            <w:r>
              <w:rPr>
                <w:rFonts w:hint="eastAsia" w:ascii="宋体" w:hAnsi="宋体" w:eastAsia="宋体" w:cs="宋体"/>
                <w:color w:val="auto"/>
                <w:sz w:val="21"/>
                <w:szCs w:val="21"/>
                <w:highlight w:val="none"/>
                <w:lang w:val="en-US" w:eastAsia="zh-CN"/>
              </w:rPr>
              <w:t>分</w:t>
            </w:r>
          </w:p>
        </w:tc>
        <w:tc>
          <w:tcPr>
            <w:tcW w:w="6684" w:type="dxa"/>
            <w:shd w:val="clear" w:color="auto" w:fill="auto"/>
            <w:vAlign w:val="center"/>
          </w:tcPr>
          <w:p w14:paraId="425C8470">
            <w:pPr>
              <w:pStyle w:val="60"/>
              <w:keepNext w:val="0"/>
              <w:keepLines w:val="0"/>
              <w:pageBreakBefore w:val="0"/>
              <w:kinsoku/>
              <w:wordWrap/>
              <w:overflowPunct/>
              <w:topLinePunct w:val="0"/>
              <w:bidi w:val="0"/>
              <w:spacing w:line="40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磋商小组成员</w:t>
            </w:r>
            <w:r>
              <w:rPr>
                <w:rStyle w:val="47"/>
                <w:rFonts w:hint="eastAsia" w:ascii="宋体" w:hAnsi="宋体" w:eastAsia="宋体" w:cs="宋体"/>
                <w:b w:val="0"/>
                <w:color w:val="auto"/>
                <w:kern w:val="2"/>
                <w:sz w:val="21"/>
                <w:szCs w:val="21"/>
                <w:lang w:val="en-US" w:eastAsia="zh-CN" w:bidi="ar-SA"/>
              </w:rPr>
              <w:t>根据投标人针对本项目</w:t>
            </w:r>
            <w:r>
              <w:rPr>
                <w:rFonts w:hint="eastAsia" w:ascii="宋体" w:hAnsi="宋体" w:eastAsia="宋体" w:cs="宋体"/>
                <w:color w:val="auto"/>
                <w:sz w:val="21"/>
                <w:szCs w:val="21"/>
              </w:rPr>
              <w:t>提出的应急保障</w:t>
            </w:r>
            <w:r>
              <w:rPr>
                <w:rFonts w:hint="eastAsia" w:ascii="宋体" w:hAnsi="宋体" w:eastAsia="宋体" w:cs="宋体"/>
                <w:color w:val="auto"/>
                <w:sz w:val="21"/>
                <w:szCs w:val="21"/>
                <w:lang w:val="en-US" w:eastAsia="zh-CN"/>
              </w:rPr>
              <w:t>方案内容包括：①人员发生</w:t>
            </w:r>
            <w:r>
              <w:rPr>
                <w:rFonts w:hint="eastAsia" w:ascii="宋体" w:hAnsi="宋体" w:eastAsia="宋体" w:cs="宋体"/>
                <w:color w:val="auto"/>
                <w:sz w:val="21"/>
                <w:szCs w:val="21"/>
              </w:rPr>
              <w:t>疾病</w:t>
            </w:r>
            <w:r>
              <w:rPr>
                <w:rFonts w:hint="eastAsia" w:ascii="宋体" w:hAnsi="宋体" w:eastAsia="宋体" w:cs="宋体"/>
                <w:color w:val="auto"/>
                <w:sz w:val="21"/>
                <w:szCs w:val="21"/>
                <w:lang w:val="en-US" w:eastAsia="zh-CN"/>
              </w:rPr>
              <w:t>应急措施；②培训现场发生停电</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停水应急措施；③培训时发生火灾应急措施；④其他</w:t>
            </w:r>
            <w:r>
              <w:rPr>
                <w:rFonts w:hint="eastAsia" w:ascii="宋体" w:hAnsi="宋体" w:eastAsia="宋体" w:cs="宋体"/>
                <w:color w:val="auto"/>
                <w:sz w:val="21"/>
                <w:szCs w:val="21"/>
              </w:rPr>
              <w:t>突发状况</w:t>
            </w:r>
            <w:r>
              <w:rPr>
                <w:rFonts w:hint="eastAsia" w:ascii="宋体" w:hAnsi="宋体" w:eastAsia="宋体" w:cs="宋体"/>
                <w:color w:val="auto"/>
                <w:sz w:val="21"/>
                <w:szCs w:val="21"/>
                <w:lang w:val="en-US" w:eastAsia="zh-CN"/>
              </w:rPr>
              <w:t>应急措施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但不限于培训过程中发生的不可预计状况</w:t>
            </w:r>
            <w:r>
              <w:rPr>
                <w:rFonts w:hint="eastAsia" w:ascii="宋体" w:hAnsi="宋体" w:eastAsia="宋体" w:cs="宋体"/>
                <w:color w:val="auto"/>
                <w:sz w:val="21"/>
                <w:szCs w:val="21"/>
                <w:lang w:eastAsia="zh-CN"/>
              </w:rPr>
              <w:t>）。</w:t>
            </w:r>
          </w:p>
          <w:p w14:paraId="5CB3A54D">
            <w:pPr>
              <w:pStyle w:val="60"/>
              <w:keepNext w:val="0"/>
              <w:keepLines w:val="0"/>
              <w:pageBreakBefore w:val="0"/>
              <w:kinsoku/>
              <w:wordWrap/>
              <w:overflowPunct/>
              <w:topLinePunct w:val="0"/>
              <w:bidi w:val="0"/>
              <w:spacing w:line="400" w:lineRule="exact"/>
              <w:ind w:left="0" w:leftChars="0" w:firstLine="0" w:firstLineChars="0"/>
              <w:textAlignment w:val="auto"/>
              <w:rPr>
                <w:rFonts w:hint="eastAsia" w:ascii="宋体" w:hAnsi="宋体" w:eastAsia="宋体" w:cs="宋体"/>
                <w:b w:val="0"/>
                <w:bCs w:val="0"/>
                <w:color w:val="000000"/>
                <w:kern w:val="0"/>
                <w:sz w:val="21"/>
                <w:szCs w:val="21"/>
                <w:vertAlign w:val="baseline"/>
                <w:lang w:val="en-US" w:eastAsia="zh-CN" w:bidi="ar-SA"/>
              </w:rPr>
            </w:pPr>
            <w:r>
              <w:rPr>
                <w:rFonts w:hint="eastAsia" w:ascii="宋体" w:hAnsi="宋体" w:eastAsia="宋体" w:cs="宋体"/>
                <w:b w:val="0"/>
                <w:bCs w:val="0"/>
                <w:color w:val="000000"/>
                <w:sz w:val="21"/>
                <w:szCs w:val="21"/>
                <w:vertAlign w:val="baseline"/>
                <w:lang w:val="en-US" w:eastAsia="zh-CN"/>
              </w:rPr>
              <w:t>以上各项应急保障方案</w:t>
            </w:r>
            <w:r>
              <w:rPr>
                <w:rFonts w:hint="eastAsia" w:ascii="宋体" w:hAnsi="宋体" w:eastAsia="宋体" w:cs="宋体"/>
                <w:color w:val="auto"/>
                <w:sz w:val="21"/>
                <w:szCs w:val="21"/>
              </w:rPr>
              <w:t>完全满足要求的</w:t>
            </w:r>
            <w:r>
              <w:rPr>
                <w:rFonts w:hint="eastAsia" w:ascii="宋体" w:hAnsi="宋体" w:eastAsia="宋体" w:cs="宋体"/>
                <w:b w:val="0"/>
                <w:bCs w:val="0"/>
                <w:color w:val="000000"/>
                <w:sz w:val="21"/>
                <w:szCs w:val="21"/>
                <w:vertAlign w:val="baseline"/>
                <w:lang w:val="en-US" w:eastAsia="zh-CN"/>
              </w:rPr>
              <w:t>计</w:t>
            </w:r>
            <w:r>
              <w:rPr>
                <w:rFonts w:hint="eastAsia" w:ascii="宋体" w:hAnsi="宋体" w:cs="宋体"/>
                <w:b w:val="0"/>
                <w:bCs w:val="0"/>
                <w:color w:val="000000"/>
                <w:sz w:val="21"/>
                <w:szCs w:val="21"/>
                <w:vertAlign w:val="baseline"/>
                <w:lang w:val="en-US" w:eastAsia="zh-CN"/>
              </w:rPr>
              <w:t>26</w:t>
            </w:r>
            <w:r>
              <w:rPr>
                <w:rFonts w:hint="eastAsia" w:ascii="宋体" w:hAnsi="宋体" w:eastAsia="宋体" w:cs="宋体"/>
                <w:b w:val="0"/>
                <w:bCs w:val="0"/>
                <w:color w:val="000000"/>
                <w:sz w:val="21"/>
                <w:szCs w:val="21"/>
                <w:vertAlign w:val="baseline"/>
                <w:lang w:val="en-US" w:eastAsia="zh-CN"/>
              </w:rPr>
              <w:t>分；有缺漏项的每项扣</w:t>
            </w:r>
            <w:r>
              <w:rPr>
                <w:rFonts w:hint="eastAsia" w:ascii="宋体" w:hAnsi="宋体" w:cs="宋体"/>
                <w:b w:val="0"/>
                <w:bCs w:val="0"/>
                <w:color w:val="000000"/>
                <w:sz w:val="21"/>
                <w:szCs w:val="21"/>
                <w:vertAlign w:val="baseline"/>
                <w:lang w:val="en-US" w:eastAsia="zh-CN"/>
              </w:rPr>
              <w:t>6.5</w:t>
            </w:r>
            <w:r>
              <w:rPr>
                <w:rFonts w:hint="eastAsia" w:ascii="宋体" w:hAnsi="宋体" w:eastAsia="宋体" w:cs="宋体"/>
                <w:b w:val="0"/>
                <w:bCs w:val="0"/>
                <w:color w:val="000000"/>
                <w:sz w:val="21"/>
                <w:szCs w:val="21"/>
                <w:vertAlign w:val="baseline"/>
                <w:lang w:val="en-US" w:eastAsia="zh-CN"/>
              </w:rPr>
              <w:t>分，各项内容不完整、欠合理的每处扣</w:t>
            </w:r>
            <w:r>
              <w:rPr>
                <w:rFonts w:hint="eastAsia" w:ascii="宋体" w:hAnsi="宋体" w:cs="宋体"/>
                <w:b w:val="0"/>
                <w:bCs w:val="0"/>
                <w:color w:val="000000"/>
                <w:sz w:val="21"/>
                <w:szCs w:val="21"/>
                <w:vertAlign w:val="baseline"/>
                <w:lang w:val="en-US" w:eastAsia="zh-CN"/>
              </w:rPr>
              <w:t>2</w:t>
            </w:r>
            <w:r>
              <w:rPr>
                <w:rFonts w:hint="eastAsia" w:ascii="宋体" w:hAnsi="宋体" w:eastAsia="宋体" w:cs="宋体"/>
                <w:b w:val="0"/>
                <w:bCs w:val="0"/>
                <w:color w:val="000000"/>
                <w:sz w:val="21"/>
                <w:szCs w:val="21"/>
                <w:vertAlign w:val="baseline"/>
                <w:lang w:val="en-US" w:eastAsia="zh-CN"/>
              </w:rPr>
              <w:t>分，有语言、文字及其他错误的每处扣</w:t>
            </w:r>
            <w:r>
              <w:rPr>
                <w:rFonts w:hint="eastAsia" w:ascii="宋体" w:hAnsi="宋体" w:cs="宋体"/>
                <w:b w:val="0"/>
                <w:bCs w:val="0"/>
                <w:color w:val="000000"/>
                <w:sz w:val="21"/>
                <w:szCs w:val="21"/>
                <w:vertAlign w:val="baseline"/>
                <w:lang w:val="en-US" w:eastAsia="zh-CN"/>
              </w:rPr>
              <w:t>1</w:t>
            </w:r>
            <w:r>
              <w:rPr>
                <w:rFonts w:hint="eastAsia" w:ascii="宋体" w:hAnsi="宋体" w:eastAsia="宋体" w:cs="宋体"/>
                <w:b w:val="0"/>
                <w:bCs w:val="0"/>
                <w:color w:val="000000"/>
                <w:sz w:val="21"/>
                <w:szCs w:val="21"/>
                <w:vertAlign w:val="baseline"/>
                <w:lang w:val="en-US" w:eastAsia="zh-CN"/>
              </w:rPr>
              <w:t>分，扣完为止，未提供方案的计0分。</w:t>
            </w:r>
          </w:p>
        </w:tc>
      </w:tr>
      <w:tr w14:paraId="2E95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665" w:type="dxa"/>
            <w:vMerge w:val="continue"/>
            <w:vAlign w:val="center"/>
          </w:tcPr>
          <w:p w14:paraId="1569B208">
            <w:pPr>
              <w:keepNext w:val="0"/>
              <w:keepLines w:val="0"/>
              <w:pageBreakBefore w:val="0"/>
              <w:kinsoku/>
              <w:wordWrap/>
              <w:overflowPunct/>
              <w:topLinePunct w:val="0"/>
              <w:autoSpaceDE/>
              <w:autoSpaceDN/>
              <w:bidi w:val="0"/>
              <w:spacing w:beforeAutospacing="0" w:afterAutospacing="0" w:line="400" w:lineRule="exact"/>
              <w:jc w:val="center"/>
              <w:textAlignment w:val="auto"/>
              <w:outlineLvl w:val="0"/>
              <w:rPr>
                <w:rFonts w:hint="eastAsia" w:ascii="宋体" w:hAnsi="宋体" w:eastAsia="宋体" w:cs="宋体"/>
                <w:b/>
                <w:bCs/>
                <w:color w:val="000000"/>
                <w:sz w:val="21"/>
                <w:szCs w:val="21"/>
                <w:vertAlign w:val="baseline"/>
                <w:lang w:eastAsia="zh-CN"/>
              </w:rPr>
            </w:pPr>
          </w:p>
        </w:tc>
        <w:tc>
          <w:tcPr>
            <w:tcW w:w="1424" w:type="dxa"/>
            <w:vMerge w:val="continue"/>
            <w:shd w:val="clear" w:color="auto" w:fill="auto"/>
            <w:vAlign w:val="center"/>
          </w:tcPr>
          <w:p w14:paraId="7EF46A68">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jc w:val="center"/>
              <w:textAlignment w:val="auto"/>
              <w:rPr>
                <w:rFonts w:hint="eastAsia" w:ascii="宋体" w:hAnsi="宋体" w:eastAsia="宋体" w:cs="宋体"/>
                <w:color w:val="auto"/>
                <w:kern w:val="0"/>
                <w:sz w:val="21"/>
                <w:szCs w:val="21"/>
                <w:lang w:val="en-US" w:eastAsia="zh-CN" w:bidi="ar-SA"/>
              </w:rPr>
            </w:pPr>
          </w:p>
        </w:tc>
        <w:tc>
          <w:tcPr>
            <w:tcW w:w="772" w:type="dxa"/>
            <w:shd w:val="clear" w:color="auto" w:fill="auto"/>
            <w:vAlign w:val="center"/>
          </w:tcPr>
          <w:p w14:paraId="4AE12A2A">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rPr>
              <w:t>服务承诺</w:t>
            </w:r>
          </w:p>
        </w:tc>
        <w:tc>
          <w:tcPr>
            <w:tcW w:w="1092" w:type="dxa"/>
            <w:shd w:val="clear" w:color="auto" w:fill="auto"/>
            <w:vAlign w:val="center"/>
          </w:tcPr>
          <w:p w14:paraId="5E375B03">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jc w:val="center"/>
              <w:textAlignment w:val="auto"/>
              <w:rPr>
                <w:rFonts w:hint="eastAsia" w:ascii="宋体" w:hAnsi="宋体" w:eastAsia="宋体" w:cs="宋体"/>
                <w:color w:val="auto"/>
                <w:kern w:val="0"/>
                <w:sz w:val="21"/>
                <w:szCs w:val="21"/>
                <w:lang w:val="en-US" w:eastAsia="zh-CN" w:bidi="ar-SA"/>
              </w:rPr>
            </w:pPr>
            <w:r>
              <w:rPr>
                <w:rFonts w:hint="eastAsia" w:cs="宋体"/>
                <w:color w:val="auto"/>
                <w:sz w:val="21"/>
                <w:szCs w:val="21"/>
                <w:lang w:val="en-US" w:eastAsia="zh-CN"/>
              </w:rPr>
              <w:t>10</w:t>
            </w:r>
            <w:r>
              <w:rPr>
                <w:rFonts w:hint="eastAsia" w:ascii="宋体" w:hAnsi="宋体" w:eastAsia="宋体" w:cs="宋体"/>
                <w:color w:val="auto"/>
                <w:sz w:val="21"/>
                <w:szCs w:val="21"/>
              </w:rPr>
              <w:t>分</w:t>
            </w:r>
          </w:p>
        </w:tc>
        <w:tc>
          <w:tcPr>
            <w:tcW w:w="6684" w:type="dxa"/>
            <w:shd w:val="clear" w:color="auto" w:fill="auto"/>
            <w:vAlign w:val="center"/>
          </w:tcPr>
          <w:p w14:paraId="5624519A">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供应商承诺严格遵守各级监督管理和部门的各级政策规定，按章操作，强化教学管理，完善更新教学设备，选聘优秀老师，确保参训人员，100%录入系统，100准确，系统满意度评价95%以上。</w:t>
            </w:r>
          </w:p>
          <w:p w14:paraId="51F74C17">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400" w:lineRule="exact"/>
              <w:ind w:left="0" w:leftChars="0" w:right="0" w:rightChars="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b/>
                <w:bCs/>
                <w:color w:val="auto"/>
                <w:kern w:val="0"/>
                <w:sz w:val="21"/>
                <w:szCs w:val="21"/>
                <w:lang w:val="en-US" w:eastAsia="zh-CN" w:bidi="ar-SA"/>
              </w:rPr>
              <w:t>注：提供承诺函，未提供不计分。（承诺函格式自拟）</w:t>
            </w:r>
          </w:p>
        </w:tc>
      </w:tr>
      <w:tr w14:paraId="6B23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0637" w:type="dxa"/>
            <w:gridSpan w:val="5"/>
          </w:tcPr>
          <w:p w14:paraId="73905AE1">
            <w:pPr>
              <w:keepNext w:val="0"/>
              <w:keepLines w:val="0"/>
              <w:pageBreakBefore w:val="0"/>
              <w:kinsoku/>
              <w:wordWrap/>
              <w:overflowPunct/>
              <w:topLinePunct w:val="0"/>
              <w:autoSpaceDE/>
              <w:autoSpaceDN/>
              <w:bidi w:val="0"/>
              <w:adjustRightInd w:val="0"/>
              <w:snapToGrid w:val="0"/>
              <w:spacing w:beforeAutospacing="0" w:afterAutospacing="0" w:line="400" w:lineRule="exact"/>
              <w:textAlignment w:val="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rPr>
              <w:t>注</w:t>
            </w:r>
            <w:r>
              <w:rPr>
                <w:rFonts w:hint="eastAsia" w:ascii="宋体" w:hAnsi="宋体" w:eastAsia="宋体" w:cs="宋体"/>
                <w:b/>
                <w:bCs/>
                <w:sz w:val="21"/>
                <w:szCs w:val="21"/>
                <w:highlight w:val="none"/>
                <w:lang w:eastAsia="zh-CN"/>
              </w:rPr>
              <w:t>：1、评标委员会认为供应商的报价明显低于其他通过符合性审查供应商的报价，有可能影响产品质量或者不能诚信履约的，应当要求其在评标现场规定的时间内提供书面说明，必要时提交相关证明材料，供应商不能证明报价合理性的，评标委员会应当将其作为无效投标处理。</w:t>
            </w:r>
          </w:p>
          <w:p w14:paraId="7FC5BE6C">
            <w:pPr>
              <w:keepNext w:val="0"/>
              <w:keepLines w:val="0"/>
              <w:pageBreakBefore w:val="0"/>
              <w:kinsoku/>
              <w:wordWrap/>
              <w:overflowPunct/>
              <w:topLinePunct w:val="0"/>
              <w:autoSpaceDE/>
              <w:autoSpaceDN/>
              <w:bidi w:val="0"/>
              <w:adjustRightInd w:val="0"/>
              <w:snapToGrid w:val="0"/>
              <w:spacing w:beforeAutospacing="0" w:afterAutospacing="0" w:line="400" w:lineRule="exact"/>
              <w:textAlignment w:val="auto"/>
              <w:rPr>
                <w:rFonts w:hint="eastAsia" w:ascii="宋体" w:hAnsi="宋体" w:eastAsia="宋体" w:cs="宋体"/>
                <w:sz w:val="21"/>
                <w:szCs w:val="21"/>
              </w:rPr>
            </w:pPr>
            <w:r>
              <w:rPr>
                <w:rFonts w:hint="eastAsia" w:ascii="宋体" w:hAnsi="宋体" w:eastAsia="宋体" w:cs="宋体"/>
                <w:b/>
                <w:bCs/>
                <w:sz w:val="21"/>
                <w:szCs w:val="21"/>
                <w:highlight w:val="none"/>
                <w:lang w:eastAsia="zh-CN"/>
              </w:rPr>
              <w:t>2、采购人或评标委员会将保留要求对供应商提供的复印件和相关投标资料真实性予以核查的权利，如发现虚假，取消投标资格并报送有关监管部门按照有关规定处理。</w:t>
            </w:r>
          </w:p>
        </w:tc>
      </w:tr>
    </w:tbl>
    <w:p w14:paraId="15C595CB">
      <w:pPr>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说明：</w:t>
      </w:r>
    </w:p>
    <w:p w14:paraId="40E4B8FC">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ind w:firstLine="210" w:firstLineChars="100"/>
        <w:jc w:val="left"/>
        <w:textAlignment w:val="auto"/>
        <w:rPr>
          <w:rFonts w:hint="eastAsia" w:ascii="宋体" w:hAnsi="宋体" w:eastAsia="宋体" w:cs="宋体"/>
          <w:sz w:val="21"/>
          <w:szCs w:val="21"/>
        </w:rPr>
      </w:pPr>
      <w:r>
        <w:rPr>
          <w:rFonts w:hint="eastAsia" w:ascii="宋体" w:hAnsi="宋体" w:eastAsia="宋体" w:cs="宋体"/>
          <w:sz w:val="21"/>
          <w:szCs w:val="21"/>
          <w:highlight w:val="none"/>
        </w:rPr>
        <w:t>1、</w:t>
      </w:r>
      <w:r>
        <w:rPr>
          <w:rFonts w:hint="eastAsia" w:ascii="宋体" w:hAnsi="宋体" w:eastAsia="宋体" w:cs="宋体"/>
          <w:sz w:val="21"/>
          <w:szCs w:val="21"/>
          <w:lang w:val="en-US" w:eastAsia="zh-CN"/>
        </w:rPr>
        <w:t>依据《关于推动解决政府采购导演低价问题的通知》（财库【2026】2号）文规定，</w:t>
      </w:r>
      <w:r>
        <w:rPr>
          <w:rFonts w:hint="eastAsia" w:ascii="宋体" w:hAnsi="宋体" w:eastAsia="宋体" w:cs="宋体"/>
          <w:sz w:val="21"/>
          <w:szCs w:val="21"/>
        </w:rPr>
        <w:t>政府采购评审中出现下列情形之一的，评审委员会应当启动异常低价投标（响应）审查程序：</w:t>
      </w:r>
    </w:p>
    <w:p w14:paraId="4993691C">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、投标（响应）报价低于全部通过符合性审查供应商投标（响应）报价平均值50%的，即投标（响应）报价&lt;全部通过符合性审查供应商投标（响应）报价平均值×50%；</w:t>
      </w:r>
    </w:p>
    <w:p w14:paraId="61B2BB9D">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、投标（响应）报价低于通过符合性审查的次低报价供应商投标（响应）报价50%的，即投标（响应）报价&lt;通过符合性审查的次低报价供应商投标（响应）报价×50%；</w:t>
      </w:r>
    </w:p>
    <w:p w14:paraId="1D3CECAA">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、投标（响应）报价低于采购项目最高限价45%的，即投标（响应）报价&lt;采购项目最高限价×45%；</w:t>
      </w:r>
    </w:p>
    <w:p w14:paraId="49FE8F52">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、评审委员会基于专业判断，认为供应商报价过低，有可能影响产品质量或者不能诚信履约的其他情形。</w:t>
      </w:r>
    </w:p>
    <w:p w14:paraId="397DBF5E">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评审委员会启动异常低价投标（响应）审查后，属于前述4项情形的，相关供应商在评审现场</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分钟</w:t>
      </w:r>
      <w:r>
        <w:rPr>
          <w:rFonts w:hint="eastAsia" w:ascii="宋体" w:hAnsi="宋体" w:eastAsia="宋体" w:cs="宋体"/>
          <w:sz w:val="21"/>
          <w:szCs w:val="21"/>
        </w:rPr>
        <w:t>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投标人不能证明其报价合理性的，评标委员会可将其作为无效投标处理。</w:t>
      </w:r>
    </w:p>
    <w:p w14:paraId="0A859BAB">
      <w:pPr>
        <w:keepNext w:val="0"/>
        <w:keepLines w:val="0"/>
        <w:pageBreakBefore w:val="0"/>
        <w:widowControl w:val="0"/>
        <w:kinsoku/>
        <w:wordWrap/>
        <w:overflowPunct/>
        <w:topLinePunct w:val="0"/>
        <w:autoSpaceDE/>
        <w:autoSpaceDN/>
        <w:bidi w:val="0"/>
        <w:spacing w:beforeAutospacing="0" w:afterAutospacing="0"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、上述《评标因素和标准》中执行政府采购优惠政策的计算方法详见《磋商须知前附表》。表格中所述“报价”、“投标总价格”、“投标报价”均指投标人的最后报价</w:t>
      </w:r>
      <w:r>
        <w:rPr>
          <w:rFonts w:hint="eastAsia" w:ascii="宋体" w:hAnsi="宋体" w:eastAsia="宋体" w:cs="宋体"/>
          <w:kern w:val="0"/>
          <w:sz w:val="21"/>
          <w:szCs w:val="21"/>
          <w:highlight w:val="none"/>
        </w:rPr>
        <w:t>按采购文件规定的办法进行算术修正及政府采购政策调整后的评标价格。</w:t>
      </w:r>
    </w:p>
    <w:p w14:paraId="2182653E">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3</w:t>
      </w:r>
      <w:r>
        <w:rPr>
          <w:rFonts w:hint="eastAsia" w:ascii="宋体" w:hAnsi="宋体" w:eastAsia="宋体" w:cs="宋体"/>
          <w:bCs/>
          <w:sz w:val="21"/>
          <w:szCs w:val="21"/>
          <w:highlight w:val="none"/>
        </w:rPr>
        <w:t>、评分标准中涉及要求提供复印（影印）件的，响应文件中须附相关证书和证明文件的复印（影印）件并加盖单位公章，否则相应计分项不予计分。评分标准或资格条件中涉及要求递交原件的，投标人须在投标截止时间前将要求提供的原件单独密封包装（外包装上注明投标人名称和证件明细）与响应文件一起递交，否则相应计分项不予计分。</w:t>
      </w:r>
    </w:p>
    <w:p w14:paraId="39F00A96">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eastAsia" w:ascii="宋体" w:hAnsi="宋体" w:eastAsia="宋体" w:cs="宋体"/>
          <w:b/>
          <w:sz w:val="21"/>
          <w:szCs w:val="21"/>
        </w:rPr>
      </w:pPr>
      <w:r>
        <w:rPr>
          <w:rFonts w:hint="eastAsia" w:ascii="宋体" w:hAnsi="宋体" w:eastAsia="宋体" w:cs="宋体"/>
          <w:bCs/>
          <w:sz w:val="21"/>
          <w:szCs w:val="21"/>
          <w:highlight w:val="none"/>
          <w:lang w:val="en-US" w:eastAsia="zh-CN"/>
        </w:rPr>
        <w:t>4</w:t>
      </w:r>
      <w:r>
        <w:rPr>
          <w:rFonts w:hint="eastAsia" w:ascii="宋体" w:hAnsi="宋体" w:eastAsia="宋体" w:cs="宋体"/>
          <w:bCs/>
          <w:sz w:val="21"/>
          <w:szCs w:val="21"/>
          <w:highlight w:val="none"/>
        </w:rPr>
        <w:t>、投标人参与政府采购应提供真实有效的证明材料，应当诚信守法、公平竞争。如有以提供虚假材料（包括但不限于虚假技术参数响应、虚假制造商产品彩页、虚假业绩、虚假证书等）、隐瞒失信信息等谋取中标（成交）的行为，一经发现，将报行政监管部门严肃查处。</w:t>
      </w:r>
    </w:p>
    <w:p w14:paraId="1BDBC79D">
      <w:pPr>
        <w:keepNext w:val="0"/>
        <w:keepLines w:val="0"/>
        <w:pageBreakBefore w:val="0"/>
        <w:tabs>
          <w:tab w:val="left" w:pos="420"/>
          <w:tab w:val="left" w:pos="7560"/>
          <w:tab w:val="left" w:pos="7740"/>
          <w:tab w:val="left" w:pos="7920"/>
        </w:tabs>
        <w:kinsoku/>
        <w:wordWrap/>
        <w:overflowPunct/>
        <w:topLinePunct w:val="0"/>
        <w:bidi w:val="0"/>
        <w:adjustRightInd w:val="0"/>
        <w:snapToGrid w:val="0"/>
        <w:spacing w:beforeAutospacing="0" w:afterAutospacing="0" w:line="400" w:lineRule="exact"/>
        <w:jc w:val="both"/>
        <w:textAlignment w:val="auto"/>
        <w:outlineLvl w:val="0"/>
        <w:rPr>
          <w:rFonts w:hint="eastAsia" w:ascii="宋体" w:hAnsi="宋体" w:eastAsia="宋体" w:cs="宋体"/>
          <w:b/>
          <w:sz w:val="21"/>
          <w:szCs w:val="21"/>
        </w:rPr>
      </w:pPr>
    </w:p>
    <w:p w14:paraId="1E823210">
      <w:pPr>
        <w:keepNext w:val="0"/>
        <w:keepLines w:val="0"/>
        <w:pageBreakBefore w:val="0"/>
        <w:kinsoku/>
        <w:wordWrap/>
        <w:overflowPunct/>
        <w:topLinePunct w:val="0"/>
        <w:bidi w:val="0"/>
        <w:spacing w:line="400" w:lineRule="exact"/>
        <w:jc w:val="center"/>
        <w:textAlignment w:val="auto"/>
        <w:outlineLvl w:val="0"/>
        <w:rPr>
          <w:rFonts w:hint="eastAsia" w:ascii="宋体" w:hAnsi="宋体" w:eastAsia="宋体" w:cs="宋体"/>
          <w:b/>
          <w:sz w:val="28"/>
          <w:szCs w:val="28"/>
        </w:rPr>
      </w:pPr>
    </w:p>
    <w:p w14:paraId="44C81CC5">
      <w:pPr>
        <w:pStyle w:val="43"/>
        <w:ind w:left="0" w:leftChars="0" w:firstLine="0" w:firstLineChars="0"/>
        <w:rPr>
          <w:rFonts w:hint="eastAsia" w:ascii="宋体" w:hAnsi="宋体" w:eastAsia="宋体" w:cs="宋体"/>
          <w:b/>
          <w:sz w:val="32"/>
          <w:szCs w:val="32"/>
        </w:rPr>
      </w:pPr>
    </w:p>
    <w:p w14:paraId="627CD8E1">
      <w:pPr>
        <w:pStyle w:val="43"/>
        <w:ind w:left="0" w:leftChars="0" w:firstLine="0" w:firstLineChars="0"/>
        <w:rPr>
          <w:rFonts w:hint="eastAsia" w:ascii="宋体" w:hAnsi="宋体" w:eastAsia="宋体" w:cs="宋体"/>
          <w:b/>
          <w:sz w:val="32"/>
          <w:szCs w:val="32"/>
        </w:rPr>
      </w:pPr>
    </w:p>
    <w:p w14:paraId="674912A9">
      <w:pPr>
        <w:pStyle w:val="43"/>
        <w:ind w:left="0" w:leftChars="0" w:firstLine="0" w:firstLineChars="0"/>
        <w:rPr>
          <w:rFonts w:hint="eastAsia" w:ascii="宋体" w:hAnsi="宋体" w:eastAsia="宋体" w:cs="宋体"/>
          <w:b/>
          <w:sz w:val="32"/>
          <w:szCs w:val="32"/>
        </w:rPr>
      </w:pPr>
    </w:p>
    <w:p w14:paraId="0F80BDC4">
      <w:pPr>
        <w:pStyle w:val="43"/>
        <w:ind w:left="0" w:leftChars="0" w:firstLine="0" w:firstLineChars="0"/>
        <w:rPr>
          <w:rFonts w:hint="eastAsia" w:ascii="宋体" w:hAnsi="宋体" w:eastAsia="宋体" w:cs="宋体"/>
          <w:b/>
          <w:sz w:val="32"/>
          <w:szCs w:val="32"/>
        </w:rPr>
      </w:pPr>
    </w:p>
    <w:p w14:paraId="159C43EE">
      <w:pPr>
        <w:pStyle w:val="43"/>
        <w:ind w:left="0" w:leftChars="0" w:firstLine="0" w:firstLineChars="0"/>
        <w:rPr>
          <w:rFonts w:hint="eastAsia" w:ascii="宋体" w:hAnsi="宋体" w:eastAsia="宋体" w:cs="宋体"/>
          <w:b/>
          <w:sz w:val="32"/>
          <w:szCs w:val="32"/>
        </w:rPr>
      </w:pPr>
    </w:p>
    <w:p w14:paraId="2E8EAB9D">
      <w:pPr>
        <w:pStyle w:val="43"/>
        <w:ind w:left="0" w:leftChars="0" w:firstLine="0" w:firstLineChars="0"/>
        <w:rPr>
          <w:rFonts w:hint="eastAsia" w:ascii="宋体" w:hAnsi="宋体" w:eastAsia="宋体" w:cs="宋体"/>
          <w:b/>
          <w:sz w:val="32"/>
          <w:szCs w:val="32"/>
        </w:rPr>
      </w:pPr>
    </w:p>
    <w:p w14:paraId="6E2B6C8F">
      <w:pPr>
        <w:pStyle w:val="43"/>
        <w:ind w:left="0" w:leftChars="0" w:firstLine="0" w:firstLineChars="0"/>
        <w:rPr>
          <w:rFonts w:hint="eastAsia" w:ascii="宋体" w:hAnsi="宋体" w:eastAsia="宋体" w:cs="宋体"/>
          <w:b/>
          <w:sz w:val="32"/>
          <w:szCs w:val="32"/>
        </w:rPr>
      </w:pPr>
    </w:p>
    <w:p w14:paraId="48DFA451">
      <w:pPr>
        <w:pStyle w:val="43"/>
        <w:ind w:left="0" w:leftChars="0" w:firstLine="0" w:firstLineChars="0"/>
        <w:rPr>
          <w:rFonts w:hint="eastAsia" w:ascii="宋体" w:hAnsi="宋体" w:eastAsia="宋体" w:cs="宋体"/>
          <w:b/>
          <w:sz w:val="32"/>
          <w:szCs w:val="32"/>
        </w:rPr>
      </w:pPr>
    </w:p>
    <w:p w14:paraId="45A7686C">
      <w:pPr>
        <w:pStyle w:val="43"/>
        <w:ind w:left="0" w:leftChars="0" w:firstLine="0" w:firstLineChars="0"/>
        <w:rPr>
          <w:rFonts w:hint="eastAsia" w:ascii="宋体" w:hAnsi="宋体" w:eastAsia="宋体" w:cs="宋体"/>
          <w:b/>
          <w:sz w:val="32"/>
          <w:szCs w:val="32"/>
        </w:rPr>
      </w:pPr>
    </w:p>
    <w:p w14:paraId="52A341BD">
      <w:pPr>
        <w:pStyle w:val="43"/>
        <w:ind w:left="0" w:leftChars="0" w:firstLine="0" w:firstLineChars="0"/>
        <w:rPr>
          <w:rFonts w:hint="eastAsia" w:ascii="宋体" w:hAnsi="宋体" w:eastAsia="宋体" w:cs="宋体"/>
          <w:b/>
          <w:sz w:val="32"/>
          <w:szCs w:val="32"/>
        </w:rPr>
      </w:pPr>
    </w:p>
    <w:p w14:paraId="29C91A6B">
      <w:pPr>
        <w:pStyle w:val="43"/>
        <w:ind w:left="0" w:leftChars="0" w:firstLine="0" w:firstLineChars="0"/>
        <w:rPr>
          <w:rFonts w:hint="eastAsia" w:ascii="宋体" w:hAnsi="宋体" w:eastAsia="宋体" w:cs="宋体"/>
          <w:b/>
          <w:sz w:val="32"/>
          <w:szCs w:val="32"/>
        </w:rPr>
      </w:pPr>
    </w:p>
    <w:p w14:paraId="74A4F168">
      <w:pPr>
        <w:pStyle w:val="43"/>
        <w:ind w:left="0" w:leftChars="0" w:firstLine="0" w:firstLineChars="0"/>
        <w:rPr>
          <w:rFonts w:hint="eastAsia" w:ascii="宋体" w:hAnsi="宋体" w:eastAsia="宋体" w:cs="宋体"/>
          <w:b/>
          <w:sz w:val="32"/>
          <w:szCs w:val="32"/>
        </w:rPr>
      </w:pPr>
    </w:p>
    <w:p w14:paraId="6F0F1829">
      <w:pPr>
        <w:pStyle w:val="43"/>
        <w:ind w:left="0" w:leftChars="0" w:firstLine="0" w:firstLineChars="0"/>
        <w:rPr>
          <w:rFonts w:hint="eastAsia" w:ascii="宋体" w:hAnsi="宋体" w:eastAsia="宋体" w:cs="宋体"/>
          <w:b/>
          <w:sz w:val="32"/>
          <w:szCs w:val="32"/>
        </w:rPr>
      </w:pPr>
    </w:p>
    <w:p w14:paraId="7E741620">
      <w:pPr>
        <w:pageBreakBefore w:val="0"/>
        <w:tabs>
          <w:tab w:val="left" w:pos="420"/>
          <w:tab w:val="left" w:pos="7560"/>
          <w:tab w:val="left" w:pos="7740"/>
          <w:tab w:val="left" w:pos="7920"/>
        </w:tabs>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bCs/>
          <w:sz w:val="32"/>
          <w:szCs w:val="32"/>
        </w:rPr>
      </w:pPr>
      <w:r>
        <w:rPr>
          <w:rFonts w:hint="eastAsia" w:ascii="宋体" w:hAnsi="宋体" w:eastAsia="宋体" w:cs="宋体"/>
          <w:b/>
          <w:sz w:val="32"/>
          <w:szCs w:val="32"/>
        </w:rPr>
        <w:t>第四章</w:t>
      </w:r>
      <w:r>
        <w:rPr>
          <w:rFonts w:hint="eastAsia" w:ascii="宋体" w:hAnsi="宋体" w:eastAsia="宋体" w:cs="宋体"/>
          <w:b/>
          <w:bCs/>
          <w:sz w:val="32"/>
          <w:szCs w:val="32"/>
        </w:rPr>
        <w:t>政府采购合同格式</w:t>
      </w:r>
      <w:bookmarkEnd w:id="7"/>
    </w:p>
    <w:p w14:paraId="2BE59D98">
      <w:pPr>
        <w:pageBreakBefore w:val="0"/>
        <w:kinsoku/>
        <w:wordWrap/>
        <w:overflowPunct/>
        <w:bidi w:val="0"/>
        <w:spacing w:beforeAutospacing="0" w:afterAutospacing="0" w:line="500" w:lineRule="exact"/>
        <w:jc w:val="center"/>
        <w:textAlignment w:val="auto"/>
        <w:rPr>
          <w:rFonts w:hint="eastAsia" w:ascii="宋体" w:hAnsi="宋体" w:eastAsia="宋体" w:cs="宋体"/>
          <w:b/>
          <w:bCs/>
          <w:sz w:val="32"/>
          <w:szCs w:val="32"/>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lang w:eastAsia="zh-CN"/>
        </w:rPr>
        <w:t>第一节</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政府采购合同协议书</w:t>
      </w:r>
    </w:p>
    <w:p w14:paraId="01680BCC">
      <w:pPr>
        <w:pStyle w:val="262"/>
        <w:pageBreakBefore w:val="0"/>
        <w:kinsoku/>
        <w:wordWrap/>
        <w:overflowPunct/>
        <w:bidi w:val="0"/>
        <w:spacing w:beforeAutospacing="0" w:afterAutospacing="0" w:line="500" w:lineRule="exact"/>
        <w:ind w:firstLine="5968" w:firstLineChars="2487"/>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采购合同编号：</w:t>
      </w:r>
    </w:p>
    <w:p w14:paraId="2EF05223">
      <w:pPr>
        <w:pageBreakBefore w:val="0"/>
        <w:kinsoku/>
        <w:wordWrap/>
        <w:overflowPunct/>
        <w:bidi w:val="0"/>
        <w:spacing w:line="360" w:lineRule="auto"/>
        <w:textAlignment w:val="auto"/>
        <w:rPr>
          <w:rFonts w:hint="default" w:asciiTheme="majorEastAsia" w:hAnsiTheme="majorEastAsia" w:eastAsiaTheme="majorEastAsia" w:cstheme="majorEastAsia"/>
          <w:sz w:val="24"/>
          <w:szCs w:val="24"/>
          <w:u w:val="single"/>
          <w:lang w:val="en-US" w:eastAsia="zh-CN"/>
        </w:rPr>
      </w:pPr>
      <w:r>
        <w:rPr>
          <w:rFonts w:hint="eastAsia" w:asciiTheme="majorEastAsia" w:hAnsiTheme="majorEastAsia" w:eastAsiaTheme="majorEastAsia" w:cstheme="majorEastAsia"/>
          <w:sz w:val="24"/>
          <w:szCs w:val="24"/>
        </w:rPr>
        <w:t>采购人（全称）：（甲方）</w:t>
      </w:r>
      <w:r>
        <w:rPr>
          <w:rFonts w:hint="eastAsia" w:asciiTheme="majorEastAsia" w:hAnsiTheme="majorEastAsia" w:eastAsiaTheme="majorEastAsia" w:cstheme="majorEastAsia"/>
          <w:sz w:val="24"/>
          <w:szCs w:val="24"/>
          <w:u w:val="single"/>
          <w:lang w:val="en-US" w:eastAsia="zh-CN"/>
        </w:rPr>
        <w:t xml:space="preserve">                                 </w:t>
      </w:r>
    </w:p>
    <w:p w14:paraId="191C3C2E">
      <w:pPr>
        <w:pageBreakBefore w:val="0"/>
        <w:kinsoku/>
        <w:wordWrap/>
        <w:overflowPunct/>
        <w:bidi w:val="0"/>
        <w:spacing w:line="360" w:lineRule="auto"/>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供应商（全称）：（乙方）</w:t>
      </w:r>
      <w:r>
        <w:rPr>
          <w:rFonts w:hint="eastAsia" w:asciiTheme="majorEastAsia" w:hAnsiTheme="majorEastAsia" w:eastAsiaTheme="majorEastAsia" w:cstheme="majorEastAsia"/>
          <w:sz w:val="24"/>
          <w:szCs w:val="24"/>
          <w:u w:val="single"/>
          <w:lang w:val="en-US" w:eastAsia="zh-CN"/>
        </w:rPr>
        <w:t xml:space="preserve">                                 </w:t>
      </w:r>
    </w:p>
    <w:p w14:paraId="657885FC">
      <w:pPr>
        <w:pStyle w:val="40"/>
        <w:pageBreakBefore w:val="0"/>
        <w:kinsoku/>
        <w:wordWrap/>
        <w:overflowPunct/>
        <w:bidi w:val="0"/>
        <w:spacing w:after="120"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为了保护甲、乙双方合法权益，根据《中华人民共和国合同法》、《中华人民共和国政府采购法》及其他有关法律、法规、规章，双方签订本合同协议书。</w:t>
      </w:r>
    </w:p>
    <w:p w14:paraId="1AF3657C">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1.项目信息</w:t>
      </w:r>
    </w:p>
    <w:p w14:paraId="025EFF4C">
      <w:pPr>
        <w:pStyle w:val="40"/>
        <w:pageBreakBefore w:val="0"/>
        <w:kinsoku/>
        <w:wordWrap/>
        <w:overflowPunct/>
        <w:bidi w:val="0"/>
        <w:spacing w:after="120" w:line="360" w:lineRule="auto"/>
        <w:textAlignment w:val="auto"/>
        <w:rPr>
          <w:rFonts w:hint="eastAsia" w:asciiTheme="majorEastAsia" w:hAnsiTheme="majorEastAsia" w:eastAsiaTheme="majorEastAsia" w:cstheme="majorEastAsia"/>
          <w:sz w:val="24"/>
          <w:szCs w:val="24"/>
          <w:u w:val="single"/>
        </w:rPr>
      </w:pPr>
      <w:r>
        <w:rPr>
          <w:rFonts w:hint="eastAsia" w:asciiTheme="majorEastAsia" w:hAnsiTheme="majorEastAsia" w:eastAsiaTheme="majorEastAsia" w:cstheme="majorEastAsia"/>
          <w:sz w:val="24"/>
          <w:szCs w:val="24"/>
        </w:rPr>
        <w:t>（1）采购项目名称：</w:t>
      </w:r>
      <w:r>
        <w:rPr>
          <w:rFonts w:hint="eastAsia" w:asciiTheme="majorEastAsia" w:hAnsiTheme="majorEastAsia" w:eastAsiaTheme="majorEastAsia" w:cstheme="majorEastAsia"/>
          <w:sz w:val="24"/>
          <w:szCs w:val="24"/>
          <w:u w:val="single"/>
          <w:lang w:val="en-US" w:eastAsia="zh-CN"/>
        </w:rPr>
        <w:t xml:space="preserve">                                 </w:t>
      </w:r>
    </w:p>
    <w:p w14:paraId="68078270">
      <w:pPr>
        <w:pStyle w:val="40"/>
        <w:pageBreakBefore w:val="0"/>
        <w:kinsoku/>
        <w:wordWrap/>
        <w:overflowPunct/>
        <w:bidi w:val="0"/>
        <w:spacing w:after="120" w:line="360" w:lineRule="auto"/>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sz w:val="24"/>
          <w:szCs w:val="24"/>
        </w:rPr>
        <w:t>（2）采购计划编号：</w:t>
      </w:r>
      <w:r>
        <w:rPr>
          <w:rFonts w:hint="eastAsia" w:asciiTheme="majorEastAsia" w:hAnsiTheme="majorEastAsia" w:eastAsiaTheme="majorEastAsia" w:cstheme="majorEastAsia"/>
          <w:sz w:val="24"/>
          <w:szCs w:val="24"/>
          <w:u w:val="single"/>
          <w:lang w:val="en-US" w:eastAsia="zh-CN"/>
        </w:rPr>
        <w:t xml:space="preserve">                                 </w:t>
      </w:r>
    </w:p>
    <w:p w14:paraId="3043F131">
      <w:pPr>
        <w:pageBreakBefore w:val="0"/>
        <w:kinsoku/>
        <w:wordWrap/>
        <w:overflowPunct/>
        <w:bidi w:val="0"/>
        <w:spacing w:line="360" w:lineRule="auto"/>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sz w:val="24"/>
          <w:szCs w:val="24"/>
        </w:rPr>
        <w:t>（3）项目内容：</w:t>
      </w:r>
      <w:r>
        <w:rPr>
          <w:rFonts w:hint="eastAsia" w:asciiTheme="majorEastAsia" w:hAnsiTheme="majorEastAsia" w:eastAsiaTheme="majorEastAsia" w:cstheme="majorEastAsia"/>
          <w:sz w:val="24"/>
          <w:szCs w:val="24"/>
          <w:u w:val="single"/>
          <w:lang w:val="en-US" w:eastAsia="zh-CN"/>
        </w:rPr>
        <w:t xml:space="preserve">                                 </w:t>
      </w:r>
    </w:p>
    <w:p w14:paraId="3C2A8853">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（4）项目负责人：</w:t>
      </w:r>
      <w:r>
        <w:rPr>
          <w:rFonts w:hint="eastAsia" w:asciiTheme="majorEastAsia" w:hAnsiTheme="majorEastAsia" w:eastAsiaTheme="majorEastAsia" w:cstheme="majorEastAsia"/>
          <w:sz w:val="24"/>
          <w:szCs w:val="24"/>
          <w:u w:val="single"/>
          <w:lang w:val="en-US" w:eastAsia="zh-CN"/>
        </w:rPr>
        <w:t xml:space="preserve">                                 </w:t>
      </w:r>
    </w:p>
    <w:p w14:paraId="3BBA9AD1">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2.合同金额</w:t>
      </w:r>
    </w:p>
    <w:p w14:paraId="00BC2413">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（1）合同金额小写：</w:t>
      </w:r>
      <w:r>
        <w:rPr>
          <w:rFonts w:hint="eastAsia" w:asciiTheme="majorEastAsia" w:hAnsiTheme="majorEastAsia" w:eastAsiaTheme="majorEastAsia" w:cstheme="majorEastAsia"/>
          <w:sz w:val="24"/>
          <w:szCs w:val="24"/>
          <w:u w:val="single"/>
          <w:lang w:val="en-US" w:eastAsia="zh-CN"/>
        </w:rPr>
        <w:t xml:space="preserve">                                 </w:t>
      </w:r>
    </w:p>
    <w:p w14:paraId="1C764BF6">
      <w:pPr>
        <w:pageBreakBefore w:val="0"/>
        <w:kinsoku/>
        <w:wordWrap/>
        <w:overflowPunct/>
        <w:bidi w:val="0"/>
        <w:spacing w:line="360" w:lineRule="auto"/>
        <w:ind w:firstLine="600" w:firstLineChars="250"/>
        <w:textAlignment w:val="auto"/>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sz w:val="24"/>
          <w:szCs w:val="24"/>
        </w:rPr>
        <w:t>大写：</w:t>
      </w:r>
      <w:r>
        <w:rPr>
          <w:rFonts w:hint="eastAsia" w:asciiTheme="majorEastAsia" w:hAnsiTheme="majorEastAsia" w:eastAsiaTheme="majorEastAsia" w:cstheme="majorEastAsia"/>
          <w:sz w:val="24"/>
          <w:szCs w:val="24"/>
          <w:u w:val="single"/>
          <w:lang w:val="en-US" w:eastAsia="zh-CN"/>
        </w:rPr>
        <w:t xml:space="preserve">                                 </w:t>
      </w:r>
    </w:p>
    <w:p w14:paraId="3A10FB71">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（2）具体标的见附件。</w:t>
      </w:r>
    </w:p>
    <w:p w14:paraId="585609B0">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（3）合同价格形式：</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w:t>
      </w:r>
    </w:p>
    <w:p w14:paraId="00D6CB65">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u w:val="single"/>
        </w:rPr>
      </w:pPr>
      <w:r>
        <w:rPr>
          <w:rFonts w:hint="eastAsia" w:asciiTheme="majorEastAsia" w:hAnsiTheme="majorEastAsia" w:eastAsiaTheme="majorEastAsia" w:cstheme="majorEastAsia"/>
          <w:sz w:val="24"/>
          <w:szCs w:val="24"/>
        </w:rPr>
        <w:t>3.履行合同的时间、地点及方式</w:t>
      </w:r>
    </w:p>
    <w:p w14:paraId="74A6EE75">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起始日期：</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日，完成日期：</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日。总日历天数：</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天。</w:t>
      </w:r>
    </w:p>
    <w:p w14:paraId="581F3BBD">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u w:val="single"/>
          <w:lang w:val="en-US" w:eastAsia="zh-CN"/>
        </w:rPr>
      </w:pPr>
      <w:r>
        <w:rPr>
          <w:rFonts w:hint="eastAsia" w:asciiTheme="majorEastAsia" w:hAnsiTheme="majorEastAsia" w:eastAsiaTheme="majorEastAsia" w:cstheme="majorEastAsia"/>
          <w:sz w:val="24"/>
          <w:szCs w:val="24"/>
        </w:rPr>
        <w:t>地点</w:t>
      </w:r>
      <w:r>
        <w:rPr>
          <w:rFonts w:hint="eastAsia" w:asciiTheme="majorEastAsia" w:hAnsiTheme="majorEastAsia" w:eastAsiaTheme="majorEastAsia" w:cstheme="majorEastAsia"/>
          <w:b/>
          <w:sz w:val="24"/>
          <w:szCs w:val="24"/>
        </w:rPr>
        <w:t>：</w:t>
      </w:r>
      <w:r>
        <w:rPr>
          <w:rFonts w:hint="eastAsia" w:asciiTheme="majorEastAsia" w:hAnsiTheme="majorEastAsia" w:eastAsiaTheme="majorEastAsia" w:cstheme="majorEastAsia"/>
          <w:sz w:val="24"/>
          <w:szCs w:val="24"/>
          <w:u w:val="single"/>
          <w:lang w:val="en-US" w:eastAsia="zh-CN"/>
        </w:rPr>
        <w:t xml:space="preserve">            </w:t>
      </w:r>
    </w:p>
    <w:p w14:paraId="661CB6CD">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u w:val="single"/>
          <w:lang w:val="en-US" w:eastAsia="zh-CN"/>
        </w:rPr>
      </w:pPr>
      <w:r>
        <w:rPr>
          <w:rFonts w:hint="eastAsia" w:asciiTheme="majorEastAsia" w:hAnsiTheme="majorEastAsia" w:eastAsiaTheme="majorEastAsia" w:cstheme="majorEastAsia"/>
          <w:sz w:val="24"/>
          <w:szCs w:val="24"/>
        </w:rPr>
        <w:t>方式：</w:t>
      </w:r>
      <w:r>
        <w:rPr>
          <w:rFonts w:hint="eastAsia" w:asciiTheme="majorEastAsia" w:hAnsiTheme="majorEastAsia" w:eastAsiaTheme="majorEastAsia" w:cstheme="majorEastAsia"/>
          <w:sz w:val="24"/>
          <w:szCs w:val="24"/>
          <w:u w:val="single"/>
          <w:lang w:val="en-US" w:eastAsia="zh-CN"/>
        </w:rPr>
        <w:t xml:space="preserve">           </w:t>
      </w:r>
    </w:p>
    <w:p w14:paraId="6DB41963">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4.付款：</w:t>
      </w:r>
    </w:p>
    <w:p w14:paraId="32F65FB1">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5.解决合同纠纷方式</w:t>
      </w:r>
    </w:p>
    <w:p w14:paraId="7A54D523">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首先通过双方协商解决，协商解决不成，则通过以下途径之一解决纠纷：</w:t>
      </w:r>
    </w:p>
    <w:p w14:paraId="36999152">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□提请仲裁</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□向人民法院提起诉讼</w:t>
      </w:r>
    </w:p>
    <w:p w14:paraId="2BB98A8E">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6.组成合同的文件</w:t>
      </w:r>
    </w:p>
    <w:p w14:paraId="6CC5AFCF">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本协议书与下列文件一起构成合同文件，如下述文件之间有任何抵触、矛盾或歧义，应按以下顺序解释：</w:t>
      </w:r>
    </w:p>
    <w:p w14:paraId="38F2B594">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（1）在采购或合同履行过程中乙方作出的承诺以及双方协商达成的变更或补充协议</w:t>
      </w:r>
    </w:p>
    <w:p w14:paraId="4754AAA2">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（2）成交通知书</w:t>
      </w:r>
    </w:p>
    <w:p w14:paraId="477E3C7E">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（3）响应文件</w:t>
      </w:r>
    </w:p>
    <w:p w14:paraId="0E3CFF8D">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（4）政府采购合同格式条款及其附件</w:t>
      </w:r>
    </w:p>
    <w:p w14:paraId="7D2CD875">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（5）专用合同条款</w:t>
      </w:r>
    </w:p>
    <w:p w14:paraId="5C9F5592">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（6）通用合同条款（如果有）</w:t>
      </w:r>
    </w:p>
    <w:p w14:paraId="04EB7551">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（7）标准、规范及有关技术文件，图纸，已标价工程量清单或预算书（如果有）</w:t>
      </w:r>
    </w:p>
    <w:p w14:paraId="35798A8A">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（8）其他合同文件。</w:t>
      </w:r>
    </w:p>
    <w:p w14:paraId="461C0F33">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7.合同生效</w:t>
      </w:r>
    </w:p>
    <w:p w14:paraId="2CAF510C">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本合同自</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生效。</w:t>
      </w:r>
    </w:p>
    <w:p w14:paraId="159A08AF">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8.合同份数</w:t>
      </w:r>
    </w:p>
    <w:p w14:paraId="5B172477">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本合同一式</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份，采购人执</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份，供应商执</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份，均具有同等法律效力。</w:t>
      </w:r>
    </w:p>
    <w:p w14:paraId="2FB4CEBB">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p>
    <w:p w14:paraId="23E941AA">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合同订立时间：</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w:t>
      </w:r>
    </w:p>
    <w:p w14:paraId="24352278">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p>
    <w:p w14:paraId="323A2343">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合同订立地点：</w:t>
      </w:r>
      <w:r>
        <w:rPr>
          <w:rFonts w:hint="eastAsia" w:asciiTheme="majorEastAsia" w:hAnsiTheme="majorEastAsia" w:eastAsiaTheme="majorEastAsia" w:cstheme="majorEastAsia"/>
          <w:sz w:val="24"/>
          <w:szCs w:val="24"/>
          <w:u w:val="single"/>
          <w:lang w:val="en-US" w:eastAsia="zh-CN"/>
        </w:rPr>
        <w:t xml:space="preserve">              </w:t>
      </w:r>
    </w:p>
    <w:tbl>
      <w:tblPr>
        <w:tblStyle w:val="45"/>
        <w:tblpPr w:leftFromText="180" w:rightFromText="180" w:vertAnchor="text" w:horzAnchor="page" w:tblpX="1520" w:tblpY="382"/>
        <w:tblOverlap w:val="never"/>
        <w:tblW w:w="8955" w:type="dxa"/>
        <w:tblInd w:w="0" w:type="dxa"/>
        <w:tblLayout w:type="fixed"/>
        <w:tblCellMar>
          <w:top w:w="0" w:type="dxa"/>
          <w:left w:w="108" w:type="dxa"/>
          <w:bottom w:w="0" w:type="dxa"/>
          <w:right w:w="108" w:type="dxa"/>
        </w:tblCellMar>
      </w:tblPr>
      <w:tblGrid>
        <w:gridCol w:w="4876"/>
        <w:gridCol w:w="4079"/>
      </w:tblGrid>
      <w:tr w14:paraId="043167D8">
        <w:tblPrEx>
          <w:tblCellMar>
            <w:top w:w="0" w:type="dxa"/>
            <w:left w:w="108" w:type="dxa"/>
            <w:bottom w:w="0" w:type="dxa"/>
            <w:right w:w="108" w:type="dxa"/>
          </w:tblCellMar>
        </w:tblPrEx>
        <w:trPr>
          <w:cantSplit/>
          <w:trHeight w:val="3469" w:hRule="atLeast"/>
        </w:trPr>
        <w:tc>
          <w:tcPr>
            <w:tcW w:w="4874" w:type="dxa"/>
            <w:shd w:val="clear" w:color="auto" w:fill="auto"/>
          </w:tcPr>
          <w:p w14:paraId="3DB81C3D">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甲方（盖章）：</w:t>
            </w:r>
          </w:p>
          <w:p w14:paraId="09FE6DED">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法定代表人：</w:t>
            </w:r>
          </w:p>
          <w:p w14:paraId="17A7BDCB">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委托代理人：</w:t>
            </w:r>
          </w:p>
          <w:p w14:paraId="3FF91BB4">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u w:val="single"/>
              </w:rPr>
            </w:pPr>
            <w:r>
              <w:rPr>
                <w:rFonts w:hint="eastAsia" w:asciiTheme="majorEastAsia" w:hAnsiTheme="majorEastAsia" w:eastAsiaTheme="majorEastAsia" w:cstheme="majorEastAsia"/>
                <w:sz w:val="24"/>
                <w:szCs w:val="24"/>
              </w:rPr>
              <w:t>联系电话：</w:t>
            </w:r>
          </w:p>
          <w:p w14:paraId="4E49C52B">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u w:val="single"/>
              </w:rPr>
            </w:pPr>
            <w:r>
              <w:rPr>
                <w:rFonts w:hint="eastAsia" w:asciiTheme="majorEastAsia" w:hAnsiTheme="majorEastAsia" w:eastAsiaTheme="majorEastAsia" w:cstheme="majorEastAsia"/>
                <w:sz w:val="24"/>
                <w:szCs w:val="24"/>
              </w:rPr>
              <w:t>单位地址：</w:t>
            </w:r>
          </w:p>
          <w:p w14:paraId="04D9DBC5">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p>
        </w:tc>
        <w:tc>
          <w:tcPr>
            <w:tcW w:w="4078" w:type="dxa"/>
            <w:shd w:val="clear" w:color="auto" w:fill="auto"/>
          </w:tcPr>
          <w:p w14:paraId="7C2D3244">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乙方（盖章）：</w:t>
            </w:r>
          </w:p>
          <w:p w14:paraId="35F79D43">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法定代表人：</w:t>
            </w:r>
          </w:p>
          <w:p w14:paraId="72688255">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委托代理人：</w:t>
            </w:r>
          </w:p>
          <w:p w14:paraId="06B8A768">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u w:val="single"/>
              </w:rPr>
            </w:pPr>
            <w:r>
              <w:rPr>
                <w:rFonts w:hint="eastAsia" w:asciiTheme="majorEastAsia" w:hAnsiTheme="majorEastAsia" w:eastAsiaTheme="majorEastAsia" w:cstheme="majorEastAsia"/>
                <w:sz w:val="24"/>
                <w:szCs w:val="24"/>
              </w:rPr>
              <w:t>联系电话：</w:t>
            </w:r>
          </w:p>
          <w:p w14:paraId="18233FE3">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u w:val="single"/>
              </w:rPr>
            </w:pPr>
            <w:r>
              <w:rPr>
                <w:rFonts w:hint="eastAsia" w:asciiTheme="majorEastAsia" w:hAnsiTheme="majorEastAsia" w:eastAsiaTheme="majorEastAsia" w:cstheme="majorEastAsia"/>
                <w:sz w:val="24"/>
                <w:szCs w:val="24"/>
              </w:rPr>
              <w:t>单位地址：</w:t>
            </w:r>
          </w:p>
          <w:p w14:paraId="31995127">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u w:val="single"/>
              </w:rPr>
            </w:pPr>
            <w:r>
              <w:rPr>
                <w:rFonts w:hint="eastAsia" w:asciiTheme="majorEastAsia" w:hAnsiTheme="majorEastAsia" w:eastAsiaTheme="majorEastAsia" w:cstheme="majorEastAsia"/>
                <w:sz w:val="24"/>
                <w:szCs w:val="24"/>
              </w:rPr>
              <w:t>开户银行：</w:t>
            </w:r>
          </w:p>
          <w:p w14:paraId="51D66A0F">
            <w:pPr>
              <w:pageBreakBefore w:val="0"/>
              <w:kinsoku/>
              <w:wordWrap/>
              <w:overflowPunct/>
              <w:bidi w:val="0"/>
              <w:spacing w:line="360" w:lineRule="auto"/>
              <w:textAlignment w:val="auto"/>
              <w:rPr>
                <w:rFonts w:hint="eastAsia" w:asciiTheme="majorEastAsia" w:hAnsiTheme="majorEastAsia" w:eastAsiaTheme="majorEastAsia" w:cstheme="majorEastAsia"/>
                <w:sz w:val="24"/>
                <w:szCs w:val="24"/>
                <w:u w:val="single"/>
              </w:rPr>
            </w:pPr>
            <w:r>
              <w:rPr>
                <w:rFonts w:hint="eastAsia" w:asciiTheme="majorEastAsia" w:hAnsiTheme="majorEastAsia" w:eastAsiaTheme="majorEastAsia" w:cstheme="majorEastAsia"/>
                <w:sz w:val="24"/>
                <w:szCs w:val="24"/>
              </w:rPr>
              <w:t>账号：</w:t>
            </w:r>
          </w:p>
        </w:tc>
      </w:tr>
    </w:tbl>
    <w:p w14:paraId="1B7FC292">
      <w:pPr>
        <w:pStyle w:val="2"/>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asciiTheme="majorEastAsia" w:hAnsiTheme="majorEastAsia" w:eastAsiaTheme="majorEastAsia" w:cstheme="majorEastAsia"/>
          <w:color w:val="000000"/>
          <w:sz w:val="32"/>
          <w:szCs w:val="32"/>
          <w:highlight w:val="none"/>
        </w:rPr>
      </w:pPr>
      <w:bookmarkStart w:id="8" w:name="_Toc8566"/>
      <w:bookmarkStart w:id="9" w:name="_Toc22719"/>
      <w:bookmarkStart w:id="10" w:name="_Toc32558"/>
    </w:p>
    <w:p w14:paraId="6D23FE8D">
      <w:pPr>
        <w:pStyle w:val="2"/>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asciiTheme="majorEastAsia" w:hAnsiTheme="majorEastAsia" w:eastAsiaTheme="majorEastAsia" w:cstheme="majorEastAsia"/>
          <w:color w:val="000000"/>
          <w:sz w:val="32"/>
          <w:szCs w:val="32"/>
          <w:highlight w:val="none"/>
        </w:rPr>
      </w:pPr>
    </w:p>
    <w:p w14:paraId="103766F3">
      <w:pPr>
        <w:pStyle w:val="2"/>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asciiTheme="majorEastAsia" w:hAnsiTheme="majorEastAsia" w:eastAsiaTheme="majorEastAsia" w:cstheme="majorEastAsia"/>
          <w:color w:val="000000"/>
          <w:sz w:val="32"/>
          <w:szCs w:val="32"/>
          <w:highlight w:val="none"/>
        </w:rPr>
      </w:pPr>
    </w:p>
    <w:bookmarkEnd w:id="8"/>
    <w:bookmarkEnd w:id="9"/>
    <w:bookmarkEnd w:id="10"/>
    <w:p w14:paraId="27BFE908">
      <w:pPr>
        <w:pageBreakBefore w:val="0"/>
        <w:tabs>
          <w:tab w:val="left" w:pos="8820"/>
          <w:tab w:val="left" w:pos="9345"/>
          <w:tab w:val="left" w:pos="9765"/>
        </w:tabs>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
          <w:color w:val="000000"/>
          <w:sz w:val="24"/>
          <w:szCs w:val="24"/>
          <w:highlight w:val="none"/>
        </w:rPr>
      </w:pPr>
    </w:p>
    <w:p w14:paraId="0734EC51">
      <w:pPr>
        <w:pStyle w:val="2"/>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ajorEastAsia" w:hAnsiTheme="majorEastAsia" w:eastAsiaTheme="majorEastAsia" w:cstheme="majorEastAsia"/>
          <w:color w:val="000000"/>
          <w:sz w:val="32"/>
          <w:szCs w:val="32"/>
          <w:highlight w:val="none"/>
        </w:rPr>
      </w:pPr>
    </w:p>
    <w:p w14:paraId="06A65CBF">
      <w:pPr>
        <w:pStyle w:val="2"/>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ajorEastAsia" w:hAnsiTheme="majorEastAsia" w:eastAsiaTheme="majorEastAsia" w:cstheme="majorEastAsia"/>
          <w:color w:val="000000"/>
          <w:sz w:val="32"/>
          <w:szCs w:val="32"/>
          <w:highlight w:val="none"/>
        </w:rPr>
      </w:pPr>
      <w:r>
        <w:rPr>
          <w:rFonts w:hint="eastAsia" w:asciiTheme="majorEastAsia" w:hAnsiTheme="majorEastAsia" w:eastAsiaTheme="majorEastAsia" w:cstheme="majorEastAsia"/>
          <w:color w:val="000000"/>
          <w:sz w:val="32"/>
          <w:szCs w:val="32"/>
          <w:highlight w:val="none"/>
        </w:rPr>
        <w:t>第二节 政府采购合同通用条款</w:t>
      </w:r>
    </w:p>
    <w:p w14:paraId="4E4E4B1C">
      <w:pPr>
        <w:pageBreakBefore w:val="0"/>
        <w:tabs>
          <w:tab w:val="left" w:pos="8820"/>
          <w:tab w:val="left" w:pos="9345"/>
          <w:tab w:val="left" w:pos="9765"/>
        </w:tabs>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
          <w:bCs/>
          <w:color w:val="000000"/>
          <w:sz w:val="24"/>
          <w:szCs w:val="24"/>
          <w:highlight w:val="none"/>
        </w:rPr>
      </w:pPr>
      <w:r>
        <w:rPr>
          <w:rFonts w:hint="eastAsia" w:asciiTheme="majorEastAsia" w:hAnsiTheme="majorEastAsia" w:eastAsiaTheme="majorEastAsia" w:cstheme="majorEastAsia"/>
          <w:b/>
          <w:color w:val="000000"/>
          <w:sz w:val="24"/>
          <w:szCs w:val="24"/>
          <w:highlight w:val="none"/>
        </w:rPr>
        <w:t>1.</w:t>
      </w:r>
      <w:r>
        <w:rPr>
          <w:rFonts w:hint="eastAsia" w:asciiTheme="majorEastAsia" w:hAnsiTheme="majorEastAsia" w:eastAsiaTheme="majorEastAsia" w:cstheme="majorEastAsia"/>
          <w:b/>
          <w:bCs/>
          <w:color w:val="000000"/>
          <w:sz w:val="24"/>
          <w:szCs w:val="24"/>
          <w:highlight w:val="none"/>
        </w:rPr>
        <w:t>定义</w:t>
      </w:r>
    </w:p>
    <w:p w14:paraId="4BF8847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color w:val="000000"/>
          <w:sz w:val="24"/>
          <w:szCs w:val="24"/>
          <w:highlight w:val="none"/>
        </w:rPr>
      </w:pPr>
      <w:r>
        <w:rPr>
          <w:rFonts w:hint="eastAsia" w:asciiTheme="majorEastAsia" w:hAnsiTheme="majorEastAsia" w:eastAsiaTheme="majorEastAsia" w:cstheme="majorEastAsia"/>
          <w:color w:val="000000"/>
          <w:sz w:val="24"/>
          <w:szCs w:val="24"/>
          <w:highlight w:val="none"/>
        </w:rPr>
        <w:t>1.1合同当事人</w:t>
      </w:r>
    </w:p>
    <w:p w14:paraId="34B704A7">
      <w:pPr>
        <w:pageBreakBefore w:val="0"/>
        <w:numPr>
          <w:ilvl w:val="0"/>
          <w:numId w:val="2"/>
        </w:numPr>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color w:val="000000"/>
          <w:sz w:val="24"/>
          <w:szCs w:val="24"/>
          <w:highlight w:val="none"/>
        </w:rPr>
      </w:pPr>
      <w:r>
        <w:rPr>
          <w:rFonts w:hint="eastAsia" w:asciiTheme="majorEastAsia" w:hAnsiTheme="majorEastAsia" w:eastAsiaTheme="majorEastAsia" w:cstheme="majorEastAsia"/>
          <w:color w:val="000000"/>
          <w:sz w:val="24"/>
          <w:szCs w:val="24"/>
          <w:highlight w:val="none"/>
        </w:rPr>
        <w:t>采购人（以下称甲方）是指使用财政性资金，通过政府采购程序向供应商购买货物、服务的国家机关、事业单位、团体组织。</w:t>
      </w:r>
    </w:p>
    <w:p w14:paraId="27A0B860">
      <w:pPr>
        <w:pageBreakBefore w:val="0"/>
        <w:numPr>
          <w:ilvl w:val="0"/>
          <w:numId w:val="0"/>
        </w:numPr>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sz w:val="24"/>
          <w:szCs w:val="24"/>
          <w:highlight w:val="none"/>
        </w:rPr>
        <w:t>（2）供应商（以下称乙方）是指参加政府采购活动而取得中标结果，并向采购人提供货物、服务的法人、其他组织或者自然人。</w:t>
      </w:r>
    </w:p>
    <w:p w14:paraId="79403D37">
      <w:pPr>
        <w:pageBreakBefore w:val="0"/>
        <w:tabs>
          <w:tab w:val="left" w:pos="570"/>
          <w:tab w:val="left" w:pos="9240"/>
          <w:tab w:val="left" w:pos="9555"/>
        </w:tabs>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1.2本合同下列术语应解释为：</w:t>
      </w:r>
    </w:p>
    <w:p w14:paraId="6D87A465">
      <w:pPr>
        <w:pageBreakBefore w:val="0"/>
        <w:tabs>
          <w:tab w:val="left" w:pos="570"/>
          <w:tab w:val="left" w:pos="9240"/>
          <w:tab w:val="left" w:pos="9555"/>
        </w:tabs>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（1）“合同”系指甲乙双方签署的、政府采购合同协议书中载明的甲乙双方所达成的协议，包括所有的附件、附录和上述文件所提到的构成合同的所有文件。</w:t>
      </w:r>
    </w:p>
    <w:p w14:paraId="34360B5D">
      <w:pPr>
        <w:pageBreakBefore w:val="0"/>
        <w:tabs>
          <w:tab w:val="left" w:pos="570"/>
          <w:tab w:val="left" w:pos="9240"/>
          <w:tab w:val="left" w:pos="9555"/>
        </w:tabs>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（2）“合同价”系指根据本合同规定乙方在正确地完全履行合同义务后甲方应支付给乙方的价款。</w:t>
      </w:r>
    </w:p>
    <w:p w14:paraId="4D9D87B5">
      <w:pPr>
        <w:pageBreakBefore w:val="0"/>
        <w:tabs>
          <w:tab w:val="left" w:pos="570"/>
          <w:tab w:val="left" w:pos="9240"/>
          <w:tab w:val="left" w:pos="9555"/>
        </w:tabs>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（3）“货物”系指乙方根据本合同规定须向甲方提供的各种形态和种类的物品，包括原材料、设备、产品（包括软件）及相关的其备品备件、工具、手册及其它技术资料和材料。</w:t>
      </w:r>
    </w:p>
    <w:p w14:paraId="1CB26344">
      <w:pPr>
        <w:pageBreakBefore w:val="0"/>
        <w:tabs>
          <w:tab w:val="left" w:pos="570"/>
          <w:tab w:val="left" w:pos="8880"/>
          <w:tab w:val="left" w:pos="9555"/>
        </w:tabs>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0DD3BD28">
      <w:pPr>
        <w:pageBreakBefore w:val="0"/>
        <w:tabs>
          <w:tab w:val="left" w:pos="570"/>
          <w:tab w:val="left" w:pos="9240"/>
          <w:tab w:val="left" w:pos="9555"/>
        </w:tabs>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（5）“合同条款”系指本合同条款。</w:t>
      </w:r>
    </w:p>
    <w:p w14:paraId="706FDEA7">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rPr>
        <w:t>2.合同的适用范围</w:t>
      </w:r>
    </w:p>
    <w:p w14:paraId="5FC26AED">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2.1 本合同条款适用于没有被本合同其他部分的条款所取代的范围。</w:t>
      </w:r>
    </w:p>
    <w:p w14:paraId="37AACC13">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2.2 合同内容根据招标文件、投标文件而确定。</w:t>
      </w:r>
    </w:p>
    <w:p w14:paraId="6E5930EA">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3.</w:t>
      </w:r>
      <w:r>
        <w:rPr>
          <w:rFonts w:hint="eastAsia" w:asciiTheme="majorEastAsia" w:hAnsiTheme="majorEastAsia" w:eastAsiaTheme="majorEastAsia" w:cstheme="majorEastAsia"/>
          <w:b/>
          <w:sz w:val="24"/>
          <w:szCs w:val="24"/>
          <w:highlight w:val="none"/>
        </w:rPr>
        <w:t>合同标的及金额</w:t>
      </w:r>
    </w:p>
    <w:p w14:paraId="7C744536">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3.1 合同标的及金额应与中标结果一致。</w:t>
      </w:r>
    </w:p>
    <w:p w14:paraId="7752B291">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4.</w:t>
      </w:r>
      <w:r>
        <w:rPr>
          <w:rFonts w:hint="eastAsia" w:asciiTheme="majorEastAsia" w:hAnsiTheme="majorEastAsia" w:eastAsiaTheme="majorEastAsia" w:cstheme="majorEastAsia"/>
          <w:b/>
          <w:sz w:val="24"/>
          <w:szCs w:val="24"/>
          <w:highlight w:val="none"/>
        </w:rPr>
        <w:t>合同价款</w:t>
      </w:r>
    </w:p>
    <w:p w14:paraId="12BBF366">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
          <w:bCs/>
          <w:i/>
          <w:iCs/>
          <w:sz w:val="24"/>
          <w:szCs w:val="24"/>
          <w:highlight w:val="none"/>
        </w:rPr>
      </w:pPr>
      <w:r>
        <w:rPr>
          <w:rFonts w:hint="eastAsia" w:asciiTheme="majorEastAsia" w:hAnsiTheme="majorEastAsia" w:eastAsiaTheme="majorEastAsia" w:cstheme="majorEastAsia"/>
          <w:sz w:val="24"/>
          <w:szCs w:val="24"/>
          <w:highlight w:val="none"/>
        </w:rPr>
        <w:t>4.1具体合同价款见本合同第3.1条。乙方为履行本合同而发生的所有费用均应包含在合同价款中，甲方不再另行支付其它任何费用。</w:t>
      </w:r>
    </w:p>
    <w:p w14:paraId="2C996C6C">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rPr>
        <w:t>5.履行合同的时间、地点和方式</w:t>
      </w:r>
    </w:p>
    <w:p w14:paraId="6BD867C4">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rPr>
        <w:t>5.1 乙方应当在甲方确定的时间、指定的地点履行合同</w:t>
      </w:r>
      <w:r>
        <w:rPr>
          <w:rFonts w:hint="eastAsia" w:asciiTheme="majorEastAsia" w:hAnsiTheme="majorEastAsia" w:eastAsiaTheme="majorEastAsia" w:cstheme="majorEastAsia"/>
          <w:sz w:val="24"/>
          <w:szCs w:val="24"/>
          <w:highlight w:val="none"/>
          <w:lang w:eastAsia="zh-CN"/>
        </w:rPr>
        <w:t>。</w:t>
      </w:r>
    </w:p>
    <w:p w14:paraId="33C1ECA1">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5.2 乙方提供服务的应当在甲方指定的地点完成服务项目。</w:t>
      </w:r>
    </w:p>
    <w:p w14:paraId="03937E88">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6.</w:t>
      </w:r>
      <w:r>
        <w:rPr>
          <w:rFonts w:hint="eastAsia" w:asciiTheme="majorEastAsia" w:hAnsiTheme="majorEastAsia" w:eastAsiaTheme="majorEastAsia" w:cstheme="majorEastAsia"/>
          <w:b/>
          <w:sz w:val="24"/>
          <w:szCs w:val="24"/>
          <w:highlight w:val="none"/>
        </w:rPr>
        <w:t>货物的验收</w:t>
      </w:r>
    </w:p>
    <w:p w14:paraId="1B48622E">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6.1 甲方在收到乙方交付的货物后应当及时组织验收。</w:t>
      </w:r>
    </w:p>
    <w:p w14:paraId="596D2983">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6.2 货物的表面瑕疵，甲方应在验收时当面提出；对质量问题有异议的应在安装调试后十个工作日内提出。</w:t>
      </w:r>
    </w:p>
    <w:p w14:paraId="1A151021">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6.3 在验收过程中发现数量不足或有质量、技术等问题，乙方应负责按照甲方的要求采取补足、更换或退货等处理措施，并承担由此发生的一切费用和损失。</w:t>
      </w:r>
    </w:p>
    <w:p w14:paraId="37D0BEE6">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6.4 甲方在乙方按合同规定交货或安装、调试后，无正当理由而拖延接收、验收或拒绝接收、验收的，应承担因此给乙方造成的直接损失。</w:t>
      </w:r>
    </w:p>
    <w:p w14:paraId="4D2B89DE">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6.5 甲方对货物进行检查验收合格后，应当收取发票并在《交货验收单》上签署验收意见及加盖单位印章。</w:t>
      </w:r>
    </w:p>
    <w:p w14:paraId="645C9924">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6.6 大型或者复杂的货物采购项目，甲方可以邀请国家认可的质量检测机构参加验收工作，并由其出具验收报告单。</w:t>
      </w:r>
    </w:p>
    <w:p w14:paraId="1838901D">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color w:val="FF0000"/>
          <w:sz w:val="24"/>
          <w:szCs w:val="24"/>
          <w:highlight w:val="none"/>
        </w:rPr>
      </w:pPr>
      <w:r>
        <w:rPr>
          <w:rFonts w:hint="eastAsia" w:asciiTheme="majorEastAsia" w:hAnsiTheme="majorEastAsia" w:eastAsiaTheme="majorEastAsia" w:cstheme="majorEastAsia"/>
          <w:sz w:val="24"/>
          <w:szCs w:val="24"/>
          <w:highlight w:val="none"/>
        </w:rPr>
        <w:t>6.7 乙方提供的进口产品，乙方应出示中华人民共和国进出口商品检验部门出具的检验证书（招标文件第五章采购需求另有约定的除外）。</w:t>
      </w:r>
    </w:p>
    <w:p w14:paraId="6904BFE8">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7.货物包装要求</w:t>
      </w:r>
    </w:p>
    <w:p w14:paraId="2D65AF4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7544DF19">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7.2 每一个包装箱内应附一份详细装箱单、质量证书和保修保养证书。</w:t>
      </w:r>
    </w:p>
    <w:p w14:paraId="28BB15FD">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rPr>
        <w:t>8.运输和保险</w:t>
      </w:r>
    </w:p>
    <w:p w14:paraId="3B0AE646">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8.1乙方负责办理将货物运抵本合同第5.1条规定的交货地点的一切运输事项，相关费用应包括在合同总价中。</w:t>
      </w:r>
    </w:p>
    <w:p w14:paraId="0190F6AD">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8.2乙方应向保险公司投保以甲方为受益人的发运合同货物发票金额的110％运输一切险。</w:t>
      </w:r>
    </w:p>
    <w:p w14:paraId="631135AE">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rPr>
        <w:t>9.质量标准和保证</w:t>
      </w:r>
    </w:p>
    <w:p w14:paraId="68614344">
      <w:pPr>
        <w:pStyle w:val="24"/>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sz w:val="24"/>
          <w:szCs w:val="24"/>
          <w:highlight w:val="none"/>
        </w:rPr>
        <w:t>9.1 质量标准</w:t>
      </w:r>
    </w:p>
    <w:p w14:paraId="44AE66F2">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（1）本合同下交付的货物应符合招标文件第四章“技术规格、参数与要求”所述的标准。如果没有提及适用标准，则应符合中华人民共和国有关机构发布的最新版本的标准。</w:t>
      </w:r>
    </w:p>
    <w:p w14:paraId="6C0706F0">
      <w:pPr>
        <w:pStyle w:val="24"/>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（2）采用中华人民共和国法定计量单位。</w:t>
      </w:r>
    </w:p>
    <w:p w14:paraId="076BF5F1">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（3）乙方所出售的货物还应符合国家有关安全、环保、卫生之规定。</w:t>
      </w:r>
    </w:p>
    <w:p w14:paraId="4B0B9FF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9.2 保证</w:t>
      </w:r>
    </w:p>
    <w:p w14:paraId="6E7E1AC7">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Theme="majorEastAsia" w:hAnsiTheme="majorEastAsia" w:eastAsiaTheme="majorEastAsia" w:cstheme="majorEastAsia"/>
          <w:sz w:val="24"/>
          <w:szCs w:val="24"/>
          <w:highlight w:val="none"/>
          <w:lang w:val="en-US" w:eastAsia="zh-CN"/>
        </w:rPr>
        <w:t>相关</w:t>
      </w:r>
      <w:r>
        <w:rPr>
          <w:rFonts w:hint="eastAsia" w:asciiTheme="majorEastAsia" w:hAnsiTheme="majorEastAsia" w:eastAsiaTheme="majorEastAsia" w:cstheme="majorEastAsia"/>
          <w:sz w:val="24"/>
          <w:szCs w:val="24"/>
          <w:highlight w:val="none"/>
        </w:rPr>
        <w:t>规定或乙方承诺（两者以较长的为准）的质量保证期内，本保证保持有效。</w:t>
      </w:r>
    </w:p>
    <w:p w14:paraId="6CABB31B">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（2）在质量保证期内所发现的缺陷，甲方应尽快以书面形式通知乙方。</w:t>
      </w:r>
    </w:p>
    <w:p w14:paraId="29B380E3">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（3）乙方收到通知后应在规定的响应时间内以合理的速度免费维修或更换有缺陷的货物或部件。</w:t>
      </w:r>
    </w:p>
    <w:p w14:paraId="6F5EAEDB">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5C355925">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sz w:val="24"/>
          <w:szCs w:val="24"/>
          <w:highlight w:val="none"/>
        </w:rPr>
        <w:t>（5）乙方在约定的时间内未能弥补缺陷，甲方可采取必要的补救措施，但其风险和费用将由乙方承担，甲方根据合同规定对乙方行使的其他权利不受影响。</w:t>
      </w:r>
    </w:p>
    <w:p w14:paraId="4C39ABC3">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10.权利瑕疵担保</w:t>
      </w:r>
    </w:p>
    <w:p w14:paraId="53C7294E">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10.1 乙方保证对其出售的货物享有合法的权利。</w:t>
      </w:r>
    </w:p>
    <w:p w14:paraId="128663F5">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10.2 乙方保证在其出售的货物上不存在任何未曾向甲方透露的担保物权，如抵押权、质押权、留置权等。</w:t>
      </w:r>
    </w:p>
    <w:p w14:paraId="700A109B">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10.3 如甲方使用该货物构成上述侵权的，则由乙方承担全部责任。</w:t>
      </w:r>
    </w:p>
    <w:p w14:paraId="5373C413">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11.知识产权保护</w:t>
      </w:r>
    </w:p>
    <w:p w14:paraId="588E9336">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11.1 乙方对其所销售的货物应当享有知识产权或经权利人合法授权，保证没有侵犯任何第三人的知识产权和商业秘密等权利。</w:t>
      </w:r>
    </w:p>
    <w:p w14:paraId="0E038961">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11.2 甲方使用乙方提供的货物对第三人构成侵权的，应当由乙方承担全部法律责任，给甲方造成损害的，乙方应当承担赔偿责任。</w:t>
      </w:r>
    </w:p>
    <w:p w14:paraId="282E476E">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11.3 甲方委托乙方开发的产品，甲方享有知识产权，未经甲方许可不得转让任何第三人。</w:t>
      </w:r>
    </w:p>
    <w:p w14:paraId="23C7B52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12.保密义务</w:t>
      </w:r>
    </w:p>
    <w:p w14:paraId="541CF70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12.1 甲、乙双方在采购和履行合同过程中所获悉的对方属于保密的内容，双方均有保密义务。</w:t>
      </w:r>
    </w:p>
    <w:p w14:paraId="5852917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13.合同价款支付</w:t>
      </w:r>
    </w:p>
    <w:p w14:paraId="587EEC8F">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13.1验收合格后，乙方出具正规发票给甲方，凭甲方开具的《政府采购合同验收报告单》办理合同价</w:t>
      </w:r>
      <w:r>
        <w:rPr>
          <w:rFonts w:hint="eastAsia" w:asciiTheme="majorEastAsia" w:hAnsiTheme="majorEastAsia" w:eastAsiaTheme="majorEastAsia" w:cstheme="majorEastAsia"/>
          <w:bCs/>
          <w:sz w:val="24"/>
          <w:szCs w:val="24"/>
          <w:highlight w:val="none"/>
        </w:rPr>
        <w:t>款</w:t>
      </w:r>
      <w:r>
        <w:rPr>
          <w:rFonts w:hint="eastAsia" w:asciiTheme="majorEastAsia" w:hAnsiTheme="majorEastAsia" w:eastAsiaTheme="majorEastAsia" w:cstheme="majorEastAsia"/>
          <w:sz w:val="24"/>
          <w:szCs w:val="24"/>
          <w:highlight w:val="none"/>
        </w:rPr>
        <w:t>结算手续。</w:t>
      </w:r>
    </w:p>
    <w:p w14:paraId="0E5C1F10">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13.2 合同价款构成中应当由财政支付的部分，甲方应当在货物验收合格后的十五个工作日内向国库管理部门申请支付，经国库管理部门审核后直接支付给乙方。</w:t>
      </w:r>
    </w:p>
    <w:p w14:paraId="779CE6A7">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13.3 合同价款构成中应当由甲方自行支付的部分，甲方应当在货物验收合格后十五个工作内支付。</w:t>
      </w:r>
    </w:p>
    <w:p w14:paraId="2E993F70">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13.4支付合同价</w:t>
      </w:r>
      <w:r>
        <w:rPr>
          <w:rFonts w:hint="eastAsia" w:asciiTheme="majorEastAsia" w:hAnsiTheme="majorEastAsia" w:eastAsiaTheme="majorEastAsia" w:cstheme="majorEastAsia"/>
          <w:bCs/>
          <w:sz w:val="24"/>
          <w:szCs w:val="24"/>
          <w:highlight w:val="none"/>
        </w:rPr>
        <w:t>款</w:t>
      </w:r>
      <w:r>
        <w:rPr>
          <w:rFonts w:hint="eastAsia" w:asciiTheme="majorEastAsia" w:hAnsiTheme="majorEastAsia" w:eastAsiaTheme="majorEastAsia" w:cstheme="majorEastAsia"/>
          <w:sz w:val="24"/>
          <w:szCs w:val="24"/>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7C3486E5">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bCs/>
          <w:sz w:val="24"/>
          <w:szCs w:val="24"/>
          <w:highlight w:val="none"/>
        </w:rPr>
        <w:t>14.</w:t>
      </w:r>
      <w:r>
        <w:rPr>
          <w:rFonts w:hint="eastAsia" w:asciiTheme="majorEastAsia" w:hAnsiTheme="majorEastAsia" w:eastAsiaTheme="majorEastAsia" w:cstheme="majorEastAsia"/>
          <w:b/>
          <w:sz w:val="24"/>
          <w:szCs w:val="24"/>
          <w:highlight w:val="none"/>
        </w:rPr>
        <w:t>乙方应提供的服务</w:t>
      </w:r>
    </w:p>
    <w:p w14:paraId="005A8154">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14.1 乙方应向甲方提交所提供货物的技术文件，包括相应的中文技术文件，如：产品目录、图纸、操作手册、使用说明、维护手册或服务指南。这些文件应包装好随同货物一起发运。</w:t>
      </w:r>
    </w:p>
    <w:p w14:paraId="463D2D78">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14.2 乙方还应提供下列服务：</w:t>
      </w:r>
    </w:p>
    <w:p w14:paraId="5CF8C406">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（1）货物的现场移动、安装、调试、启动监督及技术支持；</w:t>
      </w:r>
    </w:p>
    <w:p w14:paraId="3E6B8D0E">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（2）提供货物组装和维修所需的专用工具和辅助材料；</w:t>
      </w:r>
    </w:p>
    <w:p w14:paraId="407D3E12">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（3）在合同各方商定的一定期限内对所有的货物实施运行监督、维修，但前提条件是该服务并不能免除乙方在质量保证期内所承担的义务；</w:t>
      </w:r>
    </w:p>
    <w:p w14:paraId="66CB3058">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（4）在制造商或项目现场就货物的安装、启动、运营、维护对甲方操作人员进行培训；</w:t>
      </w:r>
    </w:p>
    <w:p w14:paraId="43D48E51">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14.3 乙方提供的服务的费用应包含在合同价款中，甲方不再另行支付。</w:t>
      </w:r>
    </w:p>
    <w:p w14:paraId="5A0AFA39">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15.违约责任</w:t>
      </w:r>
    </w:p>
    <w:p w14:paraId="33DF30C2">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15.1质量瑕疵的补救措施和索赔</w:t>
      </w:r>
    </w:p>
    <w:p w14:paraId="4115D7A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4BA39372">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①乙方同意退货并将货款退还给甲方，由此发生的一切费用和损失由乙方承担。</w:t>
      </w:r>
    </w:p>
    <w:p w14:paraId="442A299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②根据货物的质量状况以及甲方所遭受的损失，经过甲乙双方商定降低货物的价格。</w:t>
      </w:r>
    </w:p>
    <w:p w14:paraId="1718C826">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66AC926B">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2ECBB967">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15.2 迟延交货的违约责任</w:t>
      </w:r>
    </w:p>
    <w:p w14:paraId="0A69C44A">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08999D18">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（2）除本合同</w:t>
      </w:r>
      <w:r>
        <w:rPr>
          <w:rFonts w:hint="eastAsia" w:asciiTheme="majorEastAsia" w:hAnsiTheme="majorEastAsia" w:eastAsiaTheme="majorEastAsia" w:cstheme="majorEastAsia"/>
          <w:bCs/>
          <w:sz w:val="24"/>
          <w:szCs w:val="24"/>
          <w:highlight w:val="none"/>
        </w:rPr>
        <w:t>第20条</w:t>
      </w:r>
      <w:r>
        <w:rPr>
          <w:rFonts w:hint="eastAsia" w:asciiTheme="majorEastAsia" w:hAnsiTheme="majorEastAsia" w:eastAsiaTheme="majorEastAsia" w:cstheme="majorEastAsia"/>
          <w:sz w:val="24"/>
          <w:szCs w:val="24"/>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57B26015">
      <w:pPr>
        <w:pageBreakBefore w:val="0"/>
        <w:kinsoku/>
        <w:wordWrap/>
        <w:overflowPunct/>
        <w:topLinePunct w:val="0"/>
        <w:autoSpaceDE w:val="0"/>
        <w:autoSpaceDN w:val="0"/>
        <w:bidi w:val="0"/>
        <w:adjustRightInd w:val="0"/>
        <w:snapToGrid w:val="0"/>
        <w:spacing w:before="50" w:line="360" w:lineRule="auto"/>
        <w:ind w:firstLine="480" w:firstLineChars="200"/>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0E4A8F2E">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rPr>
        <w:t>16.合同的变更</w:t>
      </w:r>
    </w:p>
    <w:p w14:paraId="0E13293A">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16.1 在合同履行过程中，甲、乙双方可就合同履行的时间、地点和方式等协商进行变更。协商一致后，双方应签订书面的补充协议。</w:t>
      </w:r>
    </w:p>
    <w:p w14:paraId="0483CBC7">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16.2 在不改变合同其他条款的前提下，甲方有权在合同价款百分之十的范围内追加与合同标的相同的货物或服务，并就此与乙方签订补充合同，乙方不得拒绝。</w:t>
      </w:r>
    </w:p>
    <w:p w14:paraId="7B108AA3">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16.3 除双方签署书面协议，并成为合同不可分割的一部分外，本合同条件不得有任何变更。</w:t>
      </w:r>
    </w:p>
    <w:p w14:paraId="31FAE9CE">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rPr>
        <w:t>17.合同中止与终止</w:t>
      </w:r>
    </w:p>
    <w:p w14:paraId="6DE10C1A">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17.1合同的中止</w:t>
      </w:r>
    </w:p>
    <w:p w14:paraId="2B866AB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（1）合同在履行过程中，因采购计划调整，甲方可以要求中止履行，待计划确定后继续履行；</w:t>
      </w:r>
    </w:p>
    <w:p w14:paraId="7CCD7039">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（2）合同履行过程中因供应商就采购过程或结果提起投诉的，甲方认为有必要或财政部门责令中止的，应当中止合同的履行。</w:t>
      </w:r>
    </w:p>
    <w:p w14:paraId="5C7DA0A1">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17.2合同的终止</w:t>
      </w:r>
    </w:p>
    <w:p w14:paraId="6D0D1CAB">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（1）合同因有效期限届满而终止；</w:t>
      </w:r>
    </w:p>
    <w:p w14:paraId="3C90DBE4">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（2）乙方未能依照本合同约定条件履行合同，已构成根本性违约的，甲方有权终止本合同，并追究乙方的违约责任。</w:t>
      </w:r>
    </w:p>
    <w:p w14:paraId="3F3D8C5D">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（3）如果乙方丧失履约能力或被宣告破产，甲方可在任何时候以书面形式通知乙方终止合同而不给乙方补偿。</w:t>
      </w:r>
    </w:p>
    <w:p w14:paraId="6452FF8A">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（4）如果乙方在履行合同过程中有不正当竞争行为，甲方有权解除合同，并按《中华人民共和国反不正当竞争法》规定由有关部门追究其法律责任。</w:t>
      </w:r>
    </w:p>
    <w:p w14:paraId="214B459B">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（5）如果合同的履行将损害国家利益或社会公共利益，甲方有权终止合同的履行，给乙方造成损失的予以相应补偿。</w:t>
      </w:r>
    </w:p>
    <w:p w14:paraId="39AD4F2D">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18.合同转让和分包</w:t>
      </w:r>
    </w:p>
    <w:p w14:paraId="10751292">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18.1 乙方不得以任何形式将合同转包。</w:t>
      </w:r>
    </w:p>
    <w:p w14:paraId="001B2B58">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18.2 乙方未在投标文件中说明，不得将</w:t>
      </w:r>
      <w:r>
        <w:rPr>
          <w:rFonts w:hint="eastAsia" w:asciiTheme="majorEastAsia" w:hAnsiTheme="majorEastAsia" w:eastAsiaTheme="majorEastAsia" w:cstheme="majorEastAsia"/>
          <w:bCs/>
          <w:sz w:val="24"/>
          <w:szCs w:val="24"/>
          <w:highlight w:val="none"/>
        </w:rPr>
        <w:t>合同</w:t>
      </w:r>
      <w:r>
        <w:rPr>
          <w:rFonts w:hint="eastAsia" w:asciiTheme="majorEastAsia" w:hAnsiTheme="majorEastAsia" w:eastAsiaTheme="majorEastAsia" w:cstheme="majorEastAsia"/>
          <w:sz w:val="24"/>
          <w:szCs w:val="24"/>
          <w:highlight w:val="none"/>
        </w:rPr>
        <w:t>的非主体、非关键性工作分包给他人。</w:t>
      </w:r>
    </w:p>
    <w:p w14:paraId="0745036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19.不可抗力</w:t>
      </w:r>
    </w:p>
    <w:p w14:paraId="059E624B">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19.1 不可抗力是指合同双方不可预见、不可避免、不可克服的自然灾害和社会事件。</w:t>
      </w:r>
    </w:p>
    <w:p w14:paraId="610DF93B">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19.2 任何一方对由于不可抗力造成的部分或全部不能履行合同不承担违约责任。但迟延履行后发生不可抗力的，不能免除责任。</w:t>
      </w:r>
    </w:p>
    <w:p w14:paraId="1678A062">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19.3 遇有不可抗力的一方，应在三日内将事件的情况以书面形式通知另一方，并在事件发生后十日内，向另一方提交合同不能履行或部分不能履行或需要延期履行理由的报告。</w:t>
      </w:r>
    </w:p>
    <w:p w14:paraId="2A723CF1">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20.解决争议的方法</w:t>
      </w:r>
    </w:p>
    <w:p w14:paraId="26F2347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20.1 合同各方应通过友好协商，解决在执行合同过程中所发生的或与合同有关的一切争端。如从协商开始后十日内仍不能解决，可以向财政部门提请调解。</w:t>
      </w:r>
    </w:p>
    <w:p w14:paraId="0A2E26C5">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20.2 调解不成可以按</w:t>
      </w:r>
      <w:r>
        <w:rPr>
          <w:rFonts w:hint="eastAsia" w:asciiTheme="majorEastAsia" w:hAnsiTheme="majorEastAsia" w:eastAsiaTheme="majorEastAsia" w:cstheme="majorEastAsia"/>
          <w:sz w:val="24"/>
          <w:szCs w:val="24"/>
          <w:highlight w:val="none"/>
          <w:lang w:val="en-US" w:eastAsia="zh-CN"/>
        </w:rPr>
        <w:t>相关</w:t>
      </w:r>
      <w:r>
        <w:rPr>
          <w:rFonts w:hint="eastAsia" w:asciiTheme="majorEastAsia" w:hAnsiTheme="majorEastAsia" w:eastAsiaTheme="majorEastAsia" w:cstheme="majorEastAsia"/>
          <w:sz w:val="24"/>
          <w:szCs w:val="24"/>
          <w:highlight w:val="none"/>
        </w:rPr>
        <w:t>约定中规定下列方式之一提起仲裁或诉讼：</w:t>
      </w:r>
    </w:p>
    <w:p w14:paraId="2E80EFBE">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（1）向甲方所在地仲裁机构提起仲裁；</w:t>
      </w:r>
    </w:p>
    <w:p w14:paraId="1CAFEDF3">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（2）向甲方所在地人民法院提起诉讼。</w:t>
      </w:r>
    </w:p>
    <w:p w14:paraId="38798B31">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20.3 如仲裁或诉讼事项不影响合同其它部分的履行，则在仲裁或诉讼期间，除正在进行仲裁或诉讼的部分外，合同的其它部分应继续执行。</w:t>
      </w:r>
    </w:p>
    <w:p w14:paraId="13689CF2">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rPr>
        <w:t>21.法律适用</w:t>
      </w:r>
    </w:p>
    <w:p w14:paraId="074B4675">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21.1 本合同适用中华人民共和国现行法律、行政法规和规章，如合同条款与法律、行政法规和规章不一致的，按照法律、行政法规和规章修改本合同。</w:t>
      </w:r>
    </w:p>
    <w:p w14:paraId="59536F47">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bCs/>
          <w:sz w:val="24"/>
          <w:szCs w:val="24"/>
          <w:highlight w:val="none"/>
        </w:rPr>
        <w:t>22.</w:t>
      </w:r>
      <w:r>
        <w:rPr>
          <w:rFonts w:hint="eastAsia" w:asciiTheme="majorEastAsia" w:hAnsiTheme="majorEastAsia" w:eastAsiaTheme="majorEastAsia" w:cstheme="majorEastAsia"/>
          <w:b/>
          <w:sz w:val="24"/>
          <w:szCs w:val="24"/>
          <w:highlight w:val="none"/>
        </w:rPr>
        <w:t>通知</w:t>
      </w:r>
    </w:p>
    <w:p w14:paraId="5B71BB45">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22.1本合同一方给另一方的通知均应采用书面形式，传真或快递送到本合同中规定的对方的地址和办理签收手续，</w:t>
      </w:r>
    </w:p>
    <w:p w14:paraId="75AD31C6">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22.2通知以送到之日或通知书中规定的生效之日起生效，两者中以较迟之日为准。</w:t>
      </w:r>
    </w:p>
    <w:p w14:paraId="7296FDAD">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23. 合同未尽事项</w:t>
      </w:r>
    </w:p>
    <w:p w14:paraId="1D45683B">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23.1合同未尽事项</w:t>
      </w:r>
      <w:r>
        <w:rPr>
          <w:rFonts w:hint="eastAsia" w:asciiTheme="majorEastAsia" w:hAnsiTheme="majorEastAsia" w:eastAsiaTheme="majorEastAsia" w:cstheme="majorEastAsia"/>
          <w:bCs/>
          <w:sz w:val="24"/>
          <w:szCs w:val="24"/>
          <w:highlight w:val="none"/>
          <w:lang w:val="en-US" w:eastAsia="zh-CN"/>
        </w:rPr>
        <w:t>双方在合同中约定</w:t>
      </w:r>
      <w:r>
        <w:rPr>
          <w:rFonts w:hint="eastAsia" w:asciiTheme="majorEastAsia" w:hAnsiTheme="majorEastAsia" w:eastAsiaTheme="majorEastAsia" w:cstheme="majorEastAsia"/>
          <w:b/>
          <w:sz w:val="24"/>
          <w:szCs w:val="24"/>
          <w:highlight w:val="none"/>
        </w:rPr>
        <w:t>。</w:t>
      </w:r>
    </w:p>
    <w:p w14:paraId="418697DC">
      <w:pPr>
        <w:pageBreakBefore w:val="0"/>
        <w:kinsoku/>
        <w:wordWrap/>
        <w:overflowPunct/>
        <w:topLinePunct w:val="0"/>
        <w:bidi w:val="0"/>
        <w:adjustRightInd w:val="0"/>
        <w:snapToGrid w:val="0"/>
        <w:spacing w:before="50" w:line="360" w:lineRule="auto"/>
        <w:jc w:val="left"/>
        <w:textAlignment w:val="auto"/>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24.合同生效</w:t>
      </w:r>
    </w:p>
    <w:p w14:paraId="24E08115">
      <w:pPr>
        <w:pageBreakBefore w:val="0"/>
        <w:kinsoku/>
        <w:wordWrap/>
        <w:overflowPunct/>
        <w:topLinePunct w:val="0"/>
        <w:bidi w:val="0"/>
        <w:spacing w:line="360" w:lineRule="auto"/>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24.1 本合同在合同双方签字盖章后生效。</w:t>
      </w:r>
    </w:p>
    <w:p w14:paraId="57D43F3F">
      <w:pPr>
        <w:pStyle w:val="17"/>
        <w:pageBreakBefore w:val="0"/>
        <w:kinsoku/>
        <w:wordWrap/>
        <w:overflowPunct/>
        <w:topLinePunct w:val="0"/>
        <w:bidi w:val="0"/>
        <w:spacing w:line="360" w:lineRule="auto"/>
        <w:textAlignment w:val="auto"/>
        <w:rPr>
          <w:rFonts w:hint="eastAsia" w:asciiTheme="majorEastAsia" w:hAnsiTheme="majorEastAsia" w:eastAsiaTheme="majorEastAsia" w:cstheme="majorEastAsia"/>
          <w:sz w:val="24"/>
          <w:szCs w:val="24"/>
          <w:highlight w:val="none"/>
        </w:rPr>
      </w:pPr>
    </w:p>
    <w:p w14:paraId="0A3159BB">
      <w:pPr>
        <w:pStyle w:val="2"/>
        <w:pageBreakBefore w:val="0"/>
        <w:widowControl/>
        <w:kinsoku/>
        <w:wordWrap/>
        <w:overflowPunct/>
        <w:bidi w:val="0"/>
        <w:spacing w:line="360" w:lineRule="auto"/>
        <w:jc w:val="center"/>
        <w:textAlignment w:val="auto"/>
        <w:rPr>
          <w:rFonts w:hint="eastAsia" w:asciiTheme="majorEastAsia" w:hAnsiTheme="majorEastAsia" w:eastAsiaTheme="majorEastAsia" w:cstheme="majorEastAsia"/>
          <w:sz w:val="32"/>
          <w:szCs w:val="32"/>
          <w:lang w:eastAsia="zh-CN"/>
        </w:rPr>
      </w:pPr>
    </w:p>
    <w:p w14:paraId="1BE5EAF3">
      <w:pPr>
        <w:pStyle w:val="43"/>
        <w:ind w:left="0" w:leftChars="0" w:firstLine="0" w:firstLineChars="0"/>
        <w:rPr>
          <w:rFonts w:hint="eastAsia" w:asciiTheme="majorEastAsia" w:hAnsiTheme="majorEastAsia" w:eastAsiaTheme="majorEastAsia" w:cstheme="majorEastAsia"/>
          <w:sz w:val="32"/>
          <w:szCs w:val="32"/>
          <w:lang w:eastAsia="zh-CN"/>
        </w:rPr>
      </w:pPr>
    </w:p>
    <w:p w14:paraId="2B3D8A61">
      <w:pPr>
        <w:pStyle w:val="2"/>
        <w:pageBreakBefore w:val="0"/>
        <w:widowControl/>
        <w:kinsoku/>
        <w:wordWrap/>
        <w:overflowPunct/>
        <w:bidi w:val="0"/>
        <w:spacing w:line="360" w:lineRule="auto"/>
        <w:jc w:val="center"/>
        <w:textAlignment w:val="auto"/>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lang w:eastAsia="zh-CN"/>
        </w:rPr>
        <w:t>第三节</w:t>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rPr>
        <w:t>政府采购合同专用条款（服务类）</w:t>
      </w:r>
    </w:p>
    <w:p w14:paraId="42A6D0D8">
      <w:pPr>
        <w:pageBreakBefore w:val="0"/>
        <w:kinsoku/>
        <w:wordWrap/>
        <w:overflowPunct/>
        <w:bidi w:val="0"/>
        <w:spacing w:line="360" w:lineRule="auto"/>
        <w:ind w:firstLine="480" w:firstLineChars="200"/>
        <w:textAlignment w:val="auto"/>
        <w:rPr>
          <w:rFonts w:hint="eastAsia" w:asciiTheme="majorEastAsia" w:hAnsiTheme="majorEastAsia" w:eastAsiaTheme="majorEastAsia" w:cstheme="majorEastAsia"/>
          <w:kern w:val="22"/>
          <w:position w:val="-2"/>
          <w:sz w:val="24"/>
          <w:szCs w:val="24"/>
        </w:rPr>
      </w:pPr>
      <w:r>
        <w:rPr>
          <w:rFonts w:hint="eastAsia" w:asciiTheme="majorEastAsia" w:hAnsiTheme="majorEastAsia" w:eastAsiaTheme="majorEastAsia" w:cstheme="majorEastAsia"/>
          <w:sz w:val="24"/>
          <w:szCs w:val="24"/>
        </w:rPr>
        <w:t>服务类政府采购合同专用条款参照（服务类）专用条款的格式和相关内容，根据项目的实际情况，按照服务内容、服务要求、委托经营期限限、服务流程、考核方式等内容进行编制。</w:t>
      </w:r>
    </w:p>
    <w:p w14:paraId="4E127E3D">
      <w:pPr>
        <w:pStyle w:val="40"/>
        <w:pageBreakBefore w:val="0"/>
        <w:widowControl/>
        <w:kinsoku/>
        <w:wordWrap/>
        <w:overflowPunct/>
        <w:bidi w:val="0"/>
        <w:spacing w:line="360" w:lineRule="auto"/>
        <w:ind w:firstLine="420"/>
        <w:jc w:val="left"/>
        <w:textAlignment w:val="auto"/>
        <w:rPr>
          <w:rFonts w:hint="eastAsia" w:asciiTheme="majorEastAsia" w:hAnsiTheme="majorEastAsia" w:eastAsiaTheme="majorEastAsia" w:cstheme="majorEastAsia"/>
          <w:b/>
          <w:bCs/>
          <w:kern w:val="22"/>
          <w:sz w:val="24"/>
          <w:szCs w:val="24"/>
        </w:rPr>
      </w:pPr>
      <w:r>
        <w:rPr>
          <w:rFonts w:hint="eastAsia" w:asciiTheme="majorEastAsia" w:hAnsiTheme="majorEastAsia" w:eastAsiaTheme="majorEastAsia" w:cstheme="majorEastAsia"/>
          <w:b/>
          <w:bCs/>
          <w:kern w:val="22"/>
          <w:sz w:val="24"/>
          <w:szCs w:val="24"/>
        </w:rPr>
        <w:t>以实际合同签订为准。</w:t>
      </w:r>
      <w:bookmarkStart w:id="11" w:name="_Toc20036"/>
      <w:bookmarkStart w:id="12" w:name="_Toc24679"/>
    </w:p>
    <w:p w14:paraId="13D654A4">
      <w:pPr>
        <w:pStyle w:val="40"/>
        <w:pageBreakBefore w:val="0"/>
        <w:widowControl/>
        <w:kinsoku/>
        <w:wordWrap/>
        <w:overflowPunct/>
        <w:bidi w:val="0"/>
        <w:spacing w:line="360" w:lineRule="auto"/>
        <w:ind w:firstLine="420"/>
        <w:jc w:val="left"/>
        <w:textAlignment w:val="auto"/>
        <w:rPr>
          <w:rFonts w:hint="eastAsia" w:asciiTheme="majorEastAsia" w:hAnsiTheme="majorEastAsia" w:eastAsiaTheme="majorEastAsia" w:cstheme="majorEastAsia"/>
          <w:b/>
          <w:bCs/>
          <w:kern w:val="22"/>
          <w:sz w:val="24"/>
          <w:szCs w:val="24"/>
        </w:rPr>
      </w:pPr>
    </w:p>
    <w:p w14:paraId="695C851D">
      <w:pPr>
        <w:pStyle w:val="40"/>
        <w:pageBreakBefore w:val="0"/>
        <w:widowControl/>
        <w:kinsoku/>
        <w:wordWrap/>
        <w:overflowPunct/>
        <w:bidi w:val="0"/>
        <w:spacing w:line="360" w:lineRule="auto"/>
        <w:ind w:firstLine="420"/>
        <w:jc w:val="left"/>
        <w:textAlignment w:val="auto"/>
        <w:rPr>
          <w:rFonts w:hint="eastAsia" w:asciiTheme="majorEastAsia" w:hAnsiTheme="majorEastAsia" w:eastAsiaTheme="majorEastAsia" w:cstheme="majorEastAsia"/>
          <w:b/>
          <w:bCs/>
          <w:kern w:val="22"/>
          <w:sz w:val="24"/>
          <w:szCs w:val="24"/>
        </w:rPr>
      </w:pPr>
    </w:p>
    <w:p w14:paraId="532664DF">
      <w:pPr>
        <w:pStyle w:val="40"/>
        <w:pageBreakBefore w:val="0"/>
        <w:widowControl/>
        <w:kinsoku/>
        <w:wordWrap/>
        <w:overflowPunct/>
        <w:bidi w:val="0"/>
        <w:spacing w:line="360" w:lineRule="auto"/>
        <w:ind w:firstLine="420"/>
        <w:jc w:val="left"/>
        <w:textAlignment w:val="auto"/>
        <w:rPr>
          <w:rFonts w:hint="eastAsia" w:asciiTheme="majorEastAsia" w:hAnsiTheme="majorEastAsia" w:eastAsiaTheme="majorEastAsia" w:cstheme="majorEastAsia"/>
          <w:b/>
          <w:bCs/>
          <w:kern w:val="22"/>
          <w:sz w:val="24"/>
          <w:szCs w:val="24"/>
        </w:rPr>
      </w:pPr>
    </w:p>
    <w:p w14:paraId="3F21A73D">
      <w:pPr>
        <w:pStyle w:val="40"/>
        <w:pageBreakBefore w:val="0"/>
        <w:widowControl/>
        <w:kinsoku/>
        <w:wordWrap/>
        <w:overflowPunct/>
        <w:bidi w:val="0"/>
        <w:spacing w:line="360" w:lineRule="auto"/>
        <w:ind w:firstLine="420"/>
        <w:jc w:val="left"/>
        <w:textAlignment w:val="auto"/>
        <w:rPr>
          <w:rFonts w:hint="eastAsia" w:asciiTheme="majorEastAsia" w:hAnsiTheme="majorEastAsia" w:eastAsiaTheme="majorEastAsia" w:cstheme="majorEastAsia"/>
          <w:b/>
          <w:bCs/>
          <w:kern w:val="22"/>
          <w:sz w:val="24"/>
          <w:szCs w:val="24"/>
        </w:rPr>
      </w:pPr>
    </w:p>
    <w:p w14:paraId="7278532E">
      <w:pPr>
        <w:pStyle w:val="40"/>
        <w:pageBreakBefore w:val="0"/>
        <w:widowControl/>
        <w:kinsoku/>
        <w:wordWrap/>
        <w:overflowPunct/>
        <w:bidi w:val="0"/>
        <w:spacing w:line="360" w:lineRule="auto"/>
        <w:ind w:firstLine="420"/>
        <w:jc w:val="left"/>
        <w:textAlignment w:val="auto"/>
        <w:rPr>
          <w:rFonts w:hint="eastAsia" w:asciiTheme="majorEastAsia" w:hAnsiTheme="majorEastAsia" w:eastAsiaTheme="majorEastAsia" w:cstheme="majorEastAsia"/>
          <w:b/>
          <w:bCs/>
          <w:kern w:val="22"/>
          <w:sz w:val="24"/>
          <w:szCs w:val="24"/>
        </w:rPr>
      </w:pPr>
    </w:p>
    <w:p w14:paraId="66825E54">
      <w:pPr>
        <w:pStyle w:val="40"/>
        <w:pageBreakBefore w:val="0"/>
        <w:widowControl/>
        <w:kinsoku/>
        <w:wordWrap/>
        <w:overflowPunct/>
        <w:bidi w:val="0"/>
        <w:spacing w:line="360" w:lineRule="auto"/>
        <w:ind w:firstLine="420"/>
        <w:jc w:val="left"/>
        <w:textAlignment w:val="auto"/>
        <w:rPr>
          <w:rFonts w:hint="eastAsia" w:asciiTheme="majorEastAsia" w:hAnsiTheme="majorEastAsia" w:eastAsiaTheme="majorEastAsia" w:cstheme="majorEastAsia"/>
          <w:b/>
          <w:bCs/>
          <w:kern w:val="22"/>
          <w:sz w:val="24"/>
          <w:szCs w:val="24"/>
        </w:rPr>
      </w:pPr>
    </w:p>
    <w:p w14:paraId="6D375179">
      <w:pPr>
        <w:pStyle w:val="40"/>
        <w:pageBreakBefore w:val="0"/>
        <w:widowControl/>
        <w:kinsoku/>
        <w:wordWrap/>
        <w:overflowPunct/>
        <w:bidi w:val="0"/>
        <w:spacing w:line="360" w:lineRule="auto"/>
        <w:ind w:firstLine="420"/>
        <w:jc w:val="left"/>
        <w:textAlignment w:val="auto"/>
        <w:rPr>
          <w:rFonts w:hint="eastAsia" w:asciiTheme="majorEastAsia" w:hAnsiTheme="majorEastAsia" w:eastAsiaTheme="majorEastAsia" w:cstheme="majorEastAsia"/>
          <w:b/>
          <w:bCs/>
          <w:kern w:val="22"/>
          <w:sz w:val="24"/>
          <w:szCs w:val="24"/>
        </w:rPr>
      </w:pPr>
    </w:p>
    <w:p w14:paraId="46AAF94A">
      <w:pPr>
        <w:pStyle w:val="40"/>
        <w:pageBreakBefore w:val="0"/>
        <w:widowControl/>
        <w:kinsoku/>
        <w:wordWrap/>
        <w:overflowPunct/>
        <w:bidi w:val="0"/>
        <w:spacing w:line="360" w:lineRule="auto"/>
        <w:ind w:firstLine="420"/>
        <w:jc w:val="left"/>
        <w:textAlignment w:val="auto"/>
        <w:rPr>
          <w:rFonts w:hint="eastAsia" w:asciiTheme="majorEastAsia" w:hAnsiTheme="majorEastAsia" w:eastAsiaTheme="majorEastAsia" w:cstheme="majorEastAsia"/>
          <w:b/>
          <w:bCs/>
          <w:kern w:val="22"/>
          <w:sz w:val="24"/>
          <w:szCs w:val="24"/>
        </w:rPr>
      </w:pPr>
    </w:p>
    <w:p w14:paraId="0B6DC6A8">
      <w:pPr>
        <w:pStyle w:val="40"/>
        <w:pageBreakBefore w:val="0"/>
        <w:widowControl/>
        <w:kinsoku/>
        <w:wordWrap/>
        <w:overflowPunct/>
        <w:bidi w:val="0"/>
        <w:spacing w:line="360" w:lineRule="auto"/>
        <w:ind w:firstLine="420"/>
        <w:jc w:val="left"/>
        <w:textAlignment w:val="auto"/>
        <w:rPr>
          <w:rFonts w:hint="eastAsia" w:asciiTheme="majorEastAsia" w:hAnsiTheme="majorEastAsia" w:eastAsiaTheme="majorEastAsia" w:cstheme="majorEastAsia"/>
          <w:b/>
          <w:bCs/>
          <w:kern w:val="22"/>
          <w:sz w:val="24"/>
          <w:szCs w:val="24"/>
          <w:lang w:val="en-US" w:eastAsia="zh-CN"/>
        </w:rPr>
      </w:pPr>
    </w:p>
    <w:p w14:paraId="768F5D2D">
      <w:pPr>
        <w:pStyle w:val="40"/>
        <w:pageBreakBefore w:val="0"/>
        <w:widowControl/>
        <w:numPr>
          <w:ilvl w:val="0"/>
          <w:numId w:val="3"/>
        </w:numPr>
        <w:kinsoku/>
        <w:wordWrap/>
        <w:overflowPunct/>
        <w:bidi w:val="0"/>
        <w:spacing w:line="360" w:lineRule="auto"/>
        <w:jc w:val="center"/>
        <w:textAlignment w:val="auto"/>
        <w:rPr>
          <w:rFonts w:hint="eastAsia" w:ascii="宋体" w:hAnsi="宋体" w:eastAsia="宋体" w:cs="宋体"/>
          <w:b/>
          <w:bCs/>
          <w:spacing w:val="-2"/>
          <w:sz w:val="32"/>
          <w:szCs w:val="32"/>
          <w:lang w:val="en-US" w:eastAsia="zh-CN"/>
        </w:rPr>
      </w:pPr>
      <w:r>
        <w:rPr>
          <w:rFonts w:hint="eastAsia" w:ascii="宋体" w:hAnsi="宋体" w:eastAsia="宋体" w:cs="宋体"/>
          <w:b/>
          <w:bCs/>
          <w:spacing w:val="-2"/>
          <w:sz w:val="32"/>
          <w:szCs w:val="32"/>
          <w:lang w:val="en-US" w:eastAsia="zh-CN"/>
        </w:rPr>
        <w:t xml:space="preserve"> 采购需求</w:t>
      </w:r>
    </w:p>
    <w:p w14:paraId="5719094B">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left"/>
        <w:textAlignment w:val="auto"/>
        <w:outlineLvl w:val="1"/>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b/>
          <w:bCs/>
          <w:color w:val="000000"/>
          <w:spacing w:val="-2"/>
          <w:w w:val="100"/>
          <w:kern w:val="0"/>
          <w:position w:val="0"/>
          <w:sz w:val="24"/>
          <w:szCs w:val="24"/>
          <w:shd w:val="clear" w:color="auto" w:fill="auto"/>
          <w:lang w:eastAsia="en-US" w:bidi="en-US"/>
        </w:rPr>
        <w:t>一、基本信息</w:t>
      </w:r>
    </w:p>
    <w:tbl>
      <w:tblPr>
        <w:tblStyle w:val="265"/>
        <w:tblpPr w:leftFromText="180" w:rightFromText="180" w:vertAnchor="text" w:horzAnchor="page" w:tblpX="1576" w:tblpY="284"/>
        <w:tblOverlap w:val="never"/>
        <w:tblW w:w="890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9"/>
        <w:gridCol w:w="1701"/>
        <w:gridCol w:w="2115"/>
        <w:gridCol w:w="2680"/>
      </w:tblGrid>
      <w:tr w14:paraId="179C0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2409" w:type="dxa"/>
            <w:vAlign w:val="center"/>
          </w:tcPr>
          <w:p w14:paraId="515AD47D">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2"/>
                <w:w w:val="100"/>
                <w:kern w:val="0"/>
                <w:position w:val="0"/>
                <w:sz w:val="24"/>
                <w:szCs w:val="24"/>
                <w:shd w:val="clear" w:color="auto" w:fill="auto"/>
                <w:lang w:eastAsia="en-US" w:bidi="en-US"/>
              </w:rPr>
              <w:t>项目名称</w:t>
            </w:r>
          </w:p>
        </w:tc>
        <w:tc>
          <w:tcPr>
            <w:tcW w:w="6496" w:type="dxa"/>
            <w:gridSpan w:val="3"/>
            <w:vAlign w:val="center"/>
          </w:tcPr>
          <w:p w14:paraId="43930C80">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华容县2026年高素质农民培育项目</w:t>
            </w:r>
          </w:p>
        </w:tc>
      </w:tr>
      <w:tr w14:paraId="5C134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409" w:type="dxa"/>
            <w:vAlign w:val="center"/>
          </w:tcPr>
          <w:p w14:paraId="54440795">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2"/>
                <w:w w:val="100"/>
                <w:kern w:val="0"/>
                <w:position w:val="0"/>
                <w:sz w:val="24"/>
                <w:szCs w:val="24"/>
                <w:shd w:val="clear" w:color="auto" w:fill="auto"/>
                <w:lang w:eastAsia="en-US" w:bidi="en-US"/>
              </w:rPr>
              <w:t>采购单位</w:t>
            </w:r>
          </w:p>
        </w:tc>
        <w:tc>
          <w:tcPr>
            <w:tcW w:w="6496" w:type="dxa"/>
            <w:gridSpan w:val="3"/>
            <w:vAlign w:val="center"/>
          </w:tcPr>
          <w:p w14:paraId="581833E8">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eastAsia="zh-CN" w:bidi="en-US"/>
              </w:rPr>
              <w:t>华容县农业农村局</w:t>
            </w:r>
          </w:p>
        </w:tc>
      </w:tr>
      <w:tr w14:paraId="1145A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409" w:type="dxa"/>
            <w:vMerge w:val="restart"/>
            <w:tcBorders>
              <w:bottom w:val="nil"/>
            </w:tcBorders>
            <w:vAlign w:val="center"/>
          </w:tcPr>
          <w:p w14:paraId="2FB188B7">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p>
          <w:p w14:paraId="4A2696D8">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p>
          <w:p w14:paraId="71809314">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2"/>
                <w:w w:val="100"/>
                <w:kern w:val="0"/>
                <w:position w:val="0"/>
                <w:sz w:val="24"/>
                <w:szCs w:val="24"/>
                <w:shd w:val="clear" w:color="auto" w:fill="auto"/>
                <w:lang w:eastAsia="en-US" w:bidi="en-US"/>
              </w:rPr>
              <w:sym w:font="Wingdings" w:char="00A8"/>
            </w:r>
            <w:r>
              <w:rPr>
                <w:rFonts w:hint="eastAsia" w:ascii="宋体" w:hAnsi="宋体" w:eastAsia="宋体" w:cs="宋体"/>
                <w:color w:val="000000"/>
                <w:spacing w:val="2"/>
                <w:w w:val="100"/>
                <w:kern w:val="0"/>
                <w:position w:val="0"/>
                <w:sz w:val="24"/>
                <w:szCs w:val="24"/>
                <w:shd w:val="clear" w:color="auto" w:fill="auto"/>
                <w:lang w:eastAsia="en-US" w:bidi="en-US"/>
              </w:rPr>
              <w:t>自行组织编制</w:t>
            </w:r>
          </w:p>
        </w:tc>
        <w:tc>
          <w:tcPr>
            <w:tcW w:w="1701" w:type="dxa"/>
            <w:vAlign w:val="center"/>
          </w:tcPr>
          <w:p w14:paraId="31AE0BF7">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2"/>
                <w:w w:val="100"/>
                <w:kern w:val="0"/>
                <w:position w:val="0"/>
                <w:sz w:val="24"/>
                <w:szCs w:val="24"/>
                <w:shd w:val="clear" w:color="auto" w:fill="auto"/>
                <w:lang w:eastAsia="en-US" w:bidi="en-US"/>
              </w:rPr>
              <w:t>负责人</w:t>
            </w:r>
          </w:p>
        </w:tc>
        <w:tc>
          <w:tcPr>
            <w:tcW w:w="2115" w:type="dxa"/>
            <w:vAlign w:val="center"/>
          </w:tcPr>
          <w:p w14:paraId="2B340167">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2"/>
                <w:w w:val="100"/>
                <w:kern w:val="0"/>
                <w:position w:val="0"/>
                <w:sz w:val="24"/>
                <w:szCs w:val="24"/>
                <w:shd w:val="clear" w:color="auto" w:fill="auto"/>
                <w:lang w:eastAsia="en-US" w:bidi="en-US"/>
              </w:rPr>
              <w:t>联系方式</w:t>
            </w:r>
          </w:p>
        </w:tc>
        <w:tc>
          <w:tcPr>
            <w:tcW w:w="2680" w:type="dxa"/>
            <w:vAlign w:val="center"/>
          </w:tcPr>
          <w:p w14:paraId="70EDD062">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2"/>
                <w:w w:val="100"/>
                <w:kern w:val="0"/>
                <w:position w:val="0"/>
                <w:sz w:val="24"/>
                <w:szCs w:val="24"/>
                <w:shd w:val="clear" w:color="auto" w:fill="auto"/>
                <w:lang w:eastAsia="en-US" w:bidi="en-US"/>
              </w:rPr>
              <w:t>电子邮箱</w:t>
            </w:r>
          </w:p>
        </w:tc>
      </w:tr>
      <w:tr w14:paraId="5B904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409" w:type="dxa"/>
            <w:vMerge w:val="continue"/>
            <w:tcBorders>
              <w:top w:val="nil"/>
              <w:bottom w:val="nil"/>
            </w:tcBorders>
            <w:vAlign w:val="center"/>
          </w:tcPr>
          <w:p w14:paraId="21C93B2E">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p>
        </w:tc>
        <w:tc>
          <w:tcPr>
            <w:tcW w:w="1701" w:type="dxa"/>
            <w:vAlign w:val="center"/>
          </w:tcPr>
          <w:p w14:paraId="38BAE27F">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val="en-US" w:eastAsia="en-US" w:bidi="en-US"/>
              </w:rPr>
            </w:pPr>
            <w:r>
              <w:rPr>
                <w:rFonts w:hint="eastAsia" w:ascii="宋体" w:hAnsi="宋体" w:eastAsia="宋体" w:cs="宋体"/>
                <w:color w:val="000000"/>
                <w:spacing w:val="0"/>
                <w:w w:val="100"/>
                <w:kern w:val="0"/>
                <w:position w:val="0"/>
                <w:sz w:val="24"/>
                <w:szCs w:val="24"/>
                <w:shd w:val="clear" w:color="auto" w:fill="auto"/>
                <w:lang w:val="en-US" w:eastAsia="en-US" w:bidi="en-US"/>
              </w:rPr>
              <w:t>/</w:t>
            </w:r>
          </w:p>
        </w:tc>
        <w:tc>
          <w:tcPr>
            <w:tcW w:w="2115" w:type="dxa"/>
            <w:vAlign w:val="center"/>
          </w:tcPr>
          <w:p w14:paraId="49D772FA">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val="en-US" w:eastAsia="en-US" w:bidi="en-US"/>
              </w:rPr>
            </w:pPr>
            <w:r>
              <w:rPr>
                <w:rFonts w:hint="eastAsia" w:ascii="宋体" w:hAnsi="宋体" w:eastAsia="宋体" w:cs="宋体"/>
                <w:color w:val="000000"/>
                <w:spacing w:val="0"/>
                <w:w w:val="100"/>
                <w:kern w:val="0"/>
                <w:position w:val="0"/>
                <w:sz w:val="24"/>
                <w:szCs w:val="24"/>
                <w:shd w:val="clear" w:color="auto" w:fill="auto"/>
                <w:lang w:val="en-US" w:eastAsia="en-US" w:bidi="en-US"/>
              </w:rPr>
              <w:t>/</w:t>
            </w:r>
          </w:p>
        </w:tc>
        <w:tc>
          <w:tcPr>
            <w:tcW w:w="2680" w:type="dxa"/>
            <w:vAlign w:val="center"/>
          </w:tcPr>
          <w:p w14:paraId="1B571C18">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val="en-US" w:eastAsia="en-US" w:bidi="en-US"/>
              </w:rPr>
            </w:pPr>
            <w:r>
              <w:rPr>
                <w:rFonts w:hint="eastAsia" w:ascii="宋体" w:hAnsi="宋体" w:eastAsia="宋体" w:cs="宋体"/>
                <w:color w:val="000000"/>
                <w:spacing w:val="0"/>
                <w:w w:val="100"/>
                <w:kern w:val="0"/>
                <w:position w:val="0"/>
                <w:sz w:val="24"/>
                <w:szCs w:val="24"/>
                <w:shd w:val="clear" w:color="auto" w:fill="auto"/>
                <w:lang w:val="en-US" w:eastAsia="en-US" w:bidi="en-US"/>
              </w:rPr>
              <w:t>/</w:t>
            </w:r>
          </w:p>
        </w:tc>
      </w:tr>
      <w:tr w14:paraId="5B8E7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2409" w:type="dxa"/>
            <w:vMerge w:val="continue"/>
            <w:tcBorders>
              <w:top w:val="nil"/>
            </w:tcBorders>
            <w:vAlign w:val="center"/>
          </w:tcPr>
          <w:p w14:paraId="27268169">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p>
        </w:tc>
        <w:tc>
          <w:tcPr>
            <w:tcW w:w="1701" w:type="dxa"/>
            <w:vAlign w:val="center"/>
          </w:tcPr>
          <w:p w14:paraId="046FE33C">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13"/>
                <w:w w:val="100"/>
                <w:kern w:val="0"/>
                <w:position w:val="13"/>
                <w:sz w:val="24"/>
                <w:szCs w:val="24"/>
                <w:shd w:val="clear" w:color="auto" w:fill="auto"/>
                <w:lang w:eastAsia="en-US" w:bidi="en-US"/>
              </w:rPr>
              <w:t>其它参与</w:t>
            </w:r>
          </w:p>
          <w:p w14:paraId="2E6E88A5">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15"/>
                <w:w w:val="100"/>
                <w:kern w:val="0"/>
                <w:position w:val="0"/>
                <w:sz w:val="24"/>
                <w:szCs w:val="24"/>
                <w:shd w:val="clear" w:color="auto" w:fill="auto"/>
                <w:lang w:eastAsia="en-US" w:bidi="en-US"/>
              </w:rPr>
              <w:t>编制人员</w:t>
            </w:r>
          </w:p>
        </w:tc>
        <w:tc>
          <w:tcPr>
            <w:tcW w:w="4795" w:type="dxa"/>
            <w:gridSpan w:val="2"/>
            <w:vAlign w:val="center"/>
          </w:tcPr>
          <w:p w14:paraId="54B2D48D">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val="en-US" w:eastAsia="en-US" w:bidi="en-US"/>
              </w:rPr>
            </w:pPr>
            <w:r>
              <w:rPr>
                <w:rFonts w:hint="eastAsia" w:ascii="宋体" w:hAnsi="宋体" w:eastAsia="宋体" w:cs="宋体"/>
                <w:color w:val="000000"/>
                <w:spacing w:val="0"/>
                <w:w w:val="100"/>
                <w:kern w:val="0"/>
                <w:position w:val="0"/>
                <w:sz w:val="24"/>
                <w:szCs w:val="24"/>
                <w:shd w:val="clear" w:color="auto" w:fill="auto"/>
                <w:lang w:val="en-US" w:eastAsia="en-US" w:bidi="en-US"/>
              </w:rPr>
              <w:t>/</w:t>
            </w:r>
          </w:p>
        </w:tc>
      </w:tr>
      <w:tr w14:paraId="0350D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2409" w:type="dxa"/>
            <w:vMerge w:val="restart"/>
            <w:tcBorders>
              <w:bottom w:val="nil"/>
            </w:tcBorders>
            <w:vAlign w:val="center"/>
          </w:tcPr>
          <w:p w14:paraId="75EE9D05">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p>
          <w:p w14:paraId="258AFF30">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8"/>
                <w:w w:val="100"/>
                <w:kern w:val="0"/>
                <w:position w:val="15"/>
                <w:sz w:val="24"/>
                <w:szCs w:val="24"/>
                <w:shd w:val="clear" w:color="auto" w:fill="auto"/>
                <w:lang w:eastAsia="en-US" w:bidi="en-US"/>
              </w:rPr>
            </w:pPr>
            <w:r>
              <w:rPr>
                <w:rFonts w:hint="eastAsia" w:ascii="宋体" w:hAnsi="宋体" w:eastAsia="宋体" w:cs="宋体"/>
                <w:color w:val="000000"/>
                <w:spacing w:val="8"/>
                <w:w w:val="100"/>
                <w:kern w:val="0"/>
                <w:position w:val="15"/>
                <w:sz w:val="24"/>
                <w:szCs w:val="24"/>
                <w:shd w:val="clear" w:color="auto" w:fill="auto"/>
                <w:lang w:eastAsia="en-US" w:bidi="en-US"/>
              </w:rPr>
              <w:sym w:font="Wingdings" w:char="00FE"/>
            </w:r>
            <w:r>
              <w:rPr>
                <w:rFonts w:hint="eastAsia" w:ascii="宋体" w:hAnsi="宋体" w:eastAsia="宋体" w:cs="宋体"/>
                <w:color w:val="000000"/>
                <w:spacing w:val="8"/>
                <w:w w:val="100"/>
                <w:kern w:val="0"/>
                <w:position w:val="15"/>
                <w:sz w:val="24"/>
                <w:szCs w:val="24"/>
                <w:shd w:val="clear" w:color="auto" w:fill="auto"/>
                <w:lang w:eastAsia="en-US" w:bidi="en-US"/>
              </w:rPr>
              <w:t>委托采购代理机构</w:t>
            </w:r>
          </w:p>
          <w:p w14:paraId="3716105D">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8"/>
                <w:w w:val="100"/>
                <w:kern w:val="0"/>
                <w:position w:val="15"/>
                <w:sz w:val="24"/>
                <w:szCs w:val="24"/>
                <w:shd w:val="clear" w:color="auto" w:fill="auto"/>
                <w:lang w:eastAsia="en-US" w:bidi="en-US"/>
              </w:rPr>
              <w:sym w:font="Wingdings" w:char="00A8"/>
            </w:r>
            <w:r>
              <w:rPr>
                <w:rFonts w:hint="eastAsia" w:ascii="宋体" w:hAnsi="宋体" w:eastAsia="宋体" w:cs="宋体"/>
                <w:color w:val="000000"/>
                <w:spacing w:val="8"/>
                <w:w w:val="100"/>
                <w:kern w:val="0"/>
                <w:position w:val="15"/>
                <w:sz w:val="24"/>
                <w:szCs w:val="24"/>
                <w:shd w:val="clear" w:color="auto" w:fill="auto"/>
                <w:lang w:eastAsia="en-US" w:bidi="en-US"/>
              </w:rPr>
              <w:t>其他单位编制</w:t>
            </w:r>
          </w:p>
        </w:tc>
        <w:tc>
          <w:tcPr>
            <w:tcW w:w="1701" w:type="dxa"/>
            <w:vAlign w:val="center"/>
          </w:tcPr>
          <w:p w14:paraId="1C6C43D8">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2"/>
                <w:w w:val="100"/>
                <w:kern w:val="0"/>
                <w:position w:val="0"/>
                <w:sz w:val="24"/>
                <w:szCs w:val="24"/>
                <w:shd w:val="clear" w:color="auto" w:fill="auto"/>
                <w:lang w:eastAsia="en-US" w:bidi="en-US"/>
              </w:rPr>
              <w:t>机构名称</w:t>
            </w:r>
          </w:p>
        </w:tc>
        <w:tc>
          <w:tcPr>
            <w:tcW w:w="4795" w:type="dxa"/>
            <w:gridSpan w:val="2"/>
            <w:vAlign w:val="center"/>
          </w:tcPr>
          <w:p w14:paraId="583F5A31">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zh-CN" w:bidi="en-US"/>
              </w:rPr>
            </w:pPr>
            <w:r>
              <w:rPr>
                <w:rFonts w:hint="eastAsia" w:ascii="宋体" w:hAnsi="宋体" w:eastAsia="宋体" w:cs="宋体"/>
                <w:color w:val="000000"/>
                <w:spacing w:val="0"/>
                <w:w w:val="100"/>
                <w:kern w:val="0"/>
                <w:position w:val="0"/>
                <w:sz w:val="24"/>
                <w:szCs w:val="24"/>
                <w:shd w:val="clear" w:color="auto" w:fill="auto"/>
                <w:lang w:eastAsia="zh-CN" w:bidi="en-US"/>
              </w:rPr>
              <w:t>湖南省中君项目管理咨询有限公司</w:t>
            </w:r>
          </w:p>
        </w:tc>
      </w:tr>
      <w:tr w14:paraId="5232F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2409" w:type="dxa"/>
            <w:vMerge w:val="continue"/>
            <w:tcBorders>
              <w:top w:val="nil"/>
              <w:bottom w:val="nil"/>
            </w:tcBorders>
            <w:vAlign w:val="center"/>
          </w:tcPr>
          <w:p w14:paraId="6A0846B5">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p>
        </w:tc>
        <w:tc>
          <w:tcPr>
            <w:tcW w:w="1701" w:type="dxa"/>
            <w:vAlign w:val="center"/>
          </w:tcPr>
          <w:p w14:paraId="275802B5">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2"/>
                <w:w w:val="100"/>
                <w:kern w:val="0"/>
                <w:position w:val="0"/>
                <w:sz w:val="24"/>
                <w:szCs w:val="24"/>
                <w:shd w:val="clear" w:color="auto" w:fill="auto"/>
                <w:lang w:eastAsia="en-US" w:bidi="en-US"/>
              </w:rPr>
              <w:t>联系人</w:t>
            </w:r>
          </w:p>
        </w:tc>
        <w:tc>
          <w:tcPr>
            <w:tcW w:w="2115" w:type="dxa"/>
            <w:vAlign w:val="center"/>
          </w:tcPr>
          <w:p w14:paraId="30689759">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2"/>
                <w:w w:val="100"/>
                <w:kern w:val="0"/>
                <w:position w:val="0"/>
                <w:sz w:val="24"/>
                <w:szCs w:val="24"/>
                <w:shd w:val="clear" w:color="auto" w:fill="auto"/>
                <w:lang w:eastAsia="en-US" w:bidi="en-US"/>
              </w:rPr>
              <w:t>联系方式</w:t>
            </w:r>
          </w:p>
        </w:tc>
        <w:tc>
          <w:tcPr>
            <w:tcW w:w="2680" w:type="dxa"/>
            <w:vAlign w:val="center"/>
          </w:tcPr>
          <w:p w14:paraId="779D7184">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2"/>
                <w:w w:val="100"/>
                <w:kern w:val="0"/>
                <w:position w:val="0"/>
                <w:sz w:val="24"/>
                <w:szCs w:val="24"/>
                <w:shd w:val="clear" w:color="auto" w:fill="auto"/>
                <w:lang w:eastAsia="en-US" w:bidi="en-US"/>
              </w:rPr>
              <w:t>电子邮箱</w:t>
            </w:r>
          </w:p>
        </w:tc>
      </w:tr>
      <w:tr w14:paraId="60F56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409" w:type="dxa"/>
            <w:vMerge w:val="continue"/>
            <w:tcBorders>
              <w:top w:val="nil"/>
            </w:tcBorders>
            <w:vAlign w:val="center"/>
          </w:tcPr>
          <w:p w14:paraId="5F764566">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p>
        </w:tc>
        <w:tc>
          <w:tcPr>
            <w:tcW w:w="1701" w:type="dxa"/>
            <w:vAlign w:val="center"/>
          </w:tcPr>
          <w:p w14:paraId="5963E186">
            <w:pPr>
              <w:keepNext w:val="0"/>
              <w:keepLines w:val="0"/>
              <w:pageBreakBefore w:val="0"/>
              <w:shd w:val="clear" w:color="auto" w:fill="auto"/>
              <w:wordWrap/>
              <w:overflowPunct/>
              <w:topLinePunct w:val="0"/>
              <w:bidi w:val="0"/>
              <w:spacing w:before="0" w:after="0" w:line="520" w:lineRule="exact"/>
              <w:ind w:left="0" w:leftChars="0" w:right="0" w:rightChars="0" w:firstLine="0" w:firstLineChars="0"/>
              <w:jc w:val="center"/>
              <w:rPr>
                <w:rFonts w:hint="default"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1"/>
                <w:szCs w:val="21"/>
                <w:shd w:val="clear" w:color="auto" w:fill="auto"/>
                <w:lang w:val="en-US" w:eastAsia="zh-CN" w:bidi="en-US"/>
              </w:rPr>
              <w:t>李</w:t>
            </w:r>
            <w:r>
              <w:rPr>
                <w:rFonts w:hint="eastAsia" w:ascii="宋体" w:hAnsi="宋体" w:cs="宋体"/>
                <w:color w:val="000000"/>
                <w:spacing w:val="0"/>
                <w:w w:val="100"/>
                <w:kern w:val="0"/>
                <w:position w:val="0"/>
                <w:sz w:val="21"/>
                <w:szCs w:val="21"/>
                <w:shd w:val="clear" w:color="auto" w:fill="auto"/>
                <w:lang w:val="en-US" w:eastAsia="zh-CN" w:bidi="en-US"/>
              </w:rPr>
              <w:t>女士</w:t>
            </w:r>
          </w:p>
        </w:tc>
        <w:tc>
          <w:tcPr>
            <w:tcW w:w="2115" w:type="dxa"/>
            <w:vAlign w:val="center"/>
          </w:tcPr>
          <w:p w14:paraId="501A4528">
            <w:pPr>
              <w:keepNext w:val="0"/>
              <w:keepLines w:val="0"/>
              <w:pageBreakBefore w:val="0"/>
              <w:shd w:val="clear" w:color="auto" w:fill="auto"/>
              <w:wordWrap/>
              <w:overflowPunct/>
              <w:topLinePunct w:val="0"/>
              <w:bidi w:val="0"/>
              <w:spacing w:before="0" w:after="0" w:line="520" w:lineRule="exact"/>
              <w:ind w:left="0" w:leftChars="0" w:right="0" w:rightChars="0" w:firstLine="0" w:firstLineChars="0"/>
              <w:jc w:val="center"/>
              <w:rPr>
                <w:rFonts w:hint="default" w:ascii="宋体" w:hAnsi="宋体" w:eastAsia="宋体" w:cs="宋体"/>
                <w:color w:val="000000"/>
                <w:spacing w:val="0"/>
                <w:w w:val="100"/>
                <w:kern w:val="0"/>
                <w:position w:val="0"/>
                <w:sz w:val="24"/>
                <w:szCs w:val="24"/>
                <w:shd w:val="clear" w:color="auto" w:fill="auto"/>
                <w:lang w:val="en-US" w:eastAsia="en-US" w:bidi="en-US"/>
              </w:rPr>
            </w:pPr>
            <w:r>
              <w:rPr>
                <w:rFonts w:hint="default" w:ascii="宋体" w:hAnsi="宋体" w:eastAsia="宋体" w:cs="宋体"/>
                <w:color w:val="000000"/>
                <w:spacing w:val="0"/>
                <w:w w:val="100"/>
                <w:kern w:val="0"/>
                <w:position w:val="0"/>
                <w:sz w:val="24"/>
                <w:szCs w:val="24"/>
                <w:shd w:val="clear" w:color="auto" w:fill="auto"/>
                <w:lang w:val="en-US" w:eastAsia="en-US" w:bidi="en-US"/>
              </w:rPr>
              <w:t>0730-8864801</w:t>
            </w:r>
            <w:bookmarkStart w:id="107" w:name="_GoBack"/>
            <w:bookmarkEnd w:id="107"/>
          </w:p>
        </w:tc>
        <w:tc>
          <w:tcPr>
            <w:tcW w:w="2680" w:type="dxa"/>
            <w:vAlign w:val="center"/>
          </w:tcPr>
          <w:p w14:paraId="56DAB2A6">
            <w:pPr>
              <w:keepNext w:val="0"/>
              <w:keepLines w:val="0"/>
              <w:pageBreakBefore w:val="0"/>
              <w:shd w:val="clear" w:color="auto" w:fill="auto"/>
              <w:wordWrap/>
              <w:overflowPunct/>
              <w:topLinePunct w:val="0"/>
              <w:bidi w:val="0"/>
              <w:spacing w:before="0" w:after="0" w:line="520" w:lineRule="exact"/>
              <w:ind w:left="0" w:right="0" w:firstLine="0"/>
              <w:jc w:val="center"/>
              <w:rPr>
                <w:rFonts w:hint="default" w:ascii="宋体" w:hAnsi="宋体" w:eastAsia="宋体" w:cs="宋体"/>
                <w:color w:val="000000"/>
                <w:spacing w:val="0"/>
                <w:w w:val="100"/>
                <w:kern w:val="0"/>
                <w:position w:val="0"/>
                <w:sz w:val="24"/>
                <w:szCs w:val="24"/>
                <w:shd w:val="clear" w:color="auto" w:fill="auto"/>
                <w:lang w:val="en-US" w:eastAsia="en-US" w:bidi="en-US"/>
              </w:rPr>
            </w:pPr>
            <w:r>
              <w:rPr>
                <w:rFonts w:hint="eastAsia" w:ascii="宋体" w:hAnsi="宋体" w:eastAsia="宋体" w:cs="宋体"/>
                <w:color w:val="000000"/>
                <w:spacing w:val="0"/>
                <w:w w:val="100"/>
                <w:kern w:val="0"/>
                <w:position w:val="0"/>
                <w:sz w:val="21"/>
                <w:szCs w:val="21"/>
                <w:shd w:val="clear" w:color="auto" w:fill="auto"/>
                <w:lang w:val="en-US" w:eastAsia="zh-CN" w:bidi="en-US"/>
              </w:rPr>
              <w:t>389315508@qq.com</w:t>
            </w:r>
          </w:p>
        </w:tc>
      </w:tr>
      <w:tr w14:paraId="4D89E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409" w:type="dxa"/>
            <w:vAlign w:val="center"/>
          </w:tcPr>
          <w:p w14:paraId="299AC816">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1"/>
                <w:w w:val="100"/>
                <w:kern w:val="0"/>
                <w:position w:val="0"/>
                <w:sz w:val="24"/>
                <w:szCs w:val="24"/>
                <w:shd w:val="clear" w:color="auto" w:fill="auto"/>
                <w:lang w:eastAsia="en-US" w:bidi="en-US"/>
              </w:rPr>
              <w:t>采购项目类别</w:t>
            </w:r>
          </w:p>
        </w:tc>
        <w:tc>
          <w:tcPr>
            <w:tcW w:w="6496" w:type="dxa"/>
            <w:gridSpan w:val="3"/>
            <w:vAlign w:val="center"/>
          </w:tcPr>
          <w:p w14:paraId="1F435C08">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color w:val="000000"/>
                <w:spacing w:val="-1"/>
                <w:w w:val="100"/>
                <w:kern w:val="0"/>
                <w:position w:val="0"/>
                <w:sz w:val="24"/>
                <w:szCs w:val="24"/>
                <w:shd w:val="clear" w:color="auto" w:fill="auto"/>
                <w:lang w:eastAsia="en-US" w:bidi="en-US"/>
              </w:rPr>
              <w:t>口货物</w:t>
            </w:r>
            <w:r>
              <w:rPr>
                <w:rFonts w:hint="eastAsia" w:ascii="宋体" w:hAnsi="宋体" w:eastAsia="宋体" w:cs="宋体"/>
                <w:color w:val="000000"/>
                <w:spacing w:val="-1"/>
                <w:w w:val="100"/>
                <w:kern w:val="0"/>
                <w:position w:val="0"/>
                <w:sz w:val="24"/>
                <w:szCs w:val="24"/>
                <w:shd w:val="clear" w:color="auto" w:fill="auto"/>
                <w:lang w:val="en-US" w:eastAsia="en-US" w:bidi="en-US"/>
              </w:rPr>
              <w:t xml:space="preserve">    </w:t>
            </w:r>
            <w:r>
              <w:rPr>
                <w:rFonts w:hint="eastAsia" w:ascii="宋体" w:hAnsi="宋体" w:eastAsia="宋体" w:cs="宋体"/>
                <w:color w:val="000000"/>
                <w:spacing w:val="-1"/>
                <w:w w:val="100"/>
                <w:kern w:val="0"/>
                <w:position w:val="0"/>
                <w:sz w:val="24"/>
                <w:szCs w:val="24"/>
                <w:shd w:val="clear" w:color="auto" w:fill="auto"/>
                <w:lang w:val="en-US" w:eastAsia="zh-CN" w:bidi="en-US"/>
              </w:rPr>
              <w:t>☑</w:t>
            </w:r>
            <w:r>
              <w:rPr>
                <w:rFonts w:hint="eastAsia" w:ascii="宋体" w:hAnsi="宋体" w:eastAsia="宋体" w:cs="宋体"/>
                <w:color w:val="000000"/>
                <w:spacing w:val="-1"/>
                <w:w w:val="100"/>
                <w:kern w:val="0"/>
                <w:position w:val="0"/>
                <w:sz w:val="24"/>
                <w:szCs w:val="24"/>
                <w:shd w:val="clear" w:color="auto" w:fill="auto"/>
                <w:lang w:eastAsia="en-US" w:bidi="en-US"/>
              </w:rPr>
              <w:t>服务</w:t>
            </w:r>
            <w:r>
              <w:rPr>
                <w:rFonts w:hint="eastAsia" w:ascii="宋体" w:hAnsi="宋体" w:eastAsia="宋体" w:cs="宋体"/>
                <w:color w:val="000000"/>
                <w:spacing w:val="-1"/>
                <w:w w:val="100"/>
                <w:kern w:val="0"/>
                <w:position w:val="0"/>
                <w:sz w:val="24"/>
                <w:szCs w:val="24"/>
                <w:shd w:val="clear" w:color="auto" w:fill="auto"/>
                <w:lang w:val="en-US" w:eastAsia="en-US" w:bidi="en-US"/>
              </w:rPr>
              <w:t xml:space="preserve">    </w:t>
            </w:r>
            <w:r>
              <w:rPr>
                <w:rFonts w:hint="eastAsia" w:ascii="宋体" w:hAnsi="宋体" w:eastAsia="宋体" w:cs="宋体"/>
                <w:color w:val="000000"/>
                <w:spacing w:val="-1"/>
                <w:w w:val="100"/>
                <w:kern w:val="0"/>
                <w:position w:val="0"/>
                <w:sz w:val="24"/>
                <w:szCs w:val="24"/>
                <w:shd w:val="clear" w:color="auto" w:fill="auto"/>
                <w:lang w:val="en-US" w:eastAsia="zh-CN" w:bidi="en-US"/>
              </w:rPr>
              <w:t>□</w:t>
            </w:r>
            <w:r>
              <w:rPr>
                <w:rFonts w:hint="eastAsia" w:ascii="宋体" w:hAnsi="宋体" w:eastAsia="宋体" w:cs="宋体"/>
                <w:color w:val="000000"/>
                <w:spacing w:val="-1"/>
                <w:w w:val="100"/>
                <w:kern w:val="0"/>
                <w:position w:val="0"/>
                <w:sz w:val="24"/>
                <w:szCs w:val="24"/>
                <w:shd w:val="clear" w:color="auto" w:fill="auto"/>
                <w:lang w:eastAsia="en-US" w:bidi="en-US"/>
              </w:rPr>
              <w:t>工程</w:t>
            </w:r>
          </w:p>
        </w:tc>
      </w:tr>
    </w:tbl>
    <w:p w14:paraId="4A408748">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left"/>
        <w:textAlignment w:val="auto"/>
        <w:outlineLvl w:val="1"/>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b/>
          <w:bCs/>
          <w:color w:val="000000"/>
          <w:spacing w:val="-6"/>
          <w:w w:val="100"/>
          <w:kern w:val="0"/>
          <w:position w:val="0"/>
          <w:sz w:val="24"/>
          <w:szCs w:val="24"/>
          <w:shd w:val="clear" w:color="auto" w:fill="auto"/>
          <w:lang w:eastAsia="en-US" w:bidi="en-US"/>
        </w:rPr>
        <w:t>二</w:t>
      </w:r>
      <w:r>
        <w:rPr>
          <w:rFonts w:hint="eastAsia" w:ascii="宋体" w:hAnsi="宋体" w:eastAsia="宋体" w:cs="宋体"/>
          <w:color w:val="000000"/>
          <w:spacing w:val="-35"/>
          <w:w w:val="100"/>
          <w:kern w:val="0"/>
          <w:position w:val="0"/>
          <w:sz w:val="24"/>
          <w:szCs w:val="24"/>
          <w:shd w:val="clear" w:color="auto" w:fill="auto"/>
          <w:lang w:eastAsia="en-US" w:bidi="en-US"/>
        </w:rPr>
        <w:t xml:space="preserve"> </w:t>
      </w:r>
      <w:r>
        <w:rPr>
          <w:rFonts w:hint="eastAsia" w:ascii="宋体" w:hAnsi="宋体" w:eastAsia="宋体" w:cs="宋体"/>
          <w:b/>
          <w:bCs/>
          <w:color w:val="000000"/>
          <w:spacing w:val="-6"/>
          <w:w w:val="100"/>
          <w:kern w:val="0"/>
          <w:position w:val="0"/>
          <w:sz w:val="24"/>
          <w:szCs w:val="24"/>
          <w:shd w:val="clear" w:color="auto" w:fill="auto"/>
          <w:lang w:eastAsia="en-US" w:bidi="en-US"/>
        </w:rPr>
        <w:t>、需求调查情况</w:t>
      </w:r>
    </w:p>
    <w:p w14:paraId="15CCAF5F">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480" w:lineRule="exact"/>
        <w:ind w:left="0" w:right="0" w:firstLine="480" w:firstLineChars="200"/>
        <w:jc w:val="left"/>
        <w:textAlignment w:val="auto"/>
        <w:rPr>
          <w:rFonts w:hint="eastAsia" w:eastAsia="Times New Roman"/>
          <w:color w:val="000000"/>
          <w:spacing w:val="0"/>
          <w:w w:val="100"/>
          <w:kern w:val="0"/>
          <w:position w:val="0"/>
          <w:sz w:val="24"/>
          <w:szCs w:val="24"/>
          <w:shd w:val="clear" w:color="auto" w:fill="auto"/>
          <w:lang w:eastAsia="en-US" w:bidi="en-US"/>
        </w:rPr>
      </w:pPr>
      <w:r>
        <w:rPr>
          <w:rFonts w:hint="eastAsia" w:eastAsia="Times New Roman"/>
          <w:color w:val="000000"/>
          <w:spacing w:val="0"/>
          <w:w w:val="100"/>
          <w:kern w:val="0"/>
          <w:position w:val="0"/>
          <w:sz w:val="24"/>
          <w:szCs w:val="24"/>
          <w:shd w:val="clear" w:color="auto" w:fill="auto"/>
          <w:lang w:eastAsia="en-US" w:bidi="en-US"/>
        </w:rPr>
        <w:t>属于《政府采购需求管理办法》第十一条规定情形的，应当填写本部分。第十一条对于下列采购项目，应当开展需求调查：</w:t>
      </w:r>
    </w:p>
    <w:p w14:paraId="17B1506B">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480" w:lineRule="exact"/>
        <w:ind w:left="0" w:right="0" w:firstLine="0" w:firstLineChars="0"/>
        <w:jc w:val="left"/>
        <w:textAlignment w:val="auto"/>
        <w:rPr>
          <w:rFonts w:hint="eastAsia" w:eastAsia="Times New Roman"/>
          <w:color w:val="000000"/>
          <w:spacing w:val="0"/>
          <w:w w:val="100"/>
          <w:kern w:val="0"/>
          <w:position w:val="0"/>
          <w:sz w:val="24"/>
          <w:szCs w:val="24"/>
          <w:shd w:val="clear" w:color="auto" w:fill="auto"/>
          <w:lang w:eastAsia="en-US" w:bidi="en-US"/>
        </w:rPr>
      </w:pPr>
      <w:r>
        <w:rPr>
          <w:rFonts w:hint="eastAsia" w:eastAsia="Times New Roman"/>
          <w:color w:val="000000"/>
          <w:spacing w:val="0"/>
          <w:w w:val="100"/>
          <w:kern w:val="0"/>
          <w:position w:val="0"/>
          <w:sz w:val="24"/>
          <w:szCs w:val="24"/>
          <w:shd w:val="clear" w:color="auto" w:fill="auto"/>
          <w:lang w:eastAsia="en-US" w:bidi="en-US"/>
        </w:rPr>
        <w:t>(一)1000万元以上的货物、服务采购项目，3000万元以上的工程采购项目；</w:t>
      </w:r>
    </w:p>
    <w:p w14:paraId="338DD547">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480" w:lineRule="exact"/>
        <w:ind w:left="0" w:right="0" w:firstLine="0" w:firstLineChars="0"/>
        <w:jc w:val="left"/>
        <w:textAlignment w:val="auto"/>
        <w:rPr>
          <w:rFonts w:hint="eastAsia" w:eastAsia="Times New Roman"/>
          <w:color w:val="000000"/>
          <w:spacing w:val="0"/>
          <w:w w:val="100"/>
          <w:kern w:val="0"/>
          <w:position w:val="0"/>
          <w:sz w:val="24"/>
          <w:szCs w:val="24"/>
          <w:shd w:val="clear" w:color="auto" w:fill="auto"/>
          <w:lang w:eastAsia="en-US" w:bidi="en-US"/>
        </w:rPr>
      </w:pPr>
      <w:r>
        <w:rPr>
          <w:rFonts w:hint="eastAsia" w:eastAsia="Times New Roman"/>
          <w:color w:val="000000"/>
          <w:spacing w:val="0"/>
          <w:w w:val="100"/>
          <w:kern w:val="0"/>
          <w:position w:val="0"/>
          <w:sz w:val="24"/>
          <w:szCs w:val="24"/>
          <w:shd w:val="clear" w:color="auto" w:fill="auto"/>
          <w:lang w:eastAsia="en-US" w:bidi="en-US"/>
        </w:rPr>
        <w:t>(二)涉及公共利益、社会关注度较高的采购项目，包括政府向社会公众提供的公共服务项目等。</w:t>
      </w:r>
    </w:p>
    <w:p w14:paraId="4AA681DC">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480" w:lineRule="exact"/>
        <w:ind w:left="0" w:right="0" w:firstLine="0" w:firstLineChars="0"/>
        <w:jc w:val="left"/>
        <w:textAlignment w:val="auto"/>
        <w:rPr>
          <w:rFonts w:hint="eastAsia" w:eastAsia="Times New Roman"/>
          <w:color w:val="000000"/>
          <w:spacing w:val="0"/>
          <w:w w:val="100"/>
          <w:kern w:val="0"/>
          <w:position w:val="0"/>
          <w:sz w:val="24"/>
          <w:szCs w:val="24"/>
          <w:shd w:val="clear" w:color="auto" w:fill="auto"/>
          <w:lang w:eastAsia="en-US" w:bidi="en-US"/>
        </w:rPr>
      </w:pPr>
      <w:r>
        <w:rPr>
          <w:rFonts w:hint="eastAsia" w:eastAsia="Times New Roman"/>
          <w:color w:val="000000"/>
          <w:spacing w:val="0"/>
          <w:w w:val="100"/>
          <w:kern w:val="0"/>
          <w:position w:val="0"/>
          <w:sz w:val="24"/>
          <w:szCs w:val="24"/>
          <w:shd w:val="clear" w:color="auto" w:fill="auto"/>
          <w:lang w:eastAsia="en-US" w:bidi="en-US"/>
        </w:rPr>
        <w:t>(三)技术复杂、专业性较强的项目，包括需定制开发的信息化建设项目、采购进口产品的项目等；</w:t>
      </w:r>
    </w:p>
    <w:p w14:paraId="4A6C0CB8">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480" w:lineRule="exact"/>
        <w:ind w:left="0" w:right="0" w:firstLine="0" w:firstLineChars="0"/>
        <w:jc w:val="left"/>
        <w:textAlignment w:val="auto"/>
        <w:rPr>
          <w:rFonts w:hint="eastAsia" w:eastAsia="Times New Roman"/>
          <w:color w:val="000000"/>
          <w:spacing w:val="0"/>
          <w:w w:val="100"/>
          <w:kern w:val="0"/>
          <w:position w:val="0"/>
          <w:sz w:val="24"/>
          <w:szCs w:val="24"/>
          <w:shd w:val="clear" w:color="auto" w:fill="auto"/>
          <w:lang w:eastAsia="en-US" w:bidi="en-US"/>
        </w:rPr>
      </w:pPr>
      <w:r>
        <w:rPr>
          <w:rFonts w:hint="eastAsia" w:eastAsia="Times New Roman"/>
          <w:color w:val="000000"/>
          <w:spacing w:val="0"/>
          <w:w w:val="100"/>
          <w:kern w:val="0"/>
          <w:position w:val="0"/>
          <w:sz w:val="24"/>
          <w:szCs w:val="24"/>
          <w:shd w:val="clear" w:color="auto" w:fill="auto"/>
          <w:lang w:eastAsia="en-US" w:bidi="en-US"/>
        </w:rPr>
        <w:t>(四)主管预算单位或者采购人认为需要开展需求调查的其他采购项目。</w:t>
      </w:r>
    </w:p>
    <w:p w14:paraId="72580024">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480" w:lineRule="exact"/>
        <w:ind w:left="0" w:right="0" w:firstLine="480" w:firstLineChars="200"/>
        <w:jc w:val="left"/>
        <w:textAlignment w:val="auto"/>
        <w:rPr>
          <w:rFonts w:hint="eastAsia" w:eastAsia="Times New Roman"/>
          <w:color w:val="000000"/>
          <w:spacing w:val="0"/>
          <w:w w:val="100"/>
          <w:kern w:val="0"/>
          <w:position w:val="0"/>
          <w:sz w:val="24"/>
          <w:szCs w:val="24"/>
          <w:shd w:val="clear" w:color="auto" w:fill="auto"/>
          <w:lang w:eastAsia="en-US" w:bidi="en-US"/>
        </w:rPr>
      </w:pPr>
      <w:r>
        <w:rPr>
          <w:rFonts w:hint="eastAsia" w:eastAsia="Times New Roman"/>
          <w:color w:val="000000"/>
          <w:spacing w:val="0"/>
          <w:w w:val="100"/>
          <w:kern w:val="0"/>
          <w:position w:val="0"/>
          <w:sz w:val="24"/>
          <w:szCs w:val="24"/>
          <w:shd w:val="clear" w:color="auto" w:fill="auto"/>
          <w:lang w:eastAsia="en-US" w:bidi="en-US"/>
        </w:rPr>
        <w:t>对于应当开展需求调查的项目，但不开展需求调查的，应在此处写明不开展的具体原因。</w:t>
      </w:r>
    </w:p>
    <w:p w14:paraId="15642097">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480" w:lineRule="exact"/>
        <w:ind w:left="0" w:right="0" w:firstLine="0" w:firstLineChars="0"/>
        <w:jc w:val="left"/>
        <w:textAlignment w:val="auto"/>
        <w:rPr>
          <w:rFonts w:hint="eastAsia" w:eastAsia="Times New Roman"/>
          <w:color w:val="000000"/>
          <w:spacing w:val="0"/>
          <w:w w:val="100"/>
          <w:kern w:val="0"/>
          <w:position w:val="0"/>
          <w:sz w:val="24"/>
          <w:szCs w:val="24"/>
          <w:shd w:val="clear" w:color="auto" w:fill="auto"/>
          <w:lang w:eastAsia="en-US" w:bidi="en-US"/>
        </w:rPr>
      </w:pPr>
      <w:r>
        <w:rPr>
          <w:rFonts w:hint="eastAsia" w:eastAsia="Times New Roman"/>
          <w:color w:val="000000"/>
          <w:spacing w:val="0"/>
          <w:w w:val="100"/>
          <w:kern w:val="0"/>
          <w:position w:val="0"/>
          <w:sz w:val="24"/>
          <w:szCs w:val="24"/>
          <w:shd w:val="clear" w:color="auto" w:fill="auto"/>
          <w:lang w:eastAsia="en-US" w:bidi="en-US"/>
        </w:rPr>
        <w:t>编制采购需求前一年内，采购人已就相关采购标的开展过需求调查的可以不再重复开展。</w:t>
      </w:r>
    </w:p>
    <w:p w14:paraId="05B0776A">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480" w:lineRule="exact"/>
        <w:ind w:left="0" w:right="0" w:firstLine="480" w:firstLineChars="200"/>
        <w:jc w:val="left"/>
        <w:textAlignment w:val="auto"/>
        <w:rPr>
          <w:rFonts w:hint="eastAsia" w:eastAsia="Times New Roman"/>
          <w:color w:val="000000"/>
          <w:spacing w:val="0"/>
          <w:w w:val="100"/>
          <w:kern w:val="0"/>
          <w:position w:val="0"/>
          <w:sz w:val="24"/>
          <w:szCs w:val="24"/>
          <w:shd w:val="clear" w:color="auto" w:fill="auto"/>
          <w:lang w:eastAsia="en-US" w:bidi="en-US"/>
        </w:rPr>
      </w:pPr>
      <w:r>
        <w:rPr>
          <w:rFonts w:hint="eastAsia" w:eastAsia="Times New Roman"/>
          <w:color w:val="000000"/>
          <w:spacing w:val="0"/>
          <w:w w:val="100"/>
          <w:kern w:val="0"/>
          <w:position w:val="0"/>
          <w:sz w:val="24"/>
          <w:szCs w:val="24"/>
          <w:shd w:val="clear" w:color="auto" w:fill="auto"/>
          <w:lang w:eastAsia="en-US" w:bidi="en-US"/>
        </w:rPr>
        <w:t>按照法律法规的规定，对采购项目开展可行性研究等前期工作，已包含《政府采购需求管理办法》规定的需求调查内容的，可以不再重复调查；对在可行性研究等前期工作中未涉及的部分，应当按照《政府采购需求管理办法》的规定开展需求调查。</w:t>
      </w:r>
    </w:p>
    <w:p w14:paraId="3CD94EE4">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480" w:lineRule="exact"/>
        <w:ind w:left="0" w:right="0" w:firstLine="0"/>
        <w:jc w:val="left"/>
        <w:textAlignment w:val="auto"/>
        <w:rPr>
          <w:rFonts w:hint="eastAsia" w:eastAsia="Times New Roman"/>
          <w:color w:val="000000"/>
          <w:spacing w:val="0"/>
          <w:w w:val="100"/>
          <w:kern w:val="0"/>
          <w:position w:val="0"/>
          <w:sz w:val="24"/>
          <w:szCs w:val="24"/>
          <w:shd w:val="clear" w:color="auto" w:fill="auto"/>
          <w:lang w:eastAsia="en-US" w:bidi="en-US"/>
        </w:rPr>
      </w:pPr>
      <w:r>
        <w:rPr>
          <w:rFonts w:hint="eastAsia" w:eastAsia="Times New Roman"/>
          <w:color w:val="000000"/>
          <w:spacing w:val="0"/>
          <w:w w:val="100"/>
          <w:kern w:val="0"/>
          <w:position w:val="0"/>
          <w:sz w:val="24"/>
          <w:szCs w:val="24"/>
          <w:shd w:val="clear" w:color="auto" w:fill="auto"/>
          <w:lang w:eastAsia="en-US" w:bidi="en-US"/>
        </w:rPr>
        <w:t>(一)是否开展需求调查</w:t>
      </w:r>
    </w:p>
    <w:p w14:paraId="60B23F2A">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480" w:lineRule="exact"/>
        <w:ind w:left="0" w:right="0" w:firstLine="480" w:firstLineChars="200"/>
        <w:jc w:val="left"/>
        <w:textAlignment w:val="auto"/>
        <w:rPr>
          <w:rFonts w:hint="eastAsia" w:eastAsia="Times New Roman"/>
          <w:color w:val="000000"/>
          <w:spacing w:val="0"/>
          <w:w w:val="100"/>
          <w:kern w:val="0"/>
          <w:position w:val="0"/>
          <w:sz w:val="24"/>
          <w:szCs w:val="24"/>
          <w:shd w:val="clear" w:color="auto" w:fill="auto"/>
          <w:lang w:eastAsia="en-US" w:bidi="en-US"/>
        </w:rPr>
      </w:pPr>
      <w:r>
        <w:rPr>
          <w:rFonts w:hint="eastAsia" w:eastAsia="Times New Roman"/>
          <w:color w:val="000000"/>
          <w:spacing w:val="0"/>
          <w:w w:val="100"/>
          <w:kern w:val="0"/>
          <w:position w:val="0"/>
          <w:sz w:val="24"/>
          <w:szCs w:val="24"/>
          <w:shd w:val="clear" w:color="auto" w:fill="auto"/>
          <w:lang w:eastAsia="en-US" w:bidi="en-US"/>
        </w:rPr>
        <w:t>1</w:t>
      </w:r>
      <w:r>
        <w:rPr>
          <w:rFonts w:hint="eastAsia" w:eastAsia="宋体"/>
          <w:color w:val="000000"/>
          <w:spacing w:val="0"/>
          <w:w w:val="100"/>
          <w:kern w:val="0"/>
          <w:position w:val="0"/>
          <w:sz w:val="24"/>
          <w:szCs w:val="24"/>
          <w:shd w:val="clear" w:color="auto" w:fill="auto"/>
          <w:lang w:eastAsia="zh-CN" w:bidi="en-US"/>
        </w:rPr>
        <w:t>.</w:t>
      </w:r>
      <w:r>
        <w:rPr>
          <w:rFonts w:hint="eastAsia" w:eastAsia="宋体"/>
          <w:color w:val="000000"/>
          <w:spacing w:val="0"/>
          <w:w w:val="100"/>
          <w:kern w:val="0"/>
          <w:position w:val="0"/>
          <w:sz w:val="24"/>
          <w:szCs w:val="24"/>
          <w:shd w:val="clear" w:color="auto" w:fill="auto"/>
          <w:lang w:eastAsia="zh-CN" w:bidi="en-US"/>
        </w:rPr>
        <w:sym w:font="Wingdings" w:char="00A8"/>
      </w:r>
      <w:r>
        <w:rPr>
          <w:rFonts w:hint="eastAsia" w:eastAsia="Times New Roman"/>
          <w:color w:val="000000"/>
          <w:spacing w:val="0"/>
          <w:w w:val="100"/>
          <w:kern w:val="0"/>
          <w:position w:val="0"/>
          <w:sz w:val="24"/>
          <w:szCs w:val="24"/>
          <w:shd w:val="clear" w:color="auto" w:fill="auto"/>
          <w:lang w:eastAsia="en-US" w:bidi="en-US"/>
        </w:rPr>
        <w:t>是</w:t>
      </w:r>
    </w:p>
    <w:p w14:paraId="70BCC347">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before="0" w:after="0" w:line="480" w:lineRule="exact"/>
        <w:ind w:left="420" w:leftChars="200" w:right="0" w:rightChars="0" w:firstLine="0"/>
        <w:jc w:val="left"/>
        <w:textAlignment w:val="auto"/>
        <w:rPr>
          <w:rFonts w:hint="eastAsia" w:eastAsia="Times New Roman"/>
          <w:color w:val="000000"/>
          <w:spacing w:val="0"/>
          <w:w w:val="100"/>
          <w:kern w:val="0"/>
          <w:position w:val="0"/>
          <w:sz w:val="24"/>
          <w:szCs w:val="24"/>
          <w:shd w:val="clear" w:color="auto" w:fill="auto"/>
          <w:lang w:eastAsia="en-US" w:bidi="en-US"/>
        </w:rPr>
      </w:pPr>
      <w:r>
        <w:rPr>
          <w:rFonts w:hint="eastAsia" w:eastAsia="宋体"/>
          <w:color w:val="000000"/>
          <w:spacing w:val="0"/>
          <w:w w:val="100"/>
          <w:kern w:val="0"/>
          <w:position w:val="0"/>
          <w:sz w:val="24"/>
          <w:szCs w:val="24"/>
          <w:shd w:val="clear" w:color="auto" w:fill="auto"/>
          <w:lang w:val="en-US" w:eastAsia="zh-CN" w:bidi="en-US"/>
        </w:rPr>
        <w:t>2.</w:t>
      </w:r>
      <w:r>
        <w:rPr>
          <w:rFonts w:hint="eastAsia" w:eastAsia="宋体"/>
          <w:color w:val="000000"/>
          <w:spacing w:val="0"/>
          <w:w w:val="100"/>
          <w:kern w:val="0"/>
          <w:position w:val="0"/>
          <w:sz w:val="24"/>
          <w:szCs w:val="24"/>
          <w:shd w:val="clear" w:color="auto" w:fill="auto"/>
          <w:lang w:eastAsia="zh-CN" w:bidi="en-US"/>
        </w:rPr>
        <w:sym w:font="Wingdings" w:char="00FE"/>
      </w:r>
      <w:r>
        <w:rPr>
          <w:rFonts w:hint="eastAsia" w:eastAsia="Times New Roman"/>
          <w:color w:val="000000"/>
          <w:spacing w:val="0"/>
          <w:w w:val="100"/>
          <w:kern w:val="0"/>
          <w:position w:val="0"/>
          <w:sz w:val="24"/>
          <w:szCs w:val="24"/>
          <w:shd w:val="clear" w:color="auto" w:fill="auto"/>
          <w:lang w:eastAsia="en-US" w:bidi="en-US"/>
        </w:rPr>
        <w:t>否，理由：本项目不属于《政府采购需求管理办法》第十一条规定的情形。</w:t>
      </w:r>
    </w:p>
    <w:p w14:paraId="03116784">
      <w:pPr>
        <w:keepNext w:val="0"/>
        <w:keepLines w:val="0"/>
        <w:pageBreakBefore w:val="0"/>
        <w:widowControl w:val="0"/>
        <w:numPr>
          <w:ilvl w:val="0"/>
          <w:numId w:val="4"/>
        </w:numPr>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left"/>
        <w:textAlignment w:val="auto"/>
        <w:rPr>
          <w:rFonts w:hint="eastAsia" w:ascii="宋体" w:hAnsi="宋体" w:eastAsia="宋体" w:cs="宋体"/>
          <w:color w:val="000000"/>
          <w:spacing w:val="0"/>
          <w:w w:val="100"/>
          <w:kern w:val="0"/>
          <w:position w:val="0"/>
          <w:sz w:val="24"/>
          <w:szCs w:val="24"/>
          <w:shd w:val="clear" w:color="auto" w:fill="auto"/>
          <w:lang w:eastAsia="en-US" w:bidi="en-US"/>
        </w:rPr>
      </w:pPr>
      <w:r>
        <w:rPr>
          <w:rFonts w:hint="eastAsia" w:ascii="宋体" w:hAnsi="宋体" w:eastAsia="宋体" w:cs="宋体"/>
          <w:b/>
          <w:bCs/>
          <w:color w:val="000000"/>
          <w:spacing w:val="-12"/>
          <w:w w:val="100"/>
          <w:kern w:val="0"/>
          <w:position w:val="0"/>
          <w:sz w:val="24"/>
          <w:szCs w:val="24"/>
          <w:shd w:val="clear" w:color="auto" w:fill="auto"/>
          <w:lang w:eastAsia="en-US" w:bidi="en-US"/>
        </w:rPr>
        <w:t>采购需求清单</w:t>
      </w:r>
      <w:r>
        <w:rPr>
          <w:rFonts w:hint="eastAsia" w:ascii="宋体" w:hAnsi="宋体" w:eastAsia="宋体" w:cs="宋体"/>
          <w:color w:val="000000"/>
          <w:spacing w:val="0"/>
          <w:w w:val="100"/>
          <w:kern w:val="0"/>
          <w:position w:val="0"/>
          <w:sz w:val="24"/>
          <w:szCs w:val="24"/>
          <w:shd w:val="clear" w:color="auto" w:fill="auto"/>
          <w:lang w:eastAsia="en-US" w:bidi="en-US"/>
        </w:rPr>
        <w:t xml:space="preserve"> </w:t>
      </w:r>
    </w:p>
    <w:p w14:paraId="1E9555DB">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left"/>
        <w:textAlignment w:val="auto"/>
        <w:rPr>
          <w:rFonts w:hint="default" w:ascii="宋体" w:hAnsi="宋体" w:eastAsia="宋体" w:cs="宋体"/>
          <w:b w:val="0"/>
          <w:bCs w:val="0"/>
          <w:color w:val="000000"/>
          <w:spacing w:val="-4"/>
          <w:w w:val="100"/>
          <w:kern w:val="0"/>
          <w:position w:val="0"/>
          <w:sz w:val="24"/>
          <w:szCs w:val="24"/>
          <w:shd w:val="clear" w:color="auto" w:fill="auto"/>
          <w:lang w:val="en-US" w:eastAsia="zh-CN" w:bidi="en-US"/>
        </w:rPr>
      </w:pPr>
      <w:r>
        <w:rPr>
          <w:rFonts w:hint="eastAsia" w:ascii="宋体" w:hAnsi="宋体" w:eastAsia="宋体" w:cs="宋体"/>
          <w:b/>
          <w:bCs/>
          <w:color w:val="000000"/>
          <w:spacing w:val="-4"/>
          <w:w w:val="100"/>
          <w:kern w:val="0"/>
          <w:position w:val="0"/>
          <w:sz w:val="24"/>
          <w:szCs w:val="24"/>
          <w:shd w:val="clear" w:color="auto" w:fill="auto"/>
          <w:lang w:eastAsia="en-US" w:bidi="en-US"/>
        </w:rPr>
        <w:t>项目概况</w:t>
      </w:r>
      <w:r>
        <w:rPr>
          <w:rFonts w:hint="eastAsia" w:ascii="宋体" w:hAnsi="宋体" w:eastAsia="宋体" w:cs="宋体"/>
          <w:b w:val="0"/>
          <w:bCs w:val="0"/>
          <w:color w:val="000000"/>
          <w:spacing w:val="-4"/>
          <w:w w:val="100"/>
          <w:kern w:val="0"/>
          <w:position w:val="0"/>
          <w:sz w:val="24"/>
          <w:szCs w:val="24"/>
          <w:shd w:val="clear" w:color="auto" w:fill="auto"/>
          <w:lang w:eastAsia="en-US" w:bidi="en-US"/>
        </w:rPr>
        <w:t>：根据湖南省农业农村厅办公室关于印发《湖南省202</w:t>
      </w:r>
      <w:r>
        <w:rPr>
          <w:rFonts w:hint="eastAsia" w:ascii="宋体" w:hAnsi="宋体" w:eastAsia="宋体" w:cs="宋体"/>
          <w:b w:val="0"/>
          <w:bCs w:val="0"/>
          <w:color w:val="000000"/>
          <w:spacing w:val="-4"/>
          <w:w w:val="100"/>
          <w:kern w:val="0"/>
          <w:position w:val="0"/>
          <w:sz w:val="24"/>
          <w:szCs w:val="24"/>
          <w:shd w:val="clear" w:color="auto" w:fill="auto"/>
          <w:lang w:val="en-US" w:eastAsia="zh-CN" w:bidi="en-US"/>
        </w:rPr>
        <w:t>6</w:t>
      </w:r>
      <w:r>
        <w:rPr>
          <w:rFonts w:hint="eastAsia" w:ascii="宋体" w:hAnsi="宋体" w:eastAsia="宋体" w:cs="宋体"/>
          <w:b w:val="0"/>
          <w:bCs w:val="0"/>
          <w:color w:val="000000"/>
          <w:spacing w:val="-4"/>
          <w:w w:val="100"/>
          <w:kern w:val="0"/>
          <w:position w:val="0"/>
          <w:sz w:val="24"/>
          <w:szCs w:val="24"/>
          <w:shd w:val="clear" w:color="auto" w:fill="auto"/>
          <w:lang w:eastAsia="en-US" w:bidi="en-US"/>
        </w:rPr>
        <w:t>年高素质农民培育工作实施方案》的通知湘农办发〔202</w:t>
      </w:r>
      <w:r>
        <w:rPr>
          <w:rFonts w:hint="eastAsia" w:ascii="宋体" w:hAnsi="宋体" w:eastAsia="宋体" w:cs="宋体"/>
          <w:b w:val="0"/>
          <w:bCs w:val="0"/>
          <w:color w:val="000000"/>
          <w:spacing w:val="-4"/>
          <w:w w:val="100"/>
          <w:kern w:val="0"/>
          <w:position w:val="0"/>
          <w:sz w:val="24"/>
          <w:szCs w:val="24"/>
          <w:shd w:val="clear" w:color="auto" w:fill="auto"/>
          <w:lang w:val="en-US" w:eastAsia="zh-CN" w:bidi="en-US"/>
        </w:rPr>
        <w:t>6</w:t>
      </w:r>
      <w:r>
        <w:rPr>
          <w:rFonts w:hint="eastAsia" w:ascii="宋体" w:hAnsi="宋体" w:eastAsia="宋体" w:cs="宋体"/>
          <w:b w:val="0"/>
          <w:bCs w:val="0"/>
          <w:color w:val="000000"/>
          <w:spacing w:val="-4"/>
          <w:w w:val="100"/>
          <w:kern w:val="0"/>
          <w:position w:val="0"/>
          <w:sz w:val="24"/>
          <w:szCs w:val="24"/>
          <w:shd w:val="clear" w:color="auto" w:fill="auto"/>
          <w:lang w:eastAsia="en-US" w:bidi="en-US"/>
        </w:rPr>
        <w:t>〕</w:t>
      </w:r>
      <w:r>
        <w:rPr>
          <w:rFonts w:hint="eastAsia" w:ascii="宋体" w:hAnsi="宋体" w:eastAsia="宋体" w:cs="宋体"/>
          <w:b w:val="0"/>
          <w:bCs w:val="0"/>
          <w:color w:val="000000"/>
          <w:spacing w:val="-4"/>
          <w:w w:val="100"/>
          <w:kern w:val="0"/>
          <w:position w:val="0"/>
          <w:sz w:val="24"/>
          <w:szCs w:val="24"/>
          <w:shd w:val="clear" w:color="auto" w:fill="auto"/>
          <w:lang w:val="en-US" w:eastAsia="zh-CN" w:bidi="en-US"/>
        </w:rPr>
        <w:t>22</w:t>
      </w:r>
      <w:r>
        <w:rPr>
          <w:rFonts w:hint="eastAsia" w:ascii="宋体" w:hAnsi="宋体" w:eastAsia="宋体" w:cs="宋体"/>
          <w:b w:val="0"/>
          <w:bCs w:val="0"/>
          <w:color w:val="000000"/>
          <w:spacing w:val="-4"/>
          <w:w w:val="100"/>
          <w:kern w:val="0"/>
          <w:position w:val="0"/>
          <w:sz w:val="24"/>
          <w:szCs w:val="24"/>
          <w:shd w:val="clear" w:color="auto" w:fill="auto"/>
          <w:lang w:eastAsia="en-US" w:bidi="en-US"/>
        </w:rPr>
        <w:t>号</w:t>
      </w:r>
      <w:r>
        <w:rPr>
          <w:rFonts w:hint="eastAsia" w:ascii="宋体" w:hAnsi="宋体" w:eastAsia="宋体" w:cs="宋体"/>
          <w:b w:val="0"/>
          <w:bCs w:val="0"/>
          <w:color w:val="000000"/>
          <w:spacing w:val="-4"/>
          <w:w w:val="100"/>
          <w:kern w:val="0"/>
          <w:position w:val="0"/>
          <w:sz w:val="24"/>
          <w:szCs w:val="24"/>
          <w:shd w:val="clear" w:color="auto" w:fill="auto"/>
          <w:lang w:eastAsia="zh-CN" w:bidi="en-US"/>
        </w:rPr>
        <w:t>，</w:t>
      </w:r>
      <w:r>
        <w:rPr>
          <w:rFonts w:hint="eastAsia" w:ascii="宋体" w:hAnsi="宋体" w:eastAsia="宋体" w:cs="宋体"/>
          <w:b w:val="0"/>
          <w:bCs w:val="0"/>
          <w:color w:val="000000"/>
          <w:spacing w:val="-4"/>
          <w:w w:val="100"/>
          <w:kern w:val="0"/>
          <w:position w:val="0"/>
          <w:sz w:val="24"/>
          <w:szCs w:val="24"/>
          <w:shd w:val="clear" w:color="auto" w:fill="auto"/>
          <w:lang w:eastAsia="en-US" w:bidi="en-US"/>
        </w:rPr>
        <w:t>华容县202</w:t>
      </w:r>
      <w:r>
        <w:rPr>
          <w:rFonts w:hint="eastAsia" w:ascii="宋体" w:hAnsi="宋体" w:eastAsia="宋体" w:cs="宋体"/>
          <w:b w:val="0"/>
          <w:bCs w:val="0"/>
          <w:color w:val="000000"/>
          <w:spacing w:val="-4"/>
          <w:w w:val="100"/>
          <w:kern w:val="0"/>
          <w:position w:val="0"/>
          <w:sz w:val="24"/>
          <w:szCs w:val="24"/>
          <w:shd w:val="clear" w:color="auto" w:fill="auto"/>
          <w:lang w:val="en-US" w:eastAsia="zh-CN" w:bidi="en-US"/>
        </w:rPr>
        <w:t>6</w:t>
      </w:r>
      <w:r>
        <w:rPr>
          <w:rFonts w:hint="eastAsia" w:ascii="宋体" w:hAnsi="宋体" w:eastAsia="宋体" w:cs="宋体"/>
          <w:b w:val="0"/>
          <w:bCs w:val="0"/>
          <w:color w:val="000000"/>
          <w:spacing w:val="-4"/>
          <w:w w:val="100"/>
          <w:kern w:val="0"/>
          <w:position w:val="0"/>
          <w:sz w:val="24"/>
          <w:szCs w:val="24"/>
          <w:shd w:val="clear" w:color="auto" w:fill="auto"/>
          <w:lang w:eastAsia="en-US" w:bidi="en-US"/>
        </w:rPr>
        <w:t>年计划培育高素质农民</w:t>
      </w:r>
      <w:r>
        <w:rPr>
          <w:rFonts w:hint="eastAsia" w:ascii="宋体" w:hAnsi="宋体" w:eastAsia="宋体" w:cs="宋体"/>
          <w:b w:val="0"/>
          <w:bCs w:val="0"/>
          <w:color w:val="000000"/>
          <w:spacing w:val="-4"/>
          <w:w w:val="100"/>
          <w:kern w:val="0"/>
          <w:position w:val="0"/>
          <w:sz w:val="24"/>
          <w:szCs w:val="24"/>
          <w:shd w:val="clear" w:color="auto" w:fill="auto"/>
          <w:lang w:val="en-US" w:eastAsia="zh-CN" w:bidi="en-US"/>
        </w:rPr>
        <w:t>450</w:t>
      </w:r>
      <w:r>
        <w:rPr>
          <w:rFonts w:hint="eastAsia" w:ascii="宋体" w:hAnsi="宋体" w:eastAsia="宋体" w:cs="宋体"/>
          <w:b w:val="0"/>
          <w:bCs w:val="0"/>
          <w:color w:val="000000"/>
          <w:spacing w:val="-4"/>
          <w:w w:val="100"/>
          <w:kern w:val="0"/>
          <w:position w:val="0"/>
          <w:sz w:val="24"/>
          <w:szCs w:val="24"/>
          <w:shd w:val="clear" w:color="auto" w:fill="auto"/>
          <w:lang w:eastAsia="en-US" w:bidi="en-US"/>
        </w:rPr>
        <w:t>名，其中常规班</w:t>
      </w:r>
      <w:r>
        <w:rPr>
          <w:rFonts w:hint="eastAsia" w:ascii="宋体" w:hAnsi="宋体" w:eastAsia="宋体" w:cs="宋体"/>
          <w:b w:val="0"/>
          <w:bCs w:val="0"/>
          <w:color w:val="000000"/>
          <w:spacing w:val="-4"/>
          <w:w w:val="100"/>
          <w:kern w:val="0"/>
          <w:position w:val="0"/>
          <w:sz w:val="24"/>
          <w:szCs w:val="24"/>
          <w:shd w:val="clear" w:color="auto" w:fill="auto"/>
          <w:lang w:val="en-US" w:eastAsia="zh-CN" w:bidi="en-US"/>
        </w:rPr>
        <w:t>350</w:t>
      </w:r>
      <w:r>
        <w:rPr>
          <w:rFonts w:hint="eastAsia" w:ascii="宋体" w:hAnsi="宋体" w:eastAsia="宋体" w:cs="宋体"/>
          <w:b w:val="0"/>
          <w:bCs w:val="0"/>
          <w:color w:val="000000"/>
          <w:spacing w:val="-4"/>
          <w:w w:val="100"/>
          <w:kern w:val="0"/>
          <w:position w:val="0"/>
          <w:sz w:val="24"/>
          <w:szCs w:val="24"/>
          <w:shd w:val="clear" w:color="auto" w:fill="auto"/>
          <w:lang w:eastAsia="en-US" w:bidi="en-US"/>
        </w:rPr>
        <w:t>人，专题班</w:t>
      </w:r>
      <w:r>
        <w:rPr>
          <w:rFonts w:hint="eastAsia" w:ascii="宋体" w:hAnsi="宋体" w:eastAsia="宋体" w:cs="宋体"/>
          <w:b w:val="0"/>
          <w:bCs w:val="0"/>
          <w:color w:val="000000"/>
          <w:spacing w:val="-4"/>
          <w:w w:val="100"/>
          <w:kern w:val="0"/>
          <w:position w:val="0"/>
          <w:sz w:val="24"/>
          <w:szCs w:val="24"/>
          <w:shd w:val="clear" w:color="auto" w:fill="auto"/>
          <w:lang w:val="en-US" w:eastAsia="zh-CN" w:bidi="en-US"/>
        </w:rPr>
        <w:t>100</w:t>
      </w:r>
      <w:r>
        <w:rPr>
          <w:rFonts w:hint="eastAsia" w:ascii="宋体" w:hAnsi="宋体" w:eastAsia="宋体" w:cs="宋体"/>
          <w:b w:val="0"/>
          <w:bCs w:val="0"/>
          <w:color w:val="000000"/>
          <w:spacing w:val="-4"/>
          <w:w w:val="100"/>
          <w:kern w:val="0"/>
          <w:position w:val="0"/>
          <w:sz w:val="24"/>
          <w:szCs w:val="24"/>
          <w:shd w:val="clear" w:color="auto" w:fill="auto"/>
          <w:lang w:eastAsia="en-US" w:bidi="en-US"/>
        </w:rPr>
        <w:t>人。</w:t>
      </w:r>
      <w:r>
        <w:rPr>
          <w:rFonts w:hint="eastAsia" w:ascii="宋体" w:hAnsi="宋体" w:eastAsia="宋体" w:cs="宋体"/>
          <w:b w:val="0"/>
          <w:bCs w:val="0"/>
          <w:color w:val="000000"/>
          <w:spacing w:val="-4"/>
          <w:w w:val="100"/>
          <w:kern w:val="0"/>
          <w:position w:val="0"/>
          <w:sz w:val="24"/>
          <w:szCs w:val="24"/>
          <w:shd w:val="clear" w:color="auto" w:fill="auto"/>
          <w:lang w:val="en-US" w:eastAsia="zh-CN" w:bidi="en-US"/>
        </w:rPr>
        <w:t>具体班次安排如下：</w:t>
      </w:r>
    </w:p>
    <w:p w14:paraId="59436E53">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left"/>
        <w:textAlignment w:val="auto"/>
        <w:rPr>
          <w:rFonts w:hint="eastAsia" w:ascii="宋体" w:hAnsi="宋体" w:eastAsia="宋体" w:cs="宋体"/>
          <w:color w:val="auto"/>
          <w:spacing w:val="0"/>
          <w:w w:val="100"/>
          <w:kern w:val="0"/>
          <w:position w:val="0"/>
          <w:sz w:val="24"/>
          <w:szCs w:val="24"/>
          <w:shd w:val="clear" w:color="auto" w:fill="auto"/>
          <w:lang w:val="en-US" w:eastAsia="zh-CN" w:bidi="en-US"/>
        </w:rPr>
      </w:pPr>
      <w:r>
        <w:rPr>
          <w:rFonts w:hint="eastAsia" w:ascii="宋体" w:hAnsi="宋体" w:eastAsia="宋体" w:cs="宋体"/>
          <w:color w:val="auto"/>
          <w:spacing w:val="0"/>
          <w:w w:val="100"/>
          <w:kern w:val="0"/>
          <w:position w:val="0"/>
          <w:sz w:val="24"/>
          <w:szCs w:val="24"/>
          <w:shd w:val="clear" w:color="auto" w:fill="auto"/>
          <w:lang w:val="en-US" w:eastAsia="zh-CN" w:bidi="en-US"/>
        </w:rPr>
        <w:t>1、粮油产能提升主体培育培训班5期（已提前开办1期主要粮油作物春季管理和春耕备耕培训班），本次采购4期，每期50人，共计200人；</w:t>
      </w:r>
    </w:p>
    <w:p w14:paraId="32740E04">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left"/>
        <w:textAlignment w:val="auto"/>
        <w:rPr>
          <w:rFonts w:hint="eastAsia" w:ascii="宋体" w:hAnsi="宋体" w:eastAsia="宋体" w:cs="宋体"/>
          <w:color w:val="auto"/>
          <w:spacing w:val="0"/>
          <w:w w:val="100"/>
          <w:kern w:val="0"/>
          <w:position w:val="0"/>
          <w:sz w:val="24"/>
          <w:szCs w:val="24"/>
          <w:shd w:val="clear" w:color="auto" w:fill="auto"/>
          <w:lang w:val="en-US" w:eastAsia="zh-CN" w:bidi="en-US"/>
        </w:rPr>
      </w:pPr>
      <w:r>
        <w:rPr>
          <w:rFonts w:hint="eastAsia" w:ascii="宋体" w:hAnsi="宋体" w:eastAsia="宋体" w:cs="宋体"/>
          <w:color w:val="auto"/>
          <w:spacing w:val="0"/>
          <w:w w:val="100"/>
          <w:kern w:val="0"/>
          <w:position w:val="0"/>
          <w:sz w:val="24"/>
          <w:szCs w:val="24"/>
          <w:shd w:val="clear" w:color="auto" w:fill="auto"/>
          <w:lang w:val="en-US" w:eastAsia="zh-CN" w:bidi="en-US"/>
        </w:rPr>
        <w:t>2、华容县芥菜生产经营主体能力提升培训班1期，共计50人；</w:t>
      </w:r>
    </w:p>
    <w:p w14:paraId="726361C3">
      <w:pPr>
        <w:keepNext w:val="0"/>
        <w:keepLines w:val="0"/>
        <w:pageBreakBefore w:val="0"/>
        <w:widowControl w:val="0"/>
        <w:shd w:val="clear" w:color="auto" w:fill="auto"/>
        <w:kinsoku/>
        <w:wordWrap/>
        <w:overflowPunct/>
        <w:topLinePunct w:val="0"/>
        <w:bidi w:val="0"/>
        <w:adjustRightInd w:val="0"/>
        <w:snapToGrid w:val="0"/>
        <w:spacing w:before="0" w:after="0" w:line="480" w:lineRule="exact"/>
        <w:ind w:left="0" w:leftChars="0" w:right="0" w:firstLine="0" w:firstLineChars="0"/>
        <w:jc w:val="left"/>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3、华容县农机手技能提升专题培训班1期，共计50人；</w:t>
      </w:r>
    </w:p>
    <w:p w14:paraId="3EEE4225">
      <w:pPr>
        <w:keepNext w:val="0"/>
        <w:keepLines w:val="0"/>
        <w:pageBreakBefore w:val="0"/>
        <w:widowControl w:val="0"/>
        <w:shd w:val="clear" w:color="auto" w:fill="auto"/>
        <w:kinsoku/>
        <w:wordWrap/>
        <w:overflowPunct/>
        <w:topLinePunct w:val="0"/>
        <w:bidi w:val="0"/>
        <w:adjustRightInd w:val="0"/>
        <w:snapToGrid w:val="0"/>
        <w:spacing w:before="0" w:after="0" w:line="480" w:lineRule="exact"/>
        <w:ind w:left="0" w:leftChars="0" w:right="0" w:firstLine="0" w:firstLineChars="0"/>
        <w:jc w:val="left"/>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4、数智技术应用专题培训班1期，共计50人；</w:t>
      </w:r>
    </w:p>
    <w:p w14:paraId="3D63210C">
      <w:pPr>
        <w:keepNext w:val="0"/>
        <w:keepLines w:val="0"/>
        <w:pageBreakBefore w:val="0"/>
        <w:widowControl w:val="0"/>
        <w:shd w:val="clear" w:color="auto" w:fill="auto"/>
        <w:kinsoku/>
        <w:wordWrap/>
        <w:overflowPunct/>
        <w:topLinePunct w:val="0"/>
        <w:bidi w:val="0"/>
        <w:adjustRightInd w:val="0"/>
        <w:snapToGrid w:val="0"/>
        <w:spacing w:before="0" w:after="0" w:line="480" w:lineRule="exact"/>
        <w:ind w:left="0" w:leftChars="0" w:right="0" w:firstLine="0" w:firstLineChars="0"/>
        <w:jc w:val="left"/>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5、开展乡村建设治理人才培训班1期，共计50人。</w:t>
      </w:r>
    </w:p>
    <w:p w14:paraId="510A5BD6">
      <w:pPr>
        <w:keepNext w:val="0"/>
        <w:keepLines w:val="0"/>
        <w:pageBreakBefore w:val="0"/>
        <w:widowControl w:val="0"/>
        <w:numPr>
          <w:ilvl w:val="0"/>
          <w:numId w:val="5"/>
        </w:numPr>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left"/>
        <w:textAlignment w:val="auto"/>
        <w:rPr>
          <w:rFonts w:hint="eastAsia" w:ascii="宋体" w:hAnsi="宋体" w:eastAsia="宋体" w:cs="宋体"/>
          <w:b w:val="0"/>
          <w:bCs w:val="0"/>
          <w:color w:val="000000"/>
          <w:spacing w:val="5"/>
          <w:w w:val="100"/>
          <w:kern w:val="0"/>
          <w:position w:val="14"/>
          <w:sz w:val="24"/>
          <w:szCs w:val="24"/>
          <w:highlight w:val="none"/>
          <w:shd w:val="clear" w:color="auto" w:fill="auto"/>
          <w:lang w:val="en-US" w:eastAsia="zh-CN" w:bidi="en-US"/>
        </w:rPr>
      </w:pPr>
      <w:r>
        <w:rPr>
          <w:rFonts w:hint="eastAsia" w:ascii="宋体" w:hAnsi="宋体" w:eastAsia="宋体" w:cs="宋体"/>
          <w:b/>
          <w:bCs/>
          <w:color w:val="000000"/>
          <w:spacing w:val="5"/>
          <w:w w:val="100"/>
          <w:kern w:val="0"/>
          <w:position w:val="14"/>
          <w:sz w:val="24"/>
          <w:szCs w:val="24"/>
          <w:shd w:val="clear" w:color="auto" w:fill="auto"/>
          <w:lang w:eastAsia="en-US" w:bidi="en-US"/>
        </w:rPr>
        <w:t>采购项目预(概)算</w:t>
      </w:r>
      <w:r>
        <w:rPr>
          <w:rFonts w:hint="eastAsia" w:ascii="宋体" w:hAnsi="宋体" w:eastAsia="宋体" w:cs="宋体"/>
          <w:b w:val="0"/>
          <w:bCs w:val="0"/>
          <w:color w:val="000000"/>
          <w:spacing w:val="5"/>
          <w:w w:val="100"/>
          <w:kern w:val="0"/>
          <w:position w:val="14"/>
          <w:sz w:val="24"/>
          <w:szCs w:val="24"/>
          <w:shd w:val="clear" w:color="auto" w:fill="auto"/>
          <w:lang w:eastAsia="en-US" w:bidi="en-US"/>
        </w:rPr>
        <w:t>：</w:t>
      </w:r>
      <w:r>
        <w:rPr>
          <w:rFonts w:hint="eastAsia" w:ascii="宋体" w:hAnsi="宋体" w:eastAsia="宋体" w:cs="宋体"/>
          <w:b w:val="0"/>
          <w:bCs w:val="0"/>
          <w:color w:val="000000"/>
          <w:spacing w:val="5"/>
          <w:w w:val="100"/>
          <w:kern w:val="0"/>
          <w:position w:val="14"/>
          <w:sz w:val="24"/>
          <w:szCs w:val="24"/>
          <w:highlight w:val="none"/>
          <w:shd w:val="clear" w:color="auto" w:fill="auto"/>
          <w:lang w:val="en-US" w:eastAsia="zh-CN" w:bidi="en-US"/>
        </w:rPr>
        <w:t>包1：56.00万元</w:t>
      </w:r>
    </w:p>
    <w:p w14:paraId="6F3C62EF">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before="0" w:beforeAutospacing="0" w:after="0" w:afterAutospacing="0" w:line="480" w:lineRule="exact"/>
        <w:ind w:left="0" w:leftChars="0" w:right="0" w:rightChars="0" w:firstLine="3000" w:firstLineChars="1200"/>
        <w:jc w:val="left"/>
        <w:textAlignment w:val="auto"/>
        <w:rPr>
          <w:rFonts w:hint="eastAsia" w:ascii="宋体" w:hAnsi="宋体" w:eastAsia="宋体" w:cs="宋体"/>
          <w:b w:val="0"/>
          <w:bCs w:val="0"/>
          <w:color w:val="000000"/>
          <w:spacing w:val="5"/>
          <w:w w:val="100"/>
          <w:kern w:val="0"/>
          <w:position w:val="14"/>
          <w:sz w:val="24"/>
          <w:szCs w:val="24"/>
          <w:highlight w:val="none"/>
          <w:shd w:val="clear" w:color="auto" w:fill="auto"/>
          <w:lang w:val="en-US" w:eastAsia="zh-CN" w:bidi="en-US"/>
        </w:rPr>
      </w:pPr>
      <w:r>
        <w:rPr>
          <w:rFonts w:hint="eastAsia" w:ascii="宋体" w:hAnsi="宋体" w:eastAsia="宋体" w:cs="宋体"/>
          <w:b w:val="0"/>
          <w:bCs w:val="0"/>
          <w:color w:val="000000"/>
          <w:spacing w:val="5"/>
          <w:w w:val="100"/>
          <w:kern w:val="0"/>
          <w:position w:val="14"/>
          <w:sz w:val="24"/>
          <w:szCs w:val="24"/>
          <w:highlight w:val="none"/>
          <w:shd w:val="clear" w:color="auto" w:fill="auto"/>
          <w:lang w:val="en-US" w:eastAsia="zh-CN" w:bidi="en-US"/>
        </w:rPr>
        <w:t>包2：88.00万元</w:t>
      </w:r>
    </w:p>
    <w:p w14:paraId="07C63D04">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left"/>
        <w:textAlignment w:val="auto"/>
        <w:rPr>
          <w:rFonts w:hint="eastAsia" w:ascii="宋体" w:hAnsi="宋体" w:eastAsia="宋体" w:cs="宋体"/>
          <w:b/>
          <w:bCs/>
          <w:color w:val="000000"/>
          <w:spacing w:val="0"/>
          <w:w w:val="100"/>
          <w:kern w:val="0"/>
          <w:position w:val="0"/>
          <w:sz w:val="24"/>
          <w:szCs w:val="24"/>
          <w:shd w:val="clear" w:color="auto" w:fill="auto"/>
          <w:lang w:eastAsia="en-US" w:bidi="en-US"/>
        </w:rPr>
      </w:pPr>
      <w:r>
        <w:rPr>
          <w:rFonts w:hint="eastAsia" w:ascii="宋体" w:hAnsi="宋体" w:eastAsia="宋体" w:cs="宋体"/>
          <w:b/>
          <w:bCs/>
          <w:color w:val="000000"/>
          <w:spacing w:val="3"/>
          <w:w w:val="100"/>
          <w:kern w:val="0"/>
          <w:position w:val="0"/>
          <w:sz w:val="24"/>
          <w:szCs w:val="24"/>
          <w:shd w:val="clear" w:color="auto" w:fill="auto"/>
          <w:lang w:eastAsia="en-US" w:bidi="en-US"/>
        </w:rPr>
        <w:t>（</w:t>
      </w:r>
      <w:r>
        <w:rPr>
          <w:rFonts w:hint="eastAsia" w:ascii="宋体" w:hAnsi="宋体" w:eastAsia="宋体" w:cs="宋体"/>
          <w:b/>
          <w:bCs/>
          <w:color w:val="000000"/>
          <w:spacing w:val="-80"/>
          <w:w w:val="100"/>
          <w:kern w:val="0"/>
          <w:position w:val="0"/>
          <w:sz w:val="24"/>
          <w:szCs w:val="24"/>
          <w:shd w:val="clear" w:color="auto" w:fill="auto"/>
          <w:lang w:eastAsia="en-US" w:bidi="en-US"/>
        </w:rPr>
        <w:t xml:space="preserve"> </w:t>
      </w:r>
      <w:r>
        <w:rPr>
          <w:rFonts w:hint="eastAsia" w:ascii="宋体" w:hAnsi="宋体" w:eastAsia="宋体" w:cs="宋体"/>
          <w:b/>
          <w:bCs/>
          <w:color w:val="000000"/>
          <w:spacing w:val="3"/>
          <w:w w:val="100"/>
          <w:kern w:val="0"/>
          <w:position w:val="0"/>
          <w:sz w:val="24"/>
          <w:szCs w:val="24"/>
          <w:shd w:val="clear" w:color="auto" w:fill="auto"/>
          <w:lang w:eastAsia="en-US" w:bidi="en-US"/>
        </w:rPr>
        <w:t>二）采购标的汇总表</w:t>
      </w:r>
    </w:p>
    <w:tbl>
      <w:tblPr>
        <w:tblStyle w:val="265"/>
        <w:tblpPr w:leftFromText="180" w:rightFromText="180" w:vertAnchor="text" w:horzAnchor="page" w:tblpX="991" w:tblpY="68"/>
        <w:tblOverlap w:val="never"/>
        <w:tblW w:w="1051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4"/>
        <w:gridCol w:w="600"/>
        <w:gridCol w:w="2546"/>
        <w:gridCol w:w="974"/>
        <w:gridCol w:w="693"/>
        <w:gridCol w:w="5083"/>
      </w:tblGrid>
      <w:tr w14:paraId="248D9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exact"/>
        </w:trPr>
        <w:tc>
          <w:tcPr>
            <w:tcW w:w="614" w:type="dxa"/>
            <w:vAlign w:val="top"/>
          </w:tcPr>
          <w:p w14:paraId="49CC68A7">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eastAsia" w:ascii="宋体" w:hAnsi="宋体" w:eastAsia="宋体" w:cs="宋体"/>
                <w:b/>
                <w:bCs/>
                <w:color w:val="000000"/>
                <w:spacing w:val="0"/>
                <w:w w:val="100"/>
                <w:kern w:val="0"/>
                <w:position w:val="0"/>
                <w:sz w:val="24"/>
                <w:szCs w:val="24"/>
                <w:shd w:val="clear" w:color="auto" w:fill="auto"/>
                <w:lang w:val="en-US" w:eastAsia="en-US" w:bidi="ar-SA"/>
              </w:rPr>
            </w:pPr>
            <w:r>
              <w:rPr>
                <w:rFonts w:hint="eastAsia" w:ascii="宋体" w:hAnsi="宋体" w:eastAsia="宋体" w:cs="宋体"/>
                <w:b/>
                <w:bCs/>
                <w:color w:val="000000"/>
                <w:spacing w:val="-4"/>
                <w:w w:val="100"/>
                <w:kern w:val="0"/>
                <w:position w:val="0"/>
                <w:sz w:val="24"/>
                <w:szCs w:val="24"/>
                <w:shd w:val="clear" w:color="auto" w:fill="auto"/>
                <w:lang w:val="en-US" w:eastAsia="en-US" w:bidi="ar-SA"/>
              </w:rPr>
              <w:t>序号</w:t>
            </w:r>
          </w:p>
        </w:tc>
        <w:tc>
          <w:tcPr>
            <w:tcW w:w="600" w:type="dxa"/>
            <w:vAlign w:val="top"/>
          </w:tcPr>
          <w:p w14:paraId="2205079F">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eastAsia" w:ascii="宋体" w:hAnsi="宋体" w:eastAsia="宋体" w:cs="宋体"/>
                <w:b/>
                <w:bCs/>
                <w:color w:val="000000"/>
                <w:spacing w:val="-1"/>
                <w:w w:val="100"/>
                <w:kern w:val="0"/>
                <w:position w:val="0"/>
                <w:sz w:val="24"/>
                <w:szCs w:val="24"/>
                <w:shd w:val="clear" w:color="auto" w:fill="auto"/>
                <w:lang w:val="en-US" w:eastAsia="zh-CN" w:bidi="ar-SA"/>
              </w:rPr>
            </w:pPr>
            <w:r>
              <w:rPr>
                <w:rFonts w:hint="eastAsia" w:ascii="宋体" w:hAnsi="宋体" w:eastAsia="宋体" w:cs="宋体"/>
                <w:b/>
                <w:bCs/>
                <w:color w:val="000000"/>
                <w:spacing w:val="-1"/>
                <w:w w:val="100"/>
                <w:kern w:val="0"/>
                <w:position w:val="0"/>
                <w:sz w:val="24"/>
                <w:szCs w:val="24"/>
                <w:shd w:val="clear" w:color="auto" w:fill="auto"/>
                <w:lang w:val="en-US" w:eastAsia="zh-CN" w:bidi="ar-SA"/>
              </w:rPr>
              <w:t>包号</w:t>
            </w:r>
          </w:p>
        </w:tc>
        <w:tc>
          <w:tcPr>
            <w:tcW w:w="2546" w:type="dxa"/>
            <w:vAlign w:val="top"/>
          </w:tcPr>
          <w:p w14:paraId="14131957">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eastAsia" w:ascii="宋体" w:hAnsi="宋体" w:eastAsia="宋体" w:cs="宋体"/>
                <w:b/>
                <w:bCs/>
                <w:color w:val="000000"/>
                <w:spacing w:val="0"/>
                <w:w w:val="100"/>
                <w:kern w:val="0"/>
                <w:position w:val="0"/>
                <w:sz w:val="24"/>
                <w:szCs w:val="24"/>
                <w:shd w:val="clear" w:color="auto" w:fill="auto"/>
                <w:lang w:val="en-US" w:eastAsia="en-US" w:bidi="ar-SA"/>
              </w:rPr>
            </w:pPr>
            <w:r>
              <w:rPr>
                <w:rFonts w:hint="eastAsia" w:ascii="宋体" w:hAnsi="宋体" w:eastAsia="宋体" w:cs="宋体"/>
                <w:b/>
                <w:bCs/>
                <w:color w:val="000000"/>
                <w:spacing w:val="-1"/>
                <w:w w:val="100"/>
                <w:kern w:val="0"/>
                <w:position w:val="0"/>
                <w:sz w:val="24"/>
                <w:szCs w:val="24"/>
                <w:shd w:val="clear" w:color="auto" w:fill="auto"/>
                <w:lang w:val="en-US" w:eastAsia="en-US" w:bidi="ar-SA"/>
              </w:rPr>
              <w:t>标的（产品）品目</w:t>
            </w:r>
          </w:p>
        </w:tc>
        <w:tc>
          <w:tcPr>
            <w:tcW w:w="974" w:type="dxa"/>
            <w:vAlign w:val="top"/>
          </w:tcPr>
          <w:p w14:paraId="614D879E">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eastAsia" w:ascii="宋体" w:hAnsi="宋体" w:eastAsia="宋体" w:cs="宋体"/>
                <w:b/>
                <w:bCs/>
                <w:color w:val="000000"/>
                <w:spacing w:val="0"/>
                <w:w w:val="100"/>
                <w:kern w:val="0"/>
                <w:position w:val="0"/>
                <w:sz w:val="24"/>
                <w:szCs w:val="24"/>
                <w:shd w:val="clear" w:color="auto" w:fill="auto"/>
                <w:lang w:val="en-US" w:eastAsia="en-US" w:bidi="ar-SA"/>
              </w:rPr>
            </w:pPr>
            <w:r>
              <w:rPr>
                <w:rFonts w:hint="eastAsia" w:ascii="宋体" w:hAnsi="宋体" w:eastAsia="宋体" w:cs="宋体"/>
                <w:b/>
                <w:bCs/>
                <w:color w:val="000000"/>
                <w:spacing w:val="-8"/>
                <w:w w:val="100"/>
                <w:kern w:val="0"/>
                <w:position w:val="0"/>
                <w:sz w:val="24"/>
                <w:szCs w:val="24"/>
                <w:shd w:val="clear" w:color="auto" w:fill="auto"/>
                <w:lang w:val="en-US" w:eastAsia="en-US" w:bidi="ar-SA"/>
              </w:rPr>
              <w:t>计量单位</w:t>
            </w:r>
          </w:p>
        </w:tc>
        <w:tc>
          <w:tcPr>
            <w:tcW w:w="693" w:type="dxa"/>
            <w:vAlign w:val="top"/>
          </w:tcPr>
          <w:p w14:paraId="43A32613">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eastAsia" w:ascii="宋体" w:hAnsi="宋体" w:eastAsia="宋体" w:cs="宋体"/>
                <w:b/>
                <w:bCs/>
                <w:color w:val="000000"/>
                <w:spacing w:val="0"/>
                <w:w w:val="100"/>
                <w:kern w:val="0"/>
                <w:position w:val="0"/>
                <w:sz w:val="24"/>
                <w:szCs w:val="24"/>
                <w:shd w:val="clear" w:color="auto" w:fill="auto"/>
                <w:lang w:val="en-US" w:eastAsia="en-US" w:bidi="ar-SA"/>
              </w:rPr>
            </w:pPr>
            <w:r>
              <w:rPr>
                <w:rFonts w:hint="eastAsia" w:ascii="宋体" w:hAnsi="宋体" w:eastAsia="宋体" w:cs="宋体"/>
                <w:b/>
                <w:bCs/>
                <w:color w:val="000000"/>
                <w:spacing w:val="-8"/>
                <w:w w:val="100"/>
                <w:kern w:val="0"/>
                <w:position w:val="0"/>
                <w:sz w:val="24"/>
                <w:szCs w:val="24"/>
                <w:shd w:val="clear" w:color="auto" w:fill="auto"/>
                <w:lang w:val="en-US" w:eastAsia="en-US" w:bidi="ar-SA"/>
              </w:rPr>
              <w:t>数量</w:t>
            </w:r>
          </w:p>
        </w:tc>
        <w:tc>
          <w:tcPr>
            <w:tcW w:w="5083" w:type="dxa"/>
            <w:vAlign w:val="top"/>
          </w:tcPr>
          <w:p w14:paraId="7EB06796">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eastAsia" w:ascii="宋体" w:hAnsi="宋体" w:eastAsia="宋体" w:cs="宋体"/>
                <w:b/>
                <w:bCs/>
                <w:color w:val="000000"/>
                <w:spacing w:val="0"/>
                <w:w w:val="100"/>
                <w:kern w:val="0"/>
                <w:position w:val="0"/>
                <w:sz w:val="24"/>
                <w:szCs w:val="24"/>
                <w:shd w:val="clear" w:color="auto" w:fill="auto"/>
                <w:lang w:val="en-US" w:eastAsia="en-US" w:bidi="ar-SA"/>
              </w:rPr>
            </w:pPr>
            <w:r>
              <w:rPr>
                <w:rFonts w:hint="eastAsia" w:ascii="宋体" w:hAnsi="宋体" w:eastAsia="宋体" w:cs="宋体"/>
                <w:b/>
                <w:bCs/>
                <w:color w:val="000000"/>
                <w:spacing w:val="-7"/>
                <w:w w:val="100"/>
                <w:kern w:val="0"/>
                <w:position w:val="0"/>
                <w:sz w:val="24"/>
                <w:szCs w:val="24"/>
                <w:shd w:val="clear" w:color="auto" w:fill="auto"/>
                <w:lang w:val="en-US" w:eastAsia="en-US" w:bidi="ar-SA"/>
              </w:rPr>
              <w:t>备注</w:t>
            </w:r>
          </w:p>
        </w:tc>
      </w:tr>
      <w:tr w14:paraId="70889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exact"/>
        </w:trPr>
        <w:tc>
          <w:tcPr>
            <w:tcW w:w="614" w:type="dxa"/>
            <w:vAlign w:val="center"/>
          </w:tcPr>
          <w:p w14:paraId="5BD49185">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val="en-US" w:eastAsia="en-US" w:bidi="ar-SA"/>
              </w:rPr>
            </w:pPr>
            <w:r>
              <w:rPr>
                <w:rFonts w:hint="eastAsia" w:ascii="宋体" w:hAnsi="宋体" w:eastAsia="宋体" w:cs="宋体"/>
                <w:color w:val="000000"/>
                <w:spacing w:val="0"/>
                <w:w w:val="100"/>
                <w:kern w:val="0"/>
                <w:position w:val="0"/>
                <w:sz w:val="24"/>
                <w:szCs w:val="24"/>
                <w:shd w:val="clear" w:color="auto" w:fill="auto"/>
                <w:lang w:val="en-US" w:eastAsia="en-US" w:bidi="ar-SA"/>
              </w:rPr>
              <w:t>1</w:t>
            </w:r>
          </w:p>
        </w:tc>
        <w:tc>
          <w:tcPr>
            <w:tcW w:w="600" w:type="dxa"/>
            <w:vAlign w:val="center"/>
          </w:tcPr>
          <w:p w14:paraId="4AA0E36D">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eastAsia="zh-CN" w:bidi="en-US"/>
              </w:rPr>
              <w:t>包</w:t>
            </w:r>
            <w:r>
              <w:rPr>
                <w:rFonts w:hint="eastAsia" w:ascii="宋体" w:hAnsi="宋体" w:eastAsia="宋体" w:cs="宋体"/>
                <w:color w:val="000000"/>
                <w:spacing w:val="0"/>
                <w:w w:val="100"/>
                <w:kern w:val="0"/>
                <w:position w:val="0"/>
                <w:sz w:val="24"/>
                <w:szCs w:val="24"/>
                <w:shd w:val="clear" w:color="auto" w:fill="auto"/>
                <w:lang w:val="en-US" w:eastAsia="zh-CN" w:bidi="en-US"/>
              </w:rPr>
              <w:t>1</w:t>
            </w:r>
          </w:p>
        </w:tc>
        <w:tc>
          <w:tcPr>
            <w:tcW w:w="2546" w:type="dxa"/>
            <w:vAlign w:val="center"/>
          </w:tcPr>
          <w:p w14:paraId="277E3146">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C02060000培训服务</w:t>
            </w:r>
          </w:p>
        </w:tc>
        <w:tc>
          <w:tcPr>
            <w:tcW w:w="974" w:type="dxa"/>
            <w:vAlign w:val="center"/>
          </w:tcPr>
          <w:p w14:paraId="33068E43">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期</w:t>
            </w:r>
          </w:p>
        </w:tc>
        <w:tc>
          <w:tcPr>
            <w:tcW w:w="693" w:type="dxa"/>
            <w:vAlign w:val="center"/>
          </w:tcPr>
          <w:p w14:paraId="102E12FB">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default"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4</w:t>
            </w:r>
          </w:p>
        </w:tc>
        <w:tc>
          <w:tcPr>
            <w:tcW w:w="5083" w:type="dxa"/>
            <w:vAlign w:val="center"/>
          </w:tcPr>
          <w:p w14:paraId="40F35E6F">
            <w:pPr>
              <w:keepNext w:val="0"/>
              <w:keepLines w:val="0"/>
              <w:pageBreakBefore w:val="0"/>
              <w:widowControl w:val="0"/>
              <w:shd w:val="clear" w:color="auto" w:fill="auto"/>
              <w:kinsoku/>
              <w:wordWrap/>
              <w:overflowPunct/>
              <w:topLinePunct w:val="0"/>
              <w:bidi w:val="0"/>
              <w:adjustRightInd w:val="0"/>
              <w:snapToGrid w:val="0"/>
              <w:spacing w:before="0" w:after="0" w:line="480" w:lineRule="exact"/>
              <w:ind w:left="210" w:leftChars="100" w:right="0" w:firstLine="0" w:firstLineChars="0"/>
              <w:jc w:val="left"/>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auto"/>
                <w:spacing w:val="0"/>
                <w:w w:val="100"/>
                <w:kern w:val="0"/>
                <w:position w:val="0"/>
                <w:sz w:val="24"/>
                <w:szCs w:val="24"/>
                <w:shd w:val="clear" w:color="auto" w:fill="auto"/>
                <w:lang w:val="en-US" w:eastAsia="zh-CN" w:bidi="en-US"/>
              </w:rPr>
              <w:t>粮油产能提升主体培育培训班4期，每个班50人，共计200人，2800元/人；</w:t>
            </w:r>
          </w:p>
        </w:tc>
      </w:tr>
      <w:tr w14:paraId="42849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5" w:hRule="exact"/>
        </w:trPr>
        <w:tc>
          <w:tcPr>
            <w:tcW w:w="614" w:type="dxa"/>
            <w:vAlign w:val="center"/>
          </w:tcPr>
          <w:p w14:paraId="18491B0E">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val="en-US" w:eastAsia="zh-CN" w:bidi="ar-SA"/>
              </w:rPr>
            </w:pPr>
            <w:r>
              <w:rPr>
                <w:rFonts w:hint="eastAsia" w:ascii="宋体" w:hAnsi="宋体" w:eastAsia="宋体" w:cs="宋体"/>
                <w:color w:val="000000"/>
                <w:spacing w:val="0"/>
                <w:w w:val="100"/>
                <w:kern w:val="0"/>
                <w:position w:val="0"/>
                <w:sz w:val="24"/>
                <w:szCs w:val="24"/>
                <w:shd w:val="clear" w:color="auto" w:fill="auto"/>
                <w:lang w:val="en-US" w:eastAsia="zh-CN" w:bidi="ar-SA"/>
              </w:rPr>
              <w:t>2</w:t>
            </w:r>
          </w:p>
        </w:tc>
        <w:tc>
          <w:tcPr>
            <w:tcW w:w="600" w:type="dxa"/>
            <w:vAlign w:val="center"/>
          </w:tcPr>
          <w:p w14:paraId="340FEA34">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包2</w:t>
            </w:r>
          </w:p>
        </w:tc>
        <w:tc>
          <w:tcPr>
            <w:tcW w:w="2546" w:type="dxa"/>
            <w:vAlign w:val="center"/>
          </w:tcPr>
          <w:p w14:paraId="60E0B6CB">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C02060000培训服务</w:t>
            </w:r>
          </w:p>
        </w:tc>
        <w:tc>
          <w:tcPr>
            <w:tcW w:w="974" w:type="dxa"/>
            <w:vAlign w:val="center"/>
          </w:tcPr>
          <w:p w14:paraId="50C9D825">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期</w:t>
            </w:r>
          </w:p>
        </w:tc>
        <w:tc>
          <w:tcPr>
            <w:tcW w:w="693" w:type="dxa"/>
            <w:vAlign w:val="center"/>
          </w:tcPr>
          <w:p w14:paraId="47C1724D">
            <w:pPr>
              <w:keepNext w:val="0"/>
              <w:keepLines w:val="0"/>
              <w:pageBreakBefore w:val="0"/>
              <w:widowControl w:val="0"/>
              <w:shd w:val="clear" w:color="auto" w:fill="auto"/>
              <w:kinsoku/>
              <w:wordWrap/>
              <w:overflowPunct/>
              <w:topLinePunct w:val="0"/>
              <w:autoSpaceDE w:val="0"/>
              <w:autoSpaceDN w:val="0"/>
              <w:bidi w:val="0"/>
              <w:adjustRightInd w:val="0"/>
              <w:snapToGrid w:val="0"/>
              <w:spacing w:before="0" w:after="0" w:line="480" w:lineRule="exact"/>
              <w:ind w:left="0" w:right="0" w:firstLine="0" w:firstLineChars="0"/>
              <w:jc w:val="center"/>
              <w:textAlignment w:val="auto"/>
              <w:rPr>
                <w:rFonts w:hint="default"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4</w:t>
            </w:r>
          </w:p>
        </w:tc>
        <w:tc>
          <w:tcPr>
            <w:tcW w:w="5083" w:type="dxa"/>
            <w:vAlign w:val="center"/>
          </w:tcPr>
          <w:p w14:paraId="2340EC57">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rPr>
                <w:rFonts w:hint="eastAsia" w:ascii="宋体" w:hAnsi="宋体" w:eastAsia="宋体" w:cs="宋体"/>
                <w:color w:val="auto"/>
                <w:spacing w:val="0"/>
                <w:w w:val="100"/>
                <w:kern w:val="0"/>
                <w:position w:val="0"/>
                <w:sz w:val="24"/>
                <w:szCs w:val="24"/>
                <w:shd w:val="clear" w:color="auto" w:fill="auto"/>
                <w:lang w:val="en-US" w:eastAsia="zh-CN" w:bidi="en-US"/>
              </w:rPr>
            </w:pPr>
            <w:r>
              <w:rPr>
                <w:rFonts w:hint="eastAsia" w:ascii="宋体" w:hAnsi="宋体" w:eastAsia="宋体" w:cs="宋体"/>
                <w:color w:val="auto"/>
                <w:spacing w:val="0"/>
                <w:w w:val="100"/>
                <w:kern w:val="0"/>
                <w:position w:val="0"/>
                <w:sz w:val="24"/>
                <w:szCs w:val="24"/>
                <w:shd w:val="clear" w:color="auto" w:fill="auto"/>
                <w:lang w:val="en-US" w:eastAsia="zh-CN" w:bidi="en-US"/>
              </w:rPr>
              <w:t>华容县芥菜生产经营主体能力提升培训班1期，共计50人，2800元/人；</w:t>
            </w:r>
          </w:p>
          <w:p w14:paraId="55B8FF36">
            <w:pPr>
              <w:keepNext w:val="0"/>
              <w:keepLines w:val="0"/>
              <w:pageBreakBefore w:val="0"/>
              <w:widowControl w:val="0"/>
              <w:shd w:val="clear" w:color="auto" w:fill="auto"/>
              <w:kinsoku/>
              <w:wordWrap/>
              <w:overflowPunct/>
              <w:topLinePunct w:val="0"/>
              <w:bidi w:val="0"/>
              <w:adjustRightInd w:val="0"/>
              <w:snapToGrid w:val="0"/>
              <w:spacing w:before="0" w:after="0" w:line="480" w:lineRule="exact"/>
              <w:ind w:left="0" w:leftChars="0" w:right="0" w:firstLine="480" w:firstLineChars="200"/>
              <w:jc w:val="left"/>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华容县农机手技能提升专题培训班1期，共计50人，6000/人；</w:t>
            </w:r>
          </w:p>
          <w:p w14:paraId="13E41BF3">
            <w:pPr>
              <w:keepNext w:val="0"/>
              <w:keepLines w:val="0"/>
              <w:pageBreakBefore w:val="0"/>
              <w:widowControl w:val="0"/>
              <w:shd w:val="clear" w:color="auto" w:fill="auto"/>
              <w:kinsoku/>
              <w:wordWrap/>
              <w:overflowPunct/>
              <w:topLinePunct w:val="0"/>
              <w:bidi w:val="0"/>
              <w:adjustRightInd w:val="0"/>
              <w:snapToGrid w:val="0"/>
              <w:spacing w:before="0" w:after="0" w:line="480" w:lineRule="exact"/>
              <w:ind w:left="0" w:leftChars="0" w:right="0" w:firstLine="480" w:firstLineChars="200"/>
              <w:jc w:val="left"/>
              <w:textAlignment w:val="auto"/>
              <w:rPr>
                <w:rFonts w:hint="default"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数智技术应用专题培训班1期，共计50人，6000元/人</w:t>
            </w:r>
            <w:r>
              <w:rPr>
                <w:rFonts w:hint="eastAsia" w:ascii="宋体" w:hAnsi="宋体" w:cs="宋体"/>
                <w:color w:val="000000"/>
                <w:spacing w:val="0"/>
                <w:w w:val="100"/>
                <w:kern w:val="0"/>
                <w:position w:val="0"/>
                <w:sz w:val="24"/>
                <w:szCs w:val="24"/>
                <w:shd w:val="clear" w:color="auto" w:fill="auto"/>
                <w:lang w:val="en-US" w:eastAsia="zh-CN" w:bidi="en-US"/>
              </w:rPr>
              <w:t>；</w:t>
            </w:r>
          </w:p>
          <w:p w14:paraId="7D6CF102">
            <w:pPr>
              <w:keepNext w:val="0"/>
              <w:keepLines w:val="0"/>
              <w:pageBreakBefore w:val="0"/>
              <w:widowControl w:val="0"/>
              <w:shd w:val="clear" w:color="auto" w:fill="auto"/>
              <w:kinsoku/>
              <w:wordWrap/>
              <w:overflowPunct/>
              <w:topLinePunct w:val="0"/>
              <w:bidi w:val="0"/>
              <w:adjustRightInd w:val="0"/>
              <w:snapToGrid w:val="0"/>
              <w:spacing w:before="0" w:after="0" w:line="480" w:lineRule="exact"/>
              <w:ind w:left="0" w:leftChars="0" w:right="0" w:firstLine="480" w:firstLineChars="200"/>
              <w:jc w:val="left"/>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开展乡村建设治理人才培训班1期，共计50人，2800元/人。</w:t>
            </w:r>
          </w:p>
        </w:tc>
      </w:tr>
    </w:tbl>
    <w:p w14:paraId="01EFC1AF">
      <w:pPr>
        <w:keepNext w:val="0"/>
        <w:keepLines w:val="0"/>
        <w:shd w:val="clear" w:color="auto" w:fill="auto"/>
        <w:bidi w:val="0"/>
        <w:spacing w:before="0" w:after="0" w:line="240" w:lineRule="auto"/>
        <w:ind w:left="0" w:right="0" w:firstLine="0"/>
        <w:jc w:val="left"/>
        <w:rPr>
          <w:rFonts w:hint="default" w:ascii="Times New Roman" w:hAnsi="Times New Roman" w:eastAsia="Times New Roman" w:cs="Times New Roman"/>
          <w:b/>
          <w:bCs/>
          <w:color w:val="000000"/>
          <w:spacing w:val="0"/>
          <w:w w:val="100"/>
          <w:kern w:val="0"/>
          <w:position w:val="0"/>
          <w:sz w:val="24"/>
          <w:shd w:val="clear" w:color="auto" w:fill="auto"/>
          <w:lang w:val="en-US" w:eastAsia="zh-CN" w:bidi="en-US"/>
        </w:rPr>
      </w:pPr>
      <w:r>
        <w:rPr>
          <w:rFonts w:hint="eastAsia" w:ascii="Times New Roman" w:hAnsi="Times New Roman" w:eastAsia="Times New Roman" w:cs="Times New Roman"/>
          <w:b/>
          <w:bCs/>
          <w:color w:val="000000"/>
          <w:spacing w:val="0"/>
          <w:w w:val="100"/>
          <w:kern w:val="0"/>
          <w:position w:val="0"/>
          <w:sz w:val="24"/>
          <w:shd w:val="clear" w:color="auto" w:fill="auto"/>
          <w:lang w:val="en-US" w:eastAsia="zh-CN" w:bidi="en-US"/>
        </w:rPr>
        <w:t>项目服务实施方案详见附件1、附件2。</w:t>
      </w:r>
    </w:p>
    <w:p w14:paraId="0C6BB304">
      <w:pPr>
        <w:keepNext w:val="0"/>
        <w:keepLines w:val="0"/>
        <w:pageBreakBefore w:val="0"/>
        <w:widowControl w:val="0"/>
        <w:numPr>
          <w:ilvl w:val="0"/>
          <w:numId w:val="6"/>
        </w:numPr>
        <w:shd w:val="clear" w:color="auto" w:fill="auto"/>
        <w:kinsoku/>
        <w:wordWrap/>
        <w:overflowPunct/>
        <w:topLinePunct w:val="0"/>
        <w:autoSpaceDE w:val="0"/>
        <w:autoSpaceDN w:val="0"/>
        <w:bidi w:val="0"/>
        <w:adjustRightInd w:val="0"/>
        <w:snapToGrid w:val="0"/>
        <w:spacing w:before="0" w:after="0" w:line="500" w:lineRule="exact"/>
        <w:ind w:left="0" w:right="0" w:firstLine="0" w:firstLineChars="0"/>
        <w:jc w:val="left"/>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b/>
          <w:bCs/>
          <w:color w:val="000000"/>
          <w:spacing w:val="0"/>
          <w:w w:val="100"/>
          <w:kern w:val="0"/>
          <w:position w:val="0"/>
          <w:sz w:val="24"/>
          <w:szCs w:val="24"/>
          <w:shd w:val="clear" w:color="auto" w:fill="auto"/>
          <w:lang w:val="en-US" w:eastAsia="zh-CN" w:bidi="en-US"/>
        </w:rPr>
        <w:t>技术商务</w:t>
      </w:r>
      <w:r>
        <w:rPr>
          <w:rFonts w:hint="eastAsia" w:ascii="宋体" w:hAnsi="宋体" w:eastAsia="宋体" w:cs="宋体"/>
          <w:b/>
          <w:bCs w:val="0"/>
          <w:color w:val="auto"/>
          <w:spacing w:val="0"/>
          <w:w w:val="100"/>
          <w:kern w:val="2"/>
          <w:position w:val="0"/>
          <w:sz w:val="24"/>
          <w:szCs w:val="24"/>
          <w:shd w:val="clear" w:color="auto" w:fill="auto"/>
          <w:lang w:val="en-US" w:eastAsia="zh-CN" w:bidi="ar-SA"/>
        </w:rPr>
        <w:t>要求</w:t>
      </w:r>
    </w:p>
    <w:p w14:paraId="2C20F276">
      <w:pPr>
        <w:keepNext/>
        <w:keepLines/>
        <w:pageBreakBefore w:val="0"/>
        <w:widowControl w:val="0"/>
        <w:shd w:val="clear" w:color="auto" w:fill="auto"/>
        <w:kinsoku/>
        <w:wordWrap/>
        <w:overflowPunct/>
        <w:topLinePunct w:val="0"/>
        <w:bidi w:val="0"/>
        <w:adjustRightInd w:val="0"/>
        <w:snapToGrid w:val="0"/>
        <w:spacing w:before="0" w:after="0" w:line="500" w:lineRule="exact"/>
        <w:ind w:left="0" w:right="0" w:firstLine="0" w:firstLineChars="0"/>
        <w:jc w:val="left"/>
        <w:textAlignment w:val="auto"/>
        <w:outlineLvl w:val="1"/>
        <w:rPr>
          <w:rFonts w:hint="eastAsia" w:ascii="宋体" w:hAnsi="宋体" w:eastAsia="宋体" w:cs="宋体"/>
          <w:b/>
          <w:bCs w:val="0"/>
          <w:color w:val="auto"/>
          <w:spacing w:val="0"/>
          <w:w w:val="100"/>
          <w:kern w:val="2"/>
          <w:position w:val="0"/>
          <w:sz w:val="24"/>
          <w:szCs w:val="24"/>
          <w:shd w:val="clear" w:color="auto" w:fill="auto"/>
          <w:lang w:val="en-US" w:eastAsia="zh-CN" w:bidi="ar-SA"/>
        </w:rPr>
      </w:pPr>
      <w:r>
        <w:rPr>
          <w:rFonts w:hint="eastAsia" w:ascii="宋体" w:hAnsi="宋体" w:eastAsia="宋体" w:cs="宋体"/>
          <w:b/>
          <w:bCs w:val="0"/>
          <w:color w:val="auto"/>
          <w:spacing w:val="0"/>
          <w:w w:val="100"/>
          <w:kern w:val="2"/>
          <w:position w:val="0"/>
          <w:sz w:val="24"/>
          <w:szCs w:val="24"/>
          <w:shd w:val="clear" w:color="auto" w:fill="auto"/>
          <w:lang w:val="en-US" w:eastAsia="zh-CN" w:bidi="ar-SA"/>
        </w:rPr>
        <w:t>（1）技术要求</w:t>
      </w:r>
    </w:p>
    <w:p w14:paraId="5E1D4551">
      <w:pPr>
        <w:keepNext/>
        <w:keepLines/>
        <w:pageBreakBefore w:val="0"/>
        <w:widowControl w:val="0"/>
        <w:shd w:val="clear" w:color="auto" w:fill="auto"/>
        <w:kinsoku/>
        <w:wordWrap/>
        <w:overflowPunct/>
        <w:topLinePunct w:val="0"/>
        <w:bidi w:val="0"/>
        <w:adjustRightInd w:val="0"/>
        <w:snapToGrid w:val="0"/>
        <w:spacing w:before="0" w:after="0" w:line="500" w:lineRule="exact"/>
        <w:ind w:left="0" w:right="0" w:firstLine="0" w:firstLineChars="0"/>
        <w:jc w:val="left"/>
        <w:textAlignment w:val="auto"/>
        <w:outlineLvl w:val="1"/>
        <w:rPr>
          <w:rFonts w:hint="eastAsia" w:ascii="宋体" w:hAnsi="宋体" w:eastAsia="宋体" w:cs="宋体"/>
          <w:b/>
          <w:bCs w:val="0"/>
          <w:color w:val="auto"/>
          <w:spacing w:val="0"/>
          <w:w w:val="100"/>
          <w:kern w:val="2"/>
          <w:position w:val="0"/>
          <w:sz w:val="24"/>
          <w:szCs w:val="24"/>
          <w:shd w:val="clear" w:color="auto" w:fill="auto"/>
          <w:lang w:val="en-US" w:eastAsia="zh-CN" w:bidi="ar-SA"/>
        </w:rPr>
      </w:pPr>
      <w:r>
        <w:rPr>
          <w:rFonts w:hint="eastAsia" w:ascii="宋体" w:hAnsi="宋体" w:eastAsia="宋体" w:cs="宋体"/>
          <w:b/>
          <w:bCs w:val="0"/>
          <w:color w:val="auto"/>
          <w:spacing w:val="0"/>
          <w:w w:val="100"/>
          <w:kern w:val="2"/>
          <w:position w:val="0"/>
          <w:sz w:val="24"/>
          <w:szCs w:val="24"/>
          <w:shd w:val="clear" w:color="auto" w:fill="auto"/>
          <w:lang w:val="en-US" w:eastAsia="zh-CN" w:bidi="ar-SA"/>
        </w:rPr>
        <w:t>（1、1）服务内容</w:t>
      </w:r>
    </w:p>
    <w:p w14:paraId="04245E18">
      <w:pPr>
        <w:keepNext/>
        <w:keepLines/>
        <w:pageBreakBefore w:val="0"/>
        <w:widowControl w:val="0"/>
        <w:numPr>
          <w:ilvl w:val="0"/>
          <w:numId w:val="7"/>
        </w:numPr>
        <w:shd w:val="clear" w:color="auto" w:fill="auto"/>
        <w:kinsoku/>
        <w:wordWrap/>
        <w:overflowPunct/>
        <w:topLinePunct w:val="0"/>
        <w:bidi w:val="0"/>
        <w:adjustRightInd w:val="0"/>
        <w:snapToGrid w:val="0"/>
        <w:spacing w:before="0" w:after="0" w:line="500" w:lineRule="exact"/>
        <w:ind w:left="0" w:right="0" w:firstLine="0" w:firstLineChars="0"/>
        <w:jc w:val="left"/>
        <w:textAlignment w:val="auto"/>
        <w:outlineLvl w:val="1"/>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开展水稻产能提升主体培育培训班3期共150人；</w:t>
      </w:r>
    </w:p>
    <w:p w14:paraId="79A0333D">
      <w:pPr>
        <w:keepNext/>
        <w:keepLines/>
        <w:pageBreakBefore w:val="0"/>
        <w:widowControl w:val="0"/>
        <w:numPr>
          <w:ilvl w:val="0"/>
          <w:numId w:val="7"/>
        </w:numPr>
        <w:shd w:val="clear" w:color="auto" w:fill="auto"/>
        <w:kinsoku/>
        <w:wordWrap/>
        <w:overflowPunct/>
        <w:topLinePunct w:val="0"/>
        <w:bidi w:val="0"/>
        <w:adjustRightInd w:val="0"/>
        <w:snapToGrid w:val="0"/>
        <w:spacing w:before="0" w:after="0" w:line="500" w:lineRule="exact"/>
        <w:ind w:left="0" w:right="0" w:firstLine="0" w:firstLineChars="0"/>
        <w:jc w:val="left"/>
        <w:textAlignment w:val="auto"/>
        <w:outlineLvl w:val="1"/>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开展大豆产能提升主体培育培训班1期共50人；</w:t>
      </w:r>
    </w:p>
    <w:p w14:paraId="462D8704">
      <w:pPr>
        <w:keepNext/>
        <w:keepLines/>
        <w:pageBreakBefore w:val="0"/>
        <w:widowControl w:val="0"/>
        <w:numPr>
          <w:ilvl w:val="0"/>
          <w:numId w:val="7"/>
        </w:numPr>
        <w:shd w:val="clear" w:color="auto" w:fill="auto"/>
        <w:kinsoku/>
        <w:wordWrap/>
        <w:overflowPunct/>
        <w:topLinePunct w:val="0"/>
        <w:bidi w:val="0"/>
        <w:adjustRightInd w:val="0"/>
        <w:snapToGrid w:val="0"/>
        <w:spacing w:before="0" w:after="0" w:line="500" w:lineRule="exact"/>
        <w:ind w:left="0" w:right="0" w:firstLine="0" w:firstLineChars="0"/>
        <w:jc w:val="left"/>
        <w:textAlignment w:val="auto"/>
        <w:outlineLvl w:val="1"/>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t>开展华容县芥菜生产经营主体能力提升培训班1期共50人</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w:t>
      </w:r>
    </w:p>
    <w:p w14:paraId="39A12673">
      <w:pPr>
        <w:keepNext/>
        <w:keepLines/>
        <w:pageBreakBefore w:val="0"/>
        <w:widowControl w:val="0"/>
        <w:numPr>
          <w:ilvl w:val="0"/>
          <w:numId w:val="7"/>
        </w:numPr>
        <w:shd w:val="clear" w:color="auto" w:fill="auto"/>
        <w:kinsoku/>
        <w:wordWrap/>
        <w:overflowPunct/>
        <w:topLinePunct w:val="0"/>
        <w:bidi w:val="0"/>
        <w:adjustRightInd w:val="0"/>
        <w:snapToGrid w:val="0"/>
        <w:spacing w:before="0" w:after="0" w:line="500" w:lineRule="exact"/>
        <w:ind w:left="0" w:right="0" w:firstLine="0" w:firstLineChars="0"/>
        <w:jc w:val="left"/>
        <w:textAlignment w:val="auto"/>
        <w:outlineLvl w:val="1"/>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t>开展华容县农机手技能提升专题培训班1期共50 人</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w:t>
      </w:r>
    </w:p>
    <w:p w14:paraId="1E07D7AC">
      <w:pPr>
        <w:keepNext/>
        <w:keepLines/>
        <w:pageBreakBefore w:val="0"/>
        <w:widowControl w:val="0"/>
        <w:numPr>
          <w:ilvl w:val="0"/>
          <w:numId w:val="7"/>
        </w:numPr>
        <w:shd w:val="clear" w:color="auto" w:fill="auto"/>
        <w:kinsoku/>
        <w:wordWrap/>
        <w:overflowPunct/>
        <w:topLinePunct w:val="0"/>
        <w:bidi w:val="0"/>
        <w:adjustRightInd w:val="0"/>
        <w:snapToGrid w:val="0"/>
        <w:spacing w:before="0" w:after="0" w:line="500" w:lineRule="exact"/>
        <w:ind w:left="0" w:right="0" w:firstLine="0" w:firstLineChars="0"/>
        <w:jc w:val="left"/>
        <w:textAlignment w:val="auto"/>
        <w:outlineLvl w:val="1"/>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t>开展数智技术应用专题培训班1期50人</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w:t>
      </w:r>
    </w:p>
    <w:p w14:paraId="11DD42FF">
      <w:pPr>
        <w:keepNext/>
        <w:keepLines/>
        <w:pageBreakBefore w:val="0"/>
        <w:widowControl w:val="0"/>
        <w:numPr>
          <w:ilvl w:val="0"/>
          <w:numId w:val="7"/>
        </w:numPr>
        <w:shd w:val="clear" w:color="auto" w:fill="auto"/>
        <w:kinsoku/>
        <w:wordWrap/>
        <w:overflowPunct/>
        <w:topLinePunct w:val="0"/>
        <w:bidi w:val="0"/>
        <w:adjustRightInd w:val="0"/>
        <w:snapToGrid w:val="0"/>
        <w:spacing w:before="0" w:after="0" w:line="500" w:lineRule="exact"/>
        <w:ind w:left="0" w:right="0" w:firstLine="0" w:firstLineChars="0"/>
        <w:jc w:val="left"/>
        <w:textAlignment w:val="auto"/>
        <w:outlineLvl w:val="1"/>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t>开展乡村建设治理人才培训班1期共50人</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w:t>
      </w:r>
    </w:p>
    <w:p w14:paraId="2D0DDCE2">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right="0" w:firstLine="0" w:firstLineChars="0"/>
        <w:jc w:val="left"/>
        <w:textAlignment w:val="auto"/>
        <w:rPr>
          <w:rFonts w:hint="eastAsia" w:ascii="宋体" w:hAnsi="宋体" w:eastAsia="宋体" w:cs="宋体"/>
          <w:b/>
          <w:bCs w:val="0"/>
          <w:color w:val="auto"/>
          <w:spacing w:val="0"/>
          <w:w w:val="100"/>
          <w:kern w:val="2"/>
          <w:position w:val="0"/>
          <w:sz w:val="24"/>
          <w:szCs w:val="24"/>
          <w:shd w:val="clear" w:color="auto" w:fill="auto"/>
          <w:lang w:val="en-US" w:eastAsia="zh-CN" w:bidi="ar-SA"/>
        </w:rPr>
      </w:pPr>
      <w:r>
        <w:rPr>
          <w:rFonts w:hint="eastAsia" w:ascii="宋体" w:hAnsi="宋体" w:eastAsia="宋体" w:cs="宋体"/>
          <w:b/>
          <w:bCs w:val="0"/>
          <w:color w:val="auto"/>
          <w:spacing w:val="0"/>
          <w:w w:val="100"/>
          <w:kern w:val="2"/>
          <w:position w:val="0"/>
          <w:sz w:val="24"/>
          <w:szCs w:val="24"/>
          <w:shd w:val="clear" w:color="auto" w:fill="auto"/>
          <w:lang w:val="en-US" w:eastAsia="zh-CN" w:bidi="ar-SA"/>
        </w:rPr>
        <w:t>（1.2）服务标准：</w:t>
      </w:r>
    </w:p>
    <w:p w14:paraId="73A6C09A">
      <w:pPr>
        <w:keepNext/>
        <w:keepLines/>
        <w:pageBreakBefore w:val="0"/>
        <w:widowControl w:val="0"/>
        <w:shd w:val="clear" w:color="auto" w:fill="auto"/>
        <w:kinsoku/>
        <w:wordWrap/>
        <w:overflowPunct/>
        <w:topLinePunct w:val="0"/>
        <w:bidi w:val="0"/>
        <w:spacing w:before="0" w:after="0" w:line="500" w:lineRule="exact"/>
        <w:ind w:left="0" w:right="0" w:firstLine="0"/>
        <w:jc w:val="left"/>
        <w:textAlignment w:val="auto"/>
        <w:outlineLvl w:val="1"/>
        <w:rPr>
          <w:rFonts w:hint="eastAsia" w:ascii="Arial" w:hAnsi="Arial" w:eastAsia="Times New Roman" w:cs="Times New Roman"/>
          <w:b/>
          <w:bCs/>
          <w:color w:val="000000"/>
          <w:spacing w:val="0"/>
          <w:w w:val="100"/>
          <w:position w:val="0"/>
          <w:sz w:val="24"/>
          <w:szCs w:val="32"/>
          <w:shd w:val="clear" w:color="auto" w:fill="auto"/>
          <w:lang w:val="en-US" w:eastAsia="zh-CN" w:bidi="en-US"/>
        </w:rPr>
      </w:pPr>
      <w:r>
        <w:rPr>
          <w:rFonts w:hint="eastAsia" w:ascii="Arial" w:hAnsi="Arial" w:eastAsia="Times New Roman" w:cs="Times New Roman"/>
          <w:b w:val="0"/>
          <w:bCs w:val="0"/>
          <w:color w:val="000000"/>
          <w:spacing w:val="0"/>
          <w:w w:val="100"/>
          <w:position w:val="0"/>
          <w:sz w:val="24"/>
          <w:szCs w:val="32"/>
          <w:shd w:val="clear" w:color="auto" w:fill="auto"/>
          <w:lang w:val="en-US" w:eastAsia="zh-CN" w:bidi="en-US"/>
        </w:rPr>
        <w:t>1、水稻产能提升主体培育培训班：全面了解“四良”融合技术，在生产中能科学运用，降低生产成本，提高水稻品质与市场竞争力。学员熟悉水肥一体化精准灌溉技术，实现节水节肥，粮食单产提升10%。</w:t>
      </w:r>
    </w:p>
    <w:p w14:paraId="50202960">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right="0" w:firstLine="0" w:firstLineChars="0"/>
        <w:jc w:val="left"/>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color w:val="000000"/>
          <w:spacing w:val="0"/>
          <w:w w:val="100"/>
          <w:kern w:val="0"/>
          <w:position w:val="0"/>
          <w:sz w:val="24"/>
          <w:szCs w:val="24"/>
          <w:shd w:val="clear" w:color="auto" w:fill="auto"/>
          <w:lang w:val="en-US" w:eastAsia="zh-CN" w:bidi="en-US"/>
        </w:rPr>
        <w:t>2、大豆产能提升主体培育培训班</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：全面了解“四良”融合技术在华容县大豆生产中的应用要点，在生产中能结合本地实际科学运用，降低生产成本，提高大豆品质与市场竞争力。学员熟练应用稻豆轮作轻简化栽培及施肥技术，实现节本提质。</w:t>
      </w:r>
    </w:p>
    <w:p w14:paraId="48D7D40A">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right="0" w:firstLine="0" w:firstLineChars="0"/>
        <w:jc w:val="left"/>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eastAsia="宋体" w:cs="宋体"/>
          <w:color w:val="000000"/>
          <w:spacing w:val="0"/>
          <w:w w:val="100"/>
          <w:kern w:val="0"/>
          <w:position w:val="0"/>
          <w:sz w:val="24"/>
          <w:szCs w:val="24"/>
          <w:shd w:val="clear" w:color="auto" w:fill="auto"/>
          <w:lang w:val="en-US" w:eastAsia="zh-CN" w:bidi="en-US"/>
        </w:rPr>
        <w:t>3、华容县芥菜生产经营主体能力提升培训班:学员全面掌握华容县芥菜标准化种植技术（品种选育适配性、高效栽培要点、绿色防控实操方法），能精准应用品质提升关键措施；熟练掌握产地初加工标准化流程，“产-加”衔接的匹配度显著提高，原料损耗率降低；通过标准化种植与初加工协同，芥菜产品优质品率提升，为后续精深加工奠定坚实基础，增强市场竞争力。</w:t>
      </w:r>
    </w:p>
    <w:p w14:paraId="7A2071F5">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right="0" w:firstLine="0" w:firstLineChars="0"/>
        <w:jc w:val="left"/>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cs="宋体"/>
          <w:color w:val="000000"/>
          <w:spacing w:val="0"/>
          <w:w w:val="100"/>
          <w:kern w:val="0"/>
          <w:position w:val="0"/>
          <w:sz w:val="24"/>
          <w:szCs w:val="24"/>
          <w:shd w:val="clear" w:color="auto" w:fill="auto"/>
          <w:lang w:val="en-US" w:eastAsia="zh-CN" w:bidi="en-US"/>
        </w:rPr>
        <w:t>4</w:t>
      </w:r>
      <w:r>
        <w:rPr>
          <w:rFonts w:hint="eastAsia" w:ascii="宋体" w:hAnsi="宋体" w:eastAsia="宋体" w:cs="宋体"/>
          <w:color w:val="000000"/>
          <w:spacing w:val="0"/>
          <w:w w:val="100"/>
          <w:kern w:val="0"/>
          <w:position w:val="0"/>
          <w:sz w:val="24"/>
          <w:szCs w:val="24"/>
          <w:shd w:val="clear" w:color="auto" w:fill="auto"/>
          <w:lang w:val="en-US" w:eastAsia="zh-CN" w:bidi="en-US"/>
        </w:rPr>
        <w:t>、华容县农机手技能提升专题培训班:学员全面掌握华容县水稻耕种管收全流程机械化关键技术，水稻机械化移栽效率提升；熟练运用高效飞防植保技术；能精准进行机收减损操作，粮油作物机收损失率降低；掌握农机抗灾救灾设备操作技巧，应对汛期、旱期等灾害的响应速度显著加快；在低空经济农业场景应用方面有新突破，农机手综合服务能力明显增强，作业服务半径扩大。</w:t>
      </w:r>
    </w:p>
    <w:p w14:paraId="65F2E893">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right="0" w:firstLine="0" w:firstLineChars="0"/>
        <w:jc w:val="left"/>
        <w:textAlignment w:val="auto"/>
        <w:rPr>
          <w:rFonts w:hint="eastAsia" w:ascii="宋体" w:hAnsi="宋体" w:eastAsia="宋体" w:cs="宋体"/>
          <w:color w:val="000000"/>
          <w:spacing w:val="0"/>
          <w:w w:val="100"/>
          <w:kern w:val="0"/>
          <w:position w:val="0"/>
          <w:sz w:val="24"/>
          <w:szCs w:val="24"/>
          <w:shd w:val="clear" w:color="auto" w:fill="auto"/>
          <w:lang w:val="en-US" w:eastAsia="zh-CN" w:bidi="en-US"/>
        </w:rPr>
      </w:pPr>
      <w:r>
        <w:rPr>
          <w:rFonts w:hint="eastAsia" w:ascii="宋体" w:hAnsi="宋体" w:cs="宋体"/>
          <w:color w:val="000000"/>
          <w:spacing w:val="0"/>
          <w:w w:val="100"/>
          <w:kern w:val="0"/>
          <w:position w:val="0"/>
          <w:sz w:val="24"/>
          <w:szCs w:val="24"/>
          <w:shd w:val="clear" w:color="auto" w:fill="auto"/>
          <w:lang w:val="en-US" w:eastAsia="zh-CN" w:bidi="en-US"/>
        </w:rPr>
        <w:t>5</w:t>
      </w:r>
      <w:r>
        <w:rPr>
          <w:rFonts w:hint="eastAsia" w:ascii="宋体" w:hAnsi="宋体" w:eastAsia="宋体" w:cs="宋体"/>
          <w:color w:val="000000"/>
          <w:spacing w:val="0"/>
          <w:w w:val="100"/>
          <w:kern w:val="0"/>
          <w:position w:val="0"/>
          <w:sz w:val="24"/>
          <w:szCs w:val="24"/>
          <w:shd w:val="clear" w:color="auto" w:fill="auto"/>
          <w:lang w:val="en-US" w:eastAsia="zh-CN" w:bidi="en-US"/>
        </w:rPr>
        <w:t>、数智技术应用专题培训班:通过集中理论培训与实操实训，实现三会一开目标（会拍摄剪辑短视频、会网上开店、会微营销，并现场开通一场直播带货），帮助参训学员了解并掌握直播和短视频拍摄技能，带动学员拓展直播和短视频推广等新媒体营销渠道，发挥新农商示范带头作用，帮助我县农特产品出村进城、休闲农业引流到村，促进农民增收，加快我县农业产业化、品牌化进程，推动我县农业产业高质量发展。</w:t>
      </w:r>
    </w:p>
    <w:p w14:paraId="0D67FECE">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leftChars="0" w:right="0" w:firstLine="0" w:firstLineChars="0"/>
        <w:jc w:val="left"/>
        <w:textAlignment w:val="auto"/>
        <w:rPr>
          <w:rFonts w:hint="eastAsia" w:ascii="宋体" w:hAnsi="宋体" w:eastAsia="宋体" w:cs="宋体"/>
          <w:b w:val="0"/>
          <w:bCs w:val="0"/>
          <w:color w:val="000000"/>
          <w:spacing w:val="0"/>
          <w:w w:val="100"/>
          <w:kern w:val="0"/>
          <w:position w:val="0"/>
          <w:sz w:val="24"/>
          <w:szCs w:val="24"/>
          <w:shd w:val="clear" w:color="auto" w:fill="auto"/>
          <w:lang w:val="en-US" w:eastAsia="zh-CN" w:bidi="en-US"/>
        </w:rPr>
      </w:pPr>
      <w:r>
        <w:rPr>
          <w:rFonts w:hint="eastAsia" w:ascii="宋体" w:hAnsi="宋体" w:cs="宋体"/>
          <w:b w:val="0"/>
          <w:bCs w:val="0"/>
          <w:color w:val="000000"/>
          <w:spacing w:val="0"/>
          <w:w w:val="100"/>
          <w:kern w:val="0"/>
          <w:position w:val="0"/>
          <w:sz w:val="24"/>
          <w:szCs w:val="24"/>
          <w:shd w:val="clear" w:color="auto" w:fill="auto"/>
          <w:lang w:val="en-US" w:eastAsia="zh-CN" w:bidi="en-US"/>
        </w:rPr>
        <w:t>6</w:t>
      </w:r>
      <w:r>
        <w:rPr>
          <w:rFonts w:hint="eastAsia" w:ascii="宋体" w:hAnsi="宋体" w:eastAsia="宋体" w:cs="宋体"/>
          <w:b w:val="0"/>
          <w:bCs w:val="0"/>
          <w:color w:val="000000"/>
          <w:spacing w:val="0"/>
          <w:w w:val="100"/>
          <w:kern w:val="0"/>
          <w:position w:val="0"/>
          <w:sz w:val="24"/>
          <w:szCs w:val="24"/>
          <w:shd w:val="clear" w:color="auto" w:fill="auto"/>
          <w:lang w:val="en-US" w:eastAsia="zh-CN" w:bidi="en-US"/>
        </w:rPr>
        <w:t>、乡村建设治理人才培训班：学员熟悉农村产权制度改革、集体资产管理制度及相关法律法规，项目风险防控能力显著增强；熟练运用集体资产数字化台账管理软件和村级事务“互联网 +”管理平台，乡村治理效率提升，村务透明度明显提高，群众满意度进一步提升。</w:t>
      </w:r>
    </w:p>
    <w:p w14:paraId="165ABBC8">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right="0" w:firstLine="0" w:firstLineChars="0"/>
        <w:jc w:val="left"/>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bCs w:val="0"/>
          <w:color w:val="auto"/>
          <w:spacing w:val="0"/>
          <w:w w:val="100"/>
          <w:kern w:val="2"/>
          <w:position w:val="0"/>
          <w:sz w:val="24"/>
          <w:szCs w:val="24"/>
          <w:shd w:val="clear" w:color="auto" w:fill="auto"/>
          <w:lang w:val="en-US" w:eastAsia="zh-CN" w:bidi="ar-SA"/>
        </w:rPr>
        <w:t>（1.3）</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参训人员要求：</w:t>
      </w:r>
    </w:p>
    <w:p w14:paraId="76673E79">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right="0" w:firstLine="0" w:firstLineChars="0"/>
        <w:jc w:val="left"/>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1、水稻产能提升主体培育培训班：水稻种植大户，水稻种植合作社带头人，家庭农场主等从事水稻规模化生产的主体。​</w:t>
      </w:r>
    </w:p>
    <w:p w14:paraId="5CCF7A2C">
      <w:pPr>
        <w:keepNext/>
        <w:keepLines/>
        <w:pageBreakBefore w:val="0"/>
        <w:widowControl w:val="0"/>
        <w:shd w:val="clear" w:color="auto" w:fill="auto"/>
        <w:kinsoku/>
        <w:wordWrap/>
        <w:overflowPunct/>
        <w:topLinePunct w:val="0"/>
        <w:bidi w:val="0"/>
        <w:spacing w:before="0" w:after="0" w:line="500" w:lineRule="exact"/>
        <w:ind w:left="0" w:right="0" w:firstLine="0"/>
        <w:jc w:val="left"/>
        <w:textAlignment w:val="auto"/>
        <w:outlineLvl w:val="1"/>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2、大豆产能提升主体培育培训班：华容县大豆种植大户、大豆种植合作社带头人、家庭农场主等从事大豆规模化生产的经营主体。</w:t>
      </w:r>
    </w:p>
    <w:p w14:paraId="018D16E0">
      <w:pPr>
        <w:keepNext w:val="0"/>
        <w:keepLines w:val="0"/>
        <w:pageBreakBefore w:val="0"/>
        <w:widowControl w:val="0"/>
        <w:shd w:val="clear" w:color="auto" w:fill="auto"/>
        <w:kinsoku/>
        <w:wordWrap/>
        <w:overflowPunct/>
        <w:topLinePunct w:val="0"/>
        <w:bidi w:val="0"/>
        <w:spacing w:before="0" w:after="0" w:line="500" w:lineRule="exact"/>
        <w:ind w:left="0" w:right="0" w:firstLine="0"/>
        <w:jc w:val="left"/>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3、华容县芥菜生产经营主体能力提升培训班：华容县芥菜种植大户、芥菜种植合作社技术骨干、家庭农场主及从事芥菜产地初加工的经营主体负责人等。</w:t>
      </w:r>
    </w:p>
    <w:p w14:paraId="693E56CA">
      <w:pPr>
        <w:keepNext/>
        <w:keepLines/>
        <w:pageBreakBefore w:val="0"/>
        <w:widowControl w:val="0"/>
        <w:shd w:val="clear" w:color="auto" w:fill="auto"/>
        <w:kinsoku/>
        <w:wordWrap/>
        <w:overflowPunct/>
        <w:topLinePunct w:val="0"/>
        <w:bidi w:val="0"/>
        <w:spacing w:before="0" w:after="0" w:line="500" w:lineRule="exact"/>
        <w:ind w:left="0" w:right="0" w:firstLine="0"/>
        <w:jc w:val="left"/>
        <w:textAlignment w:val="auto"/>
        <w:outlineLvl w:val="1"/>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4、华容县农机手技能提升专题培训班：华容县从事水稻机械化作业的专业农机手、农机大户、农机作业服务组织带头人，重点覆盖从事水稻、油菜等粮油作物机械化作业的从业者。</w:t>
      </w:r>
    </w:p>
    <w:p w14:paraId="0BA983FD">
      <w:pPr>
        <w:keepNext w:val="0"/>
        <w:keepLines w:val="0"/>
        <w:pageBreakBefore w:val="0"/>
        <w:widowControl w:val="0"/>
        <w:shd w:val="clear" w:color="auto" w:fill="auto"/>
        <w:kinsoku/>
        <w:wordWrap/>
        <w:overflowPunct/>
        <w:topLinePunct w:val="0"/>
        <w:bidi w:val="0"/>
        <w:spacing w:before="0" w:after="0" w:line="500" w:lineRule="exact"/>
        <w:ind w:left="0" w:right="0" w:firstLine="0"/>
        <w:jc w:val="left"/>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5、数智技术应用专题培训班：返乡大学生、农民工、退役军人等青年群体。</w:t>
      </w:r>
    </w:p>
    <w:p w14:paraId="00E152A2">
      <w:pPr>
        <w:keepNext/>
        <w:keepLines/>
        <w:pageBreakBefore w:val="0"/>
        <w:widowControl w:val="0"/>
        <w:shd w:val="clear" w:color="auto" w:fill="auto"/>
        <w:kinsoku/>
        <w:wordWrap/>
        <w:overflowPunct/>
        <w:topLinePunct w:val="0"/>
        <w:bidi w:val="0"/>
        <w:spacing w:before="0" w:after="0" w:line="500" w:lineRule="exact"/>
        <w:ind w:left="0" w:right="0" w:firstLine="0"/>
        <w:jc w:val="left"/>
        <w:textAlignment w:val="auto"/>
        <w:outlineLvl w:val="1"/>
        <w:rPr>
          <w:rFonts w:hint="default" w:ascii="Arial" w:hAnsi="Arial" w:eastAsia="Times New Roman" w:cs="Times New Roman"/>
          <w:b/>
          <w:bCs/>
          <w:color w:val="000000"/>
          <w:spacing w:val="0"/>
          <w:w w:val="100"/>
          <w:position w:val="0"/>
          <w:sz w:val="24"/>
          <w:szCs w:val="32"/>
          <w:shd w:val="clear" w:color="auto" w:fill="auto"/>
          <w:lang w:val="en-US" w:eastAsia="zh-CN" w:bidi="en-US"/>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6、乡村建设治理人才培训班：村干部、村级事务管理人员、农村集体资产管理人员等从事农村治理工作的相关人员。​</w:t>
      </w:r>
    </w:p>
    <w:p w14:paraId="342515C1">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right="0" w:firstLine="0" w:firstLineChars="0"/>
        <w:jc w:val="left"/>
        <w:textAlignment w:val="auto"/>
        <w:rPr>
          <w:rFonts w:hint="eastAsia" w:ascii="宋体" w:hAnsi="宋体" w:eastAsia="宋体" w:cs="宋体"/>
          <w:b/>
          <w:bCs w:val="0"/>
          <w:color w:val="auto"/>
          <w:spacing w:val="0"/>
          <w:w w:val="100"/>
          <w:kern w:val="2"/>
          <w:position w:val="0"/>
          <w:sz w:val="24"/>
          <w:szCs w:val="24"/>
          <w:shd w:val="clear" w:color="auto" w:fill="auto"/>
          <w:lang w:val="en-US" w:eastAsia="zh-CN" w:bidi="ar-SA"/>
        </w:rPr>
      </w:pPr>
      <w:r>
        <w:rPr>
          <w:rFonts w:hint="eastAsia" w:ascii="宋体" w:hAnsi="宋体" w:eastAsia="宋体" w:cs="宋体"/>
          <w:b/>
          <w:bCs w:val="0"/>
          <w:color w:val="auto"/>
          <w:spacing w:val="0"/>
          <w:w w:val="100"/>
          <w:kern w:val="2"/>
          <w:position w:val="0"/>
          <w:sz w:val="24"/>
          <w:szCs w:val="24"/>
          <w:shd w:val="clear" w:color="auto" w:fill="auto"/>
          <w:lang w:val="en-US" w:eastAsia="zh-CN" w:bidi="ar-SA"/>
        </w:rPr>
        <w:t>(2)商务要求</w:t>
      </w:r>
    </w:p>
    <w:p w14:paraId="5F3E67DF">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right="0" w:firstLine="0" w:firstLineChars="0"/>
        <w:jc w:val="left"/>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bCs w:val="0"/>
          <w:color w:val="auto"/>
          <w:spacing w:val="0"/>
          <w:w w:val="100"/>
          <w:kern w:val="2"/>
          <w:position w:val="0"/>
          <w:sz w:val="24"/>
          <w:szCs w:val="24"/>
          <w:highlight w:val="none"/>
          <w:shd w:val="clear" w:color="auto" w:fill="auto"/>
          <w:lang w:val="en-US" w:eastAsia="zh-CN" w:bidi="ar-SA"/>
        </w:rPr>
        <w:t>(2.1)服务时间</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:2026年12月20日前完成全年培育任务。</w:t>
      </w:r>
    </w:p>
    <w:p w14:paraId="1939258E">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right="0" w:firstLine="0" w:firstLineChars="0"/>
        <w:jc w:val="left"/>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bCs w:val="0"/>
          <w:color w:val="auto"/>
          <w:spacing w:val="0"/>
          <w:w w:val="100"/>
          <w:kern w:val="2"/>
          <w:position w:val="0"/>
          <w:sz w:val="24"/>
          <w:szCs w:val="24"/>
          <w:highlight w:val="none"/>
          <w:shd w:val="clear" w:color="auto" w:fill="auto"/>
          <w:lang w:val="en-US" w:eastAsia="zh-CN" w:bidi="ar-SA"/>
        </w:rPr>
        <w:t>(2.2)服务地点:</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采购人指定地点。</w:t>
      </w:r>
    </w:p>
    <w:p w14:paraId="2D3C99DF">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right="0" w:firstLine="0" w:firstLineChars="0"/>
        <w:jc w:val="left"/>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bCs w:val="0"/>
          <w:color w:val="auto"/>
          <w:spacing w:val="0"/>
          <w:w w:val="100"/>
          <w:kern w:val="2"/>
          <w:position w:val="0"/>
          <w:sz w:val="24"/>
          <w:szCs w:val="24"/>
          <w:highlight w:val="none"/>
          <w:shd w:val="clear" w:color="auto" w:fill="auto"/>
          <w:lang w:val="en-US" w:eastAsia="zh-CN" w:bidi="ar-SA"/>
        </w:rPr>
        <w:t>(2.3)付款方式:</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按时结算，具体支付方式按湖南省农业农村厅办公室关于印发《湖南省2026年高素质农民培育工作实施方案》的通知湘农办发〔2026〕22号等相关文件规定的方式支付，在合同执行期间，如有政策调整，一律按照新政策执行。</w:t>
      </w:r>
    </w:p>
    <w:p w14:paraId="0C44431D">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right="0" w:firstLine="0" w:firstLineChars="0"/>
        <w:jc w:val="left"/>
        <w:textAlignment w:val="auto"/>
        <w:rPr>
          <w:rFonts w:hint="eastAsia" w:ascii="宋体" w:hAnsi="宋体" w:eastAsia="宋体" w:cs="宋体"/>
          <w:b w:val="0"/>
          <w:bCs/>
          <w:color w:val="auto"/>
          <w:spacing w:val="0"/>
          <w:w w:val="100"/>
          <w:kern w:val="2"/>
          <w:position w:val="0"/>
          <w:sz w:val="24"/>
          <w:szCs w:val="24"/>
          <w:shd w:val="clear" w:color="auto" w:fill="auto"/>
          <w:lang w:val="en-US" w:eastAsia="zh-CN" w:bidi="ar-SA"/>
        </w:rPr>
      </w:pPr>
      <w:r>
        <w:rPr>
          <w:rFonts w:hint="eastAsia" w:ascii="宋体" w:hAnsi="宋体" w:eastAsia="宋体" w:cs="宋体"/>
          <w:b/>
          <w:bCs w:val="0"/>
          <w:color w:val="auto"/>
          <w:spacing w:val="0"/>
          <w:w w:val="100"/>
          <w:kern w:val="2"/>
          <w:position w:val="0"/>
          <w:sz w:val="24"/>
          <w:szCs w:val="24"/>
          <w:shd w:val="clear" w:color="auto" w:fill="auto"/>
          <w:lang w:val="en-US" w:eastAsia="zh-CN" w:bidi="ar-SA"/>
        </w:rPr>
        <w:t>(2.4)验收标准</w:t>
      </w:r>
      <w:r>
        <w:rPr>
          <w:rFonts w:hint="eastAsia" w:ascii="宋体" w:hAnsi="宋体" w:eastAsia="宋体" w:cs="宋体"/>
          <w:b w:val="0"/>
          <w:bCs/>
          <w:color w:val="auto"/>
          <w:spacing w:val="0"/>
          <w:w w:val="100"/>
          <w:kern w:val="2"/>
          <w:position w:val="0"/>
          <w:sz w:val="24"/>
          <w:szCs w:val="24"/>
          <w:shd w:val="clear" w:color="auto" w:fill="auto"/>
          <w:lang w:val="en-US" w:eastAsia="zh-CN" w:bidi="ar-SA"/>
        </w:rPr>
        <w:t>:县农业农村部门实时开展质量抽查，严格审核开班计划、培育对象、培育实施方案及跟踪培训进度，对本级培训执行情况全覆盖核查，下级情况随机抽核。对发现的问题及时提出调整意见，必要时停班整改。用好《农民教育培训信息管理系统》,强化信息员操作管理，确保参训农民基本信息入库(建档)率100%, 数据入库(建档)准确率100%。按照《高素质农民培育规范（修订）》对本级培育情况和效果开展绩效评价，学员在线评价率90%以上。</w:t>
      </w:r>
    </w:p>
    <w:p w14:paraId="52F32E4B">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500" w:lineRule="exact"/>
        <w:ind w:left="0" w:right="0" w:firstLine="0" w:firstLineChars="0"/>
        <w:jc w:val="left"/>
        <w:textAlignment w:val="auto"/>
        <w:outlineLvl w:val="1"/>
        <w:rPr>
          <w:rFonts w:hint="eastAsia" w:ascii="Times New Roman" w:hAnsi="Times New Roman" w:eastAsia="Times New Roman" w:cs="Times New Roman"/>
          <w:color w:val="000000"/>
          <w:spacing w:val="0"/>
          <w:w w:val="100"/>
          <w:kern w:val="0"/>
          <w:position w:val="0"/>
          <w:sz w:val="24"/>
          <w:shd w:val="clear" w:color="auto" w:fill="auto"/>
          <w:lang w:eastAsia="en-US" w:bidi="en-US"/>
        </w:rPr>
      </w:pPr>
      <w:r>
        <w:rPr>
          <w:rFonts w:hint="eastAsia" w:ascii="宋体" w:hAnsi="宋体" w:eastAsia="宋体" w:cs="宋体"/>
          <w:b/>
          <w:bCs/>
          <w:color w:val="auto"/>
          <w:spacing w:val="0"/>
          <w:w w:val="100"/>
          <w:kern w:val="0"/>
          <w:position w:val="0"/>
          <w:sz w:val="24"/>
          <w:szCs w:val="24"/>
          <w:shd w:val="clear" w:color="auto" w:fill="auto"/>
          <w:lang w:val="en-US" w:eastAsia="zh-CN" w:bidi="en-US"/>
        </w:rPr>
        <w:t>(2.5)</w:t>
      </w:r>
      <w:r>
        <w:rPr>
          <w:rFonts w:hint="eastAsia" w:ascii="宋体" w:hAnsi="宋体" w:eastAsia="宋体" w:cs="宋体"/>
          <w:b/>
          <w:bCs/>
          <w:color w:val="auto"/>
          <w:spacing w:val="0"/>
          <w:w w:val="100"/>
          <w:kern w:val="0"/>
          <w:position w:val="0"/>
          <w:sz w:val="24"/>
          <w:szCs w:val="24"/>
          <w:shd w:val="clear" w:color="auto" w:fill="auto"/>
          <w:lang w:eastAsia="en-US" w:bidi="en-US"/>
        </w:rPr>
        <w:t>保险</w:t>
      </w:r>
      <w:r>
        <w:rPr>
          <w:rFonts w:hint="eastAsia" w:ascii="宋体" w:hAnsi="宋体" w:eastAsia="宋体" w:cs="宋体"/>
          <w:b/>
          <w:bCs/>
          <w:color w:val="000000"/>
          <w:spacing w:val="0"/>
          <w:w w:val="100"/>
          <w:kern w:val="0"/>
          <w:position w:val="0"/>
          <w:sz w:val="24"/>
          <w:szCs w:val="24"/>
          <w:shd w:val="clear" w:color="auto" w:fill="auto"/>
          <w:lang w:eastAsia="en-US" w:bidi="en-US"/>
        </w:rPr>
        <w:t>：</w:t>
      </w:r>
      <w:r>
        <w:rPr>
          <w:rFonts w:hint="eastAsia" w:ascii="宋体" w:hAnsi="宋体" w:eastAsia="宋体" w:cs="宋体"/>
          <w:b w:val="0"/>
          <w:bCs w:val="0"/>
          <w:color w:val="000000"/>
          <w:spacing w:val="0"/>
          <w:w w:val="100"/>
          <w:kern w:val="0"/>
          <w:position w:val="0"/>
          <w:sz w:val="24"/>
          <w:szCs w:val="24"/>
          <w:shd w:val="clear" w:color="auto" w:fill="auto"/>
          <w:lang w:eastAsia="en-US" w:bidi="en-US"/>
        </w:rPr>
        <w:t>成交供应商负责其派出人员的保险。</w:t>
      </w:r>
    </w:p>
    <w:p w14:paraId="05CDA2E7">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500" w:lineRule="exact"/>
        <w:ind w:left="0" w:right="0" w:firstLine="0" w:firstLineChars="0"/>
        <w:jc w:val="left"/>
        <w:textAlignment w:val="auto"/>
        <w:outlineLvl w:val="1"/>
        <w:rPr>
          <w:rFonts w:hint="eastAsia" w:ascii="宋体" w:hAnsi="宋体" w:eastAsia="宋体" w:cs="宋体"/>
          <w:b w:val="0"/>
          <w:bCs w:val="0"/>
          <w:color w:val="000000"/>
          <w:spacing w:val="0"/>
          <w:w w:val="100"/>
          <w:kern w:val="0"/>
          <w:position w:val="0"/>
          <w:sz w:val="24"/>
          <w:szCs w:val="24"/>
          <w:shd w:val="clear" w:color="auto" w:fill="auto"/>
          <w:lang w:val="en-US" w:eastAsia="zh-CN" w:bidi="en-US"/>
        </w:rPr>
      </w:pPr>
      <w:r>
        <w:rPr>
          <w:rFonts w:hint="eastAsia" w:ascii="宋体" w:hAnsi="宋体" w:eastAsia="宋体" w:cs="宋体"/>
          <w:b/>
          <w:bCs/>
          <w:color w:val="000000"/>
          <w:spacing w:val="0"/>
          <w:w w:val="100"/>
          <w:kern w:val="0"/>
          <w:position w:val="0"/>
          <w:sz w:val="24"/>
          <w:szCs w:val="24"/>
          <w:shd w:val="clear" w:color="auto" w:fill="auto"/>
          <w:lang w:val="en-US" w:eastAsia="zh-CN" w:bidi="en-US"/>
        </w:rPr>
        <w:t>(2.6)售后服务：</w:t>
      </w:r>
      <w:r>
        <w:rPr>
          <w:rFonts w:hint="eastAsia" w:ascii="宋体" w:hAnsi="宋体" w:eastAsia="宋体" w:cs="宋体"/>
          <w:b w:val="0"/>
          <w:bCs w:val="0"/>
          <w:color w:val="000000"/>
          <w:spacing w:val="0"/>
          <w:w w:val="100"/>
          <w:kern w:val="0"/>
          <w:position w:val="0"/>
          <w:sz w:val="24"/>
          <w:szCs w:val="24"/>
          <w:shd w:val="clear" w:color="auto" w:fill="auto"/>
          <w:lang w:val="en-US" w:eastAsia="zh-CN" w:bidi="en-US"/>
        </w:rPr>
        <w:t>探索“培育+ 孵化+跟踪服务”的全链条培育模式，在培育结束后，为学员提供技术指导、政策对接、金融服务等跟踪服务，时长不超过1年，次数不少于2次，跟踪服务人数不少于培训班总人数的60%。建立“传帮带”机制，选拔优秀学员作为示范户，带动周边农民共同发展。开展培育典型评选活动，总结推广好经验、好做法，对优秀学员典型案例进行宣传推广，营造良好的培育氛围。</w:t>
      </w:r>
    </w:p>
    <w:p w14:paraId="0DA4B7E0">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500" w:lineRule="exact"/>
        <w:ind w:left="0" w:right="0" w:firstLine="0" w:firstLineChars="0"/>
        <w:jc w:val="left"/>
        <w:textAlignment w:val="auto"/>
        <w:outlineLvl w:val="1"/>
        <w:rPr>
          <w:rFonts w:hint="eastAsia" w:ascii="宋体" w:hAnsi="宋体" w:eastAsia="宋体" w:cs="宋体"/>
          <w:b/>
          <w:bCs w:val="0"/>
          <w:color w:val="auto"/>
          <w:spacing w:val="0"/>
          <w:w w:val="100"/>
          <w:kern w:val="2"/>
          <w:position w:val="0"/>
          <w:sz w:val="24"/>
          <w:szCs w:val="24"/>
          <w:shd w:val="clear" w:color="auto" w:fill="auto"/>
          <w:lang w:val="en-US" w:eastAsia="zh-CN" w:bidi="ar-SA"/>
        </w:rPr>
      </w:pPr>
      <w:r>
        <w:rPr>
          <w:rFonts w:hint="eastAsia" w:ascii="宋体" w:hAnsi="宋体" w:eastAsia="宋体" w:cs="宋体"/>
          <w:b/>
          <w:bCs w:val="0"/>
          <w:color w:val="auto"/>
          <w:spacing w:val="0"/>
          <w:w w:val="100"/>
          <w:kern w:val="2"/>
          <w:position w:val="0"/>
          <w:sz w:val="24"/>
          <w:szCs w:val="24"/>
          <w:shd w:val="clear" w:color="auto" w:fill="auto"/>
          <w:lang w:val="en-US" w:eastAsia="zh-CN" w:bidi="ar-SA"/>
        </w:rPr>
        <w:t xml:space="preserve">（2.7）其他要求 </w:t>
      </w:r>
    </w:p>
    <w:p w14:paraId="16E0ECDA">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right="0" w:firstLine="0" w:firstLineChars="0"/>
        <w:jc w:val="left"/>
        <w:textAlignment w:val="auto"/>
        <w:rPr>
          <w:rFonts w:hint="eastAsia" w:ascii="宋体" w:hAnsi="宋体" w:eastAsia="宋体" w:cs="宋体"/>
          <w:b w:val="0"/>
          <w:bCs/>
          <w:color w:val="auto"/>
          <w:spacing w:val="0"/>
          <w:w w:val="100"/>
          <w:kern w:val="2"/>
          <w:position w:val="0"/>
          <w:sz w:val="24"/>
          <w:szCs w:val="24"/>
          <w:shd w:val="clear" w:color="auto" w:fill="auto"/>
          <w:lang w:val="en-US" w:eastAsia="zh-CN" w:bidi="ar-SA"/>
        </w:rPr>
      </w:pPr>
      <w:r>
        <w:rPr>
          <w:rFonts w:hint="eastAsia" w:ascii="宋体" w:hAnsi="宋体" w:eastAsia="宋体" w:cs="宋体"/>
          <w:b/>
          <w:bCs w:val="0"/>
          <w:color w:val="auto"/>
          <w:spacing w:val="0"/>
          <w:w w:val="100"/>
          <w:kern w:val="2"/>
          <w:position w:val="0"/>
          <w:sz w:val="24"/>
          <w:szCs w:val="24"/>
          <w:shd w:val="clear" w:color="auto" w:fill="auto"/>
          <w:lang w:val="en-US" w:eastAsia="zh-CN" w:bidi="ar-SA"/>
        </w:rPr>
        <w:t>(2.7.1)</w:t>
      </w:r>
      <w:r>
        <w:rPr>
          <w:rFonts w:hint="eastAsia" w:ascii="宋体" w:hAnsi="宋体" w:eastAsia="宋体" w:cs="宋体"/>
          <w:b w:val="0"/>
          <w:bCs/>
          <w:color w:val="auto"/>
          <w:spacing w:val="0"/>
          <w:w w:val="100"/>
          <w:kern w:val="2"/>
          <w:position w:val="0"/>
          <w:sz w:val="24"/>
          <w:szCs w:val="24"/>
          <w:shd w:val="clear" w:color="auto" w:fill="auto"/>
          <w:lang w:val="en-US" w:eastAsia="zh-CN" w:bidi="ar-SA"/>
        </w:rPr>
        <w:t>本项目为包干价，包含税收等全部费用，采购人均不再另行支付任何费用。</w:t>
      </w:r>
    </w:p>
    <w:p w14:paraId="7FD5FA5D">
      <w:pPr>
        <w:keepNext w:val="0"/>
        <w:keepLines w:val="0"/>
        <w:pageBreakBefore w:val="0"/>
        <w:widowControl w:val="0"/>
        <w:shd w:val="clear" w:color="auto" w:fill="auto"/>
        <w:kinsoku/>
        <w:wordWrap/>
        <w:overflowPunct/>
        <w:topLinePunct w:val="0"/>
        <w:autoSpaceDE/>
        <w:autoSpaceDN/>
        <w:bidi w:val="0"/>
        <w:adjustRightInd w:val="0"/>
        <w:snapToGrid w:val="0"/>
        <w:spacing w:before="0" w:after="0" w:line="500" w:lineRule="exact"/>
        <w:ind w:left="0" w:right="0" w:firstLine="0" w:firstLineChars="0"/>
        <w:jc w:val="left"/>
        <w:textAlignment w:val="auto"/>
        <w:rPr>
          <w:rFonts w:hint="eastAsia" w:ascii="宋体" w:hAnsi="宋体" w:eastAsia="宋体" w:cs="宋体"/>
          <w:b w:val="0"/>
          <w:bCs/>
          <w:color w:val="auto"/>
          <w:spacing w:val="0"/>
          <w:w w:val="100"/>
          <w:kern w:val="2"/>
          <w:position w:val="0"/>
          <w:sz w:val="24"/>
          <w:szCs w:val="24"/>
          <w:shd w:val="clear" w:color="auto" w:fill="auto"/>
          <w:lang w:val="en-US" w:eastAsia="zh-CN" w:bidi="ar-SA"/>
        </w:rPr>
      </w:pPr>
      <w:r>
        <w:rPr>
          <w:rFonts w:hint="eastAsia" w:ascii="宋体" w:hAnsi="宋体" w:eastAsia="宋体" w:cs="宋体"/>
          <w:b/>
          <w:bCs w:val="0"/>
          <w:color w:val="auto"/>
          <w:spacing w:val="0"/>
          <w:w w:val="100"/>
          <w:kern w:val="2"/>
          <w:position w:val="0"/>
          <w:sz w:val="24"/>
          <w:szCs w:val="24"/>
          <w:shd w:val="clear" w:color="auto" w:fill="auto"/>
          <w:lang w:val="en-US" w:eastAsia="zh-CN" w:bidi="ar-SA"/>
        </w:rPr>
        <w:t>(2.7.2)</w:t>
      </w:r>
      <w:r>
        <w:rPr>
          <w:rFonts w:hint="eastAsia" w:ascii="宋体" w:hAnsi="宋体" w:eastAsia="宋体" w:cs="宋体"/>
          <w:b w:val="0"/>
          <w:bCs/>
          <w:color w:val="auto"/>
          <w:spacing w:val="0"/>
          <w:w w:val="100"/>
          <w:kern w:val="2"/>
          <w:position w:val="0"/>
          <w:sz w:val="24"/>
          <w:szCs w:val="24"/>
          <w:shd w:val="clear" w:color="auto" w:fill="auto"/>
          <w:lang w:val="en-US" w:eastAsia="zh-CN" w:bidi="ar-SA"/>
        </w:rPr>
        <w:t>本项目供应商应具备相应的履约经验，具有优秀的服务人员及服务团队， 具有专业的技术能力。</w:t>
      </w:r>
    </w:p>
    <w:p w14:paraId="25BBC274">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500" w:lineRule="exact"/>
        <w:ind w:left="0" w:right="0" w:firstLine="0" w:firstLineChars="0"/>
        <w:jc w:val="left"/>
        <w:textAlignment w:val="auto"/>
        <w:rPr>
          <w:rFonts w:hint="eastAsia" w:ascii="宋体" w:hAnsi="宋体" w:eastAsia="宋体" w:cs="宋体"/>
          <w:b w:val="0"/>
          <w:bCs/>
          <w:color w:val="auto"/>
          <w:spacing w:val="0"/>
          <w:w w:val="100"/>
          <w:kern w:val="2"/>
          <w:position w:val="0"/>
          <w:sz w:val="24"/>
          <w:szCs w:val="24"/>
          <w:shd w:val="clear" w:color="auto" w:fill="auto"/>
          <w:lang w:val="en-US" w:eastAsia="zh-CN" w:bidi="ar-SA"/>
        </w:rPr>
      </w:pPr>
      <w:r>
        <w:rPr>
          <w:rFonts w:hint="eastAsia" w:ascii="宋体" w:hAnsi="宋体" w:eastAsia="宋体" w:cs="宋体"/>
          <w:b/>
          <w:bCs w:val="0"/>
          <w:color w:val="auto"/>
          <w:spacing w:val="0"/>
          <w:w w:val="100"/>
          <w:kern w:val="2"/>
          <w:position w:val="0"/>
          <w:sz w:val="24"/>
          <w:szCs w:val="24"/>
          <w:shd w:val="clear" w:color="auto" w:fill="auto"/>
          <w:lang w:val="en-US" w:eastAsia="zh-CN" w:bidi="ar-SA"/>
        </w:rPr>
        <w:t>(2.7.3)</w:t>
      </w:r>
      <w:r>
        <w:rPr>
          <w:rFonts w:hint="eastAsia" w:ascii="宋体" w:hAnsi="宋体" w:eastAsia="宋体" w:cs="宋体"/>
          <w:b w:val="0"/>
          <w:bCs/>
          <w:color w:val="auto"/>
          <w:spacing w:val="0"/>
          <w:w w:val="100"/>
          <w:kern w:val="2"/>
          <w:position w:val="0"/>
          <w:sz w:val="24"/>
          <w:szCs w:val="24"/>
          <w:shd w:val="clear" w:color="auto" w:fill="auto"/>
          <w:lang w:val="en-US" w:eastAsia="zh-CN" w:bidi="ar-SA"/>
        </w:rPr>
        <w:t>安全要求:成交供应商应确保项目服务过程中无安全事故发生，若因成交供应商责任出现安全事故其责任和损失由成交供应商自行承担。成交供应商必须按照采购人要求开展服务工作，如对采购人造成社会影响及相应损失，成交供应商应赔偿采购人一切损失。</w:t>
      </w:r>
    </w:p>
    <w:p w14:paraId="31CE95BA">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500" w:lineRule="exact"/>
        <w:ind w:left="0" w:right="0" w:firstLine="0" w:firstLineChars="0"/>
        <w:jc w:val="left"/>
        <w:textAlignment w:val="auto"/>
        <w:rPr>
          <w:rFonts w:hint="eastAsia" w:ascii="宋体" w:hAnsi="宋体" w:eastAsia="宋体" w:cs="宋体"/>
          <w:b/>
          <w:bCs/>
          <w:color w:val="000000"/>
          <w:spacing w:val="0"/>
          <w:w w:val="100"/>
          <w:kern w:val="0"/>
          <w:position w:val="0"/>
          <w:sz w:val="24"/>
          <w:szCs w:val="24"/>
          <w:shd w:val="clear" w:color="auto" w:fill="auto"/>
          <w:lang w:eastAsia="en-US" w:bidi="en-US"/>
        </w:rPr>
      </w:pPr>
      <w:r>
        <w:rPr>
          <w:rFonts w:hint="eastAsia" w:ascii="宋体" w:hAnsi="宋体" w:eastAsia="宋体" w:cs="宋体"/>
          <w:b/>
          <w:bCs/>
          <w:color w:val="000000"/>
          <w:spacing w:val="0"/>
          <w:w w:val="100"/>
          <w:kern w:val="0"/>
          <w:position w:val="0"/>
          <w:sz w:val="24"/>
          <w:szCs w:val="24"/>
          <w:shd w:val="clear" w:color="auto" w:fill="auto"/>
          <w:lang w:eastAsia="en-US" w:bidi="en-US"/>
        </w:rPr>
        <w:t>(</w:t>
      </w:r>
      <w:r>
        <w:rPr>
          <w:rFonts w:hint="eastAsia" w:ascii="宋体" w:hAnsi="宋体" w:eastAsia="宋体" w:cs="宋体"/>
          <w:b/>
          <w:bCs/>
          <w:color w:val="000000"/>
          <w:spacing w:val="0"/>
          <w:w w:val="100"/>
          <w:kern w:val="0"/>
          <w:position w:val="0"/>
          <w:sz w:val="24"/>
          <w:szCs w:val="24"/>
          <w:shd w:val="clear" w:color="auto" w:fill="auto"/>
          <w:lang w:val="en-US" w:eastAsia="zh-CN" w:bidi="en-US"/>
        </w:rPr>
        <w:t>四</w:t>
      </w:r>
      <w:r>
        <w:rPr>
          <w:rFonts w:hint="eastAsia" w:ascii="宋体" w:hAnsi="宋体" w:eastAsia="宋体" w:cs="宋体"/>
          <w:b/>
          <w:bCs/>
          <w:color w:val="000000"/>
          <w:spacing w:val="0"/>
          <w:w w:val="100"/>
          <w:kern w:val="0"/>
          <w:position w:val="0"/>
          <w:sz w:val="24"/>
          <w:szCs w:val="24"/>
          <w:shd w:val="clear" w:color="auto" w:fill="auto"/>
          <w:lang w:eastAsia="en-US" w:bidi="en-US"/>
        </w:rPr>
        <w:t>)本项目需要提交的附件：</w:t>
      </w:r>
    </w:p>
    <w:p w14:paraId="262B544A">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500" w:lineRule="exact"/>
        <w:ind w:left="0" w:right="0" w:firstLine="0" w:firstLineChars="0"/>
        <w:jc w:val="left"/>
        <w:textAlignment w:val="auto"/>
        <w:rPr>
          <w:rFonts w:hint="eastAsia" w:ascii="宋体" w:hAnsi="宋体" w:eastAsia="宋体" w:cs="宋体"/>
          <w:b w:val="0"/>
          <w:bCs w:val="0"/>
          <w:color w:val="000000"/>
          <w:spacing w:val="0"/>
          <w:w w:val="100"/>
          <w:kern w:val="0"/>
          <w:position w:val="0"/>
          <w:sz w:val="24"/>
          <w:szCs w:val="24"/>
          <w:shd w:val="clear" w:color="auto" w:fill="auto"/>
          <w:lang w:val="en-US" w:eastAsia="zh-CN" w:bidi="en-US"/>
        </w:rPr>
      </w:pPr>
      <w:r>
        <w:rPr>
          <w:rFonts w:hint="eastAsia" w:ascii="宋体" w:hAnsi="宋体" w:eastAsia="宋体" w:cs="宋体"/>
          <w:b w:val="0"/>
          <w:bCs w:val="0"/>
          <w:color w:val="000000"/>
          <w:spacing w:val="0"/>
          <w:w w:val="100"/>
          <w:kern w:val="0"/>
          <w:position w:val="0"/>
          <w:sz w:val="24"/>
          <w:szCs w:val="24"/>
          <w:shd w:val="clear" w:color="auto" w:fill="auto"/>
          <w:lang w:val="en-US" w:eastAsia="zh-CN" w:bidi="en-US"/>
        </w:rPr>
        <w:t>附件</w:t>
      </w:r>
      <w:r>
        <w:rPr>
          <w:rFonts w:hint="eastAsia" w:ascii="宋体" w:hAnsi="宋体" w:eastAsia="宋体" w:cs="宋体"/>
          <w:b w:val="0"/>
          <w:bCs w:val="0"/>
          <w:color w:val="000000"/>
          <w:spacing w:val="0"/>
          <w:w w:val="100"/>
          <w:kern w:val="0"/>
          <w:position w:val="0"/>
          <w:sz w:val="24"/>
          <w:szCs w:val="24"/>
          <w:shd w:val="clear" w:color="auto" w:fill="auto"/>
          <w:lang w:eastAsia="zh-CN" w:bidi="en-US"/>
        </w:rPr>
        <w:t>1、</w:t>
      </w:r>
      <w:r>
        <w:rPr>
          <w:rFonts w:hint="eastAsia" w:ascii="宋体" w:hAnsi="宋体" w:eastAsia="宋体" w:cs="宋体"/>
          <w:b w:val="0"/>
          <w:bCs w:val="0"/>
          <w:color w:val="000000"/>
          <w:spacing w:val="0"/>
          <w:w w:val="100"/>
          <w:kern w:val="0"/>
          <w:position w:val="0"/>
          <w:sz w:val="24"/>
          <w:szCs w:val="24"/>
          <w:shd w:val="clear" w:color="auto" w:fill="auto"/>
          <w:lang w:val="en-US" w:eastAsia="zh-CN" w:bidi="en-US"/>
        </w:rPr>
        <w:t>湖南省农业农村厅办公室关于印发《湖南省2026年高素质农民培育工作实施方案》的通知湘农办发〔2026〕22号</w:t>
      </w:r>
    </w:p>
    <w:p w14:paraId="563CD0BC">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500" w:lineRule="exact"/>
        <w:ind w:left="0" w:right="0" w:firstLine="0" w:firstLineChars="0"/>
        <w:jc w:val="left"/>
        <w:textAlignment w:val="auto"/>
        <w:rPr>
          <w:rFonts w:hint="eastAsia"/>
          <w:lang w:val="en-US" w:eastAsia="zh-CN"/>
        </w:rPr>
      </w:pPr>
      <w:r>
        <w:rPr>
          <w:rFonts w:hint="eastAsia" w:ascii="宋体" w:hAnsi="宋体" w:eastAsia="宋体" w:cs="宋体"/>
          <w:b w:val="0"/>
          <w:bCs w:val="0"/>
          <w:color w:val="000000"/>
          <w:spacing w:val="0"/>
          <w:w w:val="100"/>
          <w:kern w:val="0"/>
          <w:position w:val="0"/>
          <w:sz w:val="24"/>
          <w:szCs w:val="24"/>
          <w:shd w:val="clear" w:color="auto" w:fill="auto"/>
          <w:lang w:val="en-US" w:eastAsia="zh-CN" w:bidi="en-US"/>
        </w:rPr>
        <w:t>附件2、关于印发</w:t>
      </w:r>
      <w:r>
        <w:rPr>
          <w:rFonts w:hint="eastAsia" w:ascii="宋体" w:hAnsi="宋体" w:eastAsia="宋体" w:cs="宋体"/>
          <w:b w:val="0"/>
          <w:bCs/>
          <w:color w:val="auto"/>
          <w:spacing w:val="0"/>
          <w:w w:val="100"/>
          <w:kern w:val="2"/>
          <w:position w:val="0"/>
          <w:sz w:val="24"/>
          <w:szCs w:val="24"/>
          <w:shd w:val="clear" w:color="auto" w:fill="auto"/>
          <w:lang w:val="en-US" w:eastAsia="zh-CN" w:bidi="ar-SA"/>
        </w:rPr>
        <w:t>《华容县2026年高素质农民培育工作实施方案》的通知华农发【2026】10号</w:t>
      </w:r>
    </w:p>
    <w:p w14:paraId="4A44F27D">
      <w:pPr>
        <w:keepNext/>
        <w:keepLines/>
        <w:widowControl w:val="0"/>
        <w:shd w:val="clear" w:color="auto" w:fill="auto"/>
        <w:bidi w:val="0"/>
        <w:spacing w:before="0" w:after="0" w:line="360" w:lineRule="auto"/>
        <w:ind w:left="0" w:right="0" w:firstLine="0"/>
        <w:jc w:val="left"/>
        <w:outlineLvl w:val="1"/>
        <w:rPr>
          <w:rFonts w:hint="eastAsia" w:ascii="宋体" w:hAnsi="宋体" w:eastAsia="宋体" w:cs="宋体"/>
          <w:b/>
          <w:bCs/>
          <w:color w:val="000000"/>
          <w:spacing w:val="0"/>
          <w:w w:val="100"/>
          <w:position w:val="0"/>
          <w:sz w:val="24"/>
          <w:szCs w:val="24"/>
          <w:shd w:val="clear" w:color="auto" w:fill="auto"/>
          <w:lang w:val="en-US" w:eastAsia="zh-CN" w:bidi="en-US"/>
        </w:rPr>
      </w:pPr>
    </w:p>
    <w:p w14:paraId="472E7410">
      <w:pPr>
        <w:keepNext w:val="0"/>
        <w:keepLines w:val="0"/>
        <w:shd w:val="clear" w:color="auto" w:fill="auto"/>
        <w:bidi w:val="0"/>
        <w:spacing w:before="0" w:after="0" w:line="240" w:lineRule="auto"/>
        <w:ind w:left="0" w:right="0" w:firstLine="0"/>
        <w:jc w:val="left"/>
        <w:rPr>
          <w:rFonts w:hint="eastAsia" w:eastAsia="Times New Roman"/>
          <w:color w:val="000000"/>
          <w:spacing w:val="0"/>
          <w:w w:val="100"/>
          <w:kern w:val="0"/>
          <w:position w:val="0"/>
          <w:sz w:val="24"/>
          <w:shd w:val="clear" w:color="auto" w:fill="auto"/>
          <w:lang w:val="en-US" w:eastAsia="zh-CN" w:bidi="en-US"/>
        </w:rPr>
      </w:pPr>
      <w:r>
        <w:rPr>
          <w:rFonts w:hint="eastAsia" w:eastAsia="Times New Roman"/>
          <w:color w:val="000000"/>
          <w:spacing w:val="0"/>
          <w:w w:val="100"/>
          <w:kern w:val="0"/>
          <w:position w:val="0"/>
          <w:sz w:val="24"/>
          <w:shd w:val="clear" w:color="auto" w:fill="auto"/>
          <w:lang w:val="en-US" w:eastAsia="zh-CN" w:bidi="en-US"/>
        </w:rPr>
        <w:drawing>
          <wp:inline distT="0" distB="0" distL="114300" distR="114300">
            <wp:extent cx="6050280" cy="8557260"/>
            <wp:effectExtent l="0" t="0" r="0" b="7620"/>
            <wp:docPr id="2" name="图片 2" descr="关于印发《湖南省2026年高素质农民培育工作实施方案》的通知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关于印发《湖南省2026年高素质农民培育工作实施方案》的通知1"/>
                    <pic:cNvPicPr>
                      <a:picLocks noChangeAspect="1"/>
                    </pic:cNvPicPr>
                  </pic:nvPicPr>
                  <pic:blipFill>
                    <a:blip r:embed="rId14"/>
                    <a:stretch>
                      <a:fillRect/>
                    </a:stretch>
                  </pic:blipFill>
                  <pic:spPr>
                    <a:xfrm>
                      <a:off x="0" y="0"/>
                      <a:ext cx="6050280" cy="8557260"/>
                    </a:xfrm>
                    <a:prstGeom prst="rect">
                      <a:avLst/>
                    </a:prstGeom>
                  </pic:spPr>
                </pic:pic>
              </a:graphicData>
            </a:graphic>
          </wp:inline>
        </w:drawing>
      </w:r>
    </w:p>
    <w:p w14:paraId="72A6AA8E">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left"/>
        <w:textAlignment w:val="auto"/>
        <w:rPr>
          <w:rFonts w:hint="eastAsia" w:ascii="宋体" w:hAnsi="宋体" w:eastAsia="宋体" w:cs="宋体"/>
          <w:b/>
          <w:bCs/>
          <w:color w:val="000000"/>
          <w:spacing w:val="0"/>
          <w:w w:val="100"/>
          <w:kern w:val="0"/>
          <w:position w:val="0"/>
          <w:sz w:val="24"/>
          <w:szCs w:val="24"/>
          <w:shd w:val="clear" w:color="auto" w:fill="auto"/>
          <w:lang w:val="en-US" w:eastAsia="zh-CN" w:bidi="en-US"/>
        </w:rPr>
      </w:pPr>
    </w:p>
    <w:p w14:paraId="08BB528D">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left"/>
        <w:textAlignment w:val="auto"/>
        <w:rPr>
          <w:rFonts w:hint="eastAsia" w:ascii="宋体" w:hAnsi="宋体" w:eastAsia="宋体" w:cs="宋体"/>
          <w:b/>
          <w:bCs/>
          <w:color w:val="000000"/>
          <w:spacing w:val="0"/>
          <w:w w:val="100"/>
          <w:kern w:val="0"/>
          <w:position w:val="0"/>
          <w:sz w:val="24"/>
          <w:szCs w:val="24"/>
          <w:shd w:val="clear" w:color="auto" w:fill="auto"/>
          <w:lang w:val="en-US" w:eastAsia="zh-CN" w:bidi="en-US"/>
        </w:rPr>
      </w:pPr>
      <w:r>
        <w:rPr>
          <w:rFonts w:hint="eastAsia" w:ascii="宋体" w:hAnsi="宋体" w:eastAsia="宋体" w:cs="宋体"/>
          <w:b/>
          <w:bCs/>
          <w:color w:val="000000"/>
          <w:spacing w:val="0"/>
          <w:w w:val="100"/>
          <w:kern w:val="0"/>
          <w:position w:val="0"/>
          <w:sz w:val="24"/>
          <w:szCs w:val="24"/>
          <w:shd w:val="clear" w:color="auto" w:fill="auto"/>
          <w:lang w:val="en-US" w:eastAsia="zh-CN" w:bidi="en-US"/>
        </w:rPr>
        <w:drawing>
          <wp:anchor distT="0" distB="0" distL="114935" distR="114935" simplePos="0" relativeHeight="251659264" behindDoc="0" locked="0" layoutInCell="1" allowOverlap="1">
            <wp:simplePos x="0" y="0"/>
            <wp:positionH relativeFrom="column">
              <wp:posOffset>0</wp:posOffset>
            </wp:positionH>
            <wp:positionV relativeFrom="paragraph">
              <wp:posOffset>-8321040</wp:posOffset>
            </wp:positionV>
            <wp:extent cx="6050280" cy="8557260"/>
            <wp:effectExtent l="0" t="0" r="0" b="7620"/>
            <wp:wrapSquare wrapText="bothSides"/>
            <wp:docPr id="16" name="图片 16" descr="关于印发《湖南省2026年高素质农民培育工作实施方案》的通知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关于印发《湖南省2026年高素质农民培育工作实施方案》的通知2"/>
                    <pic:cNvPicPr>
                      <a:picLocks noChangeAspect="1"/>
                    </pic:cNvPicPr>
                  </pic:nvPicPr>
                  <pic:blipFill>
                    <a:blip r:embed="rId15"/>
                    <a:stretch>
                      <a:fillRect/>
                    </a:stretch>
                  </pic:blipFill>
                  <pic:spPr>
                    <a:xfrm>
                      <a:off x="0" y="0"/>
                      <a:ext cx="6050280" cy="8557260"/>
                    </a:xfrm>
                    <a:prstGeom prst="rect">
                      <a:avLst/>
                    </a:prstGeom>
                  </pic:spPr>
                </pic:pic>
              </a:graphicData>
            </a:graphic>
          </wp:anchor>
        </w:drawing>
      </w:r>
      <w:r>
        <w:rPr>
          <w:rFonts w:hint="eastAsia" w:ascii="宋体" w:hAnsi="宋体" w:eastAsia="宋体" w:cs="宋体"/>
          <w:b/>
          <w:bCs/>
          <w:color w:val="000000"/>
          <w:spacing w:val="0"/>
          <w:w w:val="100"/>
          <w:kern w:val="0"/>
          <w:position w:val="0"/>
          <w:sz w:val="24"/>
          <w:szCs w:val="24"/>
          <w:shd w:val="clear" w:color="auto" w:fill="auto"/>
          <w:lang w:val="en-US" w:eastAsia="zh-CN" w:bidi="en-US"/>
        </w:rPr>
        <w:drawing>
          <wp:inline distT="0" distB="0" distL="114300" distR="114300">
            <wp:extent cx="6050280" cy="8557260"/>
            <wp:effectExtent l="0" t="0" r="0" b="7620"/>
            <wp:docPr id="4" name="图片 4" descr="关于印发《湖南省2026年高素质农民培育工作实施方案》的通知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关于印发《湖南省2026年高素质农民培育工作实施方案》的通知2"/>
                    <pic:cNvPicPr>
                      <a:picLocks noChangeAspect="1"/>
                    </pic:cNvPicPr>
                  </pic:nvPicPr>
                  <pic:blipFill>
                    <a:blip r:embed="rId15"/>
                    <a:stretch>
                      <a:fillRect/>
                    </a:stretch>
                  </pic:blipFill>
                  <pic:spPr>
                    <a:xfrm>
                      <a:off x="0" y="0"/>
                      <a:ext cx="6050280" cy="8557260"/>
                    </a:xfrm>
                    <a:prstGeom prst="rect">
                      <a:avLst/>
                    </a:prstGeom>
                  </pic:spPr>
                </pic:pic>
              </a:graphicData>
            </a:graphic>
          </wp:inline>
        </w:drawing>
      </w:r>
      <w:r>
        <w:rPr>
          <w:rFonts w:hint="eastAsia" w:ascii="宋体" w:hAnsi="宋体" w:eastAsia="宋体" w:cs="宋体"/>
          <w:b/>
          <w:bCs/>
          <w:color w:val="000000"/>
          <w:spacing w:val="0"/>
          <w:w w:val="100"/>
          <w:kern w:val="0"/>
          <w:position w:val="0"/>
          <w:sz w:val="24"/>
          <w:szCs w:val="24"/>
          <w:shd w:val="clear" w:color="auto" w:fill="auto"/>
          <w:lang w:val="en-US" w:eastAsia="zh-CN" w:bidi="en-US"/>
        </w:rPr>
        <w:drawing>
          <wp:inline distT="0" distB="0" distL="114300" distR="114300">
            <wp:extent cx="6050280" cy="8557260"/>
            <wp:effectExtent l="0" t="0" r="0" b="7620"/>
            <wp:docPr id="5" name="图片 5" descr="关于印发《湖南省2026年高素质农民培育工作实施方案》的通知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关于印发《湖南省2026年高素质农民培育工作实施方案》的通知3"/>
                    <pic:cNvPicPr>
                      <a:picLocks noChangeAspect="1"/>
                    </pic:cNvPicPr>
                  </pic:nvPicPr>
                  <pic:blipFill>
                    <a:blip r:embed="rId16"/>
                    <a:stretch>
                      <a:fillRect/>
                    </a:stretch>
                  </pic:blipFill>
                  <pic:spPr>
                    <a:xfrm>
                      <a:off x="0" y="0"/>
                      <a:ext cx="6050280" cy="8557260"/>
                    </a:xfrm>
                    <a:prstGeom prst="rect">
                      <a:avLst/>
                    </a:prstGeom>
                  </pic:spPr>
                </pic:pic>
              </a:graphicData>
            </a:graphic>
          </wp:inline>
        </w:drawing>
      </w:r>
    </w:p>
    <w:p w14:paraId="63A0B3B1">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left"/>
        <w:textAlignment w:val="auto"/>
        <w:rPr>
          <w:rFonts w:hint="eastAsia" w:ascii="宋体" w:hAnsi="宋体" w:eastAsia="宋体" w:cs="宋体"/>
          <w:b/>
          <w:bCs/>
          <w:color w:val="000000"/>
          <w:spacing w:val="0"/>
          <w:w w:val="100"/>
          <w:kern w:val="0"/>
          <w:position w:val="0"/>
          <w:sz w:val="24"/>
          <w:szCs w:val="24"/>
          <w:shd w:val="clear" w:color="auto" w:fill="auto"/>
          <w:lang w:val="en-US" w:eastAsia="zh-CN" w:bidi="en-US"/>
        </w:rPr>
      </w:pPr>
      <w:r>
        <w:rPr>
          <w:rFonts w:hint="eastAsia" w:ascii="宋体" w:hAnsi="宋体" w:eastAsia="宋体" w:cs="宋体"/>
          <w:b/>
          <w:bCs/>
          <w:color w:val="000000"/>
          <w:spacing w:val="0"/>
          <w:w w:val="100"/>
          <w:kern w:val="0"/>
          <w:position w:val="0"/>
          <w:sz w:val="24"/>
          <w:szCs w:val="24"/>
          <w:shd w:val="clear" w:color="auto" w:fill="auto"/>
          <w:lang w:val="en-US" w:eastAsia="zh-CN" w:bidi="en-US"/>
        </w:rPr>
        <w:drawing>
          <wp:anchor distT="0" distB="0" distL="114935" distR="114935" simplePos="0" relativeHeight="251660288" behindDoc="0" locked="0" layoutInCell="1" allowOverlap="1">
            <wp:simplePos x="0" y="0"/>
            <wp:positionH relativeFrom="column">
              <wp:posOffset>0</wp:posOffset>
            </wp:positionH>
            <wp:positionV relativeFrom="paragraph">
              <wp:posOffset>-8321040</wp:posOffset>
            </wp:positionV>
            <wp:extent cx="6050280" cy="8557260"/>
            <wp:effectExtent l="0" t="0" r="0" b="7620"/>
            <wp:wrapSquare wrapText="bothSides"/>
            <wp:docPr id="6" name="图片 6" descr="关于印发《湖南省2026年高素质农民培育工作实施方案》的通知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关于印发《湖南省2026年高素质农民培育工作实施方案》的通知3"/>
                    <pic:cNvPicPr>
                      <a:picLocks noChangeAspect="1"/>
                    </pic:cNvPicPr>
                  </pic:nvPicPr>
                  <pic:blipFill>
                    <a:blip r:embed="rId16"/>
                    <a:stretch>
                      <a:fillRect/>
                    </a:stretch>
                  </pic:blipFill>
                  <pic:spPr>
                    <a:xfrm>
                      <a:off x="0" y="0"/>
                      <a:ext cx="6050280" cy="8557260"/>
                    </a:xfrm>
                    <a:prstGeom prst="rect">
                      <a:avLst/>
                    </a:prstGeom>
                  </pic:spPr>
                </pic:pic>
              </a:graphicData>
            </a:graphic>
          </wp:anchor>
        </w:drawing>
      </w:r>
    </w:p>
    <w:p w14:paraId="632E1119">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left"/>
        <w:textAlignment w:val="auto"/>
        <w:rPr>
          <w:rFonts w:hint="eastAsia" w:ascii="宋体" w:hAnsi="宋体" w:eastAsia="宋体" w:cs="宋体"/>
          <w:b/>
          <w:bCs/>
          <w:color w:val="000000"/>
          <w:spacing w:val="0"/>
          <w:w w:val="100"/>
          <w:kern w:val="0"/>
          <w:position w:val="0"/>
          <w:sz w:val="24"/>
          <w:szCs w:val="24"/>
          <w:shd w:val="clear" w:color="auto" w:fill="auto"/>
          <w:lang w:val="en-US" w:eastAsia="zh-CN" w:bidi="en-US"/>
        </w:rPr>
      </w:pPr>
    </w:p>
    <w:p w14:paraId="65F77B04">
      <w:pPr>
        <w:keepNext w:val="0"/>
        <w:keepLines w:val="0"/>
        <w:pageBreakBefore w:val="0"/>
        <w:widowControl w:val="0"/>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0" w:firstLineChars="0"/>
        <w:jc w:val="left"/>
        <w:textAlignment w:val="auto"/>
        <w:rPr>
          <w:rFonts w:hint="eastAsia" w:ascii="宋体" w:hAnsi="宋体" w:eastAsia="宋体" w:cs="宋体"/>
          <w:b/>
          <w:bCs/>
          <w:color w:val="000000"/>
          <w:spacing w:val="0"/>
          <w:w w:val="100"/>
          <w:kern w:val="0"/>
          <w:position w:val="0"/>
          <w:sz w:val="24"/>
          <w:szCs w:val="24"/>
          <w:shd w:val="clear" w:color="auto" w:fill="auto"/>
          <w:lang w:val="en-US" w:eastAsia="zh-CN" w:bidi="en-US"/>
        </w:rPr>
      </w:pPr>
      <w:r>
        <w:rPr>
          <w:rFonts w:hint="eastAsia" w:ascii="宋体" w:hAnsi="宋体" w:eastAsia="宋体" w:cs="宋体"/>
          <w:b/>
          <w:bCs/>
          <w:color w:val="000000"/>
          <w:spacing w:val="0"/>
          <w:w w:val="100"/>
          <w:kern w:val="0"/>
          <w:position w:val="0"/>
          <w:sz w:val="24"/>
          <w:szCs w:val="24"/>
          <w:shd w:val="clear" w:color="auto" w:fill="auto"/>
          <w:lang w:val="en-US" w:eastAsia="zh-CN" w:bidi="en-US"/>
        </w:rPr>
        <w:drawing>
          <wp:anchor distT="0" distB="0" distL="114935" distR="114935" simplePos="0" relativeHeight="251661312" behindDoc="0" locked="0" layoutInCell="1" allowOverlap="1">
            <wp:simplePos x="0" y="0"/>
            <wp:positionH relativeFrom="column">
              <wp:posOffset>0</wp:posOffset>
            </wp:positionH>
            <wp:positionV relativeFrom="paragraph">
              <wp:posOffset>-8321040</wp:posOffset>
            </wp:positionV>
            <wp:extent cx="6050280" cy="8557260"/>
            <wp:effectExtent l="0" t="0" r="0" b="7620"/>
            <wp:wrapSquare wrapText="bothSides"/>
            <wp:docPr id="7" name="图片 7" descr="关于印发《湖南省2026年高素质农民培育工作实施方案》的通知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关于印发《湖南省2026年高素质农民培育工作实施方案》的通知4"/>
                    <pic:cNvPicPr>
                      <a:picLocks noChangeAspect="1"/>
                    </pic:cNvPicPr>
                  </pic:nvPicPr>
                  <pic:blipFill>
                    <a:blip r:embed="rId17"/>
                    <a:stretch>
                      <a:fillRect/>
                    </a:stretch>
                  </pic:blipFill>
                  <pic:spPr>
                    <a:xfrm>
                      <a:off x="0" y="0"/>
                      <a:ext cx="6050280" cy="8557260"/>
                    </a:xfrm>
                    <a:prstGeom prst="rect">
                      <a:avLst/>
                    </a:prstGeom>
                  </pic:spPr>
                </pic:pic>
              </a:graphicData>
            </a:graphic>
          </wp:anchor>
        </w:drawing>
      </w:r>
    </w:p>
    <w:p w14:paraId="109C3D03">
      <w:pPr>
        <w:keepNext w:val="0"/>
        <w:keepLines w:val="0"/>
        <w:shd w:val="clear" w:color="auto" w:fill="auto"/>
        <w:bidi w:val="0"/>
        <w:spacing w:before="0" w:after="0" w:line="240" w:lineRule="auto"/>
        <w:ind w:left="0" w:right="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10C71570">
      <w:pPr>
        <w:keepNext w:val="0"/>
        <w:keepLines w:val="0"/>
        <w:shd w:val="clear" w:color="auto" w:fill="auto"/>
        <w:bidi w:val="0"/>
        <w:spacing w:before="0" w:after="0" w:line="240" w:lineRule="auto"/>
        <w:ind w:left="0" w:right="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4E6CEEA7">
      <w:pPr>
        <w:keepNext w:val="0"/>
        <w:keepLines w:val="0"/>
        <w:shd w:val="clear" w:color="auto" w:fill="auto"/>
        <w:bidi w:val="0"/>
        <w:spacing w:before="0" w:after="0" w:line="240" w:lineRule="auto"/>
        <w:ind w:left="0" w:right="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0AEB3BFB">
      <w:pPr>
        <w:keepNext w:val="0"/>
        <w:keepLines w:val="0"/>
        <w:shd w:val="clear" w:color="auto" w:fill="auto"/>
        <w:bidi w:val="0"/>
        <w:spacing w:before="0" w:after="0" w:line="240" w:lineRule="auto"/>
        <w:ind w:left="0" w:right="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22B4C0BF">
      <w:pPr>
        <w:keepNext w:val="0"/>
        <w:keepLines w:val="0"/>
        <w:shd w:val="clear" w:color="auto" w:fill="auto"/>
        <w:bidi w:val="0"/>
        <w:spacing w:before="0" w:after="0" w:line="240" w:lineRule="auto"/>
        <w:ind w:left="0" w:right="0" w:firstLine="0"/>
        <w:jc w:val="left"/>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5D9ED3D8">
      <w:pPr>
        <w:numPr>
          <w:ilvl w:val="0"/>
          <w:numId w:val="0"/>
        </w:numPr>
        <w:ind w:leftChars="0" w:right="0" w:rightChars="0"/>
        <w:rPr>
          <w:rFonts w:hint="eastAsia"/>
        </w:rPr>
        <w:sectPr>
          <w:headerReference r:id="rId8" w:type="default"/>
          <w:footerReference r:id="rId9" w:type="default"/>
          <w:footnotePr>
            <w:numFmt w:val="decimal"/>
          </w:footnotePr>
          <w:pgSz w:w="11900" w:h="16840"/>
          <w:pgMar w:top="1134" w:right="1134" w:bottom="1134" w:left="1134" w:header="325" w:footer="6" w:gutter="0"/>
          <w:pgNumType w:fmt="decimal"/>
          <w:cols w:space="0" w:num="1"/>
          <w:rtlGutter w:val="0"/>
          <w:docGrid w:linePitch="360" w:charSpace="0"/>
        </w:sectPr>
      </w:pPr>
      <w:r>
        <w:rPr>
          <w:rFonts w:hint="eastAsia" w:ascii="Arial" w:hAnsi="Arial" w:eastAsia="Times New Roman" w:cs="Times New Roman"/>
          <w:b/>
          <w:bCs/>
          <w:color w:val="000000"/>
          <w:spacing w:val="0"/>
          <w:w w:val="100"/>
          <w:position w:val="0"/>
          <w:sz w:val="24"/>
          <w:szCs w:val="32"/>
          <w:shd w:val="clear" w:color="auto" w:fill="auto"/>
          <w:lang w:val="en-US" w:eastAsia="en-US" w:bidi="en-US"/>
        </w:rPr>
        <w:drawing>
          <wp:inline distT="0" distB="0" distL="114300" distR="114300">
            <wp:extent cx="6050280" cy="8557260"/>
            <wp:effectExtent l="0" t="0" r="0" b="7620"/>
            <wp:docPr id="8" name="图片 8" descr="关于印发《湖南省2026年高素质农民培育工作实施方案》的通知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关于印发《湖南省2026年高素质农民培育工作实施方案》的通知5"/>
                    <pic:cNvPicPr>
                      <a:picLocks noChangeAspect="1"/>
                    </pic:cNvPicPr>
                  </pic:nvPicPr>
                  <pic:blipFill>
                    <a:blip r:embed="rId18"/>
                    <a:stretch>
                      <a:fillRect/>
                    </a:stretch>
                  </pic:blipFill>
                  <pic:spPr>
                    <a:xfrm>
                      <a:off x="0" y="0"/>
                      <a:ext cx="6050280" cy="8557260"/>
                    </a:xfrm>
                    <a:prstGeom prst="rect">
                      <a:avLst/>
                    </a:prstGeom>
                  </pic:spPr>
                </pic:pic>
              </a:graphicData>
            </a:graphic>
          </wp:inline>
        </w:drawing>
      </w:r>
    </w:p>
    <w:p w14:paraId="4648DE33">
      <w:pPr>
        <w:keepNext w:val="0"/>
        <w:keepLines w:val="0"/>
        <w:shd w:val="clear" w:color="auto" w:fill="auto"/>
        <w:bidi w:val="0"/>
        <w:spacing w:before="0" w:after="0" w:line="240" w:lineRule="auto"/>
        <w:ind w:left="0" w:right="0" w:firstLine="0"/>
        <w:jc w:val="left"/>
        <w:rPr>
          <w:rFonts w:hint="default" w:ascii="Arial" w:hAnsi="Arial" w:eastAsia="Times New Roman" w:cs="Times New Roman"/>
          <w:b/>
          <w:bCs/>
          <w:color w:val="000000"/>
          <w:spacing w:val="0"/>
          <w:w w:val="100"/>
          <w:position w:val="0"/>
          <w:sz w:val="24"/>
          <w:szCs w:val="32"/>
          <w:shd w:val="clear" w:color="auto" w:fill="auto"/>
          <w:lang w:val="en-US" w:eastAsia="zh-CN" w:bidi="en-US"/>
        </w:rPr>
      </w:pPr>
      <w:r>
        <w:rPr>
          <w:rFonts w:hint="default" w:eastAsia="Times New Roman"/>
          <w:color w:val="000000"/>
          <w:spacing w:val="0"/>
          <w:w w:val="100"/>
          <w:kern w:val="0"/>
          <w:position w:val="0"/>
          <w:sz w:val="24"/>
          <w:shd w:val="clear" w:color="auto" w:fill="auto"/>
          <w:lang w:val="en-US" w:eastAsia="zh-CN" w:bidi="en-US"/>
        </w:rPr>
        <w:drawing>
          <wp:inline distT="0" distB="0" distL="114300" distR="114300">
            <wp:extent cx="6050280" cy="8557260"/>
            <wp:effectExtent l="0" t="0" r="0" b="7620"/>
            <wp:docPr id="17" name="图片 17" descr="关于印发《湖南省2026年高素质农民培育工作实施方案》的通知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关于印发《湖南省2026年高素质农民培育工作实施方案》的通知6"/>
                    <pic:cNvPicPr>
                      <a:picLocks noChangeAspect="1"/>
                    </pic:cNvPicPr>
                  </pic:nvPicPr>
                  <pic:blipFill>
                    <a:blip r:embed="rId19"/>
                    <a:stretch>
                      <a:fillRect/>
                    </a:stretch>
                  </pic:blipFill>
                  <pic:spPr>
                    <a:xfrm>
                      <a:off x="0" y="0"/>
                      <a:ext cx="6050280" cy="8557260"/>
                    </a:xfrm>
                    <a:prstGeom prst="rect">
                      <a:avLst/>
                    </a:prstGeom>
                  </pic:spPr>
                </pic:pic>
              </a:graphicData>
            </a:graphic>
          </wp:inline>
        </w:drawing>
      </w:r>
    </w:p>
    <w:p w14:paraId="5C894266">
      <w:pPr>
        <w:keepNext w:val="0"/>
        <w:keepLines w:val="0"/>
        <w:shd w:val="clear" w:color="auto" w:fill="auto"/>
        <w:bidi w:val="0"/>
        <w:spacing w:before="0" w:after="0" w:line="240" w:lineRule="auto"/>
        <w:ind w:left="0" w:right="0" w:firstLine="0"/>
        <w:jc w:val="left"/>
        <w:rPr>
          <w:rFonts w:hint="default" w:eastAsia="Times New Roman"/>
          <w:color w:val="000000"/>
          <w:spacing w:val="0"/>
          <w:w w:val="100"/>
          <w:kern w:val="0"/>
          <w:position w:val="0"/>
          <w:sz w:val="24"/>
          <w:shd w:val="clear" w:color="auto" w:fill="auto"/>
          <w:lang w:val="en-US" w:eastAsia="zh-CN" w:bidi="en-US"/>
        </w:rPr>
      </w:pPr>
      <w:r>
        <w:rPr>
          <w:rFonts w:hint="default" w:eastAsia="Times New Roman"/>
          <w:color w:val="000000"/>
          <w:spacing w:val="0"/>
          <w:w w:val="100"/>
          <w:kern w:val="0"/>
          <w:position w:val="0"/>
          <w:sz w:val="24"/>
          <w:shd w:val="clear" w:color="auto" w:fill="auto"/>
          <w:lang w:val="en-US" w:eastAsia="zh-CN" w:bidi="en-US"/>
        </w:rPr>
        <w:drawing>
          <wp:inline distT="0" distB="0" distL="114300" distR="114300">
            <wp:extent cx="6050280" cy="8557260"/>
            <wp:effectExtent l="0" t="0" r="0" b="7620"/>
            <wp:docPr id="10" name="图片 10" descr="关于印发《湖南省2026年高素质农民培育工作实施方案》的通知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关于印发《湖南省2026年高素质农民培育工作实施方案》的通知7"/>
                    <pic:cNvPicPr>
                      <a:picLocks noChangeAspect="1"/>
                    </pic:cNvPicPr>
                  </pic:nvPicPr>
                  <pic:blipFill>
                    <a:blip r:embed="rId20"/>
                    <a:stretch>
                      <a:fillRect/>
                    </a:stretch>
                  </pic:blipFill>
                  <pic:spPr>
                    <a:xfrm>
                      <a:off x="0" y="0"/>
                      <a:ext cx="6050280" cy="8557260"/>
                    </a:xfrm>
                    <a:prstGeom prst="rect">
                      <a:avLst/>
                    </a:prstGeom>
                  </pic:spPr>
                </pic:pic>
              </a:graphicData>
            </a:graphic>
          </wp:inline>
        </w:drawing>
      </w:r>
    </w:p>
    <w:p w14:paraId="53EFB9BC">
      <w:pPr>
        <w:keepNext/>
        <w:keepLines/>
        <w:widowControl w:val="0"/>
        <w:shd w:val="clear" w:color="auto" w:fill="auto"/>
        <w:bidi w:val="0"/>
        <w:spacing w:before="0" w:after="0" w:line="360" w:lineRule="auto"/>
        <w:ind w:left="0" w:right="0" w:firstLine="0"/>
        <w:jc w:val="left"/>
        <w:outlineLvl w:val="1"/>
        <w:rPr>
          <w:rFonts w:hint="default" w:ascii="Arial" w:hAnsi="Arial" w:eastAsia="Times New Roman" w:cs="Times New Roman"/>
          <w:b/>
          <w:bCs/>
          <w:color w:val="000000"/>
          <w:spacing w:val="0"/>
          <w:w w:val="100"/>
          <w:position w:val="0"/>
          <w:sz w:val="24"/>
          <w:szCs w:val="32"/>
          <w:shd w:val="clear" w:color="auto" w:fill="auto"/>
          <w:lang w:val="en-US" w:eastAsia="zh-CN" w:bidi="en-US"/>
        </w:rPr>
      </w:pPr>
    </w:p>
    <w:p w14:paraId="1BB94096">
      <w:pPr>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_GB2312" w:hAnsi="仿宋" w:eastAsia="仿宋_GB2312" w:cs="仿宋"/>
          <w:b w:val="0"/>
          <w:bCs/>
          <w:color w:val="auto"/>
          <w:spacing w:val="0"/>
          <w:w w:val="100"/>
          <w:kern w:val="2"/>
          <w:position w:val="0"/>
          <w:sz w:val="32"/>
          <w:szCs w:val="32"/>
          <w:shd w:val="clear" w:color="auto" w:fill="auto"/>
          <w:lang w:val="en-US" w:eastAsia="zh-CN" w:bidi="ar"/>
        </w:rPr>
      </w:pPr>
    </w:p>
    <w:p w14:paraId="4714F7AE">
      <w:pPr>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_GB2312" w:hAnsi="仿宋" w:eastAsia="仿宋_GB2312" w:cs="仿宋"/>
          <w:b w:val="0"/>
          <w:bCs/>
          <w:color w:val="auto"/>
          <w:spacing w:val="0"/>
          <w:w w:val="100"/>
          <w:kern w:val="2"/>
          <w:position w:val="0"/>
          <w:sz w:val="32"/>
          <w:szCs w:val="32"/>
          <w:shd w:val="clear" w:color="auto" w:fill="auto"/>
          <w:lang w:val="en-US" w:eastAsia="zh-CN" w:bidi="ar"/>
        </w:rPr>
      </w:pPr>
    </w:p>
    <w:p w14:paraId="552ADEAC">
      <w:pPr>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_GB2312" w:hAnsi="仿宋" w:eastAsia="仿宋_GB2312" w:cs="仿宋"/>
          <w:b w:val="0"/>
          <w:bCs/>
          <w:color w:val="auto"/>
          <w:spacing w:val="0"/>
          <w:w w:val="100"/>
          <w:kern w:val="2"/>
          <w:position w:val="0"/>
          <w:sz w:val="32"/>
          <w:szCs w:val="32"/>
          <w:shd w:val="clear" w:color="auto" w:fill="auto"/>
          <w:lang w:val="en-US" w:eastAsia="zh-CN" w:bidi="ar"/>
        </w:rPr>
      </w:pPr>
    </w:p>
    <w:p w14:paraId="6BED441C">
      <w:pPr>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_GB2312" w:hAnsi="仿宋" w:eastAsia="仿宋_GB2312" w:cs="仿宋"/>
          <w:b w:val="0"/>
          <w:bCs/>
          <w:color w:val="auto"/>
          <w:spacing w:val="0"/>
          <w:w w:val="100"/>
          <w:kern w:val="2"/>
          <w:position w:val="0"/>
          <w:sz w:val="32"/>
          <w:szCs w:val="32"/>
          <w:shd w:val="clear" w:color="auto" w:fill="auto"/>
          <w:lang w:val="en-US" w:eastAsia="zh-CN" w:bidi="ar"/>
        </w:rPr>
      </w:pPr>
    </w:p>
    <w:p w14:paraId="2A3CB334">
      <w:pPr>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_GB2312" w:hAnsi="仿宋" w:eastAsia="仿宋_GB2312" w:cs="仿宋"/>
          <w:b w:val="0"/>
          <w:bCs/>
          <w:color w:val="auto"/>
          <w:spacing w:val="0"/>
          <w:w w:val="100"/>
          <w:kern w:val="2"/>
          <w:position w:val="0"/>
          <w:sz w:val="32"/>
          <w:szCs w:val="32"/>
          <w:shd w:val="clear" w:color="auto" w:fill="auto"/>
          <w:lang w:val="en-US" w:eastAsia="zh-CN" w:bidi="ar"/>
        </w:rPr>
      </w:pPr>
    </w:p>
    <w:p w14:paraId="073F51F4">
      <w:pPr>
        <w:keepNext w:val="0"/>
        <w:keepLines w:val="0"/>
        <w:widowControl w:val="0"/>
        <w:shd w:val="clear" w:color="auto" w:fill="auto"/>
        <w:bidi w:val="0"/>
        <w:spacing w:before="0" w:beforeAutospacing="1" w:after="0" w:afterAutospacing="1" w:line="240" w:lineRule="auto"/>
        <w:ind w:left="0" w:leftChars="0" w:right="0" w:rightChars="0" w:firstLine="0" w:firstLineChars="0"/>
        <w:jc w:val="center"/>
        <w:rPr>
          <w:rFonts w:hint="eastAsia" w:ascii="仿宋_GB2312" w:hAnsi="仿宋" w:eastAsia="仿宋_GB2312" w:cs="仿宋"/>
          <w:b w:val="0"/>
          <w:bCs w:val="0"/>
          <w:color w:val="auto"/>
          <w:spacing w:val="-12"/>
          <w:w w:val="100"/>
          <w:kern w:val="44"/>
          <w:position w:val="0"/>
          <w:sz w:val="32"/>
          <w:szCs w:val="32"/>
          <w:shd w:val="clear" w:color="auto" w:fill="auto"/>
          <w:lang w:val="en-US" w:eastAsia="zh-CN" w:bidi="ar"/>
        </w:rPr>
      </w:pPr>
      <w:r>
        <w:rPr>
          <w:rFonts w:hint="eastAsia" w:ascii="仿宋_GB2312" w:hAnsi="仿宋" w:eastAsia="仿宋_GB2312" w:cs="仿宋"/>
          <w:b w:val="0"/>
          <w:bCs w:val="0"/>
          <w:color w:val="auto"/>
          <w:spacing w:val="-12"/>
          <w:w w:val="100"/>
          <w:kern w:val="44"/>
          <w:position w:val="0"/>
          <w:sz w:val="32"/>
          <w:szCs w:val="32"/>
          <w:shd w:val="clear" w:color="auto" w:fill="auto"/>
          <w:lang w:val="en-US" w:eastAsia="zh-CN" w:bidi="ar"/>
        </w:rPr>
        <w:t>华农发</w:t>
      </w:r>
      <w:r>
        <w:rPr>
          <w:rFonts w:hint="eastAsia" w:ascii="仿宋_GB2312" w:hAnsi="仿宋" w:eastAsia="仿宋_GB2312" w:cs="仿宋"/>
          <w:b w:val="0"/>
          <w:bCs w:val="0"/>
          <w:color w:val="auto"/>
          <w:spacing w:val="0"/>
          <w:w w:val="100"/>
          <w:kern w:val="44"/>
          <w:position w:val="0"/>
          <w:sz w:val="32"/>
          <w:szCs w:val="32"/>
          <w:shd w:val="clear" w:color="auto" w:fill="auto"/>
          <w:lang w:val="en-US" w:eastAsia="zh-CN" w:bidi="ar"/>
        </w:rPr>
        <w:t>〔2026〕10</w:t>
      </w:r>
      <w:r>
        <w:rPr>
          <w:rFonts w:hint="eastAsia" w:ascii="仿宋_GB2312" w:hAnsi="仿宋" w:eastAsia="仿宋_GB2312" w:cs="仿宋"/>
          <w:b w:val="0"/>
          <w:bCs w:val="0"/>
          <w:color w:val="auto"/>
          <w:spacing w:val="-12"/>
          <w:w w:val="100"/>
          <w:kern w:val="44"/>
          <w:position w:val="0"/>
          <w:sz w:val="32"/>
          <w:szCs w:val="32"/>
          <w:shd w:val="clear" w:color="auto" w:fill="auto"/>
          <w:lang w:val="en-US" w:eastAsia="zh-CN" w:bidi="ar"/>
        </w:rPr>
        <w:t>号</w:t>
      </w:r>
    </w:p>
    <w:p w14:paraId="736EACAC">
      <w:pPr>
        <w:keepNext w:val="0"/>
        <w:keepLines w:val="0"/>
        <w:shd w:val="clear" w:color="auto" w:fill="auto"/>
        <w:bidi w:val="0"/>
        <w:spacing w:before="0" w:after="0" w:line="460" w:lineRule="exact"/>
        <w:ind w:left="0" w:right="0" w:firstLine="0"/>
        <w:jc w:val="both"/>
        <w:rPr>
          <w:rFonts w:ascii="Calibri" w:hAnsi="Calibri" w:eastAsia="宋体"/>
          <w:color w:val="auto"/>
          <w:spacing w:val="0"/>
          <w:w w:val="100"/>
          <w:kern w:val="2"/>
          <w:position w:val="0"/>
          <w:sz w:val="21"/>
          <w:shd w:val="clear" w:color="auto" w:fill="auto"/>
          <w:lang w:eastAsia="zh-CN" w:bidi="ar-SA"/>
        </w:rPr>
      </w:pPr>
    </w:p>
    <w:p w14:paraId="094364FB">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576" w:lineRule="exact"/>
        <w:ind w:left="0" w:right="0" w:firstLine="0"/>
        <w:jc w:val="center"/>
        <w:textAlignment w:val="auto"/>
        <w:rPr>
          <w:rFonts w:hint="eastAsia" w:ascii="方正小标宋简体" w:hAnsi="方正小标宋简体" w:eastAsia="方正小标宋简体" w:cs="方正小标宋简体"/>
          <w:b w:val="0"/>
          <w:bCs w:val="0"/>
          <w:color w:val="000000"/>
          <w:spacing w:val="0"/>
          <w:w w:val="100"/>
          <w:kern w:val="44"/>
          <w:position w:val="0"/>
          <w:sz w:val="44"/>
          <w:szCs w:val="44"/>
          <w:shd w:val="clear" w:color="auto" w:fill="auto"/>
          <w:lang w:val="en-US" w:eastAsia="zh-CN" w:bidi="ar"/>
        </w:rPr>
      </w:pPr>
      <w:r>
        <w:rPr>
          <w:rFonts w:hint="eastAsia" w:ascii="方正小标宋简体" w:hAnsi="方正小标宋简体" w:eastAsia="方正小标宋简体" w:cs="方正小标宋简体"/>
          <w:b w:val="0"/>
          <w:bCs w:val="0"/>
          <w:color w:val="000000"/>
          <w:spacing w:val="0"/>
          <w:w w:val="100"/>
          <w:kern w:val="44"/>
          <w:position w:val="0"/>
          <w:sz w:val="44"/>
          <w:szCs w:val="44"/>
          <w:shd w:val="clear" w:color="auto" w:fill="auto"/>
          <w:lang w:val="en-US" w:eastAsia="zh-CN" w:bidi="ar"/>
        </w:rPr>
        <w:t>关于印发《华容县2026年高素质农民培育</w:t>
      </w:r>
    </w:p>
    <w:p w14:paraId="411440FF">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576" w:lineRule="exact"/>
        <w:ind w:left="0" w:right="0" w:firstLine="0"/>
        <w:jc w:val="center"/>
        <w:textAlignment w:val="auto"/>
        <w:rPr>
          <w:rFonts w:hint="eastAsia" w:ascii="方正小标宋简体" w:hAnsi="方正小标宋简体" w:eastAsia="方正小标宋简体" w:cs="方正小标宋简体"/>
          <w:b w:val="0"/>
          <w:bCs w:val="0"/>
          <w:color w:val="000000"/>
          <w:spacing w:val="0"/>
          <w:w w:val="100"/>
          <w:kern w:val="44"/>
          <w:position w:val="0"/>
          <w:sz w:val="44"/>
          <w:szCs w:val="44"/>
          <w:shd w:val="clear" w:color="auto" w:fill="auto"/>
          <w:lang w:val="en-US" w:eastAsia="zh-CN" w:bidi="ar"/>
        </w:rPr>
      </w:pPr>
      <w:r>
        <w:rPr>
          <w:rFonts w:hint="eastAsia" w:ascii="方正小标宋简体" w:hAnsi="方正小标宋简体" w:eastAsia="方正小标宋简体" w:cs="方正小标宋简体"/>
          <w:b w:val="0"/>
          <w:bCs w:val="0"/>
          <w:color w:val="000000"/>
          <w:spacing w:val="0"/>
          <w:w w:val="100"/>
          <w:kern w:val="44"/>
          <w:position w:val="0"/>
          <w:sz w:val="44"/>
          <w:szCs w:val="44"/>
          <w:shd w:val="clear" w:color="auto" w:fill="auto"/>
          <w:lang w:val="en-US" w:eastAsia="zh-CN" w:bidi="ar"/>
        </w:rPr>
        <w:t>工作实施方案》的通知</w:t>
      </w:r>
    </w:p>
    <w:p w14:paraId="50505276">
      <w:pPr>
        <w:keepNext w:val="0"/>
        <w:keepLines w:val="0"/>
        <w:shd w:val="clear" w:color="auto" w:fill="auto"/>
        <w:bidi w:val="0"/>
        <w:spacing w:before="0" w:after="0" w:line="240" w:lineRule="auto"/>
        <w:ind w:left="0" w:right="0" w:firstLine="0"/>
        <w:jc w:val="both"/>
        <w:rPr>
          <w:rFonts w:hint="eastAsia" w:ascii="仿宋_GB2312" w:hAnsi="仿宋_GB2312" w:eastAsia="仿宋_GB2312" w:cs="仿宋_GB2312"/>
          <w:b w:val="0"/>
          <w:bCs w:val="0"/>
          <w:color w:val="000000"/>
          <w:spacing w:val="-6"/>
          <w:w w:val="100"/>
          <w:kern w:val="2"/>
          <w:position w:val="0"/>
          <w:sz w:val="32"/>
          <w:szCs w:val="32"/>
          <w:shd w:val="clear" w:color="auto" w:fill="auto"/>
          <w:lang w:val="en-US" w:eastAsia="zh-CN" w:bidi="ar-SA"/>
        </w:rPr>
      </w:pPr>
    </w:p>
    <w:p w14:paraId="3AF870C3">
      <w:pPr>
        <w:keepNext w:val="0"/>
        <w:keepLines w:val="0"/>
        <w:shd w:val="clear" w:color="auto" w:fill="auto"/>
        <w:bidi w:val="0"/>
        <w:spacing w:before="0" w:after="0" w:line="240" w:lineRule="auto"/>
        <w:ind w:left="0" w:right="0" w:firstLine="0"/>
        <w:jc w:val="both"/>
        <w:rPr>
          <w:rFonts w:hint="eastAsia" w:ascii="仿宋_GB2312" w:hAnsi="仿宋_GB2312" w:eastAsia="仿宋_GB2312" w:cs="仿宋_GB2312"/>
          <w:b w:val="0"/>
          <w:bCs w:val="0"/>
          <w:color w:val="000000"/>
          <w:spacing w:val="-11"/>
          <w:w w:val="100"/>
          <w:kern w:val="2"/>
          <w:position w:val="0"/>
          <w:sz w:val="32"/>
          <w:szCs w:val="32"/>
          <w:shd w:val="clear" w:color="auto" w:fill="auto"/>
          <w:lang w:val="en-US" w:eastAsia="zh-CN" w:bidi="ar-SA"/>
        </w:rPr>
      </w:pPr>
      <w:r>
        <w:rPr>
          <w:rFonts w:hint="eastAsia" w:ascii="仿宋_GB2312" w:hAnsi="仿宋_GB2312" w:eastAsia="仿宋_GB2312" w:cs="仿宋_GB2312"/>
          <w:b w:val="0"/>
          <w:bCs w:val="0"/>
          <w:color w:val="000000"/>
          <w:spacing w:val="-11"/>
          <w:w w:val="100"/>
          <w:kern w:val="2"/>
          <w:position w:val="0"/>
          <w:sz w:val="32"/>
          <w:szCs w:val="32"/>
          <w:shd w:val="clear" w:color="auto" w:fill="auto"/>
          <w:lang w:val="en-US" w:eastAsia="zh-CN" w:bidi="ar-SA"/>
        </w:rPr>
        <w:t>各乡镇农业综合服务中心、县农业农村事务中心、相关培训机构：</w:t>
      </w:r>
    </w:p>
    <w:p w14:paraId="598A12F4">
      <w:pPr>
        <w:keepNext w:val="0"/>
        <w:keepLines w:val="0"/>
        <w:shd w:val="clear" w:color="auto" w:fill="auto"/>
        <w:bidi w:val="0"/>
        <w:spacing w:before="0" w:after="0" w:line="240" w:lineRule="auto"/>
        <w:ind w:left="0" w:right="0" w:firstLine="640" w:firstLineChars="200"/>
        <w:jc w:val="both"/>
        <w:rPr>
          <w:rFonts w:hint="eastAsia" w:ascii="仿宋_GB2312" w:hAnsi="仿宋_GB2312" w:eastAsia="仿宋_GB2312" w:cs="仿宋_GB2312"/>
          <w:b w:val="0"/>
          <w:bCs w:val="0"/>
          <w:color w:val="000000"/>
          <w:spacing w:val="0"/>
          <w:w w:val="100"/>
          <w:kern w:val="2"/>
          <w:position w:val="0"/>
          <w:sz w:val="32"/>
          <w:szCs w:val="32"/>
          <w:shd w:val="clear" w:color="auto" w:fill="auto"/>
          <w:lang w:val="en-US" w:eastAsia="zh-CN" w:bidi="ar-SA"/>
        </w:rPr>
      </w:pPr>
      <w:r>
        <w:rPr>
          <w:rFonts w:hint="eastAsia" w:ascii="仿宋_GB2312" w:hAnsi="仿宋_GB2312" w:eastAsia="仿宋_GB2312" w:cs="仿宋_GB2312"/>
          <w:b w:val="0"/>
          <w:bCs w:val="0"/>
          <w:color w:val="000000"/>
          <w:spacing w:val="0"/>
          <w:w w:val="100"/>
          <w:kern w:val="2"/>
          <w:position w:val="0"/>
          <w:sz w:val="32"/>
          <w:szCs w:val="32"/>
          <w:shd w:val="clear" w:color="auto" w:fill="auto"/>
          <w:lang w:val="en-US" w:eastAsia="zh-CN" w:bidi="ar-SA"/>
        </w:rPr>
        <w:t>根据湖南省农业农村厅办公室关于印发《湖南省2026年高素质农民培育工作实施方案》的通知（湘农办发〔2026〕22号）文件精神，经研究制定了《华容县2026年高素质农民培育工作实施方案》，现印发给你们，请按要求落实。</w:t>
      </w:r>
    </w:p>
    <w:p w14:paraId="1654C89D">
      <w:pPr>
        <w:keepNext w:val="0"/>
        <w:keepLines w:val="0"/>
        <w:shd w:val="clear" w:color="auto" w:fill="auto"/>
        <w:bidi w:val="0"/>
        <w:spacing w:before="0" w:after="0" w:line="240" w:lineRule="auto"/>
        <w:ind w:left="0" w:right="0" w:firstLine="640" w:firstLineChars="200"/>
        <w:jc w:val="both"/>
        <w:rPr>
          <w:rFonts w:hint="eastAsia" w:ascii="仿宋_GB2312" w:hAnsi="仿宋_GB2312" w:eastAsia="仿宋_GB2312" w:cs="仿宋_GB2312"/>
          <w:b w:val="0"/>
          <w:bCs w:val="0"/>
          <w:color w:val="000000"/>
          <w:spacing w:val="0"/>
          <w:w w:val="100"/>
          <w:kern w:val="2"/>
          <w:position w:val="0"/>
          <w:sz w:val="32"/>
          <w:szCs w:val="32"/>
          <w:shd w:val="clear" w:color="auto" w:fill="auto"/>
          <w:lang w:val="en-US" w:eastAsia="zh-CN" w:bidi="ar-SA"/>
        </w:rPr>
      </w:pPr>
    </w:p>
    <w:p w14:paraId="30ACD2BC">
      <w:pPr>
        <w:keepNext w:val="0"/>
        <w:keepLines w:val="0"/>
        <w:shd w:val="clear" w:color="auto" w:fill="auto"/>
        <w:bidi w:val="0"/>
        <w:spacing w:before="0" w:after="0" w:line="240" w:lineRule="auto"/>
        <w:ind w:left="0" w:right="0" w:firstLine="640" w:firstLineChars="200"/>
        <w:jc w:val="right"/>
        <w:rPr>
          <w:rFonts w:hint="eastAsia" w:ascii="仿宋_GB2312" w:hAnsi="仿宋_GB2312" w:eastAsia="仿宋_GB2312" w:cs="仿宋_GB2312"/>
          <w:b w:val="0"/>
          <w:bCs w:val="0"/>
          <w:color w:val="000000"/>
          <w:spacing w:val="0"/>
          <w:w w:val="100"/>
          <w:kern w:val="2"/>
          <w:position w:val="0"/>
          <w:sz w:val="32"/>
          <w:szCs w:val="32"/>
          <w:shd w:val="clear" w:color="auto" w:fill="auto"/>
          <w:lang w:val="en-US" w:eastAsia="zh-CN" w:bidi="ar-SA"/>
        </w:rPr>
      </w:pPr>
    </w:p>
    <w:p w14:paraId="2AC990FA">
      <w:pPr>
        <w:keepNext w:val="0"/>
        <w:keepLines w:val="0"/>
        <w:shd w:val="clear" w:color="auto" w:fill="auto"/>
        <w:wordWrap w:val="0"/>
        <w:bidi w:val="0"/>
        <w:spacing w:before="0" w:after="0" w:line="240" w:lineRule="auto"/>
        <w:ind w:left="0" w:right="0" w:firstLine="640" w:firstLineChars="200"/>
        <w:jc w:val="right"/>
        <w:rPr>
          <w:rFonts w:hint="default" w:ascii="仿宋_GB2312" w:hAnsi="仿宋_GB2312" w:eastAsia="仿宋_GB2312" w:cs="仿宋_GB2312"/>
          <w:b w:val="0"/>
          <w:bCs w:val="0"/>
          <w:color w:val="000000"/>
          <w:spacing w:val="0"/>
          <w:w w:val="100"/>
          <w:kern w:val="2"/>
          <w:position w:val="0"/>
          <w:sz w:val="32"/>
          <w:szCs w:val="32"/>
          <w:shd w:val="clear" w:color="auto" w:fill="auto"/>
          <w:lang w:val="en-US" w:eastAsia="zh-CN" w:bidi="ar-SA"/>
        </w:rPr>
      </w:pPr>
      <w:r>
        <w:rPr>
          <w:rFonts w:hint="eastAsia" w:ascii="仿宋_GB2312" w:hAnsi="仿宋_GB2312" w:eastAsia="仿宋_GB2312" w:cs="仿宋_GB2312"/>
          <w:b w:val="0"/>
          <w:bCs w:val="0"/>
          <w:color w:val="000000"/>
          <w:spacing w:val="0"/>
          <w:w w:val="100"/>
          <w:kern w:val="2"/>
          <w:position w:val="0"/>
          <w:sz w:val="32"/>
          <w:szCs w:val="32"/>
          <w:shd w:val="clear" w:color="auto" w:fill="auto"/>
          <w:lang w:val="en-US" w:eastAsia="zh-CN" w:bidi="ar-SA"/>
        </w:rPr>
        <w:t xml:space="preserve">华容县农业农村局  </w:t>
      </w:r>
    </w:p>
    <w:p w14:paraId="10A92270">
      <w:pPr>
        <w:keepNext w:val="0"/>
        <w:keepLines w:val="0"/>
        <w:shd w:val="clear" w:color="auto" w:fill="auto"/>
        <w:bidi w:val="0"/>
        <w:spacing w:before="0" w:after="0" w:line="240" w:lineRule="auto"/>
        <w:ind w:left="0" w:right="0" w:firstLine="640" w:firstLineChars="200"/>
        <w:jc w:val="center"/>
        <w:rPr>
          <w:rFonts w:hint="eastAsia" w:ascii="方正小标宋_GBK" w:hAnsi="方正小标宋_GBK" w:eastAsia="方正小标宋_GBK" w:cs="方正小标宋_GBK"/>
          <w:b w:val="0"/>
          <w:bCs w:val="0"/>
          <w:color w:val="000000"/>
          <w:spacing w:val="0"/>
          <w:w w:val="100"/>
          <w:kern w:val="2"/>
          <w:position w:val="0"/>
          <w:sz w:val="44"/>
          <w:szCs w:val="44"/>
          <w:shd w:val="clear" w:color="auto" w:fill="auto"/>
          <w:lang w:val="en-US" w:eastAsia="zh-CN" w:bidi="ar-SA"/>
        </w:rPr>
      </w:pPr>
      <w:r>
        <w:rPr>
          <w:rFonts w:hint="eastAsia" w:ascii="仿宋_GB2312" w:hAnsi="仿宋_GB2312" w:eastAsia="仿宋_GB2312" w:cs="仿宋_GB2312"/>
          <w:b w:val="0"/>
          <w:bCs w:val="0"/>
          <w:color w:val="000000"/>
          <w:spacing w:val="0"/>
          <w:w w:val="100"/>
          <w:kern w:val="0"/>
          <w:position w:val="0"/>
          <w:sz w:val="32"/>
          <w:szCs w:val="32"/>
          <w:shd w:val="clear" w:color="auto" w:fill="auto"/>
          <w:lang w:val="en-US" w:eastAsia="zh-CN" w:bidi="ar-SA"/>
        </w:rPr>
        <w:t xml:space="preserve">                              </w:t>
      </w:r>
      <w:r>
        <w:rPr>
          <w:rFonts w:hint="eastAsia" w:ascii="仿宋_GB2312" w:hAnsi="仿宋_GB2312" w:eastAsia="仿宋_GB2312" w:cs="仿宋_GB2312"/>
          <w:b w:val="0"/>
          <w:bCs w:val="0"/>
          <w:color w:val="000000"/>
          <w:spacing w:val="5"/>
          <w:w w:val="100"/>
          <w:kern w:val="0"/>
          <w:position w:val="0"/>
          <w:sz w:val="32"/>
          <w:szCs w:val="32"/>
          <w:shd w:val="clear" w:color="auto" w:fill="auto"/>
          <w:fitText w:val="2560" w:id="1684690618"/>
          <w:lang w:val="en-US" w:eastAsia="zh-CN" w:bidi="ar-SA"/>
        </w:rPr>
        <w:t>2026年7月24</w:t>
      </w:r>
      <w:r>
        <w:rPr>
          <w:rFonts w:hint="eastAsia" w:ascii="仿宋_GB2312" w:hAnsi="仿宋_GB2312" w:eastAsia="仿宋_GB2312" w:cs="仿宋_GB2312"/>
          <w:b w:val="0"/>
          <w:bCs w:val="0"/>
          <w:color w:val="000000"/>
          <w:spacing w:val="6"/>
          <w:w w:val="100"/>
          <w:kern w:val="0"/>
          <w:position w:val="0"/>
          <w:sz w:val="32"/>
          <w:szCs w:val="32"/>
          <w:shd w:val="clear" w:color="auto" w:fill="auto"/>
          <w:fitText w:val="2560" w:id="1684690618"/>
          <w:lang w:val="en-US" w:eastAsia="zh-CN" w:bidi="ar-SA"/>
        </w:rPr>
        <w:t>日</w:t>
      </w:r>
      <w:r>
        <w:rPr>
          <w:rFonts w:hint="eastAsia" w:ascii="方正小标宋_GBK" w:hAnsi="方正小标宋_GBK" w:eastAsia="方正小标宋_GBK" w:cs="方正小标宋_GBK"/>
          <w:b w:val="0"/>
          <w:bCs w:val="0"/>
          <w:color w:val="000000"/>
          <w:spacing w:val="0"/>
          <w:w w:val="100"/>
          <w:kern w:val="2"/>
          <w:position w:val="0"/>
          <w:sz w:val="44"/>
          <w:szCs w:val="44"/>
          <w:shd w:val="clear" w:color="auto" w:fill="auto"/>
          <w:lang w:val="en-US" w:eastAsia="zh-CN" w:bidi="ar-SA"/>
        </w:rPr>
        <w:br w:type="page"/>
      </w:r>
    </w:p>
    <w:p w14:paraId="6D278820">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576" w:lineRule="exact"/>
        <w:ind w:left="0" w:right="0" w:firstLine="0"/>
        <w:jc w:val="center"/>
        <w:textAlignment w:val="auto"/>
        <w:rPr>
          <w:rFonts w:hint="eastAsia" w:ascii="方正小标宋_GBK" w:hAnsi="方正小标宋_GBK" w:eastAsia="方正小标宋_GBK" w:cs="方正小标宋_GBK"/>
          <w:b w:val="0"/>
          <w:bCs w:val="0"/>
          <w:color w:val="000000"/>
          <w:spacing w:val="0"/>
          <w:w w:val="100"/>
          <w:kern w:val="44"/>
          <w:position w:val="0"/>
          <w:sz w:val="44"/>
          <w:szCs w:val="44"/>
          <w:shd w:val="clear" w:color="auto" w:fill="auto"/>
          <w:lang w:val="en-US" w:eastAsia="zh-CN" w:bidi="ar"/>
        </w:rPr>
      </w:pPr>
      <w:r>
        <w:rPr>
          <w:rFonts w:hint="eastAsia" w:ascii="方正小标宋_GBK" w:hAnsi="方正小标宋_GBK" w:eastAsia="方正小标宋_GBK" w:cs="方正小标宋_GBK"/>
          <w:b w:val="0"/>
          <w:bCs w:val="0"/>
          <w:color w:val="000000"/>
          <w:spacing w:val="0"/>
          <w:w w:val="100"/>
          <w:kern w:val="44"/>
          <w:position w:val="0"/>
          <w:sz w:val="44"/>
          <w:szCs w:val="44"/>
          <w:shd w:val="clear" w:color="auto" w:fill="auto"/>
          <w:lang w:val="en-US" w:eastAsia="zh-CN" w:bidi="ar"/>
        </w:rPr>
        <w:t>华容县2026年高素质农民培育工作</w:t>
      </w:r>
    </w:p>
    <w:p w14:paraId="6B30B4D3">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576" w:lineRule="exact"/>
        <w:ind w:left="0" w:right="0" w:firstLine="0"/>
        <w:jc w:val="center"/>
        <w:textAlignment w:val="auto"/>
        <w:rPr>
          <w:rFonts w:hint="eastAsia" w:ascii="方正小标宋_GBK" w:hAnsi="方正小标宋_GBK" w:eastAsia="方正小标宋_GBK" w:cs="方正小标宋_GBK"/>
          <w:b w:val="0"/>
          <w:bCs w:val="0"/>
          <w:color w:val="000000"/>
          <w:spacing w:val="0"/>
          <w:w w:val="100"/>
          <w:kern w:val="44"/>
          <w:position w:val="0"/>
          <w:sz w:val="44"/>
          <w:szCs w:val="44"/>
          <w:shd w:val="clear" w:color="auto" w:fill="auto"/>
          <w:lang w:val="en-US" w:eastAsia="zh-CN" w:bidi="ar"/>
        </w:rPr>
      </w:pPr>
      <w:r>
        <w:rPr>
          <w:rFonts w:hint="eastAsia" w:ascii="方正小标宋_GBK" w:hAnsi="方正小标宋_GBK" w:eastAsia="方正小标宋_GBK" w:cs="方正小标宋_GBK"/>
          <w:b w:val="0"/>
          <w:bCs w:val="0"/>
          <w:color w:val="000000"/>
          <w:spacing w:val="0"/>
          <w:w w:val="100"/>
          <w:kern w:val="44"/>
          <w:position w:val="0"/>
          <w:sz w:val="44"/>
          <w:szCs w:val="44"/>
          <w:shd w:val="clear" w:color="auto" w:fill="auto"/>
          <w:lang w:val="en-US" w:eastAsia="zh-CN" w:bidi="ar"/>
        </w:rPr>
        <w:t>实施方案</w:t>
      </w:r>
    </w:p>
    <w:p w14:paraId="3DFBBA2E">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576" w:lineRule="exact"/>
        <w:ind w:left="0" w:right="0" w:firstLine="0"/>
        <w:jc w:val="left"/>
        <w:textAlignment w:val="auto"/>
        <w:rPr>
          <w:rFonts w:hint="eastAsia" w:ascii="方正公文小标宋" w:hAnsi="方正公文小标宋" w:eastAsia="方正公文小标宋" w:cs="方正公文小标宋"/>
          <w:b w:val="0"/>
          <w:bCs w:val="0"/>
          <w:color w:val="000000"/>
          <w:spacing w:val="0"/>
          <w:w w:val="100"/>
          <w:kern w:val="0"/>
          <w:position w:val="0"/>
          <w:sz w:val="32"/>
          <w:szCs w:val="32"/>
          <w:shd w:val="clear" w:color="auto" w:fill="auto"/>
          <w:lang w:val="en-US" w:eastAsia="zh-CN" w:bidi="ar"/>
        </w:rPr>
      </w:pPr>
    </w:p>
    <w:p w14:paraId="3BF81932">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beforeAutospacing="0" w:after="0" w:afterAutospacing="0" w:line="590" w:lineRule="exact"/>
        <w:ind w:left="0" w:right="0" w:firstLine="640" w:firstLineChars="200"/>
        <w:jc w:val="left"/>
        <w:textAlignment w:val="auto"/>
        <w:rPr>
          <w:rFonts w:hint="eastAsia" w:ascii="黑体" w:hAnsi="黑体" w:eastAsia="黑体" w:cs="黑体"/>
          <w:b w:val="0"/>
          <w:bCs w:val="0"/>
          <w:color w:val="000000"/>
          <w:spacing w:val="0"/>
          <w:w w:val="100"/>
          <w:kern w:val="0"/>
          <w:position w:val="0"/>
          <w:sz w:val="32"/>
          <w:szCs w:val="32"/>
          <w:shd w:val="clear" w:color="auto" w:fill="auto"/>
          <w:lang w:val="en-US" w:eastAsia="zh-CN" w:bidi="ar"/>
        </w:rPr>
      </w:pPr>
      <w:r>
        <w:rPr>
          <w:rFonts w:hint="eastAsia" w:ascii="黑体" w:hAnsi="黑体" w:eastAsia="黑体" w:cs="黑体"/>
          <w:b w:val="0"/>
          <w:bCs w:val="0"/>
          <w:color w:val="000000"/>
          <w:spacing w:val="0"/>
          <w:w w:val="100"/>
          <w:kern w:val="0"/>
          <w:position w:val="0"/>
          <w:sz w:val="32"/>
          <w:szCs w:val="32"/>
          <w:shd w:val="clear" w:color="auto" w:fill="auto"/>
          <w:lang w:val="en-US" w:eastAsia="zh-CN" w:bidi="ar"/>
        </w:rPr>
        <w:t>一、目标任务</w:t>
      </w:r>
    </w:p>
    <w:p w14:paraId="3B59C19F">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beforeAutospacing="0" w:after="0" w:afterAutospacing="0" w:line="590" w:lineRule="exact"/>
        <w:ind w:left="0" w:right="0" w:firstLine="640" w:firstLineChars="200"/>
        <w:jc w:val="left"/>
        <w:textAlignment w:val="auto"/>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pP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2026年，华容县计划开展高素质农民培育9期共450人，其中常规班7期共350人、专题班2期共100人。通过系统培育，提升本县农民在农业生产经营、乡村建设治理等方面的能力，为乡村振兴提供有力的人才支撑。</w:t>
      </w:r>
    </w:p>
    <w:p w14:paraId="64BF30C0">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beforeAutospacing="0" w:after="0" w:afterAutospacing="0" w:line="590" w:lineRule="exact"/>
        <w:ind w:left="0" w:right="0" w:firstLine="640" w:firstLineChars="200"/>
        <w:jc w:val="left"/>
        <w:textAlignment w:val="auto"/>
        <w:rPr>
          <w:rFonts w:hint="eastAsia" w:ascii="黑体" w:hAnsi="黑体" w:eastAsia="黑体" w:cs="黑体"/>
          <w:b w:val="0"/>
          <w:bCs w:val="0"/>
          <w:color w:val="000000"/>
          <w:spacing w:val="0"/>
          <w:w w:val="100"/>
          <w:kern w:val="0"/>
          <w:position w:val="0"/>
          <w:sz w:val="32"/>
          <w:szCs w:val="32"/>
          <w:shd w:val="clear" w:color="auto" w:fill="auto"/>
          <w:lang w:val="en-US" w:eastAsia="zh-CN" w:bidi="ar"/>
        </w:rPr>
      </w:pPr>
      <w:r>
        <w:rPr>
          <w:rFonts w:hint="eastAsia" w:ascii="黑体" w:hAnsi="黑体" w:eastAsia="黑体" w:cs="黑体"/>
          <w:b w:val="0"/>
          <w:bCs w:val="0"/>
          <w:color w:val="000000"/>
          <w:spacing w:val="0"/>
          <w:w w:val="100"/>
          <w:kern w:val="0"/>
          <w:position w:val="0"/>
          <w:sz w:val="32"/>
          <w:szCs w:val="32"/>
          <w:shd w:val="clear" w:color="auto" w:fill="auto"/>
          <w:lang w:val="en-US" w:eastAsia="zh-CN" w:bidi="ar"/>
        </w:rPr>
        <w:t>二、主要内容</w:t>
      </w:r>
    </w:p>
    <w:p w14:paraId="27F95798">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left"/>
        <w:textAlignment w:val="auto"/>
        <w:rPr>
          <w:rFonts w:hint="eastAsia" w:ascii="楷体_GB2312" w:hAnsi="楷体_GB2312" w:eastAsia="楷体_GB2312" w:cs="楷体_GB2312"/>
          <w:b/>
          <w:bCs/>
          <w:color w:val="000000"/>
          <w:spacing w:val="0"/>
          <w:w w:val="100"/>
          <w:kern w:val="0"/>
          <w:position w:val="0"/>
          <w:sz w:val="32"/>
          <w:szCs w:val="32"/>
          <w:shd w:val="clear" w:color="auto" w:fill="auto"/>
          <w:lang w:val="en-US" w:eastAsia="zh-CN" w:bidi="ar"/>
        </w:rPr>
      </w:pPr>
      <w:r>
        <w:rPr>
          <w:rFonts w:hint="eastAsia" w:ascii="楷体_GB2312" w:hAnsi="楷体_GB2312" w:eastAsia="楷体_GB2312" w:cs="楷体_GB2312"/>
          <w:b/>
          <w:bCs/>
          <w:color w:val="000000"/>
          <w:spacing w:val="0"/>
          <w:w w:val="100"/>
          <w:kern w:val="0"/>
          <w:position w:val="0"/>
          <w:sz w:val="32"/>
          <w:szCs w:val="32"/>
          <w:shd w:val="clear" w:color="auto" w:fill="auto"/>
          <w:lang w:val="en-US" w:eastAsia="zh-CN" w:bidi="ar"/>
        </w:rPr>
        <w:t>（一）粮油和重要农产品生产经营主体提升工程</w:t>
      </w:r>
    </w:p>
    <w:p w14:paraId="2ADCF83D">
      <w:pPr>
        <w:keepNext w:val="0"/>
        <w:keepLines w:val="0"/>
        <w:pageBreakBefore w:val="0"/>
        <w:widowControl w:val="0"/>
        <w:numPr>
          <w:ilvl w:val="0"/>
          <w:numId w:val="0"/>
        </w:numPr>
        <w:suppressLineNumbers w:val="0"/>
        <w:pBdr>
          <w:left w:val="none" w:color="auto" w:sz="0" w:space="0"/>
        </w:pBdr>
        <w:shd w:val="clear" w:color="auto" w:fill="auto"/>
        <w:kinsoku/>
        <w:wordWrap/>
        <w:overflowPunct/>
        <w:topLinePunct/>
        <w:autoSpaceDE w:val="0"/>
        <w:autoSpaceDN/>
        <w:bidi w:val="0"/>
        <w:adjustRightInd/>
        <w:snapToGrid/>
        <w:spacing w:before="0" w:beforeAutospacing="0" w:after="0" w:afterAutospacing="0" w:line="590" w:lineRule="exact"/>
        <w:ind w:left="0" w:leftChars="0" w:right="0" w:firstLine="643" w:firstLineChars="200"/>
        <w:jc w:val="both"/>
        <w:textAlignment w:val="auto"/>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val="en-US" w:eastAsia="zh-CN" w:bidi="ar-SA"/>
        </w:rPr>
        <w:t>1.粮油</w:t>
      </w: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产能提升主体培育</w:t>
      </w:r>
    </w:p>
    <w:p w14:paraId="25745238">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left"/>
        <w:textAlignment w:val="auto"/>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（1）开展</w:t>
      </w: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主要粮油作物春季管理和春耕备耕培训班</w:t>
      </w:r>
      <w:r>
        <w:rPr>
          <w:rFonts w:hint="eastAsia" w:ascii="仿宋_GB2312" w:hAnsi="仿宋_GB2312" w:eastAsia="仿宋_GB2312" w:cs="仿宋_GB2312"/>
          <w:b/>
          <w:bCs/>
          <w:color w:val="000000"/>
          <w:spacing w:val="0"/>
          <w:w w:val="100"/>
          <w:kern w:val="2"/>
          <w:position w:val="0"/>
          <w:sz w:val="32"/>
          <w:szCs w:val="32"/>
          <w:shd w:val="clear" w:color="auto" w:fill="auto"/>
          <w:lang w:val="en-US" w:eastAsia="zh-CN" w:bidi="ar-SA"/>
        </w:rPr>
        <w:t>1期共50人。</w:t>
      </w:r>
    </w:p>
    <w:p w14:paraId="52D5988B">
      <w:pPr>
        <w:keepNext w:val="0"/>
        <w:keepLines w:val="0"/>
        <w:pageBreakBefore w:val="0"/>
        <w:widowControl w:val="0"/>
        <w:numPr>
          <w:ilvl w:val="0"/>
          <w:numId w:val="0"/>
        </w:numPr>
        <w:suppressLineNumbers w:val="0"/>
        <w:pBdr>
          <w:left w:val="none" w:color="auto" w:sz="0" w:space="0"/>
        </w:pBdr>
        <w:shd w:val="clear" w:color="auto" w:fill="auto"/>
        <w:kinsoku/>
        <w:wordWrap/>
        <w:overflowPunct/>
        <w:topLinePunct/>
        <w:autoSpaceDE w:val="0"/>
        <w:autoSpaceDN/>
        <w:bidi w:val="0"/>
        <w:adjustRightInd/>
        <w:snapToGrid/>
        <w:spacing w:before="0" w:beforeAutospacing="0" w:after="0" w:afterAutospacing="0" w:line="590" w:lineRule="exact"/>
        <w:ind w:left="0" w:leftChars="0" w:right="0" w:firstLine="643" w:firstLineChars="200"/>
        <w:jc w:val="both"/>
        <w:textAlignment w:val="auto"/>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培训对象</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：水稻种植大户，</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种植专业</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合作社</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负责人</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各类新型农业经营</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主体。</w:t>
      </w:r>
    </w:p>
    <w:p w14:paraId="1CD76D5F">
      <w:pPr>
        <w:keepNext w:val="0"/>
        <w:keepLines w:val="0"/>
        <w:pageBreakBefore w:val="0"/>
        <w:widowControl w:val="0"/>
        <w:numPr>
          <w:ilvl w:val="0"/>
          <w:numId w:val="0"/>
        </w:numPr>
        <w:shd w:val="clear" w:color="auto" w:fill="auto"/>
        <w:kinsoku/>
        <w:wordWrap/>
        <w:overflowPunct/>
        <w:topLinePunct/>
        <w:autoSpaceDE w:val="0"/>
        <w:autoSpaceDN/>
        <w:bidi w:val="0"/>
        <w:adjustRightInd/>
        <w:snapToGrid/>
        <w:spacing w:before="0" w:after="0" w:line="590" w:lineRule="exact"/>
        <w:ind w:left="420" w:leftChars="0" w:right="0" w:firstLine="643" w:firstLineChars="200"/>
        <w:jc w:val="both"/>
        <w:textAlignment w:val="auto"/>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val="en-US" w:eastAsia="zh-CN" w:bidi="ar-SA"/>
        </w:rPr>
        <w:t>课程设计要求：</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深入解读2026年中央一号文件，以及国家和地方层面关于粮食生产的扶持政策，同时剖析农业农村发展面临的新形势与新任务；详细介绍春耕备耕技术，涵盖春耕整地、种子处理、化肥农药科学使用、农机具操作与维护等多个方面；阐述当前水稻病虫防治对策，讲解农作物病虫害绿色防控的理念、技术和方法，推广生物防治、物理防治等绿色防控措施；介绍水稻机插机抛技术，包括水稻农机具的特点、性能、使用方法以及农机农艺融合技术；学习水稻物理提质增效技术，即通过光照调控技术和温度调控技术来提高水稻质量和产量；此外，还会分享各地在春季管理和春耕备耕方面的成功经验与典型案例。</w:t>
      </w:r>
    </w:p>
    <w:p w14:paraId="778F43AC">
      <w:pPr>
        <w:keepNext w:val="0"/>
        <w:keepLines w:val="0"/>
        <w:pageBreakBefore w:val="0"/>
        <w:widowControl w:val="0"/>
        <w:numPr>
          <w:ilvl w:val="0"/>
          <w:numId w:val="0"/>
        </w:numPr>
        <w:suppressLineNumbers w:val="0"/>
        <w:pBdr>
          <w:left w:val="none" w:color="auto" w:sz="0" w:space="0"/>
        </w:pBdr>
        <w:shd w:val="clear" w:color="auto" w:fill="auto"/>
        <w:kinsoku/>
        <w:wordWrap/>
        <w:overflowPunct/>
        <w:topLinePunct/>
        <w:autoSpaceDE w:val="0"/>
        <w:autoSpaceDN/>
        <w:bidi w:val="0"/>
        <w:adjustRightInd/>
        <w:snapToGrid/>
        <w:spacing w:before="0" w:beforeAutospacing="0" w:after="0" w:afterAutospacing="0" w:line="590" w:lineRule="exact"/>
        <w:ind w:left="0" w:leftChars="0" w:right="0" w:firstLine="643" w:firstLineChars="200"/>
        <w:jc w:val="both"/>
        <w:textAlignment w:val="auto"/>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预期效果</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：通过理论结合实操的培训模式，帮助学员全面掌握早稻春季管理技术</w:t>
      </w:r>
      <w:r>
        <w:rPr>
          <w:rFonts w:hint="eastAsia" w:ascii="仿宋_GB2312" w:hAnsi="仿宋_GB2312" w:eastAsia="仿宋_GB2312" w:cs="仿宋_GB2312"/>
          <w:b w:val="0"/>
          <w:bCs w:val="0"/>
          <w:color w:val="000000"/>
          <w:spacing w:val="0"/>
          <w:w w:val="100"/>
          <w:kern w:val="2"/>
          <w:position w:val="0"/>
          <w:sz w:val="32"/>
          <w:szCs w:val="32"/>
          <w:shd w:val="clear" w:color="auto" w:fill="auto"/>
          <w:lang w:val="en-US" w:eastAsia="zh-CN" w:bidi="ar-SA"/>
        </w:rPr>
        <w:t>和机械化作业技能，提高水稻种植效率与产量，</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提升实际生产中的问题解决能力，</w:t>
      </w:r>
      <w:r>
        <w:rPr>
          <w:rFonts w:hint="eastAsia" w:ascii="仿宋_GB2312" w:hAnsi="仿宋_GB2312" w:eastAsia="仿宋_GB2312" w:cs="仿宋_GB2312"/>
          <w:b w:val="0"/>
          <w:bCs w:val="0"/>
          <w:color w:val="000000"/>
          <w:spacing w:val="0"/>
          <w:w w:val="100"/>
          <w:kern w:val="2"/>
          <w:position w:val="0"/>
          <w:sz w:val="32"/>
          <w:szCs w:val="32"/>
          <w:shd w:val="clear" w:color="auto" w:fill="auto"/>
          <w:lang w:val="en-US" w:eastAsia="zh-CN" w:bidi="ar-SA"/>
        </w:rPr>
        <w:t>助力农业现代化发展</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w:t>
      </w:r>
    </w:p>
    <w:p w14:paraId="21F0E588">
      <w:pPr>
        <w:keepNext w:val="0"/>
        <w:keepLines w:val="0"/>
        <w:pageBreakBefore w:val="0"/>
        <w:widowControl w:val="0"/>
        <w:numPr>
          <w:ilvl w:val="0"/>
          <w:numId w:val="0"/>
        </w:numPr>
        <w:suppressLineNumbers w:val="0"/>
        <w:pBdr>
          <w:left w:val="none" w:color="auto" w:sz="0" w:space="0"/>
        </w:pBdr>
        <w:shd w:val="clear" w:color="auto" w:fill="auto"/>
        <w:kinsoku/>
        <w:wordWrap/>
        <w:overflowPunct/>
        <w:topLinePunct/>
        <w:autoSpaceDE w:val="0"/>
        <w:autoSpaceDN/>
        <w:bidi w:val="0"/>
        <w:adjustRightInd/>
        <w:snapToGrid/>
        <w:spacing w:before="0" w:beforeAutospacing="0" w:after="0" w:afterAutospacing="0" w:line="590" w:lineRule="exact"/>
        <w:ind w:left="0" w:leftChars="0" w:right="0" w:firstLine="643" w:firstLineChars="200"/>
        <w:jc w:val="both"/>
        <w:textAlignment w:val="auto"/>
        <w:rPr>
          <w:rFonts w:hint="eastAsia" w:ascii="仿宋_GB2312" w:hAnsi="仿宋_GB2312" w:eastAsia="仿宋_GB2312" w:cs="仿宋_GB2312"/>
          <w:b/>
          <w:bCs/>
          <w:color w:val="000000"/>
          <w:spacing w:val="0"/>
          <w:w w:val="100"/>
          <w:kern w:val="2"/>
          <w:position w:val="0"/>
          <w:sz w:val="32"/>
          <w:szCs w:val="32"/>
          <w:shd w:val="clear" w:color="auto" w:fill="auto"/>
          <w:lang w:val="en-US"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w:t>
      </w:r>
      <w:r>
        <w:rPr>
          <w:rFonts w:hint="eastAsia" w:ascii="仿宋_GB2312" w:hAnsi="仿宋_GB2312" w:eastAsia="仿宋_GB2312" w:cs="仿宋_GB2312"/>
          <w:b/>
          <w:bCs/>
          <w:color w:val="000000"/>
          <w:spacing w:val="0"/>
          <w:w w:val="100"/>
          <w:kern w:val="2"/>
          <w:position w:val="0"/>
          <w:sz w:val="32"/>
          <w:szCs w:val="32"/>
          <w:shd w:val="clear" w:color="auto" w:fill="auto"/>
          <w:lang w:val="en-US" w:eastAsia="zh-CN" w:bidi="ar-SA"/>
        </w:rPr>
        <w:t>2</w:t>
      </w: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w:t>
      </w:r>
      <w:r>
        <w:rPr>
          <w:rFonts w:hint="eastAsia" w:ascii="仿宋_GB2312" w:hAnsi="仿宋_GB2312" w:eastAsia="仿宋_GB2312" w:cs="仿宋_GB2312"/>
          <w:b/>
          <w:bCs/>
          <w:color w:val="000000"/>
          <w:spacing w:val="0"/>
          <w:w w:val="100"/>
          <w:kern w:val="2"/>
          <w:position w:val="0"/>
          <w:sz w:val="32"/>
          <w:szCs w:val="32"/>
          <w:shd w:val="clear" w:color="auto" w:fill="auto"/>
          <w:lang w:val="en-US" w:eastAsia="zh-CN" w:bidi="ar-SA"/>
        </w:rPr>
        <w:t>开展水稻</w:t>
      </w: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产能提升主体培育</w:t>
      </w:r>
      <w:r>
        <w:rPr>
          <w:rFonts w:hint="eastAsia" w:ascii="仿宋_GB2312" w:hAnsi="仿宋_GB2312" w:eastAsia="仿宋_GB2312" w:cs="仿宋_GB2312"/>
          <w:b/>
          <w:bCs/>
          <w:color w:val="000000"/>
          <w:spacing w:val="0"/>
          <w:w w:val="100"/>
          <w:kern w:val="2"/>
          <w:position w:val="0"/>
          <w:sz w:val="32"/>
          <w:szCs w:val="32"/>
          <w:shd w:val="clear" w:color="auto" w:fill="auto"/>
          <w:lang w:val="en-US" w:eastAsia="zh-CN" w:bidi="ar-SA"/>
        </w:rPr>
        <w:t>培训班3期共150人。</w:t>
      </w:r>
    </w:p>
    <w:p w14:paraId="57DB5A55">
      <w:pPr>
        <w:keepNext w:val="0"/>
        <w:keepLines w:val="0"/>
        <w:pageBreakBefore w:val="0"/>
        <w:widowControl w:val="0"/>
        <w:numPr>
          <w:ilvl w:val="0"/>
          <w:numId w:val="0"/>
        </w:numPr>
        <w:suppressLineNumbers w:val="0"/>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培训对象</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：水稻种植大户，</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水稻</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种植合作社带头人，家庭农场主等从事</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水稻</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规模化生产的主体。​</w:t>
      </w:r>
    </w:p>
    <w:p w14:paraId="13117C41">
      <w:pPr>
        <w:keepNext w:val="0"/>
        <w:keepLines w:val="0"/>
        <w:pageBreakBefore w:val="0"/>
        <w:widowControl w:val="0"/>
        <w:numPr>
          <w:ilvl w:val="0"/>
          <w:numId w:val="0"/>
        </w:numPr>
        <w:suppressLineNumbers w:val="0"/>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left"/>
        <w:textAlignment w:val="auto"/>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课程设计要求：</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围绕单产提升目标，开展全产业链关键技术培训，</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分区域、分品种、分技术确定培训内容，联合种植管理部门遴选培训对象，分品种组班、分技术授课、分阶段培训。</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重点普及水肥一体化精准灌溉技术，</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安排“四良”融合技术专题</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课</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，解析优良品种特性、良法栽培要点、良壤培育方法及良机应用技巧。组织到先进粮油示范基地观摩水肥一体化精准灌溉技术，展示水肥一体化技术在节水节肥、提质增产中的实践成效。</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开展水稻</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全程机械化生产流程、高产栽培等</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技术实训，</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提升</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学员</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的技术实操水平。</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 xml:space="preserve">  </w:t>
      </w:r>
    </w:p>
    <w:p w14:paraId="356F0423">
      <w:pPr>
        <w:keepNext w:val="0"/>
        <w:keepLines w:val="0"/>
        <w:pageBreakBefore w:val="0"/>
        <w:widowControl w:val="0"/>
        <w:numPr>
          <w:ilvl w:val="0"/>
          <w:numId w:val="0"/>
        </w:numPr>
        <w:suppressLineNumbers w:val="0"/>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left"/>
        <w:textAlignment w:val="auto"/>
        <w:rPr>
          <w:rFonts w:hint="eastAsia" w:ascii="仿宋_GB2312" w:hAnsi="仿宋_GB2312" w:eastAsia="仿宋_GB2312" w:cs="仿宋_GB2312"/>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预期效果</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：全面了解“四良”融合技术，在生产中能科学运用，降低生产成本，提高</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水稻</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品质与市场竞争力。学员</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熟悉</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水肥一体化精准灌溉技术，实现节水节肥，粮</w:t>
      </w:r>
      <w:r>
        <w:rPr>
          <w:rFonts w:hint="eastAsia" w:ascii="仿宋_GB2312" w:hAnsi="仿宋_GB2312" w:eastAsia="仿宋_GB2312" w:cs="仿宋_GB2312"/>
          <w:color w:val="000000"/>
          <w:spacing w:val="0"/>
          <w:w w:val="100"/>
          <w:kern w:val="2"/>
          <w:position w:val="0"/>
          <w:sz w:val="32"/>
          <w:szCs w:val="32"/>
          <w:shd w:val="clear" w:color="auto" w:fill="auto"/>
          <w:lang w:eastAsia="zh" w:bidi="ar-SA"/>
        </w:rPr>
        <w:t>食</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单产提升10%。</w:t>
      </w:r>
    </w:p>
    <w:p w14:paraId="54E0B78C">
      <w:pPr>
        <w:keepNext w:val="0"/>
        <w:keepLines w:val="0"/>
        <w:pageBreakBefore w:val="0"/>
        <w:widowControl w:val="0"/>
        <w:numPr>
          <w:ilvl w:val="0"/>
          <w:numId w:val="0"/>
        </w:numPr>
        <w:suppressLineNumbers w:val="0"/>
        <w:pBdr>
          <w:left w:val="none" w:color="auto" w:sz="0" w:space="0"/>
        </w:pBdr>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（3）开展大豆产能提升主体培育培训班1期共50人</w:t>
      </w:r>
    </w:p>
    <w:p w14:paraId="3D2E31B4">
      <w:pPr>
        <w:keepNext w:val="0"/>
        <w:keepLines w:val="0"/>
        <w:pageBreakBefore w:val="0"/>
        <w:widowControl w:val="0"/>
        <w:numPr>
          <w:ilvl w:val="0"/>
          <w:numId w:val="0"/>
        </w:numPr>
        <w:suppressLineNumbers w:val="0"/>
        <w:pBdr>
          <w:left w:val="none" w:color="auto" w:sz="0" w:space="0"/>
        </w:pBdr>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b w:val="0"/>
          <w:bCs w:val="0"/>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培训对象：</w:t>
      </w:r>
      <w:r>
        <w:rPr>
          <w:rFonts w:hint="eastAsia" w:ascii="仿宋_GB2312" w:hAnsi="仿宋_GB2312" w:eastAsia="仿宋_GB2312" w:cs="仿宋_GB2312"/>
          <w:b w:val="0"/>
          <w:bCs w:val="0"/>
          <w:color w:val="000000"/>
          <w:spacing w:val="0"/>
          <w:w w:val="100"/>
          <w:kern w:val="2"/>
          <w:position w:val="0"/>
          <w:sz w:val="32"/>
          <w:szCs w:val="32"/>
          <w:shd w:val="clear" w:color="auto" w:fill="auto"/>
          <w:lang w:eastAsia="zh-CN" w:bidi="ar-SA"/>
        </w:rPr>
        <w:t>华容县大豆种植大户、大豆种植合作社带头人、家庭农场主等从事大豆规模化生产的经营主体。​</w:t>
      </w:r>
    </w:p>
    <w:p w14:paraId="5254CFA8">
      <w:pPr>
        <w:keepNext w:val="0"/>
        <w:keepLines w:val="0"/>
        <w:pageBreakBefore w:val="0"/>
        <w:widowControl w:val="0"/>
        <w:numPr>
          <w:ilvl w:val="0"/>
          <w:numId w:val="0"/>
        </w:numPr>
        <w:suppressLineNumbers w:val="0"/>
        <w:pBdr>
          <w:left w:val="none" w:color="auto" w:sz="0" w:space="0"/>
        </w:pBdr>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b w:val="0"/>
          <w:bCs w:val="0"/>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课程设计要求：</w:t>
      </w:r>
      <w:r>
        <w:rPr>
          <w:rFonts w:hint="eastAsia" w:ascii="仿宋_GB2312" w:hAnsi="仿宋_GB2312" w:eastAsia="仿宋_GB2312" w:cs="仿宋_GB2312"/>
          <w:b w:val="0"/>
          <w:bCs w:val="0"/>
          <w:color w:val="000000"/>
          <w:spacing w:val="0"/>
          <w:w w:val="100"/>
          <w:kern w:val="2"/>
          <w:position w:val="0"/>
          <w:sz w:val="32"/>
          <w:szCs w:val="32"/>
          <w:shd w:val="clear" w:color="auto" w:fill="auto"/>
          <w:lang w:eastAsia="zh-CN" w:bidi="ar-SA"/>
        </w:rPr>
        <w:t xml:space="preserve">围绕大豆单产提升核心目标，紧密结合华容县大豆主产区的土壤特性、气候条件及品种特点，聚焦大豆全产业链关键技术环节，通过“理论授课+现场观摩+实操实训”相结合的方式，系统提升参训主体的大豆标准化、科学化种植水平。讲解本地良种抗逆性、丰产性；多湿环境良法（排涝、密植、病虫害防控）；稻豆轮作轻简化栽培及施肥：稻田改豆良壤培育（秸秆还田、测土调酸）；湖区良机选型与维护。普及免耕直播、种肥同播等轻简技术；讲授大豆需肥规律及测土配方施肥、根瘤菌肥应用等精准施肥方法。组织参观优质大豆示范基地，实地学习稻豆轮作轻简化栽培及施肥技术成效。开展大豆机械化播种、收割实操，及苗期管理、病虫害防治等高产栽培实训。  </w:t>
      </w:r>
    </w:p>
    <w:p w14:paraId="369D78A0">
      <w:pPr>
        <w:keepNext w:val="0"/>
        <w:keepLines w:val="0"/>
        <w:pageBreakBefore w:val="0"/>
        <w:widowControl w:val="0"/>
        <w:numPr>
          <w:ilvl w:val="0"/>
          <w:numId w:val="0"/>
        </w:numPr>
        <w:suppressLineNumbers w:val="0"/>
        <w:pBdr>
          <w:left w:val="none" w:color="auto" w:sz="0" w:space="0"/>
        </w:pBdr>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预期效果：</w:t>
      </w:r>
      <w:r>
        <w:rPr>
          <w:rFonts w:hint="eastAsia" w:ascii="仿宋_GB2312" w:hAnsi="仿宋_GB2312" w:eastAsia="仿宋_GB2312" w:cs="仿宋_GB2312"/>
          <w:b w:val="0"/>
          <w:bCs w:val="0"/>
          <w:color w:val="000000"/>
          <w:spacing w:val="0"/>
          <w:w w:val="100"/>
          <w:kern w:val="2"/>
          <w:position w:val="0"/>
          <w:sz w:val="32"/>
          <w:szCs w:val="32"/>
          <w:shd w:val="clear" w:color="auto" w:fill="auto"/>
          <w:lang w:eastAsia="zh-CN" w:bidi="ar-SA"/>
        </w:rPr>
        <w:t>全面了解“四良”融合技术在华容县大豆生产中的应用要点，在生产中能结合本地实际科学运用，降低生产成本，提高大豆品质与市场竞争力。学员熟练应用稻豆轮作轻简化栽培及施肥技术，实现节本提质。</w:t>
      </w:r>
    </w:p>
    <w:p w14:paraId="2FD78942">
      <w:pPr>
        <w:keepNext w:val="0"/>
        <w:keepLines w:val="0"/>
        <w:pageBreakBefore w:val="0"/>
        <w:widowControl w:val="0"/>
        <w:numPr>
          <w:ilvl w:val="0"/>
          <w:numId w:val="0"/>
        </w:numPr>
        <w:suppressLineNumbers w:val="0"/>
        <w:pBdr>
          <w:left w:val="none" w:color="auto" w:sz="0" w:space="0"/>
        </w:pBdr>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val="en-US" w:eastAsia="zh-CN" w:bidi="ar-SA"/>
        </w:rPr>
        <w:t>2.</w:t>
      </w: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重要农产品生产经营主体能力提升培育</w:t>
      </w:r>
    </w:p>
    <w:p w14:paraId="475340BD">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default" w:ascii="仿宋_GB2312" w:hAnsi="仿宋_GB2312" w:eastAsia="仿宋_GB2312" w:cs="仿宋_GB2312"/>
          <w:color w:val="000000"/>
          <w:spacing w:val="0"/>
          <w:w w:val="100"/>
          <w:kern w:val="2"/>
          <w:position w:val="0"/>
          <w:sz w:val="32"/>
          <w:szCs w:val="32"/>
          <w:shd w:val="clear" w:color="auto" w:fill="auto"/>
          <w:lang w:val="en-US" w:eastAsia="zh-CN" w:bidi="ar-SA"/>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开展华容县芥菜生产经营主体能力提升培训班1期共50人。</w:t>
      </w:r>
    </w:p>
    <w:p w14:paraId="234CA5E0">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培训对象：</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华容县芥菜种植大户、芥菜种植合作社技术骨干、家庭农场主及从事芥菜产地初加工的经营主体负责人等。</w:t>
      </w:r>
    </w:p>
    <w:p w14:paraId="637E421C">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eastAsia" w:ascii="仿宋_GB2312" w:hAnsi="仿宋_GB2312" w:eastAsia="仿宋_GB2312" w:cs="仿宋_GB2312"/>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课程设计要求：</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以强化“产-加”衔接能力为核心，围绕标准化种植技术与品质提升、产地初加工关键环节，结合华容县芥菜主产区土壤质地、气候特征及主流加工需求（腌制、鲜食），分品种类型（加工专用型、鲜食型）、分技术模块、分加工场景确定培训内容，按“种植+加工”复合需求组班，分阶段开展理论授课与实操实训。重点讲解本地优良品种的选育特性与适配性，传授高效栽培技术（如起垄覆膜栽培、合理密植、节水灌溉模式），系统培训病虫害绿色防控技术（如性诱剂诱杀小菜蛾、生物农药应用、轮作倒茬避害措施）。解析影响芥菜腌制品质的关键农艺措施（如采收期调控、氮肥精准施用），介绍产地鲜度保持技术（如采后快速预冷、分级整理标准）。产地初加工技术，涵盖清洗、切割、腌制等初加工环节的标准化操作流程，示范小型智能化加工设备（如自动清洗机、控温腌制池）的使用与维护，重点强化“采收标准-加工需求”的匹配技巧（如加工专用品种的盐渍工艺参数）。</w:t>
      </w:r>
    </w:p>
    <w:p w14:paraId="5CEEB868">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eastAsia" w:ascii="仿宋_GB2312" w:hAnsi="仿宋_GB2312" w:eastAsia="仿宋_GB2312" w:cs="仿宋_GB2312"/>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实践安排：</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组织学员赴华容县芥菜标准化种植示范基地现场观摩品种对比试验田与高效栽培示范区，直观学习优良品种的生长表现及标准化栽培技术落地效果；前往产地初加工示范站点，实地演练“鲜菜分级-清洗-腌制”全流程衔接操作，展示不同初加工工艺对后续产品品质的影响。​</w:t>
      </w:r>
    </w:p>
    <w:p w14:paraId="5E599BA2">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预期效果：</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学员全面掌握华容县芥菜标准化种植技术（品种选育适配性、高效栽培要点、绿色防控实操方法），能精准应用品质提升关键措施；熟练掌握产地初加工标准化流程，“产-加”衔接的匹配度显著提高，原料损耗率降低；通过标准化种植与初加工协同，芥菜产品优质品率提升，为后续精深加工奠定坚实基础，增强市场竞争力。</w:t>
      </w:r>
    </w:p>
    <w:p w14:paraId="69231B49">
      <w:pPr>
        <w:keepNext w:val="0"/>
        <w:keepLines w:val="0"/>
        <w:pageBreakBefore w:val="0"/>
        <w:widowControl w:val="0"/>
        <w:numPr>
          <w:ilvl w:val="0"/>
          <w:numId w:val="0"/>
        </w:numPr>
        <w:suppressLineNumbers w:val="0"/>
        <w:pBdr>
          <w:left w:val="none" w:color="auto" w:sz="0" w:space="0"/>
        </w:pBdr>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val="en-US" w:eastAsia="zh-CN" w:bidi="ar-SA"/>
        </w:rPr>
        <w:t>3.</w:t>
      </w: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农机手技能提升专题培训</w:t>
      </w:r>
    </w:p>
    <w:p w14:paraId="69F7B937">
      <w:pPr>
        <w:keepNext w:val="0"/>
        <w:keepLines w:val="0"/>
        <w:pageBreakBefore w:val="0"/>
        <w:widowControl w:val="0"/>
        <w:numPr>
          <w:ilvl w:val="0"/>
          <w:numId w:val="0"/>
        </w:numPr>
        <w:suppressLineNumbers w:val="0"/>
        <w:pBdr>
          <w:left w:val="none" w:color="auto" w:sz="0" w:space="0"/>
        </w:pBdr>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开展华容县农机手技能提升专题培训班1期共50 人</w:t>
      </w:r>
    </w:p>
    <w:p w14:paraId="29DB5564">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eastAsia" w:ascii="仿宋_GB2312" w:hAnsi="仿宋_GB2312" w:eastAsia="仿宋_GB2312" w:cs="仿宋_GB2312"/>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培训对象：</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华容县</w:t>
      </w:r>
      <w:r>
        <w:rPr>
          <w:rFonts w:hint="eastAsia" w:ascii="仿宋_GB2312" w:hAnsi="仿宋_GB2312" w:eastAsia="仿宋_GB2312" w:cs="仿宋_GB2312"/>
          <w:color w:val="000000"/>
          <w:spacing w:val="0"/>
          <w:w w:val="100"/>
          <w:kern w:val="0"/>
          <w:position w:val="0"/>
          <w:sz w:val="32"/>
          <w:szCs w:val="32"/>
          <w:shd w:val="clear" w:color="auto" w:fill="auto"/>
          <w:lang w:val="en-US" w:eastAsia="zh" w:bidi="ar"/>
        </w:rPr>
        <w:t>从事水稻机械化作业的</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专业农机手、农机大户、农机作业服务组织带头人，重点覆盖从事水稻、油菜等粮油作物机械化作业的从业者。</w:t>
      </w:r>
    </w:p>
    <w:p w14:paraId="0864522F">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eastAsia" w:ascii="仿宋_GB2312" w:hAnsi="仿宋_GB2312" w:eastAsia="仿宋_GB2312" w:cs="仿宋_GB2312"/>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课程设计要求：</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围绕水稻机械化全程高质量发展，结合华容县水稻主产区特点，以“理论教学+实操实训+作业演练” 模式，分层分类培训。​</w:t>
      </w:r>
    </w:p>
    <w:p w14:paraId="4782AF17">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0" w:firstLineChars="200"/>
        <w:jc w:val="left"/>
        <w:textAlignment w:val="auto"/>
        <w:rPr>
          <w:rFonts w:hint="eastAsia" w:ascii="仿宋_GB2312" w:hAnsi="仿宋_GB2312" w:eastAsia="仿宋_GB2312" w:cs="仿宋_GB2312"/>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核心内容：主攻水稻耕种管收全流程机械化，包括“机插+机抛”种植模式下的机械化移栽（秧苗适应性调控、机抛密度优化）、机收减损（收割参数调试、倒伏田块收割路径选择）；高效飞防植保（湖区多雾高湿环境下无人机航线规划、针对纹枯病的药剂配比）；农机抗灾救灾（汛期稻田排涝机械操作、旱期灌溉设备应用）；低空经济场景拓展（水稻生长态势遥感监测、农资运输）。同时培训农机安全生产规范、插秧机维护、作业组织管理等。​</w:t>
      </w:r>
    </w:p>
    <w:p w14:paraId="2D643CA8">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eastAsia" w:ascii="仿宋_GB2312" w:hAnsi="仿宋_GB2312" w:eastAsia="仿宋_GB2312" w:cs="仿宋_GB2312"/>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实践安排：</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在示范基地进行田间实操考核，演练水稻机插与机收减损，比拼不同倒伏程度田块的收割损失率；开展飞防模拟竞赛，考核复杂地形下无人机作业效果。</w:t>
      </w:r>
    </w:p>
    <w:p w14:paraId="0C7363F1">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default" w:ascii="Times New Roman" w:hAnsi="Times New Roman" w:eastAsia="仿宋_GB2312" w:cs="Times New Roman"/>
          <w:color w:val="000000"/>
          <w:spacing w:val="0"/>
          <w:w w:val="100"/>
          <w:kern w:val="0"/>
          <w:position w:val="0"/>
          <w:sz w:val="32"/>
          <w:szCs w:val="32"/>
          <w:shd w:val="clear" w:color="auto" w:fill="auto"/>
          <w:lang w:val="en-US" w:eastAsia="zh-CN" w:bidi="ar"/>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预期效果：</w:t>
      </w:r>
      <w:r>
        <w:rPr>
          <w:rFonts w:hint="default" w:ascii="Times New Roman" w:hAnsi="Times New Roman" w:eastAsia="仿宋_GB2312" w:cs="Times New Roman"/>
          <w:color w:val="000000"/>
          <w:spacing w:val="0"/>
          <w:w w:val="100"/>
          <w:kern w:val="0"/>
          <w:position w:val="0"/>
          <w:sz w:val="32"/>
          <w:szCs w:val="32"/>
          <w:shd w:val="clear" w:color="auto" w:fill="auto"/>
          <w:lang w:val="en-US" w:eastAsia="zh-CN" w:bidi="ar"/>
        </w:rPr>
        <w:t>学员全面掌握华容县</w:t>
      </w:r>
      <w:r>
        <w:rPr>
          <w:rFonts w:hint="eastAsia" w:ascii="Times New Roman" w:hAnsi="Times New Roman" w:eastAsia="仿宋_GB2312" w:cs="Times New Roman"/>
          <w:color w:val="000000"/>
          <w:spacing w:val="0"/>
          <w:w w:val="100"/>
          <w:kern w:val="0"/>
          <w:position w:val="0"/>
          <w:sz w:val="32"/>
          <w:szCs w:val="32"/>
          <w:shd w:val="clear" w:color="auto" w:fill="auto"/>
          <w:lang w:val="en-US" w:eastAsia="zh-CN" w:bidi="ar"/>
        </w:rPr>
        <w:t>水稻</w:t>
      </w:r>
      <w:r>
        <w:rPr>
          <w:rFonts w:hint="default" w:ascii="Times New Roman" w:hAnsi="Times New Roman" w:eastAsia="仿宋_GB2312" w:cs="Times New Roman"/>
          <w:color w:val="000000"/>
          <w:spacing w:val="0"/>
          <w:w w:val="100"/>
          <w:kern w:val="0"/>
          <w:position w:val="0"/>
          <w:sz w:val="32"/>
          <w:szCs w:val="32"/>
          <w:shd w:val="clear" w:color="auto" w:fill="auto"/>
          <w:lang w:val="en-US" w:eastAsia="zh-CN" w:bidi="ar"/>
        </w:rPr>
        <w:t>耕种管收全流程机械化关键技术，水稻机械化移栽效率提升；熟练运用高效飞防植保技术；能精准进行机收减损操作，粮油作物机收损失率降低；掌握农机抗灾救灾设备操作技巧，应对汛期、旱期等灾害的响应速度显著加快；在低空经济农业场景应用方面有新突破，农机手综合服务能力明显增强，作业服务半径扩大。</w:t>
      </w:r>
    </w:p>
    <w:p w14:paraId="4452F87B">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eastAsia" w:ascii="楷体_GB2312" w:hAnsi="楷体_GB2312" w:eastAsia="楷体_GB2312" w:cs="楷体_GB2312"/>
          <w:b/>
          <w:bCs/>
          <w:snapToGrid w:val="0"/>
          <w:color w:val="auto"/>
          <w:spacing w:val="0"/>
          <w:w w:val="100"/>
          <w:kern w:val="0"/>
          <w:position w:val="0"/>
          <w:sz w:val="32"/>
          <w:szCs w:val="32"/>
          <w:shd w:val="clear" w:color="auto" w:fill="auto"/>
          <w:lang w:eastAsia="zh-CN" w:bidi="ar-SA"/>
        </w:rPr>
      </w:pPr>
      <w:r>
        <w:rPr>
          <w:rFonts w:hint="eastAsia" w:ascii="楷体_GB2312" w:hAnsi="楷体_GB2312" w:eastAsia="楷体_GB2312" w:cs="楷体_GB2312"/>
          <w:b/>
          <w:bCs/>
          <w:snapToGrid w:val="0"/>
          <w:color w:val="auto"/>
          <w:spacing w:val="0"/>
          <w:w w:val="100"/>
          <w:kern w:val="0"/>
          <w:position w:val="0"/>
          <w:sz w:val="32"/>
          <w:szCs w:val="32"/>
          <w:shd w:val="clear" w:color="auto" w:fill="auto"/>
          <w:lang w:eastAsia="zh-CN" w:bidi="ar-SA"/>
        </w:rPr>
        <w:t>（</w:t>
      </w:r>
      <w:r>
        <w:rPr>
          <w:rFonts w:hint="eastAsia" w:ascii="楷体_GB2312" w:hAnsi="楷体_GB2312" w:eastAsia="楷体_GB2312" w:cs="楷体_GB2312"/>
          <w:b/>
          <w:bCs/>
          <w:snapToGrid w:val="0"/>
          <w:color w:val="auto"/>
          <w:spacing w:val="0"/>
          <w:w w:val="100"/>
          <w:kern w:val="0"/>
          <w:position w:val="0"/>
          <w:sz w:val="32"/>
          <w:szCs w:val="32"/>
          <w:shd w:val="clear" w:color="auto" w:fill="auto"/>
          <w:lang w:val="en-US" w:eastAsia="zh-CN" w:bidi="ar-SA"/>
        </w:rPr>
        <w:t>二</w:t>
      </w:r>
      <w:r>
        <w:rPr>
          <w:rFonts w:hint="eastAsia" w:ascii="楷体_GB2312" w:hAnsi="楷体_GB2312" w:eastAsia="楷体_GB2312" w:cs="楷体_GB2312"/>
          <w:b/>
          <w:bCs/>
          <w:snapToGrid w:val="0"/>
          <w:color w:val="auto"/>
          <w:spacing w:val="0"/>
          <w:w w:val="100"/>
          <w:kern w:val="0"/>
          <w:position w:val="0"/>
          <w:sz w:val="32"/>
          <w:szCs w:val="32"/>
          <w:shd w:val="clear" w:color="auto" w:fill="auto"/>
          <w:lang w:eastAsia="zh-CN" w:bidi="ar-SA"/>
        </w:rPr>
        <w:t>）新产业新业态带头人培育工程</w:t>
      </w:r>
    </w:p>
    <w:p w14:paraId="44720D14">
      <w:pPr>
        <w:keepNext w:val="0"/>
        <w:keepLines w:val="0"/>
        <w:pageBreakBefore w:val="0"/>
        <w:widowControl w:val="0"/>
        <w:shd w:val="clear" w:color="auto" w:fill="auto"/>
        <w:kinsoku/>
        <w:wordWrap/>
        <w:overflowPunct/>
        <w:topLinePunct/>
        <w:autoSpaceDE w:val="0"/>
        <w:autoSpaceDN/>
        <w:bidi w:val="0"/>
        <w:adjustRightInd/>
        <w:snapToGrid/>
        <w:spacing w:before="0" w:after="0" w:line="590" w:lineRule="exact"/>
        <w:ind w:left="0" w:right="0" w:firstLine="643" w:firstLineChars="200"/>
        <w:jc w:val="both"/>
        <w:textAlignment w:val="baseline"/>
        <w:rPr>
          <w:rFonts w:hint="eastAsia" w:ascii="仿宋_GB2312" w:hAnsi="仿宋_GB2312" w:eastAsia="仿宋_GB2312" w:cs="仿宋_GB2312"/>
          <w:b/>
          <w:bCs/>
          <w:color w:val="auto"/>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auto"/>
          <w:spacing w:val="0"/>
          <w:w w:val="100"/>
          <w:kern w:val="2"/>
          <w:position w:val="0"/>
          <w:sz w:val="32"/>
          <w:szCs w:val="32"/>
          <w:shd w:val="clear" w:color="auto" w:fill="auto"/>
          <w:lang w:val="en-US" w:eastAsia="zh-CN" w:bidi="ar-SA"/>
        </w:rPr>
        <w:t>开展数智技术应用专题培训班1期50人</w:t>
      </w:r>
    </w:p>
    <w:p w14:paraId="0E3E029F">
      <w:pPr>
        <w:keepNext w:val="0"/>
        <w:keepLines w:val="0"/>
        <w:pageBreakBefore w:val="0"/>
        <w:widowControl w:val="0"/>
        <w:numPr>
          <w:ilvl w:val="0"/>
          <w:numId w:val="0"/>
        </w:numPr>
        <w:shd w:val="clear" w:color="auto" w:fill="auto"/>
        <w:tabs>
          <w:tab w:val="left" w:pos="703"/>
        </w:tabs>
        <w:kinsoku/>
        <w:wordWrap/>
        <w:overflowPunct/>
        <w:topLinePunct/>
        <w:autoSpaceDE w:val="0"/>
        <w:autoSpaceDN/>
        <w:bidi w:val="0"/>
        <w:adjustRightInd/>
        <w:snapToGrid/>
        <w:spacing w:before="0" w:after="0" w:line="590" w:lineRule="exact"/>
        <w:ind w:left="0" w:right="0" w:firstLine="643" w:firstLineChars="200"/>
        <w:jc w:val="left"/>
        <w:textAlignment w:val="baseline"/>
        <w:outlineLvl w:val="2"/>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培训对象：</w:t>
      </w:r>
      <w:r>
        <w:rPr>
          <w:rFonts w:hint="eastAsia" w:ascii="仿宋_GB2312" w:hAnsi="仿宋_GB2312" w:eastAsia="仿宋_GB2312" w:cs="仿宋_GB2312"/>
          <w:b w:val="0"/>
          <w:bCs w:val="0"/>
          <w:color w:val="000000"/>
          <w:spacing w:val="0"/>
          <w:w w:val="100"/>
          <w:kern w:val="0"/>
          <w:position w:val="0"/>
          <w:sz w:val="32"/>
          <w:szCs w:val="32"/>
          <w:shd w:val="clear" w:color="auto" w:fill="auto"/>
          <w:lang w:val="en-US" w:eastAsia="zh-CN" w:bidi="ar"/>
        </w:rPr>
        <w:t>返乡大学生、农民工、退役军人等青年群体。</w:t>
      </w:r>
    </w:p>
    <w:p w14:paraId="7A24FD82">
      <w:pPr>
        <w:keepNext w:val="0"/>
        <w:keepLines w:val="0"/>
        <w:pageBreakBefore w:val="0"/>
        <w:widowControl w:val="0"/>
        <w:numPr>
          <w:ilvl w:val="0"/>
          <w:numId w:val="0"/>
        </w:numPr>
        <w:shd w:val="clear" w:color="auto" w:fill="auto"/>
        <w:tabs>
          <w:tab w:val="left" w:pos="703"/>
        </w:tabs>
        <w:kinsoku/>
        <w:wordWrap/>
        <w:overflowPunct/>
        <w:topLinePunct/>
        <w:autoSpaceDE w:val="0"/>
        <w:autoSpaceDN/>
        <w:bidi w:val="0"/>
        <w:adjustRightInd/>
        <w:snapToGrid/>
        <w:spacing w:before="0" w:after="0" w:line="590" w:lineRule="exact"/>
        <w:ind w:left="0" w:right="0" w:firstLine="643" w:firstLineChars="200"/>
        <w:jc w:val="left"/>
        <w:textAlignment w:val="baseline"/>
        <w:outlineLvl w:val="2"/>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课程设计要求：</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创业孵化指导模块设置商业计划书撰写实操课，结合本地农业资源特点，指导学员明确项目定位、市场分析、盈利模式等核心内容。开设创业政策解读专场，详细介绍本县针对青年农业创业的补贴、贷款贴息、场地支持等政策及申请流程。创新能力提升模块引入“互联网+农业”典型案例教学，如本地农产品IP打造成功案例复盘、数字农业小程序开发应用场景分析。围绕农产品电商、休闲农业等新赛道展开创意构思。长期带动能力培育模块通过“带头人+农户”“合作社+基地”等利益联结机制案例教学，传授组织农户、签订合作协议、利益分配等实操经验。设置市场对接模拟课程，学习与供应商、经销商的谈判技巧、合作模式设计。</w:t>
      </w:r>
    </w:p>
    <w:p w14:paraId="5C9F0CBB">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预期效果：</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通过集中理论培训与实操实训，实现三会一开目标（会拍摄剪辑短视频、会网上开店、会微营销，并现场开通一场直播带货），帮助参训学员了解并掌握直播和短视频拍摄技能，带动学员拓展直播和短视频推广等新媒体营销渠道，发挥新农商示范带头作用，帮助我县农特产品出村进城、休闲农业引流到村，促进农民增收，加快我</w:t>
      </w:r>
      <w:r>
        <w:rPr>
          <w:rFonts w:hint="eastAsia" w:ascii="仿宋_GB2312" w:hAnsi="仿宋_GB2312" w:eastAsia="仿宋_GB2312" w:cs="仿宋_GB2312"/>
          <w:color w:val="000000"/>
          <w:spacing w:val="0"/>
          <w:w w:val="100"/>
          <w:kern w:val="0"/>
          <w:position w:val="0"/>
          <w:sz w:val="32"/>
          <w:szCs w:val="32"/>
          <w:shd w:val="clear" w:color="auto" w:fill="auto"/>
          <w:lang w:val="en-US" w:eastAsia="zh" w:bidi="ar"/>
        </w:rPr>
        <w:t>县</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农业产业化、品牌化进程，推动我县农业产业高质量发展。</w:t>
      </w:r>
    </w:p>
    <w:p w14:paraId="6A551B88">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eastAsia" w:ascii="楷体_GB2312" w:hAnsi="楷体_GB2312" w:eastAsia="楷体_GB2312" w:cs="楷体_GB2312"/>
          <w:b/>
          <w:bCs/>
          <w:color w:val="000000"/>
          <w:spacing w:val="0"/>
          <w:w w:val="100"/>
          <w:kern w:val="2"/>
          <w:position w:val="0"/>
          <w:sz w:val="32"/>
          <w:szCs w:val="32"/>
          <w:shd w:val="clear" w:color="auto" w:fill="auto"/>
          <w:lang w:eastAsia="zh-CN" w:bidi="ar-SA"/>
        </w:rPr>
      </w:pPr>
      <w:r>
        <w:rPr>
          <w:rFonts w:hint="eastAsia" w:ascii="楷体_GB2312" w:hAnsi="楷体_GB2312" w:eastAsia="楷体_GB2312" w:cs="楷体_GB2312"/>
          <w:b/>
          <w:bCs/>
          <w:color w:val="000000"/>
          <w:spacing w:val="0"/>
          <w:w w:val="100"/>
          <w:kern w:val="2"/>
          <w:position w:val="0"/>
          <w:sz w:val="32"/>
          <w:szCs w:val="32"/>
          <w:shd w:val="clear" w:color="auto" w:fill="auto"/>
          <w:lang w:eastAsia="zh-CN" w:bidi="ar-SA"/>
        </w:rPr>
        <w:t>（</w:t>
      </w:r>
      <w:r>
        <w:rPr>
          <w:rFonts w:hint="eastAsia" w:ascii="楷体_GB2312" w:hAnsi="楷体_GB2312" w:eastAsia="楷体_GB2312" w:cs="楷体_GB2312"/>
          <w:b/>
          <w:bCs/>
          <w:color w:val="000000"/>
          <w:spacing w:val="0"/>
          <w:w w:val="100"/>
          <w:kern w:val="2"/>
          <w:position w:val="0"/>
          <w:sz w:val="32"/>
          <w:szCs w:val="32"/>
          <w:shd w:val="clear" w:color="auto" w:fill="auto"/>
          <w:lang w:val="en-US" w:eastAsia="zh-CN" w:bidi="ar-SA"/>
        </w:rPr>
        <w:t>三</w:t>
      </w:r>
      <w:r>
        <w:rPr>
          <w:rFonts w:hint="eastAsia" w:ascii="楷体_GB2312" w:hAnsi="楷体_GB2312" w:eastAsia="楷体_GB2312" w:cs="楷体_GB2312"/>
          <w:b/>
          <w:bCs/>
          <w:color w:val="000000"/>
          <w:spacing w:val="0"/>
          <w:w w:val="100"/>
          <w:kern w:val="2"/>
          <w:position w:val="0"/>
          <w:sz w:val="32"/>
          <w:szCs w:val="32"/>
          <w:shd w:val="clear" w:color="auto" w:fill="auto"/>
          <w:lang w:eastAsia="zh-CN" w:bidi="ar-SA"/>
        </w:rPr>
        <w:t>）文明乡风建设素质素养提升工程</w:t>
      </w:r>
    </w:p>
    <w:p w14:paraId="4D4754C5">
      <w:pPr>
        <w:keepNext w:val="0"/>
        <w:keepLines w:val="0"/>
        <w:pageBreakBefore w:val="0"/>
        <w:widowControl w:val="0"/>
        <w:numPr>
          <w:ilvl w:val="0"/>
          <w:numId w:val="0"/>
        </w:numPr>
        <w:suppressLineNumbers w:val="0"/>
        <w:pBdr>
          <w:left w:val="none" w:color="auto" w:sz="0" w:space="0"/>
        </w:pBdr>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both"/>
        <w:textAlignment w:val="auto"/>
        <w:rPr>
          <w:rFonts w:hint="default" w:ascii="仿宋_GB2312" w:hAnsi="仿宋_GB2312" w:eastAsia="仿宋_GB2312" w:cs="仿宋_GB2312"/>
          <w:b/>
          <w:bCs/>
          <w:color w:val="000000"/>
          <w:spacing w:val="0"/>
          <w:w w:val="100"/>
          <w:kern w:val="2"/>
          <w:position w:val="0"/>
          <w:sz w:val="32"/>
          <w:szCs w:val="32"/>
          <w:shd w:val="clear" w:color="auto" w:fill="auto"/>
          <w:lang w:val="en-US" w:eastAsia="zh-CN" w:bidi="ar-SA"/>
        </w:rPr>
      </w:pPr>
      <w:r>
        <w:rPr>
          <w:rFonts w:hint="eastAsia" w:ascii="仿宋_GB2312" w:hAnsi="仿宋_GB2312" w:eastAsia="仿宋_GB2312" w:cs="仿宋_GB2312"/>
          <w:b/>
          <w:bCs/>
          <w:color w:val="000000"/>
          <w:spacing w:val="0"/>
          <w:w w:val="100"/>
          <w:kern w:val="2"/>
          <w:position w:val="0"/>
          <w:sz w:val="32"/>
          <w:szCs w:val="32"/>
          <w:shd w:val="clear" w:color="auto" w:fill="auto"/>
          <w:lang w:val="en-US" w:eastAsia="zh-CN" w:bidi="ar-SA"/>
        </w:rPr>
        <w:t>开展</w:t>
      </w:r>
      <w:r>
        <w:rPr>
          <w:rFonts w:hint="eastAsia" w:ascii="仿宋_GB2312" w:hAnsi="仿宋_GB2312" w:eastAsia="仿宋_GB2312" w:cs="仿宋_GB2312"/>
          <w:b/>
          <w:bCs/>
          <w:color w:val="000000"/>
          <w:spacing w:val="0"/>
          <w:w w:val="100"/>
          <w:kern w:val="2"/>
          <w:position w:val="0"/>
          <w:sz w:val="32"/>
          <w:szCs w:val="32"/>
          <w:shd w:val="clear" w:color="auto" w:fill="auto"/>
          <w:lang w:eastAsia="zh-CN" w:bidi="ar-SA"/>
        </w:rPr>
        <w:t>乡村建设治理人才培训</w:t>
      </w:r>
      <w:r>
        <w:rPr>
          <w:rFonts w:hint="eastAsia" w:ascii="仿宋_GB2312" w:hAnsi="仿宋_GB2312" w:eastAsia="仿宋_GB2312" w:cs="仿宋_GB2312"/>
          <w:b/>
          <w:bCs/>
          <w:color w:val="000000"/>
          <w:spacing w:val="0"/>
          <w:w w:val="100"/>
          <w:kern w:val="2"/>
          <w:position w:val="0"/>
          <w:sz w:val="32"/>
          <w:szCs w:val="32"/>
          <w:shd w:val="clear" w:color="auto" w:fill="auto"/>
          <w:lang w:val="en-US" w:eastAsia="zh-CN" w:bidi="ar-SA"/>
        </w:rPr>
        <w:t>班1期共50人</w:t>
      </w:r>
    </w:p>
    <w:p w14:paraId="6247A728">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eastAsia" w:ascii="仿宋_GB2312" w:hAnsi="仿宋_GB2312" w:eastAsia="仿宋_GB2312" w:cs="仿宋_GB2312"/>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培训对象：</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村干部、村级事务管理人员、农村集体资产管理人员等从事农村治理工作的相关人员。​</w:t>
      </w:r>
    </w:p>
    <w:p w14:paraId="2103BFD3">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eastAsia" w:ascii="仿宋_GB2312" w:hAnsi="仿宋_GB2312" w:eastAsia="仿宋_GB2312" w:cs="仿宋_GB2312"/>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课程设计要求：</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聚焦集体资产管理、乡村治理等实操需求，分类设置“政策+技术+管理”课程，结合农村实际工作场景，分模块、分重点开展培训。在集体资产管理方面，开设农村产权制度改革课程，讲解土地确权的流程与注意事项、集体资产量化的方法与步骤，解读村集体经济组织法的相关条款，传授项目风险防控知识（包括投资决策流程、合同合规审查要点），以及集体资产数字化台账管理（专业软件的操作与数据录入、更新维护）；在乡村治理方面，培训村级事务“互联网+”管理内容，涵盖线上议事平台的使用（发起议题、组织讨论、投票表决等功能）、财务公开系统的操作（收支明细录入、公开信息发布），以此提升治理效率与透明度。组织学员前往集体资产管理先进村，现场学习农村产权制度改革的成功案例、集体资产数字化台账管理的操作演示，以及村级事务“互联网 +”管理平台的实际应用。</w:t>
      </w:r>
    </w:p>
    <w:p w14:paraId="2A325A13">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3" w:firstLineChars="200"/>
        <w:jc w:val="left"/>
        <w:textAlignment w:val="auto"/>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ar"/>
        </w:rPr>
        <w:t>预期效果：</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学员熟悉农村产权制度改革、集体资产管理制度及相关法律法规，项目风险防控能力显著增强；熟练运用集体资产数字化台账管理软件和村级事务“互联网 +”管理平台，乡村治理效率提升，村务透明度明显提高，群众满意度进一步提升。</w:t>
      </w:r>
    </w:p>
    <w:p w14:paraId="6D794139">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after="0" w:line="590" w:lineRule="exact"/>
        <w:ind w:left="0" w:right="0" w:firstLine="640" w:firstLineChars="200"/>
        <w:jc w:val="left"/>
        <w:textAlignment w:val="auto"/>
        <w:rPr>
          <w:rFonts w:hint="eastAsia" w:ascii="黑体" w:hAnsi="黑体" w:eastAsia="黑体" w:cs="黑体"/>
          <w:b w:val="0"/>
          <w:bCs w:val="0"/>
          <w:color w:val="000000"/>
          <w:spacing w:val="0"/>
          <w:w w:val="100"/>
          <w:kern w:val="2"/>
          <w:position w:val="0"/>
          <w:sz w:val="32"/>
          <w:szCs w:val="32"/>
          <w:shd w:val="clear" w:color="auto" w:fill="auto"/>
          <w:lang w:eastAsia="zh-CN" w:bidi="ar-SA"/>
        </w:rPr>
      </w:pPr>
      <w:r>
        <w:rPr>
          <w:rFonts w:hint="eastAsia" w:ascii="黑体" w:hAnsi="黑体" w:eastAsia="黑体" w:cs="黑体"/>
          <w:color w:val="000000"/>
          <w:spacing w:val="0"/>
          <w:w w:val="100"/>
          <w:kern w:val="0"/>
          <w:position w:val="0"/>
          <w:sz w:val="32"/>
          <w:szCs w:val="32"/>
          <w:shd w:val="clear" w:color="auto" w:fill="auto"/>
          <w:lang w:val="en-US" w:eastAsia="zh-CN" w:bidi="ar"/>
        </w:rPr>
        <w:t>三、</w:t>
      </w:r>
      <w:r>
        <w:rPr>
          <w:rFonts w:hint="eastAsia" w:ascii="黑体" w:hAnsi="黑体" w:eastAsia="黑体" w:cs="黑体"/>
          <w:b w:val="0"/>
          <w:bCs w:val="0"/>
          <w:color w:val="000000"/>
          <w:spacing w:val="0"/>
          <w:w w:val="100"/>
          <w:kern w:val="2"/>
          <w:position w:val="0"/>
          <w:sz w:val="32"/>
          <w:szCs w:val="32"/>
          <w:shd w:val="clear" w:color="auto" w:fill="auto"/>
          <w:lang w:eastAsia="zh-CN" w:bidi="ar-SA"/>
        </w:rPr>
        <w:t>工作要求</w:t>
      </w:r>
    </w:p>
    <w:p w14:paraId="192F1DE5">
      <w:pPr>
        <w:keepNext w:val="0"/>
        <w:keepLines w:val="0"/>
        <w:pageBreakBefore w:val="0"/>
        <w:widowControl w:val="0"/>
        <w:shd w:val="clear" w:color="auto" w:fill="auto"/>
        <w:kinsoku/>
        <w:wordWrap/>
        <w:overflowPunct/>
        <w:topLinePunct/>
        <w:autoSpaceDE w:val="0"/>
        <w:autoSpaceDN/>
        <w:bidi w:val="0"/>
        <w:adjustRightInd/>
        <w:snapToGrid/>
        <w:spacing w:before="0" w:after="0" w:line="590" w:lineRule="exact"/>
        <w:ind w:left="0" w:right="0" w:firstLine="643"/>
        <w:jc w:val="both"/>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按照《高素质农民培育项目管理工作规程(试行)》相关要求组织开展培育工作</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w:t>
      </w:r>
      <w:r>
        <w:rPr>
          <w:rFonts w:hint="eastAsia" w:ascii="仿宋_GB2312" w:hAnsi="仿宋_GB2312" w:eastAsia="仿宋_GB2312" w:cs="仿宋_GB2312"/>
          <w:color w:val="333333"/>
          <w:spacing w:val="0"/>
          <w:w w:val="100"/>
          <w:kern w:val="2"/>
          <w:position w:val="0"/>
          <w:sz w:val="32"/>
          <w:szCs w:val="32"/>
          <w:shd w:val="clear" w:color="auto" w:fill="auto"/>
          <w:lang w:eastAsia="zh-CN" w:bidi="ar-SA"/>
        </w:rPr>
        <w:t>加强领导，统筹安排，</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精心组织，切实保障培育质量和效果。</w:t>
      </w:r>
    </w:p>
    <w:p w14:paraId="018B6041">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left"/>
        <w:textAlignment w:val="auto"/>
        <w:rPr>
          <w:rFonts w:hint="eastAsia" w:ascii="楷体_GB2312" w:hAnsi="楷体_GB2312" w:eastAsia="楷体_GB2312" w:cs="楷体_GB2312"/>
          <w:b/>
          <w:bCs/>
          <w:color w:val="000000"/>
          <w:spacing w:val="0"/>
          <w:w w:val="100"/>
          <w:kern w:val="0"/>
          <w:position w:val="0"/>
          <w:sz w:val="32"/>
          <w:szCs w:val="32"/>
          <w:shd w:val="clear" w:color="auto" w:fill="auto"/>
          <w:lang w:val="en-US" w:eastAsia="zh-CN" w:bidi="ar"/>
        </w:rPr>
      </w:pPr>
      <w:r>
        <w:rPr>
          <w:rFonts w:hint="eastAsia" w:ascii="楷体_GB2312" w:hAnsi="楷体_GB2312" w:eastAsia="楷体_GB2312" w:cs="楷体_GB2312"/>
          <w:b/>
          <w:bCs/>
          <w:color w:val="000000"/>
          <w:spacing w:val="0"/>
          <w:w w:val="100"/>
          <w:kern w:val="0"/>
          <w:position w:val="0"/>
          <w:sz w:val="32"/>
          <w:szCs w:val="32"/>
          <w:shd w:val="clear" w:color="auto" w:fill="auto"/>
          <w:lang w:val="en-US" w:eastAsia="zh-CN" w:bidi="ar"/>
        </w:rPr>
        <w:t>（一）强化组织实施</w:t>
      </w:r>
    </w:p>
    <w:p w14:paraId="53F12993">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beforeAutospacing="0" w:after="0" w:afterAutospacing="0" w:line="590" w:lineRule="exact"/>
        <w:ind w:left="0" w:right="0" w:firstLine="640" w:firstLineChars="200"/>
        <w:jc w:val="left"/>
        <w:textAlignment w:val="auto"/>
        <w:rPr>
          <w:rFonts w:hint="eastAsia" w:ascii="仿宋_GB2312" w:hAnsi="仿宋_GB2312" w:eastAsia="仿宋_GB2312" w:cs="仿宋_GB2312"/>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县级农业农村部门组织实施本级高素质农民培育工作，乡镇农</w:t>
      </w:r>
      <w:r>
        <w:rPr>
          <w:rFonts w:hint="eastAsia" w:ascii="仿宋_GB2312" w:hAnsi="仿宋_GB2312" w:eastAsia="仿宋_GB2312" w:cs="仿宋_GB2312"/>
          <w:color w:val="000000"/>
          <w:spacing w:val="0"/>
          <w:w w:val="100"/>
          <w:kern w:val="2"/>
          <w:position w:val="0"/>
          <w:sz w:val="32"/>
          <w:szCs w:val="32"/>
          <w:shd w:val="clear" w:color="auto" w:fill="auto"/>
          <w:lang w:eastAsia="zh" w:bidi="ar-SA"/>
        </w:rPr>
        <w:t>业综合</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服务中心负责学员发动组织，明确各项涉农相关政策的倾斜要与乡镇培育</w:t>
      </w:r>
      <w:r>
        <w:rPr>
          <w:rFonts w:hint="eastAsia" w:ascii="仿宋_GB2312" w:hAnsi="仿宋_GB2312" w:eastAsia="仿宋_GB2312" w:cs="仿宋_GB2312"/>
          <w:color w:val="000000"/>
          <w:spacing w:val="0"/>
          <w:w w:val="100"/>
          <w:kern w:val="2"/>
          <w:position w:val="0"/>
          <w:sz w:val="32"/>
          <w:szCs w:val="32"/>
          <w:shd w:val="clear" w:color="auto" w:fill="auto"/>
          <w:lang w:eastAsia="zh" w:bidi="ar-SA"/>
        </w:rPr>
        <w:t>相</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挂钩。</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承担培训任务的机构必须严格落实《高素质农民培育项目管理工作规范（修订）》，负责具体组织实施和日常管理工作。鼓励培训班建立临时党组织，强化党建引领。</w:t>
      </w:r>
    </w:p>
    <w:p w14:paraId="736EA5BD">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left"/>
        <w:textAlignment w:val="auto"/>
        <w:rPr>
          <w:rFonts w:hint="eastAsia" w:ascii="楷体_GB2312" w:hAnsi="楷体_GB2312" w:eastAsia="楷体_GB2312" w:cs="楷体_GB2312"/>
          <w:b/>
          <w:bCs/>
          <w:color w:val="000000"/>
          <w:spacing w:val="0"/>
          <w:w w:val="100"/>
          <w:kern w:val="0"/>
          <w:position w:val="0"/>
          <w:sz w:val="32"/>
          <w:szCs w:val="32"/>
          <w:shd w:val="clear" w:color="auto" w:fill="auto"/>
          <w:lang w:val="en-US" w:eastAsia="zh-CN" w:bidi="ar"/>
        </w:rPr>
      </w:pPr>
      <w:r>
        <w:rPr>
          <w:rFonts w:hint="eastAsia" w:ascii="楷体_GB2312" w:hAnsi="楷体_GB2312" w:eastAsia="楷体_GB2312" w:cs="楷体_GB2312"/>
          <w:b/>
          <w:bCs/>
          <w:color w:val="000000"/>
          <w:spacing w:val="0"/>
          <w:w w:val="100"/>
          <w:kern w:val="0"/>
          <w:position w:val="0"/>
          <w:sz w:val="32"/>
          <w:szCs w:val="32"/>
          <w:shd w:val="clear" w:color="auto" w:fill="auto"/>
          <w:lang w:val="en-US" w:eastAsia="zh-CN" w:bidi="ar"/>
        </w:rPr>
        <w:t>（二）压实监管责任</w:t>
      </w:r>
    </w:p>
    <w:p w14:paraId="223E3E5A">
      <w:pPr>
        <w:keepNext w:val="0"/>
        <w:keepLines w:val="0"/>
        <w:pageBreakBefore w:val="0"/>
        <w:widowControl w:val="0"/>
        <w:shd w:val="clear" w:color="auto" w:fill="auto"/>
        <w:kinsoku/>
        <w:wordWrap/>
        <w:overflowPunct/>
        <w:topLinePunct/>
        <w:autoSpaceDE w:val="0"/>
        <w:autoSpaceDN/>
        <w:bidi w:val="0"/>
        <w:adjustRightInd/>
        <w:snapToGrid/>
        <w:spacing w:before="0" w:after="0" w:line="590" w:lineRule="exact"/>
        <w:ind w:left="0" w:right="0" w:firstLine="640" w:firstLineChars="200"/>
        <w:jc w:val="both"/>
        <w:textAlignment w:val="auto"/>
        <w:rPr>
          <w:rFonts w:hint="eastAsia" w:ascii="仿宋_GB2312" w:hAnsi="仿宋_GB2312" w:eastAsia="仿宋_GB2312" w:cs="仿宋_GB2312"/>
          <w:color w:val="000000"/>
          <w:spacing w:val="0"/>
          <w:w w:val="100"/>
          <w:kern w:val="2"/>
          <w:position w:val="0"/>
          <w:sz w:val="32"/>
          <w:szCs w:val="32"/>
          <w:shd w:val="clear" w:color="auto" w:fill="auto"/>
          <w:lang w:eastAsia="zh-CN" w:bidi="ar-SA"/>
        </w:rPr>
      </w:pP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严格落实项目及资金管理主体责任与监督责任，健全监管机制。</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指导培育机构落实《高素质农民培育项目管理工作规范（修订）》。</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县农业农村部门实时开展质量抽查，</w:t>
      </w:r>
      <w:r>
        <w:rPr>
          <w:rFonts w:hint="eastAsia" w:ascii="仿宋_GB2312" w:hAnsi="仿宋_GB2312" w:eastAsia="仿宋_GB2312" w:cs="仿宋_GB2312"/>
          <w:color w:val="000000"/>
          <w:spacing w:val="0"/>
          <w:w w:val="100"/>
          <w:kern w:val="2"/>
          <w:position w:val="0"/>
          <w:sz w:val="32"/>
          <w:szCs w:val="32"/>
          <w:shd w:val="clear" w:color="auto" w:fill="auto"/>
          <w:lang w:eastAsia="zh-CN" w:bidi="ar-SA"/>
        </w:rPr>
        <w:t>严格审核开班计划、培育对象、培育实施方案及跟踪培训进度，对本级培训执行情况全覆盖核查，下级情况随机抽核。对发现的问题及时提出调整意见，必要时停班整改。用好《农民教育培训信息管理系统》,强化信息员操作管理，确保参训农民基本信息入库(建档)率100%, 数据入库(建档)准确率100%。按照《高素质农民培育规范（修订）》对本级培育情况和效果开展绩效评价，学员在线评价率90%以上。依托农业农村部转移支付管理平台和湖南省农业农村厅资金项目监管平台，做好资金支出监管及项目实施监控，坚决防止在项目执行过程中出现违规违纪违法行为，防范廉政风险，全面提升项目资金使用效能。</w:t>
      </w:r>
    </w:p>
    <w:p w14:paraId="3B460254">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beforeAutospacing="0" w:after="0" w:afterAutospacing="0" w:line="590" w:lineRule="exact"/>
        <w:ind w:left="0" w:right="0" w:firstLine="643" w:firstLineChars="200"/>
        <w:jc w:val="left"/>
        <w:textAlignment w:val="auto"/>
        <w:rPr>
          <w:rFonts w:hint="eastAsia" w:ascii="楷体_GB2312" w:hAnsi="楷体_GB2312" w:eastAsia="楷体_GB2312" w:cs="楷体_GB2312"/>
          <w:b/>
          <w:bCs/>
          <w:color w:val="000000"/>
          <w:spacing w:val="0"/>
          <w:w w:val="100"/>
          <w:kern w:val="0"/>
          <w:position w:val="0"/>
          <w:sz w:val="32"/>
          <w:szCs w:val="32"/>
          <w:shd w:val="clear" w:color="auto" w:fill="auto"/>
          <w:lang w:val="en-US" w:eastAsia="zh-CN" w:bidi="ar"/>
        </w:rPr>
      </w:pPr>
      <w:r>
        <w:rPr>
          <w:rFonts w:hint="eastAsia" w:ascii="楷体_GB2312" w:hAnsi="楷体_GB2312" w:eastAsia="楷体_GB2312" w:cs="楷体_GB2312"/>
          <w:b/>
          <w:bCs/>
          <w:color w:val="000000"/>
          <w:spacing w:val="0"/>
          <w:w w:val="100"/>
          <w:kern w:val="0"/>
          <w:position w:val="0"/>
          <w:sz w:val="32"/>
          <w:szCs w:val="32"/>
          <w:shd w:val="clear" w:color="auto" w:fill="auto"/>
          <w:lang w:val="en-US" w:eastAsia="zh-CN" w:bidi="ar"/>
        </w:rPr>
        <w:t>（三）注重培育实效</w:t>
      </w:r>
    </w:p>
    <w:p w14:paraId="7B3F00E0">
      <w:pPr>
        <w:keepNext w:val="0"/>
        <w:keepLines w:val="0"/>
        <w:pageBreakBefore w:val="0"/>
        <w:widowControl w:val="0"/>
        <w:suppressLineNumbers w:val="0"/>
        <w:shd w:val="clear" w:color="auto" w:fill="auto"/>
        <w:kinsoku/>
        <w:wordWrap/>
        <w:overflowPunct/>
        <w:topLinePunct/>
        <w:autoSpaceDE w:val="0"/>
        <w:autoSpaceDN/>
        <w:bidi w:val="0"/>
        <w:adjustRightInd/>
        <w:snapToGrid/>
        <w:spacing w:before="0" w:beforeAutospacing="0" w:after="0" w:afterAutospacing="0" w:line="590" w:lineRule="exact"/>
        <w:ind w:left="0" w:right="0" w:firstLine="640" w:firstLineChars="200"/>
        <w:jc w:val="both"/>
        <w:textAlignment w:val="auto"/>
        <w:rPr>
          <w:rFonts w:hint="eastAsia" w:ascii="仿宋_GB2312" w:hAnsi="仿宋_GB2312" w:eastAsia="仿宋_GB2312" w:cs="仿宋_GB2312"/>
          <w:color w:val="000000"/>
          <w:spacing w:val="0"/>
          <w:w w:val="100"/>
          <w:kern w:val="2"/>
          <w:position w:val="0"/>
          <w:sz w:val="32"/>
          <w:szCs w:val="32"/>
          <w:shd w:val="clear" w:color="auto" w:fill="auto"/>
          <w:lang w:eastAsia="zh-CN" w:bidi="ar-SA"/>
        </w:rPr>
      </w:pPr>
      <w:r>
        <w:rPr>
          <w:rFonts w:hint="default" w:ascii="Times New Roman" w:hAnsi="Times New Roman" w:eastAsia="仿宋_GB2312" w:cs="Times New Roman"/>
          <w:color w:val="000000"/>
          <w:spacing w:val="0"/>
          <w:w w:val="100"/>
          <w:kern w:val="0"/>
          <w:position w:val="0"/>
          <w:sz w:val="32"/>
          <w:szCs w:val="32"/>
          <w:shd w:val="clear" w:color="auto" w:fill="auto"/>
          <w:lang w:val="en-US" w:eastAsia="zh-CN" w:bidi="ar"/>
        </w:rPr>
        <w:t>综合素养课须首设习近平新时代中国特色社会主义思想和中央一号文件等内容，规范管理培育资源。探索“培育+ 孵化+跟踪服务”的全链条培育模式，在培育结束后，为学员提供技术指导、政策对接、金融服务等跟踪服务，时长不超过</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1</w:t>
      </w:r>
      <w:r>
        <w:rPr>
          <w:rFonts w:hint="default" w:ascii="Times New Roman" w:hAnsi="Times New Roman" w:eastAsia="仿宋_GB2312" w:cs="Times New Roman"/>
          <w:color w:val="000000"/>
          <w:spacing w:val="0"/>
          <w:w w:val="100"/>
          <w:kern w:val="0"/>
          <w:position w:val="0"/>
          <w:sz w:val="32"/>
          <w:szCs w:val="32"/>
          <w:shd w:val="clear" w:color="auto" w:fill="auto"/>
          <w:lang w:val="en-US" w:eastAsia="zh-CN" w:bidi="ar"/>
        </w:rPr>
        <w:t>年，次数不少于</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2</w:t>
      </w:r>
      <w:r>
        <w:rPr>
          <w:rFonts w:hint="default" w:ascii="Times New Roman" w:hAnsi="Times New Roman" w:eastAsia="仿宋_GB2312" w:cs="Times New Roman"/>
          <w:color w:val="000000"/>
          <w:spacing w:val="0"/>
          <w:w w:val="100"/>
          <w:kern w:val="0"/>
          <w:position w:val="0"/>
          <w:sz w:val="32"/>
          <w:szCs w:val="32"/>
          <w:shd w:val="clear" w:color="auto" w:fill="auto"/>
          <w:lang w:val="en-US" w:eastAsia="zh-CN" w:bidi="ar"/>
        </w:rPr>
        <w:t>次，跟踪服务人数不少于培训班总人数的</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60%</w:t>
      </w:r>
      <w:r>
        <w:rPr>
          <w:rFonts w:hint="default" w:ascii="Times New Roman" w:hAnsi="Times New Roman" w:eastAsia="仿宋_GB2312" w:cs="Times New Roman"/>
          <w:color w:val="000000"/>
          <w:spacing w:val="0"/>
          <w:w w:val="100"/>
          <w:kern w:val="0"/>
          <w:position w:val="0"/>
          <w:sz w:val="32"/>
          <w:szCs w:val="32"/>
          <w:shd w:val="clear" w:color="auto" w:fill="auto"/>
          <w:lang w:val="en-US" w:eastAsia="zh-CN" w:bidi="ar"/>
        </w:rPr>
        <w:t>。建立“传帮带”机制，选拔优秀学员作为示范户，带动周边农民共同发展。开展培育典型评选活动，总结推广好经验、好做法，对优秀学员典型案例进行宣传推广，营造良好的培育</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ar"/>
        </w:rPr>
        <w:t>氛围。</w:t>
      </w:r>
    </w:p>
    <w:p w14:paraId="4D27763F">
      <w:pPr>
        <w:keepNext w:val="0"/>
        <w:keepLines w:val="0"/>
        <w:pageBreakBefore w:val="0"/>
        <w:widowControl w:val="0"/>
        <w:shd w:val="clear" w:color="auto" w:fill="auto"/>
        <w:kinsoku/>
        <w:wordWrap/>
        <w:overflowPunct/>
        <w:topLinePunct/>
        <w:autoSpaceDE w:val="0"/>
        <w:autoSpaceDN/>
        <w:bidi w:val="0"/>
        <w:adjustRightInd/>
        <w:snapToGrid/>
        <w:spacing w:before="0" w:after="0" w:line="590" w:lineRule="exact"/>
        <w:ind w:left="0" w:right="47" w:firstLine="639"/>
        <w:jc w:val="both"/>
        <w:rPr>
          <w:rFonts w:hint="eastAsia" w:ascii="仿宋_GB2312" w:hAnsi="仿宋_GB2312" w:eastAsia="仿宋_GB2312" w:cs="仿宋_GB2312"/>
          <w:color w:val="000000"/>
          <w:spacing w:val="0"/>
          <w:w w:val="100"/>
          <w:kern w:val="2"/>
          <w:position w:val="0"/>
          <w:sz w:val="32"/>
          <w:szCs w:val="32"/>
          <w:shd w:val="clear" w:color="auto" w:fill="auto"/>
          <w:lang w:val="en-US" w:eastAsia="en-US" w:bidi="ar-SA"/>
        </w:rPr>
      </w:pPr>
    </w:p>
    <w:p w14:paraId="032C82BF">
      <w:pPr>
        <w:keepNext w:val="0"/>
        <w:keepLines w:val="0"/>
        <w:pageBreakBefore w:val="0"/>
        <w:widowControl w:val="0"/>
        <w:shd w:val="clear" w:color="auto" w:fill="auto"/>
        <w:kinsoku/>
        <w:wordWrap/>
        <w:overflowPunct/>
        <w:topLinePunct/>
        <w:autoSpaceDE w:val="0"/>
        <w:autoSpaceDN/>
        <w:bidi w:val="0"/>
        <w:adjustRightInd/>
        <w:snapToGrid/>
        <w:spacing w:before="0" w:after="0" w:line="590" w:lineRule="exact"/>
        <w:ind w:left="0" w:right="47" w:firstLine="639"/>
        <w:jc w:val="both"/>
        <w:rPr>
          <w:rFonts w:hint="eastAsia" w:ascii="仿宋_GB2312" w:hAnsi="仿宋_GB2312" w:eastAsia="仿宋_GB2312" w:cs="仿宋_GB2312"/>
          <w:color w:val="000000"/>
          <w:spacing w:val="0"/>
          <w:w w:val="100"/>
          <w:kern w:val="2"/>
          <w:position w:val="0"/>
          <w:sz w:val="32"/>
          <w:szCs w:val="32"/>
          <w:shd w:val="clear" w:color="auto" w:fill="auto"/>
          <w:lang w:val="en-US" w:eastAsia="en-US" w:bidi="ar-SA"/>
        </w:rPr>
      </w:pPr>
      <w:r>
        <w:rPr>
          <w:rFonts w:hint="eastAsia" w:ascii="仿宋_GB2312" w:hAnsi="仿宋_GB2312" w:eastAsia="仿宋_GB2312" w:cs="仿宋_GB2312"/>
          <w:color w:val="000000"/>
          <w:spacing w:val="0"/>
          <w:w w:val="100"/>
          <w:kern w:val="2"/>
          <w:position w:val="0"/>
          <w:sz w:val="32"/>
          <w:szCs w:val="32"/>
          <w:shd w:val="clear" w:color="auto" w:fill="auto"/>
          <w:lang w:val="en-US" w:eastAsia="en-US" w:bidi="ar-SA"/>
        </w:rPr>
        <w:t>联系人：县农业农村局农村社会事业促进股</w:t>
      </w: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 xml:space="preserve">  </w:t>
      </w:r>
      <w:r>
        <w:rPr>
          <w:rFonts w:hint="eastAsia" w:ascii="仿宋_GB2312" w:hAnsi="仿宋_GB2312" w:eastAsia="仿宋_GB2312" w:cs="仿宋_GB2312"/>
          <w:color w:val="000000"/>
          <w:spacing w:val="0"/>
          <w:w w:val="100"/>
          <w:kern w:val="2"/>
          <w:position w:val="0"/>
          <w:sz w:val="32"/>
          <w:szCs w:val="32"/>
          <w:shd w:val="clear" w:color="auto" w:fill="auto"/>
          <w:lang w:val="en-US" w:eastAsia="en-US" w:bidi="ar-SA"/>
        </w:rPr>
        <w:t>冷远杰</w:t>
      </w:r>
    </w:p>
    <w:p w14:paraId="472CF6E5">
      <w:pPr>
        <w:keepNext w:val="0"/>
        <w:keepLines w:val="0"/>
        <w:pageBreakBefore w:val="0"/>
        <w:widowControl w:val="0"/>
        <w:shd w:val="clear" w:color="auto" w:fill="auto"/>
        <w:kinsoku/>
        <w:wordWrap/>
        <w:overflowPunct/>
        <w:topLinePunct/>
        <w:autoSpaceDE w:val="0"/>
        <w:autoSpaceDN/>
        <w:bidi w:val="0"/>
        <w:adjustRightInd/>
        <w:snapToGrid/>
        <w:spacing w:before="0" w:after="0" w:line="590" w:lineRule="exact"/>
        <w:ind w:left="0" w:right="47" w:firstLine="639"/>
        <w:jc w:val="both"/>
        <w:rPr>
          <w:rFonts w:hint="eastAsia" w:ascii="仿宋_GB2312" w:hAnsi="仿宋_GB2312" w:eastAsia="仿宋_GB2312" w:cs="仿宋_GB2312"/>
          <w:color w:val="000000"/>
          <w:spacing w:val="0"/>
          <w:w w:val="100"/>
          <w:kern w:val="2"/>
          <w:position w:val="0"/>
          <w:sz w:val="32"/>
          <w:szCs w:val="32"/>
          <w:shd w:val="clear" w:color="auto" w:fill="auto"/>
          <w:lang w:val="en-US" w:eastAsia="zh" w:bidi="ar-SA"/>
        </w:rPr>
      </w:pPr>
      <w:r>
        <w:rPr>
          <w:rFonts w:hint="eastAsia" w:ascii="仿宋_GB2312" w:hAnsi="仿宋_GB2312" w:eastAsia="仿宋_GB2312" w:cs="仿宋_GB2312"/>
          <w:color w:val="000000"/>
          <w:spacing w:val="0"/>
          <w:w w:val="100"/>
          <w:kern w:val="2"/>
          <w:position w:val="0"/>
          <w:sz w:val="32"/>
          <w:szCs w:val="32"/>
          <w:shd w:val="clear" w:color="auto" w:fill="auto"/>
          <w:lang w:val="en-US" w:eastAsia="en-US" w:bidi="ar-SA"/>
        </w:rPr>
        <w:t>联系电话：1507403014</w:t>
      </w:r>
      <w:r>
        <w:rPr>
          <w:rFonts w:hint="eastAsia" w:ascii="仿宋_GB2312" w:hAnsi="仿宋_GB2312" w:eastAsia="仿宋_GB2312" w:cs="仿宋_GB2312"/>
          <w:color w:val="000000"/>
          <w:spacing w:val="0"/>
          <w:w w:val="100"/>
          <w:kern w:val="2"/>
          <w:position w:val="0"/>
          <w:sz w:val="32"/>
          <w:szCs w:val="32"/>
          <w:shd w:val="clear" w:color="auto" w:fill="auto"/>
          <w:lang w:val="en-US" w:eastAsia="zh" w:bidi="ar-SA"/>
        </w:rPr>
        <w:t>4</w:t>
      </w:r>
    </w:p>
    <w:p w14:paraId="3BE0193B">
      <w:pPr>
        <w:keepNext w:val="0"/>
        <w:keepLines w:val="0"/>
        <w:pageBreakBefore w:val="0"/>
        <w:widowControl w:val="0"/>
        <w:shd w:val="clear" w:color="auto" w:fill="auto"/>
        <w:kinsoku/>
        <w:wordWrap/>
        <w:overflowPunct/>
        <w:topLinePunct/>
        <w:autoSpaceDE w:val="0"/>
        <w:autoSpaceDN/>
        <w:bidi w:val="0"/>
        <w:adjustRightInd/>
        <w:snapToGrid/>
        <w:spacing w:before="0" w:after="0" w:line="590" w:lineRule="exact"/>
        <w:ind w:left="0" w:right="47" w:firstLine="639"/>
        <w:jc w:val="both"/>
        <w:rPr>
          <w:rFonts w:hint="eastAsia" w:ascii="仿宋_GB2312" w:hAnsi="仿宋_GB2312" w:eastAsia="仿宋_GB2312" w:cs="仿宋_GB2312"/>
          <w:color w:val="000000"/>
          <w:spacing w:val="0"/>
          <w:w w:val="100"/>
          <w:kern w:val="2"/>
          <w:position w:val="0"/>
          <w:sz w:val="32"/>
          <w:szCs w:val="32"/>
          <w:shd w:val="clear" w:color="auto" w:fill="auto"/>
          <w:lang w:val="en-US" w:eastAsia="zh" w:bidi="ar-SA"/>
        </w:rPr>
      </w:pPr>
    </w:p>
    <w:p w14:paraId="1B24D42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90" w:lineRule="exact"/>
        <w:ind w:left="0" w:right="0" w:firstLine="0"/>
        <w:jc w:val="center"/>
        <w:textAlignment w:val="auto"/>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000000"/>
          <w:spacing w:val="0"/>
          <w:w w:val="100"/>
          <w:kern w:val="2"/>
          <w:position w:val="0"/>
          <w:sz w:val="32"/>
          <w:szCs w:val="32"/>
          <w:shd w:val="clear" w:color="auto" w:fill="auto"/>
          <w:lang w:val="en-US" w:eastAsia="zh-CN" w:bidi="ar-SA"/>
        </w:rPr>
        <w:t>附件：2026年华容县高素质农民培育工作县级分配表</w:t>
      </w:r>
    </w:p>
    <w:p w14:paraId="445B2F43">
      <w:pPr>
        <w:keepNext w:val="0"/>
        <w:keepLines w:val="0"/>
        <w:pageBreakBefore w:val="0"/>
        <w:widowControl w:val="0"/>
        <w:shd w:val="clear" w:color="auto" w:fill="auto"/>
        <w:kinsoku/>
        <w:wordWrap/>
        <w:overflowPunct/>
        <w:topLinePunct/>
        <w:autoSpaceDE w:val="0"/>
        <w:autoSpaceDN/>
        <w:bidi w:val="0"/>
        <w:adjustRightInd/>
        <w:snapToGrid/>
        <w:spacing w:before="0" w:after="0" w:line="560" w:lineRule="exact"/>
        <w:ind w:left="0" w:right="47" w:firstLine="0"/>
        <w:jc w:val="both"/>
        <w:rPr>
          <w:rFonts w:hint="eastAsia" w:ascii="仿宋_GB2312" w:hAnsi="仿宋_GB2312" w:eastAsia="仿宋_GB2312" w:cs="仿宋_GB2312"/>
          <w:color w:val="000000"/>
          <w:spacing w:val="0"/>
          <w:w w:val="100"/>
          <w:kern w:val="0"/>
          <w:position w:val="0"/>
          <w:sz w:val="32"/>
          <w:szCs w:val="32"/>
          <w:shd w:val="clear" w:color="auto" w:fill="auto"/>
          <w:lang w:val="en-US" w:eastAsia="zh-CN" w:bidi="ar-SA"/>
        </w:rPr>
      </w:pPr>
    </w:p>
    <w:p w14:paraId="545ACDB6">
      <w:pPr>
        <w:keepNext w:val="0"/>
        <w:keepLines w:val="0"/>
        <w:pageBreakBefore w:val="0"/>
        <w:widowControl w:val="0"/>
        <w:kinsoku/>
        <w:wordWrap/>
        <w:overflowPunct/>
        <w:topLinePunct/>
        <w:autoSpaceDE w:val="0"/>
        <w:autoSpaceDN/>
        <w:bidi w:val="0"/>
        <w:adjustRightInd/>
        <w:snapToGrid/>
        <w:spacing w:line="560" w:lineRule="exact"/>
        <w:ind w:right="47"/>
        <w:jc w:val="right"/>
        <w:rPr>
          <w:rFonts w:hint="eastAsia" w:ascii="仿宋_GB2312" w:hAnsi="仿宋_GB2312" w:eastAsia="仿宋_GB2312" w:cs="仿宋_GB2312"/>
          <w:kern w:val="0"/>
          <w:sz w:val="32"/>
          <w:szCs w:val="32"/>
          <w:lang w:val="en-US" w:eastAsia="zh-CN"/>
        </w:rPr>
        <w:sectPr>
          <w:footerReference r:id="rId10" w:type="default"/>
          <w:pgSz w:w="11906" w:h="16838"/>
          <w:pgMar w:top="2098" w:right="1701" w:bottom="1984" w:left="1701" w:header="851" w:footer="992" w:gutter="0"/>
          <w:pgNumType w:fmt="decimal"/>
          <w:cols w:space="425" w:num="1"/>
          <w:docGrid w:type="lines" w:linePitch="312" w:charSpace="0"/>
        </w:sectPr>
      </w:pPr>
    </w:p>
    <w:p w14:paraId="2E5FD31C">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rPr>
          <w:rFonts w:hint="eastAsia" w:ascii="黑体" w:hAnsi="黑体" w:eastAsia="黑体" w:cs="黑体"/>
          <w:b w:val="0"/>
          <w:bCs w:val="0"/>
          <w:color w:val="000000"/>
          <w:spacing w:val="0"/>
          <w:w w:val="100"/>
          <w:kern w:val="2"/>
          <w:position w:val="0"/>
          <w:sz w:val="32"/>
          <w:szCs w:val="32"/>
          <w:shd w:val="clear" w:color="auto" w:fill="auto"/>
          <w:lang w:val="en-US" w:eastAsia="zh-CN" w:bidi="ar-SA"/>
        </w:rPr>
      </w:pPr>
      <w:r>
        <w:rPr>
          <w:rFonts w:hint="eastAsia" w:ascii="黑体" w:hAnsi="黑体" w:eastAsia="黑体" w:cs="黑体"/>
          <w:b w:val="0"/>
          <w:bCs w:val="0"/>
          <w:color w:val="000000"/>
          <w:spacing w:val="0"/>
          <w:w w:val="100"/>
          <w:kern w:val="2"/>
          <w:position w:val="0"/>
          <w:sz w:val="32"/>
          <w:szCs w:val="32"/>
          <w:shd w:val="clear" w:color="auto" w:fill="auto"/>
          <w:lang w:val="en-US" w:eastAsia="zh-CN" w:bidi="ar-SA"/>
        </w:rPr>
        <w:t>附件</w:t>
      </w:r>
    </w:p>
    <w:p w14:paraId="75431D6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b w:val="0"/>
          <w:bCs w:val="0"/>
          <w:color w:val="000000"/>
          <w:spacing w:val="0"/>
          <w:w w:val="100"/>
          <w:kern w:val="2"/>
          <w:position w:val="0"/>
          <w:sz w:val="44"/>
          <w:szCs w:val="44"/>
          <w:shd w:val="clear" w:color="auto" w:fill="auto"/>
          <w:lang w:val="en-US" w:eastAsia="zh-CN" w:bidi="ar-SA"/>
        </w:rPr>
      </w:pPr>
      <w:r>
        <w:rPr>
          <w:rFonts w:hint="eastAsia" w:ascii="方正小标宋_GBK" w:hAnsi="方正小标宋_GBK" w:eastAsia="方正小标宋_GBK" w:cs="方正小标宋_GBK"/>
          <w:b w:val="0"/>
          <w:bCs w:val="0"/>
          <w:color w:val="000000"/>
          <w:spacing w:val="0"/>
          <w:w w:val="100"/>
          <w:kern w:val="2"/>
          <w:position w:val="0"/>
          <w:sz w:val="44"/>
          <w:szCs w:val="44"/>
          <w:shd w:val="clear" w:color="auto" w:fill="auto"/>
          <w:lang w:val="en-US" w:eastAsia="zh-CN" w:bidi="ar-SA"/>
        </w:rPr>
        <w:t>2026年华容县高素质农民培育工作县级分配表</w:t>
      </w:r>
    </w:p>
    <w:p w14:paraId="4DBF7B8D">
      <w:pPr>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76" w:lineRule="exact"/>
        <w:ind w:left="0" w:right="0" w:firstLine="0"/>
        <w:jc w:val="center"/>
        <w:textAlignment w:val="auto"/>
        <w:rPr>
          <w:rFonts w:hint="default" w:ascii="仿宋_GB2312" w:hAnsi="仿宋_GB2312" w:eastAsia="仿宋_GB2312" w:cs="仿宋_GB2312"/>
          <w:b w:val="0"/>
          <w:bCs w:val="0"/>
          <w:color w:val="000000"/>
          <w:spacing w:val="0"/>
          <w:w w:val="100"/>
          <w:kern w:val="2"/>
          <w:position w:val="0"/>
          <w:sz w:val="32"/>
          <w:szCs w:val="32"/>
          <w:shd w:val="clear" w:color="auto" w:fill="auto"/>
          <w:lang w:val="en-US" w:eastAsia="zh-CN" w:bidi="ar-SA"/>
        </w:rPr>
      </w:pPr>
      <w:r>
        <w:rPr>
          <w:rFonts w:hint="eastAsia" w:ascii="仿宋_GB2312" w:hAnsi="仿宋_GB2312" w:eastAsia="仿宋_GB2312" w:cs="仿宋_GB2312"/>
          <w:b w:val="0"/>
          <w:bCs w:val="0"/>
          <w:color w:val="000000"/>
          <w:spacing w:val="0"/>
          <w:w w:val="100"/>
          <w:kern w:val="2"/>
          <w:position w:val="0"/>
          <w:sz w:val="32"/>
          <w:szCs w:val="32"/>
          <w:shd w:val="clear" w:color="auto" w:fill="auto"/>
          <w:lang w:val="en-US" w:eastAsia="zh-CN" w:bidi="ar-SA"/>
        </w:rPr>
        <w:t xml:space="preserve">                                                                 单位：人</w:t>
      </w:r>
    </w:p>
    <w:tbl>
      <w:tblPr>
        <w:tblStyle w:val="46"/>
        <w:tblW w:w="141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4"/>
        <w:gridCol w:w="1853"/>
        <w:gridCol w:w="2968"/>
        <w:gridCol w:w="2335"/>
        <w:gridCol w:w="2524"/>
        <w:gridCol w:w="2283"/>
      </w:tblGrid>
      <w:tr w14:paraId="53E8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2214" w:type="dxa"/>
            <w:vAlign w:val="center"/>
          </w:tcPr>
          <w:p w14:paraId="7C50FC6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培训机构</w:t>
            </w:r>
          </w:p>
        </w:tc>
        <w:tc>
          <w:tcPr>
            <w:tcW w:w="1853" w:type="dxa"/>
            <w:vAlign w:val="center"/>
          </w:tcPr>
          <w:p w14:paraId="4388B58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粮油产能提升主体培育</w:t>
            </w:r>
          </w:p>
        </w:tc>
        <w:tc>
          <w:tcPr>
            <w:tcW w:w="2968" w:type="dxa"/>
            <w:vAlign w:val="center"/>
          </w:tcPr>
          <w:p w14:paraId="581132A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重要农产品生产经营主体能力提升培育</w:t>
            </w:r>
          </w:p>
        </w:tc>
        <w:tc>
          <w:tcPr>
            <w:tcW w:w="2335" w:type="dxa"/>
            <w:vAlign w:val="center"/>
          </w:tcPr>
          <w:p w14:paraId="236102C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农机手技能提升专题培训</w:t>
            </w:r>
          </w:p>
        </w:tc>
        <w:tc>
          <w:tcPr>
            <w:tcW w:w="2524" w:type="dxa"/>
            <w:vAlign w:val="center"/>
          </w:tcPr>
          <w:p w14:paraId="7B6C905F">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数智技术应用</w:t>
            </w:r>
          </w:p>
          <w:p w14:paraId="3B2BFA77">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专题培训</w:t>
            </w:r>
          </w:p>
        </w:tc>
        <w:tc>
          <w:tcPr>
            <w:tcW w:w="2283" w:type="dxa"/>
            <w:vAlign w:val="center"/>
          </w:tcPr>
          <w:p w14:paraId="142D392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乡村建设治理</w:t>
            </w:r>
          </w:p>
          <w:p w14:paraId="144DD36F">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人才培训</w:t>
            </w:r>
          </w:p>
        </w:tc>
      </w:tr>
      <w:tr w14:paraId="3829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exact"/>
        </w:trPr>
        <w:tc>
          <w:tcPr>
            <w:tcW w:w="2214" w:type="dxa"/>
            <w:vAlign w:val="center"/>
          </w:tcPr>
          <w:p w14:paraId="5D5AED3C">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华容县农业广播电视学校</w:t>
            </w:r>
          </w:p>
        </w:tc>
        <w:tc>
          <w:tcPr>
            <w:tcW w:w="1853" w:type="dxa"/>
            <w:vAlign w:val="center"/>
          </w:tcPr>
          <w:p w14:paraId="1422370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50</w:t>
            </w:r>
          </w:p>
        </w:tc>
        <w:tc>
          <w:tcPr>
            <w:tcW w:w="2968" w:type="dxa"/>
            <w:vAlign w:val="center"/>
          </w:tcPr>
          <w:p w14:paraId="28D9E0E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p>
        </w:tc>
        <w:tc>
          <w:tcPr>
            <w:tcW w:w="2335" w:type="dxa"/>
            <w:vAlign w:val="center"/>
          </w:tcPr>
          <w:p w14:paraId="43388D5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p>
        </w:tc>
        <w:tc>
          <w:tcPr>
            <w:tcW w:w="2524" w:type="dxa"/>
            <w:vAlign w:val="center"/>
          </w:tcPr>
          <w:p w14:paraId="6B56A9C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p>
        </w:tc>
        <w:tc>
          <w:tcPr>
            <w:tcW w:w="2283" w:type="dxa"/>
            <w:vAlign w:val="center"/>
          </w:tcPr>
          <w:p w14:paraId="6125E78F">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p>
        </w:tc>
      </w:tr>
      <w:tr w14:paraId="7F08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trPr>
        <w:tc>
          <w:tcPr>
            <w:tcW w:w="2214" w:type="dxa"/>
            <w:vAlign w:val="center"/>
          </w:tcPr>
          <w:p w14:paraId="6F4F05EC">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待定一</w:t>
            </w:r>
          </w:p>
        </w:tc>
        <w:tc>
          <w:tcPr>
            <w:tcW w:w="1853" w:type="dxa"/>
            <w:vAlign w:val="center"/>
          </w:tcPr>
          <w:p w14:paraId="49D25A5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50</w:t>
            </w:r>
          </w:p>
        </w:tc>
        <w:tc>
          <w:tcPr>
            <w:tcW w:w="2968" w:type="dxa"/>
            <w:vAlign w:val="center"/>
          </w:tcPr>
          <w:p w14:paraId="2E6683C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p>
        </w:tc>
        <w:tc>
          <w:tcPr>
            <w:tcW w:w="2335" w:type="dxa"/>
            <w:vAlign w:val="center"/>
          </w:tcPr>
          <w:p w14:paraId="5C1D3DB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50</w:t>
            </w:r>
          </w:p>
        </w:tc>
        <w:tc>
          <w:tcPr>
            <w:tcW w:w="2524" w:type="dxa"/>
            <w:vAlign w:val="center"/>
          </w:tcPr>
          <w:p w14:paraId="60D627E8">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50</w:t>
            </w:r>
          </w:p>
        </w:tc>
        <w:tc>
          <w:tcPr>
            <w:tcW w:w="2283" w:type="dxa"/>
            <w:vAlign w:val="center"/>
          </w:tcPr>
          <w:p w14:paraId="30A82B67">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50</w:t>
            </w:r>
          </w:p>
        </w:tc>
      </w:tr>
      <w:tr w14:paraId="1C52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trPr>
        <w:tc>
          <w:tcPr>
            <w:tcW w:w="2214" w:type="dxa"/>
            <w:vAlign w:val="center"/>
          </w:tcPr>
          <w:p w14:paraId="0792E4C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待定二</w:t>
            </w:r>
          </w:p>
        </w:tc>
        <w:tc>
          <w:tcPr>
            <w:tcW w:w="1853" w:type="dxa"/>
            <w:vAlign w:val="center"/>
          </w:tcPr>
          <w:p w14:paraId="145C74FF">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150</w:t>
            </w:r>
          </w:p>
        </w:tc>
        <w:tc>
          <w:tcPr>
            <w:tcW w:w="2968" w:type="dxa"/>
            <w:vAlign w:val="center"/>
          </w:tcPr>
          <w:p w14:paraId="414BA08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r>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t>50</w:t>
            </w:r>
          </w:p>
        </w:tc>
        <w:tc>
          <w:tcPr>
            <w:tcW w:w="2335" w:type="dxa"/>
            <w:vAlign w:val="center"/>
          </w:tcPr>
          <w:p w14:paraId="044F135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p>
        </w:tc>
        <w:tc>
          <w:tcPr>
            <w:tcW w:w="2524" w:type="dxa"/>
            <w:vAlign w:val="center"/>
          </w:tcPr>
          <w:p w14:paraId="27174E8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p>
        </w:tc>
        <w:tc>
          <w:tcPr>
            <w:tcW w:w="2283" w:type="dxa"/>
            <w:vAlign w:val="center"/>
          </w:tcPr>
          <w:p w14:paraId="35B5A30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p>
        </w:tc>
      </w:tr>
      <w:tr w14:paraId="630F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trPr>
        <w:tc>
          <w:tcPr>
            <w:tcW w:w="2214" w:type="dxa"/>
            <w:vAlign w:val="center"/>
          </w:tcPr>
          <w:p w14:paraId="5A25335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p>
        </w:tc>
        <w:tc>
          <w:tcPr>
            <w:tcW w:w="1853" w:type="dxa"/>
            <w:vAlign w:val="center"/>
          </w:tcPr>
          <w:p w14:paraId="4E1B5C95">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p>
        </w:tc>
        <w:tc>
          <w:tcPr>
            <w:tcW w:w="2968" w:type="dxa"/>
            <w:vAlign w:val="center"/>
          </w:tcPr>
          <w:p w14:paraId="366CB78F">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eastAsia"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p>
        </w:tc>
        <w:tc>
          <w:tcPr>
            <w:tcW w:w="2335" w:type="dxa"/>
            <w:vAlign w:val="center"/>
          </w:tcPr>
          <w:p w14:paraId="6AC4965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p>
        </w:tc>
        <w:tc>
          <w:tcPr>
            <w:tcW w:w="2524" w:type="dxa"/>
            <w:vAlign w:val="center"/>
          </w:tcPr>
          <w:p w14:paraId="62E85B9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p>
        </w:tc>
        <w:tc>
          <w:tcPr>
            <w:tcW w:w="2283" w:type="dxa"/>
            <w:vAlign w:val="center"/>
          </w:tcPr>
          <w:p w14:paraId="71A59AA7">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ascii="仿宋_GB2312" w:hAnsi="仿宋_GB2312" w:eastAsia="仿宋_GB2312" w:cs="仿宋_GB2312"/>
                <w:b w:val="0"/>
                <w:bCs w:val="0"/>
                <w:color w:val="000000"/>
                <w:spacing w:val="0"/>
                <w:w w:val="100"/>
                <w:kern w:val="2"/>
                <w:position w:val="0"/>
                <w:sz w:val="28"/>
                <w:szCs w:val="28"/>
                <w:shd w:val="clear" w:color="auto" w:fill="auto"/>
                <w:vertAlign w:val="baseline"/>
                <w:lang w:val="en-US" w:eastAsia="zh-CN" w:bidi="ar-SA"/>
              </w:rPr>
            </w:pPr>
          </w:p>
        </w:tc>
      </w:tr>
    </w:tbl>
    <w:p w14:paraId="74886583">
      <w:pPr>
        <w:keepNext w:val="0"/>
        <w:keepLines/>
        <w:pageBreakBefore w:val="0"/>
        <w:widowControl/>
        <w:shd w:val="clear" w:color="auto" w:fill="auto"/>
        <w:kinsoku/>
        <w:wordWrap/>
        <w:overflowPunct/>
        <w:topLinePunct w:val="0"/>
        <w:autoSpaceDE/>
        <w:autoSpaceDN/>
        <w:bidi w:val="0"/>
        <w:adjustRightInd/>
        <w:snapToGrid/>
        <w:spacing w:before="0" w:after="0" w:line="300" w:lineRule="exact"/>
        <w:ind w:left="0" w:right="0" w:firstLine="0" w:firstLineChars="0"/>
        <w:jc w:val="both"/>
        <w:textAlignment w:val="auto"/>
        <w:rPr>
          <w:rFonts w:hint="eastAsia" w:ascii="楷体_GB2312" w:hAnsi="楷体_GB2312" w:eastAsia="楷体_GB2312" w:cs="楷体_GB2312"/>
          <w:color w:val="000000"/>
          <w:spacing w:val="0"/>
          <w:w w:val="100"/>
          <w:kern w:val="2"/>
          <w:position w:val="0"/>
          <w:sz w:val="28"/>
          <w:szCs w:val="28"/>
          <w:highlight w:val="none"/>
          <w:shd w:val="clear" w:color="auto" w:fill="auto"/>
          <w:lang w:eastAsia="zh-CN" w:bidi="ar-SA"/>
        </w:rPr>
      </w:pPr>
      <w:r>
        <w:rPr>
          <w:rFonts w:hint="eastAsia" w:ascii="楷体_GB2312" w:hAnsi="楷体_GB2312" w:eastAsia="楷体_GB2312" w:cs="楷体_GB2312"/>
          <w:color w:val="000000"/>
          <w:spacing w:val="0"/>
          <w:w w:val="100"/>
          <w:kern w:val="2"/>
          <w:position w:val="0"/>
          <w:sz w:val="28"/>
          <w:szCs w:val="28"/>
          <w:highlight w:val="none"/>
          <w:shd w:val="clear" w:color="auto" w:fill="auto"/>
          <w:lang w:eastAsia="zh-CN" w:bidi="ar-SA"/>
        </w:rPr>
        <w:t>备注：</w:t>
      </w:r>
    </w:p>
    <w:p w14:paraId="08C6EC11">
      <w:pPr>
        <w:keepNext w:val="0"/>
        <w:keepLines/>
        <w:pageBreakBefore w:val="0"/>
        <w:widowControl w:val="0"/>
        <w:shd w:val="clear" w:color="auto" w:fill="auto"/>
        <w:kinsoku/>
        <w:wordWrap/>
        <w:overflowPunct/>
        <w:topLinePunct w:val="0"/>
        <w:autoSpaceDE/>
        <w:autoSpaceDN/>
        <w:bidi w:val="0"/>
        <w:adjustRightInd/>
        <w:snapToGrid/>
        <w:spacing w:before="0" w:beforeAutospacing="0" w:after="0" w:afterAutospacing="0" w:line="300" w:lineRule="exact"/>
        <w:ind w:left="0" w:right="0" w:firstLine="596" w:firstLineChars="200"/>
        <w:jc w:val="left"/>
        <w:textAlignment w:val="auto"/>
        <w:rPr>
          <w:rFonts w:hint="eastAsia" w:ascii="楷体_GB2312" w:hAnsi="楷体_GB2312" w:eastAsia="楷体_GB2312" w:cs="楷体_GB2312"/>
          <w:color w:val="000000"/>
          <w:spacing w:val="0"/>
          <w:w w:val="100"/>
          <w:kern w:val="2"/>
          <w:position w:val="0"/>
          <w:sz w:val="28"/>
          <w:szCs w:val="28"/>
          <w:highlight w:val="none"/>
          <w:shd w:val="clear" w:color="auto" w:fill="auto"/>
          <w:lang w:val="en-US" w:eastAsia="zh-CN" w:bidi="ar-SA"/>
        </w:rPr>
      </w:pPr>
      <w:r>
        <w:rPr>
          <w:rFonts w:hint="eastAsia" w:ascii="楷体_GB2312" w:hAnsi="楷体_GB2312" w:eastAsia="楷体_GB2312" w:cs="楷体_GB2312"/>
          <w:color w:val="000000"/>
          <w:spacing w:val="9"/>
          <w:w w:val="100"/>
          <w:kern w:val="2"/>
          <w:position w:val="0"/>
          <w:sz w:val="28"/>
          <w:szCs w:val="28"/>
          <w:highlight w:val="none"/>
          <w:shd w:val="clear" w:color="auto" w:fill="auto"/>
          <w:lang w:eastAsia="zh-CN" w:bidi="ar-SA"/>
        </w:rPr>
        <w:t>1</w:t>
      </w:r>
      <w:r>
        <w:rPr>
          <w:rFonts w:hint="eastAsia" w:ascii="楷体_GB2312" w:hAnsi="楷体_GB2312" w:eastAsia="楷体_GB2312" w:cs="楷体_GB2312"/>
          <w:color w:val="000000"/>
          <w:spacing w:val="9"/>
          <w:w w:val="100"/>
          <w:kern w:val="2"/>
          <w:position w:val="0"/>
          <w:sz w:val="28"/>
          <w:szCs w:val="28"/>
          <w:highlight w:val="none"/>
          <w:shd w:val="clear" w:color="auto" w:fill="auto"/>
          <w:lang w:val="en-US" w:eastAsia="zh-CN" w:bidi="ar-SA"/>
        </w:rPr>
        <w:t>.</w:t>
      </w:r>
      <w:r>
        <w:rPr>
          <w:rFonts w:hint="eastAsia" w:ascii="楷体_GB2312" w:hAnsi="楷体_GB2312" w:eastAsia="楷体_GB2312" w:cs="楷体_GB2312"/>
          <w:color w:val="000000"/>
          <w:spacing w:val="9"/>
          <w:w w:val="100"/>
          <w:kern w:val="2"/>
          <w:position w:val="0"/>
          <w:sz w:val="28"/>
          <w:szCs w:val="28"/>
          <w:highlight w:val="none"/>
          <w:shd w:val="clear" w:color="auto" w:fill="auto"/>
          <w:lang w:eastAsia="zh-CN" w:bidi="ar-SA"/>
        </w:rPr>
        <w:t>培训机构通过挂网公示，采取竞争性磋商确定。</w:t>
      </w:r>
    </w:p>
    <w:p w14:paraId="485C4B26">
      <w:pPr>
        <w:keepNext w:val="0"/>
        <w:keepLines/>
        <w:pageBreakBefore w:val="0"/>
        <w:widowControl w:val="0"/>
        <w:shd w:val="clear" w:color="auto" w:fill="auto"/>
        <w:kinsoku/>
        <w:wordWrap/>
        <w:overflowPunct/>
        <w:topLinePunct w:val="0"/>
        <w:autoSpaceDE/>
        <w:autoSpaceDN/>
        <w:bidi w:val="0"/>
        <w:adjustRightInd/>
        <w:snapToGrid/>
        <w:spacing w:before="0" w:after="0" w:line="300" w:lineRule="exact"/>
        <w:ind w:left="0" w:right="0" w:firstLine="572" w:firstLineChars="200"/>
        <w:jc w:val="left"/>
        <w:textAlignment w:val="auto"/>
        <w:rPr>
          <w:rFonts w:hint="eastAsia" w:ascii="楷体_GB2312" w:hAnsi="楷体_GB2312" w:eastAsia="楷体_GB2312" w:cs="楷体_GB2312"/>
          <w:color w:val="000000"/>
          <w:spacing w:val="3"/>
          <w:w w:val="100"/>
          <w:kern w:val="2"/>
          <w:position w:val="0"/>
          <w:sz w:val="28"/>
          <w:szCs w:val="28"/>
          <w:highlight w:val="none"/>
          <w:shd w:val="clear" w:color="auto" w:fill="auto"/>
          <w:lang w:val="en-US" w:eastAsia="zh-CN" w:bidi="ar-SA"/>
        </w:rPr>
      </w:pPr>
      <w:r>
        <w:rPr>
          <w:rFonts w:hint="eastAsia" w:ascii="楷体_GB2312" w:hAnsi="楷体_GB2312" w:eastAsia="楷体_GB2312" w:cs="楷体_GB2312"/>
          <w:color w:val="000000"/>
          <w:spacing w:val="3"/>
          <w:w w:val="100"/>
          <w:kern w:val="2"/>
          <w:position w:val="0"/>
          <w:sz w:val="28"/>
          <w:szCs w:val="28"/>
          <w:highlight w:val="none"/>
          <w:shd w:val="clear" w:color="auto" w:fill="auto"/>
          <w:lang w:val="en-US" w:eastAsia="en-US" w:bidi="ar-SA"/>
        </w:rPr>
        <w:t>2</w:t>
      </w:r>
      <w:r>
        <w:rPr>
          <w:rFonts w:hint="eastAsia" w:ascii="楷体_GB2312" w:hAnsi="楷体_GB2312" w:eastAsia="楷体_GB2312" w:cs="楷体_GB2312"/>
          <w:color w:val="000000"/>
          <w:spacing w:val="3"/>
          <w:w w:val="100"/>
          <w:kern w:val="2"/>
          <w:position w:val="0"/>
          <w:sz w:val="28"/>
          <w:szCs w:val="28"/>
          <w:highlight w:val="none"/>
          <w:shd w:val="clear" w:color="auto" w:fill="auto"/>
          <w:lang w:val="en-US" w:eastAsia="zh-CN" w:bidi="ar-SA"/>
        </w:rPr>
        <w:t>.</w:t>
      </w:r>
      <w:r>
        <w:rPr>
          <w:rFonts w:hint="eastAsia" w:ascii="楷体_GB2312" w:hAnsi="楷体_GB2312" w:eastAsia="楷体_GB2312" w:cs="楷体_GB2312"/>
          <w:color w:val="000000"/>
          <w:spacing w:val="3"/>
          <w:w w:val="100"/>
          <w:kern w:val="2"/>
          <w:position w:val="0"/>
          <w:sz w:val="28"/>
          <w:szCs w:val="28"/>
          <w:highlight w:val="none"/>
          <w:shd w:val="clear" w:color="auto" w:fill="auto"/>
          <w:lang w:val="en-US" w:eastAsia="en-US" w:bidi="ar-SA"/>
        </w:rPr>
        <w:t>培育专项资金补助标准：</w:t>
      </w:r>
      <w:r>
        <w:rPr>
          <w:rFonts w:hint="eastAsia" w:ascii="楷体_GB2312" w:hAnsi="楷体_GB2312" w:eastAsia="楷体_GB2312" w:cs="楷体_GB2312"/>
          <w:b w:val="0"/>
          <w:bCs w:val="0"/>
          <w:color w:val="000000"/>
          <w:spacing w:val="0"/>
          <w:w w:val="100"/>
          <w:kern w:val="2"/>
          <w:position w:val="0"/>
          <w:sz w:val="28"/>
          <w:szCs w:val="28"/>
          <w:highlight w:val="none"/>
          <w:shd w:val="clear" w:color="auto" w:fill="auto"/>
          <w:vertAlign w:val="baseline"/>
          <w:lang w:val="en-US" w:eastAsia="zh-CN" w:bidi="ar-SA"/>
        </w:rPr>
        <w:t>粮油产能提升主体培育</w:t>
      </w:r>
      <w:r>
        <w:rPr>
          <w:rFonts w:hint="eastAsia" w:ascii="楷体_GB2312" w:hAnsi="楷体_GB2312" w:eastAsia="楷体_GB2312" w:cs="楷体_GB2312"/>
          <w:color w:val="000000"/>
          <w:spacing w:val="3"/>
          <w:w w:val="100"/>
          <w:kern w:val="2"/>
          <w:position w:val="0"/>
          <w:sz w:val="28"/>
          <w:szCs w:val="28"/>
          <w:highlight w:val="none"/>
          <w:shd w:val="clear" w:color="auto" w:fill="auto"/>
          <w:lang w:val="en-US" w:eastAsia="zh-CN" w:bidi="ar-SA"/>
        </w:rPr>
        <w:t>2800</w:t>
      </w:r>
      <w:r>
        <w:rPr>
          <w:rFonts w:hint="eastAsia" w:ascii="楷体_GB2312" w:hAnsi="楷体_GB2312" w:eastAsia="楷体_GB2312" w:cs="楷体_GB2312"/>
          <w:color w:val="000000"/>
          <w:spacing w:val="3"/>
          <w:w w:val="100"/>
          <w:kern w:val="2"/>
          <w:position w:val="0"/>
          <w:sz w:val="28"/>
          <w:szCs w:val="28"/>
          <w:highlight w:val="none"/>
          <w:shd w:val="clear" w:color="auto" w:fill="auto"/>
          <w:lang w:val="en-US" w:eastAsia="en-US" w:bidi="ar-SA"/>
        </w:rPr>
        <w:t>元/人；</w:t>
      </w:r>
      <w:r>
        <w:rPr>
          <w:rFonts w:hint="eastAsia" w:ascii="楷体_GB2312" w:hAnsi="楷体_GB2312" w:eastAsia="楷体_GB2312" w:cs="楷体_GB2312"/>
          <w:b w:val="0"/>
          <w:bCs w:val="0"/>
          <w:color w:val="000000"/>
          <w:spacing w:val="0"/>
          <w:w w:val="100"/>
          <w:kern w:val="2"/>
          <w:position w:val="0"/>
          <w:sz w:val="28"/>
          <w:szCs w:val="28"/>
          <w:highlight w:val="none"/>
          <w:shd w:val="clear" w:color="auto" w:fill="auto"/>
          <w:vertAlign w:val="baseline"/>
          <w:lang w:val="en-US" w:eastAsia="zh-CN" w:bidi="ar-SA"/>
        </w:rPr>
        <w:t>重要农产品生产经营主体能力提升培育</w:t>
      </w:r>
      <w:r>
        <w:rPr>
          <w:rFonts w:hint="eastAsia" w:ascii="楷体_GB2312" w:hAnsi="楷体_GB2312" w:eastAsia="楷体_GB2312" w:cs="楷体_GB2312"/>
          <w:color w:val="000000"/>
          <w:spacing w:val="3"/>
          <w:w w:val="100"/>
          <w:kern w:val="2"/>
          <w:position w:val="0"/>
          <w:sz w:val="28"/>
          <w:szCs w:val="28"/>
          <w:highlight w:val="none"/>
          <w:shd w:val="clear" w:color="auto" w:fill="auto"/>
          <w:lang w:val="en-US" w:eastAsia="zh-CN" w:bidi="ar-SA"/>
        </w:rPr>
        <w:t>2800</w:t>
      </w:r>
      <w:r>
        <w:rPr>
          <w:rFonts w:hint="eastAsia" w:ascii="楷体_GB2312" w:hAnsi="楷体_GB2312" w:eastAsia="楷体_GB2312" w:cs="楷体_GB2312"/>
          <w:color w:val="000000"/>
          <w:spacing w:val="19"/>
          <w:w w:val="100"/>
          <w:kern w:val="2"/>
          <w:position w:val="0"/>
          <w:sz w:val="28"/>
          <w:szCs w:val="28"/>
          <w:highlight w:val="none"/>
          <w:shd w:val="clear" w:color="auto" w:fill="auto"/>
          <w:lang w:val="en-US" w:eastAsia="en-US" w:bidi="ar-SA"/>
        </w:rPr>
        <w:t>元/人；</w:t>
      </w:r>
      <w:r>
        <w:rPr>
          <w:rFonts w:hint="eastAsia" w:ascii="楷体_GB2312" w:hAnsi="楷体_GB2312" w:eastAsia="楷体_GB2312" w:cs="楷体_GB2312"/>
          <w:b w:val="0"/>
          <w:bCs w:val="0"/>
          <w:color w:val="000000"/>
          <w:spacing w:val="0"/>
          <w:w w:val="100"/>
          <w:kern w:val="2"/>
          <w:position w:val="0"/>
          <w:sz w:val="28"/>
          <w:szCs w:val="28"/>
          <w:highlight w:val="none"/>
          <w:shd w:val="clear" w:color="auto" w:fill="auto"/>
          <w:vertAlign w:val="baseline"/>
          <w:lang w:val="en-US" w:eastAsia="zh-CN" w:bidi="ar-SA"/>
        </w:rPr>
        <w:t>农机手技能提升专题培训</w:t>
      </w:r>
      <w:r>
        <w:rPr>
          <w:rFonts w:hint="eastAsia" w:ascii="楷体_GB2312" w:hAnsi="楷体_GB2312" w:eastAsia="楷体_GB2312" w:cs="楷体_GB2312"/>
          <w:color w:val="000000"/>
          <w:spacing w:val="19"/>
          <w:w w:val="100"/>
          <w:kern w:val="2"/>
          <w:position w:val="0"/>
          <w:sz w:val="28"/>
          <w:szCs w:val="28"/>
          <w:highlight w:val="none"/>
          <w:shd w:val="clear" w:color="auto" w:fill="auto"/>
          <w:lang w:val="en-US" w:eastAsia="zh-CN" w:bidi="ar-SA"/>
        </w:rPr>
        <w:t>6000</w:t>
      </w:r>
      <w:r>
        <w:rPr>
          <w:rFonts w:hint="eastAsia" w:ascii="楷体_GB2312" w:hAnsi="楷体_GB2312" w:eastAsia="楷体_GB2312" w:cs="楷体_GB2312"/>
          <w:color w:val="000000"/>
          <w:spacing w:val="19"/>
          <w:w w:val="100"/>
          <w:kern w:val="2"/>
          <w:position w:val="0"/>
          <w:sz w:val="28"/>
          <w:szCs w:val="28"/>
          <w:highlight w:val="none"/>
          <w:shd w:val="clear" w:color="auto" w:fill="auto"/>
          <w:lang w:val="en-US" w:eastAsia="en-US" w:bidi="ar-SA"/>
        </w:rPr>
        <w:t>元/人；</w:t>
      </w:r>
      <w:r>
        <w:rPr>
          <w:rFonts w:hint="eastAsia" w:ascii="楷体_GB2312" w:hAnsi="楷体_GB2312" w:eastAsia="楷体_GB2312" w:cs="楷体_GB2312"/>
          <w:color w:val="000000"/>
          <w:spacing w:val="7"/>
          <w:w w:val="100"/>
          <w:kern w:val="2"/>
          <w:position w:val="0"/>
          <w:sz w:val="28"/>
          <w:szCs w:val="28"/>
          <w:highlight w:val="none"/>
          <w:shd w:val="clear" w:color="auto" w:fill="auto"/>
          <w:lang w:val="en-US" w:eastAsia="zh-CN" w:bidi="ar-SA"/>
        </w:rPr>
        <w:t>数智技术应用专</w:t>
      </w:r>
      <w:r>
        <w:rPr>
          <w:rFonts w:hint="eastAsia" w:ascii="楷体_GB2312" w:hAnsi="楷体_GB2312" w:eastAsia="楷体_GB2312" w:cs="楷体_GB2312"/>
          <w:b w:val="0"/>
          <w:bCs w:val="0"/>
          <w:color w:val="000000"/>
          <w:spacing w:val="0"/>
          <w:w w:val="100"/>
          <w:kern w:val="2"/>
          <w:position w:val="0"/>
          <w:sz w:val="28"/>
          <w:szCs w:val="28"/>
          <w:highlight w:val="none"/>
          <w:shd w:val="clear" w:color="auto" w:fill="auto"/>
          <w:vertAlign w:val="baseline"/>
          <w:lang w:val="en-US" w:eastAsia="zh-CN" w:bidi="ar-SA"/>
        </w:rPr>
        <w:t>题培训</w:t>
      </w:r>
      <w:r>
        <w:rPr>
          <w:rFonts w:hint="eastAsia" w:ascii="楷体_GB2312" w:hAnsi="楷体_GB2312" w:eastAsia="楷体_GB2312" w:cs="楷体_GB2312"/>
          <w:color w:val="000000"/>
          <w:spacing w:val="19"/>
          <w:w w:val="100"/>
          <w:kern w:val="2"/>
          <w:position w:val="0"/>
          <w:sz w:val="28"/>
          <w:szCs w:val="28"/>
          <w:highlight w:val="none"/>
          <w:shd w:val="clear" w:color="auto" w:fill="auto"/>
          <w:lang w:val="en-US" w:eastAsia="zh-CN" w:bidi="ar-SA"/>
        </w:rPr>
        <w:t>6000</w:t>
      </w:r>
      <w:r>
        <w:rPr>
          <w:rFonts w:hint="eastAsia" w:ascii="楷体_GB2312" w:hAnsi="楷体_GB2312" w:eastAsia="楷体_GB2312" w:cs="楷体_GB2312"/>
          <w:color w:val="000000"/>
          <w:spacing w:val="19"/>
          <w:w w:val="100"/>
          <w:kern w:val="2"/>
          <w:position w:val="0"/>
          <w:sz w:val="28"/>
          <w:szCs w:val="28"/>
          <w:highlight w:val="none"/>
          <w:shd w:val="clear" w:color="auto" w:fill="auto"/>
          <w:lang w:val="en-US" w:eastAsia="en-US" w:bidi="ar-SA"/>
        </w:rPr>
        <w:t>元/</w:t>
      </w:r>
      <w:r>
        <w:rPr>
          <w:rFonts w:hint="eastAsia" w:ascii="楷体_GB2312" w:hAnsi="楷体_GB2312" w:eastAsia="楷体_GB2312" w:cs="楷体_GB2312"/>
          <w:color w:val="000000"/>
          <w:spacing w:val="-7"/>
          <w:w w:val="100"/>
          <w:kern w:val="2"/>
          <w:position w:val="0"/>
          <w:sz w:val="28"/>
          <w:szCs w:val="28"/>
          <w:highlight w:val="none"/>
          <w:shd w:val="clear" w:color="auto" w:fill="auto"/>
          <w:lang w:val="en-US" w:eastAsia="en-US" w:bidi="ar-SA"/>
        </w:rPr>
        <w:t>人</w:t>
      </w:r>
      <w:r>
        <w:rPr>
          <w:rFonts w:hint="eastAsia" w:ascii="楷体_GB2312" w:hAnsi="楷体_GB2312" w:eastAsia="楷体_GB2312" w:cs="楷体_GB2312"/>
          <w:color w:val="000000"/>
          <w:spacing w:val="-7"/>
          <w:w w:val="100"/>
          <w:kern w:val="2"/>
          <w:position w:val="0"/>
          <w:sz w:val="28"/>
          <w:szCs w:val="28"/>
          <w:highlight w:val="none"/>
          <w:shd w:val="clear" w:color="auto" w:fill="auto"/>
          <w:lang w:val="en-US" w:eastAsia="zh-CN" w:bidi="ar-SA"/>
        </w:rPr>
        <w:t>；</w:t>
      </w:r>
      <w:r>
        <w:rPr>
          <w:rFonts w:hint="eastAsia" w:ascii="楷体_GB2312" w:hAnsi="楷体_GB2312" w:eastAsia="楷体_GB2312" w:cs="楷体_GB2312"/>
          <w:b w:val="0"/>
          <w:bCs w:val="0"/>
          <w:color w:val="000000"/>
          <w:spacing w:val="0"/>
          <w:w w:val="100"/>
          <w:kern w:val="2"/>
          <w:position w:val="0"/>
          <w:sz w:val="28"/>
          <w:szCs w:val="28"/>
          <w:highlight w:val="none"/>
          <w:shd w:val="clear" w:color="auto" w:fill="auto"/>
          <w:vertAlign w:val="baseline"/>
          <w:lang w:val="en-US" w:eastAsia="zh-CN" w:bidi="ar-SA"/>
        </w:rPr>
        <w:t>乡村建设治理人才培训</w:t>
      </w:r>
      <w:r>
        <w:rPr>
          <w:rFonts w:hint="eastAsia" w:ascii="楷体_GB2312" w:hAnsi="楷体_GB2312" w:eastAsia="楷体_GB2312" w:cs="楷体_GB2312"/>
          <w:color w:val="000000"/>
          <w:spacing w:val="3"/>
          <w:w w:val="100"/>
          <w:kern w:val="2"/>
          <w:position w:val="0"/>
          <w:sz w:val="28"/>
          <w:szCs w:val="28"/>
          <w:highlight w:val="none"/>
          <w:shd w:val="clear" w:color="auto" w:fill="auto"/>
          <w:lang w:val="en-US" w:eastAsia="zh-CN" w:bidi="ar-SA"/>
        </w:rPr>
        <w:t>2800</w:t>
      </w:r>
      <w:r>
        <w:rPr>
          <w:rFonts w:hint="eastAsia" w:ascii="楷体_GB2312" w:hAnsi="楷体_GB2312" w:eastAsia="楷体_GB2312" w:cs="楷体_GB2312"/>
          <w:color w:val="000000"/>
          <w:spacing w:val="3"/>
          <w:w w:val="100"/>
          <w:kern w:val="2"/>
          <w:position w:val="0"/>
          <w:sz w:val="28"/>
          <w:szCs w:val="28"/>
          <w:highlight w:val="none"/>
          <w:shd w:val="clear" w:color="auto" w:fill="auto"/>
          <w:lang w:val="en-US" w:eastAsia="en-US" w:bidi="ar-SA"/>
        </w:rPr>
        <w:t>元/人</w:t>
      </w:r>
      <w:r>
        <w:rPr>
          <w:rFonts w:hint="eastAsia" w:ascii="楷体_GB2312" w:hAnsi="楷体_GB2312" w:eastAsia="楷体_GB2312" w:cs="楷体_GB2312"/>
          <w:color w:val="000000"/>
          <w:spacing w:val="3"/>
          <w:w w:val="100"/>
          <w:kern w:val="2"/>
          <w:position w:val="0"/>
          <w:sz w:val="28"/>
          <w:szCs w:val="28"/>
          <w:highlight w:val="none"/>
          <w:shd w:val="clear" w:color="auto" w:fill="auto"/>
          <w:lang w:val="en-US" w:eastAsia="zh-CN" w:bidi="ar-SA"/>
        </w:rPr>
        <w:t>。</w:t>
      </w:r>
    </w:p>
    <w:p w14:paraId="0A1E28F6">
      <w:pPr>
        <w:keepNext w:val="0"/>
        <w:keepLines/>
        <w:pageBreakBefore w:val="0"/>
        <w:widowControl w:val="0"/>
        <w:shd w:val="clear" w:color="auto" w:fill="auto"/>
        <w:kinsoku/>
        <w:wordWrap/>
        <w:overflowPunct/>
        <w:topLinePunct w:val="0"/>
        <w:autoSpaceDE/>
        <w:autoSpaceDN/>
        <w:bidi w:val="0"/>
        <w:adjustRightInd/>
        <w:snapToGrid/>
        <w:spacing w:before="0" w:after="0" w:line="300" w:lineRule="exact"/>
        <w:ind w:left="0" w:right="0" w:firstLine="600" w:firstLineChars="200"/>
        <w:jc w:val="left"/>
        <w:textAlignment w:val="auto"/>
        <w:rPr>
          <w:rFonts w:hint="eastAsia" w:ascii="楷体_GB2312" w:hAnsi="楷体_GB2312" w:eastAsia="楷体_GB2312" w:cs="楷体_GB2312"/>
          <w:color w:val="000000"/>
          <w:spacing w:val="8"/>
          <w:w w:val="100"/>
          <w:kern w:val="2"/>
          <w:position w:val="0"/>
          <w:sz w:val="28"/>
          <w:szCs w:val="28"/>
          <w:highlight w:val="none"/>
          <w:shd w:val="clear" w:color="auto" w:fill="auto"/>
          <w:lang w:val="en-US" w:eastAsia="en-US" w:bidi="ar-SA"/>
        </w:rPr>
      </w:pPr>
      <w:r>
        <w:rPr>
          <w:rFonts w:hint="eastAsia" w:ascii="楷体_GB2312" w:hAnsi="楷体_GB2312" w:eastAsia="楷体_GB2312" w:cs="楷体_GB2312"/>
          <w:color w:val="000000"/>
          <w:spacing w:val="10"/>
          <w:w w:val="100"/>
          <w:kern w:val="2"/>
          <w:position w:val="0"/>
          <w:sz w:val="28"/>
          <w:szCs w:val="28"/>
          <w:highlight w:val="none"/>
          <w:shd w:val="clear" w:color="auto" w:fill="auto"/>
          <w:lang w:val="en-US" w:eastAsia="en-US" w:bidi="ar-SA"/>
        </w:rPr>
        <w:t>3</w:t>
      </w:r>
      <w:r>
        <w:rPr>
          <w:rFonts w:hint="eastAsia" w:ascii="楷体_GB2312" w:hAnsi="楷体_GB2312" w:eastAsia="楷体_GB2312" w:cs="楷体_GB2312"/>
          <w:color w:val="000000"/>
          <w:spacing w:val="10"/>
          <w:w w:val="100"/>
          <w:kern w:val="2"/>
          <w:position w:val="0"/>
          <w:sz w:val="28"/>
          <w:szCs w:val="28"/>
          <w:highlight w:val="none"/>
          <w:shd w:val="clear" w:color="auto" w:fill="auto"/>
          <w:lang w:val="en-US" w:eastAsia="zh-CN" w:bidi="ar-SA"/>
        </w:rPr>
        <w:t>.</w:t>
      </w:r>
      <w:r>
        <w:rPr>
          <w:rFonts w:hint="eastAsia" w:ascii="楷体_GB2312" w:hAnsi="楷体_GB2312" w:eastAsia="楷体_GB2312" w:cs="楷体_GB2312"/>
          <w:color w:val="000000"/>
          <w:spacing w:val="-92"/>
          <w:w w:val="100"/>
          <w:kern w:val="2"/>
          <w:position w:val="0"/>
          <w:sz w:val="28"/>
          <w:szCs w:val="28"/>
          <w:highlight w:val="none"/>
          <w:shd w:val="clear" w:color="auto" w:fill="auto"/>
          <w:lang w:val="en-US" w:eastAsia="en-US" w:bidi="ar-SA"/>
        </w:rPr>
        <w:t xml:space="preserve"> </w:t>
      </w:r>
      <w:r>
        <w:rPr>
          <w:rFonts w:hint="eastAsia" w:ascii="楷体_GB2312" w:hAnsi="楷体_GB2312" w:eastAsia="楷体_GB2312" w:cs="楷体_GB2312"/>
          <w:color w:val="000000"/>
          <w:spacing w:val="8"/>
          <w:w w:val="100"/>
          <w:kern w:val="2"/>
          <w:position w:val="0"/>
          <w:sz w:val="28"/>
          <w:szCs w:val="28"/>
          <w:highlight w:val="none"/>
          <w:shd w:val="clear" w:color="auto" w:fill="auto"/>
          <w:lang w:val="en-US" w:eastAsia="en-US" w:bidi="ar-SA"/>
        </w:rPr>
        <w:t>培训班严禁悬挂其它培训标志。培训标识统一为：</w:t>
      </w:r>
    </w:p>
    <w:p w14:paraId="378DD4F6">
      <w:pPr>
        <w:keepNext w:val="0"/>
        <w:keepLines/>
        <w:pageBreakBefore w:val="0"/>
        <w:widowControl w:val="0"/>
        <w:shd w:val="clear" w:color="auto" w:fill="auto"/>
        <w:kinsoku/>
        <w:wordWrap/>
        <w:overflowPunct/>
        <w:topLinePunct w:val="0"/>
        <w:autoSpaceDE/>
        <w:autoSpaceDN/>
        <w:bidi w:val="0"/>
        <w:adjustRightInd/>
        <w:snapToGrid/>
        <w:spacing w:before="0" w:after="0" w:line="300" w:lineRule="exact"/>
        <w:ind w:left="0" w:right="0" w:firstLine="560" w:firstLineChars="200"/>
        <w:jc w:val="left"/>
        <w:textAlignment w:val="auto"/>
        <w:rPr>
          <w:rFonts w:hint="eastAsia" w:ascii="楷体_GB2312" w:hAnsi="楷体_GB2312" w:eastAsia="楷体_GB2312" w:cs="楷体_GB2312"/>
          <w:color w:val="000000"/>
          <w:spacing w:val="0"/>
          <w:w w:val="100"/>
          <w:kern w:val="2"/>
          <w:position w:val="0"/>
          <w:sz w:val="28"/>
          <w:szCs w:val="28"/>
          <w:highlight w:val="none"/>
          <w:shd w:val="clear" w:color="auto" w:fill="auto"/>
          <w:lang w:val="en-US" w:eastAsia="zh-CN" w:bidi="zh-CN"/>
        </w:rPr>
      </w:pPr>
      <w:r>
        <w:rPr>
          <w:rFonts w:hint="eastAsia" w:ascii="楷体_GB2312" w:hAnsi="楷体_GB2312" w:eastAsia="楷体_GB2312" w:cs="楷体_GB2312"/>
          <w:color w:val="000000"/>
          <w:spacing w:val="0"/>
          <w:w w:val="100"/>
          <w:kern w:val="2"/>
          <w:position w:val="0"/>
          <w:sz w:val="28"/>
          <w:szCs w:val="28"/>
          <w:highlight w:val="none"/>
          <w:shd w:val="clear" w:color="auto" w:fill="auto"/>
          <w:lang w:val="en-US" w:eastAsia="zh-CN" w:bidi="zh-CN"/>
        </w:rPr>
        <w:t>XX年湖南省高素质农民培育XX县市区（市州）XX培育班</w:t>
      </w:r>
    </w:p>
    <w:p w14:paraId="5A2849D1">
      <w:pPr>
        <w:keepNext w:val="0"/>
        <w:keepLines/>
        <w:pageBreakBefore w:val="0"/>
        <w:widowControl w:val="0"/>
        <w:shd w:val="clear" w:color="auto" w:fill="auto"/>
        <w:kinsoku/>
        <w:wordWrap/>
        <w:overflowPunct/>
        <w:topLinePunct w:val="0"/>
        <w:autoSpaceDE/>
        <w:autoSpaceDN/>
        <w:bidi w:val="0"/>
        <w:adjustRightInd/>
        <w:snapToGrid/>
        <w:spacing w:before="0" w:after="0" w:line="300" w:lineRule="exact"/>
        <w:ind w:left="0" w:right="0" w:firstLine="556" w:firstLineChars="200"/>
        <w:jc w:val="both"/>
        <w:textAlignment w:val="auto"/>
        <w:rPr>
          <w:rFonts w:hint="default" w:ascii="仿宋" w:hAnsi="仿宋" w:eastAsia="仿宋" w:cs="仿宋"/>
          <w:color w:val="000000"/>
          <w:spacing w:val="0"/>
          <w:w w:val="100"/>
          <w:kern w:val="2"/>
          <w:position w:val="0"/>
          <w:sz w:val="31"/>
          <w:szCs w:val="31"/>
          <w:shd w:val="clear" w:color="auto" w:fill="auto"/>
          <w:lang w:val="en-US" w:eastAsia="zh-CN" w:bidi="ar-SA"/>
        </w:rPr>
      </w:pPr>
      <w:r>
        <w:rPr>
          <w:rFonts w:hint="eastAsia" w:ascii="楷体_GB2312" w:hAnsi="楷体_GB2312" w:eastAsia="楷体_GB2312" w:cs="楷体_GB2312"/>
          <w:color w:val="000000"/>
          <w:spacing w:val="-1"/>
          <w:w w:val="100"/>
          <w:kern w:val="2"/>
          <w:position w:val="0"/>
          <w:sz w:val="28"/>
          <w:szCs w:val="28"/>
          <w:highlight w:val="none"/>
          <w:shd w:val="clear" w:color="auto" w:fill="auto"/>
          <w:lang w:val="en-US" w:eastAsia="en-US" w:bidi="ar-SA"/>
        </w:rPr>
        <w:t>承办单位：××××</w:t>
      </w:r>
    </w:p>
    <w:p w14:paraId="37D0B2B2">
      <w:pPr>
        <w:keepNext w:val="0"/>
        <w:keepLines w:val="0"/>
        <w:shd w:val="clear" w:color="auto" w:fill="auto"/>
        <w:bidi w:val="0"/>
        <w:spacing w:before="0" w:after="0" w:line="240" w:lineRule="auto"/>
        <w:ind w:left="0" w:right="0" w:firstLine="0"/>
        <w:jc w:val="left"/>
        <w:rPr>
          <w:rFonts w:hint="default" w:eastAsia="Times New Roman"/>
          <w:color w:val="000000"/>
          <w:spacing w:val="0"/>
          <w:w w:val="100"/>
          <w:kern w:val="0"/>
          <w:position w:val="0"/>
          <w:sz w:val="24"/>
          <w:shd w:val="clear" w:color="auto" w:fill="auto"/>
          <w:lang w:val="en-US" w:eastAsia="zh-CN" w:bidi="en-US"/>
        </w:rPr>
      </w:pPr>
    </w:p>
    <w:p w14:paraId="5480407D">
      <w:pPr>
        <w:keepLines w:val="0"/>
        <w:pageBreakBefore w:val="0"/>
        <w:widowControl w:val="0"/>
        <w:kinsoku/>
        <w:wordWrap/>
        <w:overflowPunct/>
        <w:topLinePunct w:val="0"/>
        <w:autoSpaceDE/>
        <w:autoSpaceDN/>
        <w:bidi w:val="0"/>
        <w:spacing w:beforeAutospacing="0" w:afterAutospacing="0" w:line="500" w:lineRule="exact"/>
        <w:jc w:val="center"/>
        <w:textAlignment w:val="auto"/>
        <w:outlineLvl w:val="0"/>
        <w:rPr>
          <w:rFonts w:hint="eastAsia" w:ascii="宋体" w:hAnsi="宋体" w:cs="宋体"/>
          <w:b/>
          <w:bCs/>
          <w:sz w:val="32"/>
          <w:szCs w:val="32"/>
          <w:lang w:eastAsia="zh-CN"/>
        </w:rPr>
      </w:pPr>
    </w:p>
    <w:p w14:paraId="6A118951">
      <w:pPr>
        <w:keepLines w:val="0"/>
        <w:pageBreakBefore w:val="0"/>
        <w:widowControl w:val="0"/>
        <w:kinsoku/>
        <w:wordWrap/>
        <w:overflowPunct/>
        <w:topLinePunct w:val="0"/>
        <w:autoSpaceDE/>
        <w:autoSpaceDN/>
        <w:bidi w:val="0"/>
        <w:spacing w:beforeAutospacing="0" w:afterAutospacing="0" w:line="500" w:lineRule="exact"/>
        <w:jc w:val="center"/>
        <w:textAlignment w:val="auto"/>
        <w:outlineLvl w:val="0"/>
        <w:rPr>
          <w:rFonts w:hint="eastAsia" w:ascii="宋体" w:hAnsi="宋体" w:cs="宋体"/>
          <w:b/>
          <w:bCs/>
          <w:sz w:val="32"/>
          <w:szCs w:val="32"/>
          <w:lang w:eastAsia="zh-CN"/>
        </w:rPr>
      </w:pPr>
    </w:p>
    <w:p w14:paraId="4A4792B6">
      <w:pPr>
        <w:keepLines w:val="0"/>
        <w:pageBreakBefore w:val="0"/>
        <w:widowControl w:val="0"/>
        <w:kinsoku/>
        <w:wordWrap/>
        <w:overflowPunct/>
        <w:topLinePunct w:val="0"/>
        <w:autoSpaceDE/>
        <w:autoSpaceDN/>
        <w:bidi w:val="0"/>
        <w:spacing w:beforeAutospacing="0" w:afterAutospacing="0" w:line="500" w:lineRule="exact"/>
        <w:jc w:val="center"/>
        <w:textAlignment w:val="auto"/>
        <w:outlineLvl w:val="0"/>
        <w:rPr>
          <w:rFonts w:hint="eastAsia" w:ascii="宋体" w:hAnsi="宋体" w:cs="宋体"/>
          <w:b/>
          <w:bCs/>
          <w:sz w:val="32"/>
          <w:szCs w:val="32"/>
          <w:lang w:eastAsia="zh-CN"/>
        </w:rPr>
      </w:pPr>
    </w:p>
    <w:p w14:paraId="7B8AA89F">
      <w:pPr>
        <w:keepLines w:val="0"/>
        <w:pageBreakBefore w:val="0"/>
        <w:widowControl w:val="0"/>
        <w:kinsoku/>
        <w:wordWrap/>
        <w:overflowPunct/>
        <w:topLinePunct w:val="0"/>
        <w:autoSpaceDE/>
        <w:autoSpaceDN/>
        <w:bidi w:val="0"/>
        <w:spacing w:beforeAutospacing="0" w:afterAutospacing="0" w:line="500" w:lineRule="exact"/>
        <w:jc w:val="center"/>
        <w:textAlignment w:val="auto"/>
        <w:outlineLvl w:val="0"/>
        <w:rPr>
          <w:rFonts w:hint="eastAsia" w:ascii="宋体" w:hAnsi="宋体" w:cs="宋体"/>
          <w:b/>
          <w:bCs/>
          <w:sz w:val="32"/>
          <w:szCs w:val="32"/>
          <w:lang w:eastAsia="zh-CN"/>
        </w:rPr>
        <w:sectPr>
          <w:headerReference r:id="rId11" w:type="default"/>
          <w:footerReference r:id="rId12" w:type="default"/>
          <w:pgSz w:w="16838" w:h="11906" w:orient="landscape"/>
          <w:pgMar w:top="1417" w:right="1134" w:bottom="1417" w:left="1134" w:header="851" w:footer="992" w:gutter="0"/>
          <w:pgNumType w:fmt="decimal"/>
          <w:cols w:space="720" w:num="1"/>
          <w:rtlGutter w:val="0"/>
          <w:docGrid w:type="lines" w:linePitch="312" w:charSpace="0"/>
        </w:sectPr>
      </w:pPr>
    </w:p>
    <w:p w14:paraId="2F512DC0">
      <w:pPr>
        <w:keepLines w:val="0"/>
        <w:pageBreakBefore w:val="0"/>
        <w:widowControl w:val="0"/>
        <w:kinsoku/>
        <w:wordWrap/>
        <w:overflowPunct/>
        <w:topLinePunct w:val="0"/>
        <w:autoSpaceDE/>
        <w:autoSpaceDN/>
        <w:bidi w:val="0"/>
        <w:spacing w:beforeAutospacing="0" w:afterAutospacing="0" w:line="500" w:lineRule="exact"/>
        <w:jc w:val="center"/>
        <w:textAlignment w:val="auto"/>
        <w:outlineLvl w:val="0"/>
        <w:rPr>
          <w:rFonts w:hint="eastAsia" w:ascii="宋体" w:hAnsi="宋体" w:cs="宋体"/>
          <w:b/>
          <w:bCs/>
          <w:sz w:val="32"/>
          <w:szCs w:val="32"/>
          <w:lang w:eastAsia="zh-CN"/>
        </w:rPr>
      </w:pPr>
      <w:r>
        <w:rPr>
          <w:rFonts w:hint="eastAsia" w:ascii="宋体" w:hAnsi="宋体" w:cs="宋体"/>
          <w:b/>
          <w:bCs/>
          <w:sz w:val="32"/>
          <w:szCs w:val="32"/>
          <w:lang w:eastAsia="zh-CN"/>
        </w:rPr>
        <w:t>第六章</w:t>
      </w:r>
      <w:r>
        <w:rPr>
          <w:rFonts w:hint="eastAsia" w:ascii="宋体" w:hAnsi="宋体" w:cs="宋体"/>
          <w:b/>
          <w:bCs/>
          <w:sz w:val="32"/>
          <w:szCs w:val="32"/>
          <w:lang w:val="en-US" w:eastAsia="zh-CN"/>
        </w:rPr>
        <w:t xml:space="preserve">  </w:t>
      </w:r>
      <w:r>
        <w:rPr>
          <w:rFonts w:hint="eastAsia" w:ascii="宋体" w:hAnsi="宋体" w:cs="宋体"/>
          <w:b/>
          <w:bCs/>
          <w:sz w:val="32"/>
          <w:szCs w:val="32"/>
          <w:lang w:eastAsia="zh-CN"/>
        </w:rPr>
        <w:t>响应文件组成</w:t>
      </w:r>
      <w:bookmarkEnd w:id="11"/>
    </w:p>
    <w:p w14:paraId="1DCAF843">
      <w:pPr>
        <w:keepLines w:val="0"/>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供应商的响应文件应包含以下部分：</w:t>
      </w:r>
    </w:p>
    <w:p w14:paraId="7D98B689">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4"/>
          <w:szCs w:val="24"/>
        </w:rPr>
      </w:pPr>
      <w:bookmarkStart w:id="13" w:name="_Toc28636"/>
      <w:bookmarkStart w:id="14" w:name="_Toc25383"/>
      <w:r>
        <w:rPr>
          <w:rFonts w:hint="eastAsia" w:ascii="宋体" w:hAnsi="宋体" w:eastAsia="宋体" w:cs="宋体"/>
          <w:b/>
          <w:sz w:val="24"/>
          <w:szCs w:val="24"/>
        </w:rPr>
        <w:t>一、磋商响应声明</w:t>
      </w:r>
      <w:bookmarkEnd w:id="13"/>
      <w:bookmarkEnd w:id="14"/>
    </w:p>
    <w:p w14:paraId="47B241E8">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jc w:val="left"/>
        <w:textAlignment w:val="auto"/>
        <w:outlineLvl w:val="0"/>
        <w:rPr>
          <w:rFonts w:hint="eastAsia" w:ascii="宋体" w:hAnsi="宋体" w:eastAsia="宋体" w:cs="宋体"/>
          <w:sz w:val="24"/>
          <w:szCs w:val="24"/>
        </w:rPr>
      </w:pPr>
      <w:bookmarkStart w:id="15" w:name="_Toc5626"/>
      <w:bookmarkStart w:id="16" w:name="_Toc32334"/>
      <w:r>
        <w:rPr>
          <w:rFonts w:hint="eastAsia" w:ascii="宋体" w:hAnsi="宋体" w:eastAsia="宋体" w:cs="宋体"/>
          <w:sz w:val="24"/>
          <w:szCs w:val="24"/>
        </w:rPr>
        <w:t>附件1-1 法定代表人身份证明</w:t>
      </w:r>
      <w:bookmarkEnd w:id="15"/>
      <w:bookmarkEnd w:id="16"/>
    </w:p>
    <w:p w14:paraId="3CC14A72">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jc w:val="left"/>
        <w:textAlignment w:val="auto"/>
        <w:outlineLvl w:val="0"/>
        <w:rPr>
          <w:rFonts w:hint="eastAsia" w:ascii="宋体" w:hAnsi="宋体" w:eastAsia="宋体" w:cs="宋体"/>
          <w:sz w:val="24"/>
          <w:szCs w:val="24"/>
        </w:rPr>
      </w:pPr>
      <w:bookmarkStart w:id="17" w:name="_Toc22133"/>
      <w:bookmarkStart w:id="18" w:name="_Toc4893"/>
      <w:r>
        <w:rPr>
          <w:rFonts w:hint="eastAsia" w:ascii="宋体" w:hAnsi="宋体" w:eastAsia="宋体" w:cs="宋体"/>
          <w:sz w:val="24"/>
          <w:szCs w:val="24"/>
        </w:rPr>
        <w:t>附件1-2 法定代表人授权委托书</w:t>
      </w:r>
      <w:bookmarkEnd w:id="17"/>
      <w:bookmarkEnd w:id="18"/>
    </w:p>
    <w:p w14:paraId="44D2395A">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4"/>
          <w:szCs w:val="24"/>
        </w:rPr>
      </w:pPr>
      <w:bookmarkStart w:id="19" w:name="_Toc5338"/>
      <w:bookmarkStart w:id="20" w:name="_Toc23726"/>
      <w:r>
        <w:rPr>
          <w:rFonts w:hint="eastAsia" w:ascii="宋体" w:hAnsi="宋体" w:eastAsia="宋体" w:cs="宋体"/>
          <w:b/>
          <w:sz w:val="24"/>
          <w:szCs w:val="24"/>
        </w:rPr>
        <w:t>二、保证金</w:t>
      </w:r>
      <w:bookmarkEnd w:id="19"/>
      <w:bookmarkEnd w:id="20"/>
    </w:p>
    <w:p w14:paraId="31E86EF1">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jc w:val="left"/>
        <w:textAlignment w:val="auto"/>
        <w:outlineLvl w:val="0"/>
        <w:rPr>
          <w:rFonts w:hint="eastAsia" w:ascii="宋体" w:hAnsi="宋体" w:eastAsia="宋体" w:cs="宋体"/>
          <w:sz w:val="24"/>
          <w:szCs w:val="24"/>
          <w:lang w:val="en-US" w:eastAsia="zh-CN"/>
        </w:rPr>
      </w:pPr>
      <w:bookmarkStart w:id="21" w:name="_Toc20162"/>
      <w:bookmarkStart w:id="22" w:name="_Toc31249"/>
      <w:r>
        <w:rPr>
          <w:rFonts w:hint="eastAsia" w:ascii="宋体" w:hAnsi="宋体" w:eastAsia="宋体" w:cs="宋体"/>
          <w:sz w:val="24"/>
          <w:szCs w:val="24"/>
        </w:rPr>
        <w:t>附件2</w:t>
      </w:r>
      <w:r>
        <w:rPr>
          <w:rFonts w:hint="eastAsia" w:ascii="宋体" w:hAnsi="宋体" w:eastAsia="宋体" w:cs="宋体"/>
          <w:sz w:val="24"/>
          <w:szCs w:val="24"/>
          <w:lang w:val="en-US" w:eastAsia="zh-CN"/>
        </w:rPr>
        <w:t>-1 保函</w:t>
      </w:r>
      <w:bookmarkEnd w:id="21"/>
      <w:bookmarkEnd w:id="22"/>
    </w:p>
    <w:p w14:paraId="659CB21D">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4"/>
          <w:szCs w:val="24"/>
          <w:lang w:eastAsia="zh-CN"/>
        </w:rPr>
      </w:pPr>
      <w:bookmarkStart w:id="23" w:name="_Toc5923"/>
      <w:bookmarkStart w:id="24" w:name="_Toc19047"/>
      <w:r>
        <w:rPr>
          <w:rFonts w:hint="eastAsia" w:ascii="宋体" w:hAnsi="宋体" w:eastAsia="宋体" w:cs="宋体"/>
          <w:b/>
          <w:sz w:val="24"/>
          <w:szCs w:val="24"/>
        </w:rPr>
        <w:t>三、供应商的资格证明</w:t>
      </w:r>
      <w:r>
        <w:rPr>
          <w:rFonts w:hint="eastAsia" w:ascii="宋体" w:hAnsi="宋体" w:eastAsia="宋体" w:cs="宋体"/>
          <w:b/>
          <w:sz w:val="24"/>
          <w:szCs w:val="24"/>
          <w:lang w:eastAsia="zh-CN"/>
        </w:rPr>
        <w:t>文件</w:t>
      </w:r>
      <w:bookmarkEnd w:id="23"/>
      <w:bookmarkEnd w:id="24"/>
    </w:p>
    <w:p w14:paraId="61BB4D64">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jc w:val="left"/>
        <w:textAlignment w:val="auto"/>
        <w:outlineLvl w:val="0"/>
        <w:rPr>
          <w:rFonts w:hint="eastAsia" w:ascii="宋体" w:hAnsi="宋体" w:eastAsia="宋体" w:cs="宋体"/>
          <w:sz w:val="24"/>
          <w:szCs w:val="24"/>
          <w:lang w:eastAsia="zh-CN"/>
        </w:rPr>
      </w:pPr>
      <w:bookmarkStart w:id="25" w:name="_Toc30178"/>
      <w:bookmarkStart w:id="26" w:name="_Toc340"/>
      <w:r>
        <w:rPr>
          <w:rFonts w:hint="eastAsia" w:ascii="宋体" w:hAnsi="宋体" w:eastAsia="宋体" w:cs="宋体"/>
          <w:sz w:val="24"/>
          <w:szCs w:val="24"/>
        </w:rPr>
        <w:t xml:space="preserve">附件3-1 </w:t>
      </w:r>
      <w:r>
        <w:rPr>
          <w:rFonts w:hint="eastAsia" w:ascii="宋体" w:hAnsi="宋体" w:eastAsia="宋体" w:cs="宋体"/>
          <w:sz w:val="24"/>
          <w:szCs w:val="24"/>
          <w:lang w:eastAsia="zh-CN"/>
        </w:rPr>
        <w:t>供应商资格声明</w:t>
      </w:r>
      <w:bookmarkEnd w:id="25"/>
      <w:bookmarkEnd w:id="26"/>
    </w:p>
    <w:p w14:paraId="2F15FFF9">
      <w:pPr>
        <w:pStyle w:val="61"/>
        <w:keepLines w:val="0"/>
        <w:pageBreakBefore w:val="0"/>
        <w:widowControl w:val="0"/>
        <w:kinsoku/>
        <w:wordWrap/>
        <w:overflowPunct/>
        <w:topLinePunct w:val="0"/>
        <w:bidi w:val="0"/>
        <w:spacing w:beforeAutospacing="0" w:afterAutospacing="0"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附件3-2 法人或者其他组织的营业执照等主体资格证明文件，自然人的身份证明</w:t>
      </w:r>
    </w:p>
    <w:p w14:paraId="40BC6314">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textAlignment w:val="auto"/>
        <w:outlineLvl w:val="0"/>
        <w:rPr>
          <w:rFonts w:hint="eastAsia" w:ascii="宋体" w:hAnsi="宋体" w:eastAsia="宋体" w:cs="宋体"/>
          <w:sz w:val="24"/>
          <w:szCs w:val="24"/>
        </w:rPr>
      </w:pPr>
      <w:bookmarkStart w:id="27" w:name="_Toc23345"/>
      <w:bookmarkStart w:id="28" w:name="_Toc2223"/>
      <w:r>
        <w:rPr>
          <w:rFonts w:hint="eastAsia" w:ascii="宋体" w:hAnsi="宋体" w:eastAsia="宋体" w:cs="宋体"/>
          <w:sz w:val="24"/>
          <w:szCs w:val="24"/>
        </w:rPr>
        <w:t>附件3-</w:t>
      </w:r>
      <w:r>
        <w:rPr>
          <w:rFonts w:hint="eastAsia" w:ascii="宋体" w:hAnsi="宋体" w:eastAsia="宋体" w:cs="宋体"/>
          <w:sz w:val="24"/>
          <w:szCs w:val="24"/>
          <w:lang w:val="en-US" w:eastAsia="zh-CN"/>
        </w:rPr>
        <w:t>3</w:t>
      </w:r>
      <w:r>
        <w:rPr>
          <w:rFonts w:hint="eastAsia" w:ascii="宋体" w:hAnsi="宋体" w:eastAsia="宋体" w:cs="宋体"/>
          <w:sz w:val="24"/>
          <w:szCs w:val="24"/>
        </w:rPr>
        <w:t xml:space="preserve"> 湖南省政府采购供应商资格承诺函（格式）</w:t>
      </w:r>
      <w:bookmarkEnd w:id="27"/>
      <w:bookmarkEnd w:id="28"/>
    </w:p>
    <w:p w14:paraId="3BA7C834">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textAlignment w:val="auto"/>
        <w:outlineLvl w:val="0"/>
        <w:rPr>
          <w:rFonts w:hint="eastAsia" w:ascii="宋体" w:hAnsi="宋体" w:eastAsia="宋体" w:cs="宋体"/>
          <w:sz w:val="24"/>
          <w:szCs w:val="24"/>
        </w:rPr>
      </w:pPr>
      <w:bookmarkStart w:id="29" w:name="_Toc7423"/>
      <w:bookmarkStart w:id="30" w:name="_Toc4218"/>
      <w:r>
        <w:rPr>
          <w:rFonts w:hint="eastAsia" w:ascii="宋体" w:hAnsi="宋体" w:eastAsia="宋体" w:cs="宋体"/>
          <w:sz w:val="24"/>
          <w:szCs w:val="24"/>
        </w:rPr>
        <w:t>附件3-</w:t>
      </w:r>
      <w:r>
        <w:rPr>
          <w:rFonts w:hint="eastAsia" w:ascii="宋体" w:hAnsi="宋体" w:eastAsia="宋体" w:cs="宋体"/>
          <w:sz w:val="24"/>
          <w:szCs w:val="24"/>
          <w:lang w:val="en-US" w:eastAsia="zh-CN"/>
        </w:rPr>
        <w:t>4</w:t>
      </w:r>
      <w:r>
        <w:rPr>
          <w:rFonts w:hint="eastAsia" w:ascii="宋体" w:hAnsi="宋体" w:eastAsia="宋体" w:cs="宋体"/>
          <w:sz w:val="24"/>
          <w:szCs w:val="24"/>
        </w:rPr>
        <w:t xml:space="preserve"> 磋商文件规定的基本资格条件证明资料</w:t>
      </w:r>
      <w:bookmarkEnd w:id="29"/>
      <w:bookmarkEnd w:id="30"/>
    </w:p>
    <w:p w14:paraId="59CCB9AE">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textAlignment w:val="auto"/>
        <w:outlineLvl w:val="0"/>
        <w:rPr>
          <w:rFonts w:hint="eastAsia" w:ascii="宋体" w:hAnsi="宋体" w:eastAsia="宋体" w:cs="宋体"/>
          <w:sz w:val="24"/>
          <w:szCs w:val="24"/>
        </w:rPr>
      </w:pPr>
      <w:bookmarkStart w:id="31" w:name="_Toc24405"/>
      <w:bookmarkStart w:id="32" w:name="_Toc30897"/>
      <w:r>
        <w:rPr>
          <w:rFonts w:hint="eastAsia" w:ascii="宋体" w:hAnsi="宋体" w:eastAsia="宋体" w:cs="宋体"/>
          <w:sz w:val="24"/>
          <w:szCs w:val="24"/>
        </w:rPr>
        <w:t>附件3-</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 供应商情况说明</w:t>
      </w:r>
      <w:bookmarkEnd w:id="31"/>
      <w:bookmarkEnd w:id="32"/>
    </w:p>
    <w:p w14:paraId="73206A18">
      <w:pPr>
        <w:pStyle w:val="3"/>
        <w:keepLines w:val="0"/>
        <w:pageBreakBefore w:val="0"/>
        <w:widowControl w:val="0"/>
        <w:kinsoku/>
        <w:wordWrap/>
        <w:overflowPunct/>
        <w:topLinePunct w:val="0"/>
        <w:autoSpaceDE/>
        <w:autoSpaceDN/>
        <w:bidi w:val="0"/>
        <w:spacing w:beforeAutospacing="0" w:afterAutospacing="0" w:line="500" w:lineRule="exact"/>
        <w:ind w:firstLine="480"/>
        <w:jc w:val="both"/>
        <w:textAlignment w:val="auto"/>
        <w:rPr>
          <w:rFonts w:hint="eastAsia" w:ascii="宋体" w:hAnsi="宋体" w:eastAsia="宋体" w:cs="宋体"/>
          <w:b w:val="0"/>
          <w:bCs w:val="0"/>
          <w:sz w:val="24"/>
          <w:szCs w:val="24"/>
          <w:lang w:val="en-US" w:eastAsia="zh-CN"/>
        </w:rPr>
      </w:pPr>
      <w:bookmarkStart w:id="33" w:name="_Toc24382"/>
      <w:bookmarkStart w:id="34" w:name="_Toc16562"/>
      <w:r>
        <w:rPr>
          <w:rFonts w:hint="eastAsia" w:ascii="宋体" w:hAnsi="宋体" w:eastAsia="宋体" w:cs="宋体"/>
          <w:b w:val="0"/>
          <w:bCs w:val="0"/>
          <w:sz w:val="24"/>
          <w:szCs w:val="24"/>
          <w:lang w:val="en-US" w:eastAsia="zh-CN"/>
        </w:rPr>
        <w:t>附件3-6本项目人员配备情况表</w:t>
      </w:r>
      <w:bookmarkEnd w:id="33"/>
      <w:bookmarkEnd w:id="34"/>
    </w:p>
    <w:p w14:paraId="08718D4A">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default" w:ascii="宋体" w:hAnsi="宋体" w:eastAsia="宋体" w:cs="宋体"/>
          <w:b/>
          <w:sz w:val="24"/>
          <w:szCs w:val="24"/>
          <w:lang w:val="en-US" w:eastAsia="zh-CN"/>
        </w:rPr>
      </w:pPr>
      <w:bookmarkStart w:id="35" w:name="_Toc12341"/>
      <w:bookmarkStart w:id="36" w:name="_Toc10354"/>
      <w:r>
        <w:rPr>
          <w:rFonts w:hint="eastAsia" w:ascii="宋体" w:hAnsi="宋体" w:eastAsia="宋体" w:cs="宋体"/>
          <w:b/>
          <w:sz w:val="24"/>
          <w:szCs w:val="24"/>
          <w:lang w:eastAsia="zh-CN"/>
        </w:rPr>
        <w:t>四</w:t>
      </w:r>
      <w:r>
        <w:rPr>
          <w:rFonts w:hint="eastAsia" w:ascii="宋体" w:hAnsi="宋体" w:eastAsia="宋体" w:cs="宋体"/>
          <w:b/>
          <w:sz w:val="24"/>
          <w:szCs w:val="24"/>
        </w:rPr>
        <w:t>、</w:t>
      </w:r>
      <w:r>
        <w:rPr>
          <w:rFonts w:hint="eastAsia" w:ascii="宋体" w:hAnsi="宋体" w:cs="宋体"/>
          <w:b/>
          <w:sz w:val="24"/>
          <w:szCs w:val="24"/>
          <w:lang w:val="en-US" w:eastAsia="zh-CN"/>
        </w:rPr>
        <w:t>项目实施方案</w:t>
      </w:r>
    </w:p>
    <w:p w14:paraId="4B7D9529">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4"/>
          <w:szCs w:val="24"/>
        </w:rPr>
      </w:pPr>
      <w:r>
        <w:rPr>
          <w:rFonts w:hint="eastAsia" w:ascii="宋体" w:hAnsi="宋体" w:cs="宋体"/>
          <w:b/>
          <w:sz w:val="24"/>
          <w:szCs w:val="24"/>
          <w:lang w:val="en-US" w:eastAsia="zh-CN"/>
        </w:rPr>
        <w:t>五、</w:t>
      </w:r>
      <w:r>
        <w:rPr>
          <w:rFonts w:hint="eastAsia" w:ascii="宋体" w:hAnsi="宋体" w:eastAsia="宋体" w:cs="宋体"/>
          <w:b/>
          <w:sz w:val="24"/>
          <w:szCs w:val="24"/>
        </w:rPr>
        <w:t>技术/商务响应与偏离表</w:t>
      </w:r>
      <w:bookmarkEnd w:id="35"/>
      <w:bookmarkEnd w:id="36"/>
    </w:p>
    <w:p w14:paraId="258575F4">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4"/>
          <w:szCs w:val="24"/>
        </w:rPr>
      </w:pPr>
      <w:bookmarkStart w:id="37" w:name="_Toc6894"/>
      <w:bookmarkStart w:id="38" w:name="_Toc11484"/>
      <w:r>
        <w:rPr>
          <w:rFonts w:hint="eastAsia" w:ascii="宋体" w:hAnsi="宋体" w:cs="宋体"/>
          <w:b/>
          <w:sz w:val="24"/>
          <w:szCs w:val="24"/>
          <w:lang w:val="en-US" w:eastAsia="zh-CN"/>
        </w:rPr>
        <w:t>六</w:t>
      </w:r>
      <w:r>
        <w:rPr>
          <w:rFonts w:hint="eastAsia" w:ascii="宋体" w:hAnsi="宋体" w:eastAsia="宋体" w:cs="宋体"/>
          <w:b/>
          <w:sz w:val="24"/>
          <w:szCs w:val="24"/>
        </w:rPr>
        <w:t>、提供政府采购政策产品等证明材料</w:t>
      </w:r>
      <w:bookmarkEnd w:id="37"/>
      <w:bookmarkEnd w:id="38"/>
    </w:p>
    <w:p w14:paraId="407E13CB">
      <w:pPr>
        <w:pStyle w:val="3"/>
        <w:keepLines w:val="0"/>
        <w:pageBreakBefore w:val="0"/>
        <w:widowControl w:val="0"/>
        <w:kinsoku/>
        <w:wordWrap/>
        <w:overflowPunct/>
        <w:topLinePunct w:val="0"/>
        <w:autoSpaceDE/>
        <w:autoSpaceDN/>
        <w:bidi w:val="0"/>
        <w:spacing w:beforeAutospacing="0" w:afterAutospacing="0" w:line="500" w:lineRule="exact"/>
        <w:ind w:firstLine="480" w:firstLineChars="200"/>
        <w:jc w:val="both"/>
        <w:textAlignment w:val="auto"/>
        <w:rPr>
          <w:rFonts w:hint="eastAsia" w:ascii="宋体" w:hAnsi="宋体" w:eastAsia="宋体" w:cs="宋体"/>
          <w:b w:val="0"/>
          <w:bCs w:val="0"/>
          <w:sz w:val="24"/>
          <w:szCs w:val="24"/>
        </w:rPr>
      </w:pPr>
      <w:bookmarkStart w:id="39" w:name="_Toc4821"/>
      <w:bookmarkStart w:id="40" w:name="_Toc15311"/>
      <w:r>
        <w:rPr>
          <w:rFonts w:hint="eastAsia" w:ascii="宋体" w:hAnsi="宋体" w:eastAsia="宋体" w:cs="宋体"/>
          <w:b w:val="0"/>
          <w:bCs w:val="0"/>
          <w:sz w:val="24"/>
          <w:szCs w:val="24"/>
        </w:rPr>
        <w:t>附件</w:t>
      </w:r>
      <w:r>
        <w:rPr>
          <w:rFonts w:hint="eastAsia" w:ascii="宋体" w:hAnsi="宋体" w:eastAsia="宋体" w:cs="宋体"/>
          <w:b w:val="0"/>
          <w:bCs w:val="0"/>
          <w:sz w:val="24"/>
          <w:szCs w:val="24"/>
          <w:lang w:val="en-US" w:eastAsia="zh-CN"/>
        </w:rPr>
        <w:t>5</w:t>
      </w:r>
      <w:r>
        <w:rPr>
          <w:rFonts w:hint="eastAsia" w:ascii="宋体" w:hAnsi="宋体" w:eastAsia="宋体" w:cs="宋体"/>
          <w:b w:val="0"/>
          <w:bCs w:val="0"/>
          <w:sz w:val="24"/>
          <w:szCs w:val="24"/>
        </w:rPr>
        <w:t>-1中、小企业声明函</w:t>
      </w:r>
      <w:bookmarkEnd w:id="39"/>
      <w:bookmarkEnd w:id="40"/>
    </w:p>
    <w:p w14:paraId="66B05F9D">
      <w:pPr>
        <w:keepLines w:val="0"/>
        <w:pageBreakBefore w:val="0"/>
        <w:widowControl w:val="0"/>
        <w:kinsoku/>
        <w:wordWrap/>
        <w:overflowPunct/>
        <w:topLinePunct w:val="0"/>
        <w:autoSpaceDE/>
        <w:autoSpaceDN/>
        <w:bidi w:val="0"/>
        <w:spacing w:beforeAutospacing="0" w:afterAutospacing="0"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附件</w:t>
      </w:r>
      <w:r>
        <w:rPr>
          <w:rFonts w:hint="eastAsia" w:ascii="宋体" w:hAnsi="宋体" w:eastAsia="宋体" w:cs="宋体"/>
          <w:sz w:val="24"/>
          <w:szCs w:val="24"/>
          <w:lang w:val="en-US" w:eastAsia="zh-CN"/>
        </w:rPr>
        <w:t>5</w:t>
      </w:r>
      <w:r>
        <w:rPr>
          <w:rFonts w:hint="eastAsia" w:ascii="宋体" w:hAnsi="宋体" w:eastAsia="宋体" w:cs="宋体"/>
          <w:sz w:val="24"/>
          <w:szCs w:val="24"/>
        </w:rPr>
        <w:t>-2 残疾人福利性单位声明函</w:t>
      </w:r>
    </w:p>
    <w:p w14:paraId="68067BAD">
      <w:pPr>
        <w:keepLines w:val="0"/>
        <w:pageBreakBefore w:val="0"/>
        <w:widowControl w:val="0"/>
        <w:kinsoku/>
        <w:wordWrap/>
        <w:overflowPunct/>
        <w:topLinePunct w:val="0"/>
        <w:autoSpaceDE/>
        <w:autoSpaceDN/>
        <w:bidi w:val="0"/>
        <w:spacing w:beforeAutospacing="0" w:afterAutospacing="0"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附件</w:t>
      </w:r>
      <w:r>
        <w:rPr>
          <w:rFonts w:hint="eastAsia" w:ascii="宋体" w:hAnsi="宋体" w:eastAsia="宋体" w:cs="宋体"/>
          <w:sz w:val="24"/>
          <w:szCs w:val="24"/>
          <w:lang w:val="en-US" w:eastAsia="zh-CN"/>
        </w:rPr>
        <w:t>5</w:t>
      </w:r>
      <w:r>
        <w:rPr>
          <w:rFonts w:hint="eastAsia" w:ascii="宋体" w:hAnsi="宋体" w:eastAsia="宋体" w:cs="宋体"/>
          <w:sz w:val="24"/>
          <w:szCs w:val="24"/>
        </w:rPr>
        <w:t>-3 监狱企业证明资料</w:t>
      </w:r>
    </w:p>
    <w:p w14:paraId="530C6E78">
      <w:pPr>
        <w:keepLines w:val="0"/>
        <w:pageBreakBefore w:val="0"/>
        <w:widowControl w:val="0"/>
        <w:kinsoku/>
        <w:wordWrap/>
        <w:overflowPunct/>
        <w:topLinePunct w:val="0"/>
        <w:autoSpaceDE/>
        <w:autoSpaceDN/>
        <w:bidi w:val="0"/>
        <w:spacing w:beforeAutospacing="0" w:afterAutospacing="0"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附件</w:t>
      </w:r>
      <w:r>
        <w:rPr>
          <w:rFonts w:hint="eastAsia" w:ascii="宋体" w:hAnsi="宋体" w:eastAsia="宋体" w:cs="宋体"/>
          <w:sz w:val="24"/>
          <w:szCs w:val="24"/>
          <w:lang w:val="en-US" w:eastAsia="zh-CN"/>
        </w:rPr>
        <w:t>5</w:t>
      </w:r>
      <w:r>
        <w:rPr>
          <w:rFonts w:hint="eastAsia" w:ascii="宋体" w:hAnsi="宋体" w:eastAsia="宋体" w:cs="宋体"/>
          <w:sz w:val="24"/>
          <w:szCs w:val="24"/>
        </w:rPr>
        <w:t>-4 强制采购或者优先采购产品的证明材料</w:t>
      </w:r>
    </w:p>
    <w:p w14:paraId="3D6FC40B">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4"/>
          <w:szCs w:val="24"/>
        </w:rPr>
      </w:pPr>
      <w:bookmarkStart w:id="41" w:name="_Toc20508"/>
      <w:bookmarkStart w:id="42" w:name="_Toc3281"/>
      <w:r>
        <w:rPr>
          <w:rFonts w:hint="eastAsia" w:ascii="宋体" w:hAnsi="宋体" w:cs="宋体"/>
          <w:b/>
          <w:sz w:val="24"/>
          <w:szCs w:val="24"/>
          <w:lang w:val="en-US" w:eastAsia="zh-CN"/>
        </w:rPr>
        <w:t>七</w:t>
      </w:r>
      <w:r>
        <w:rPr>
          <w:rFonts w:hint="eastAsia" w:ascii="宋体" w:hAnsi="宋体" w:eastAsia="宋体" w:cs="宋体"/>
          <w:b/>
          <w:sz w:val="24"/>
          <w:szCs w:val="24"/>
        </w:rPr>
        <w:t>、报价一览表及分项价格表</w:t>
      </w:r>
      <w:bookmarkEnd w:id="41"/>
      <w:bookmarkEnd w:id="42"/>
    </w:p>
    <w:p w14:paraId="577D4F09">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textAlignment w:val="auto"/>
        <w:outlineLvl w:val="0"/>
        <w:rPr>
          <w:rFonts w:hint="eastAsia" w:ascii="宋体" w:hAnsi="宋体" w:eastAsia="宋体" w:cs="宋体"/>
          <w:sz w:val="24"/>
          <w:szCs w:val="24"/>
        </w:rPr>
      </w:pPr>
      <w:bookmarkStart w:id="43" w:name="_Toc26861"/>
      <w:bookmarkStart w:id="44" w:name="_Toc454"/>
      <w:r>
        <w:rPr>
          <w:rFonts w:hint="eastAsia" w:ascii="宋体" w:hAnsi="宋体" w:eastAsia="宋体" w:cs="宋体"/>
          <w:sz w:val="24"/>
          <w:szCs w:val="24"/>
        </w:rPr>
        <w:t>附件</w:t>
      </w:r>
      <w:r>
        <w:rPr>
          <w:rFonts w:hint="eastAsia" w:ascii="宋体" w:hAnsi="宋体" w:eastAsia="宋体" w:cs="宋体"/>
          <w:sz w:val="24"/>
          <w:szCs w:val="24"/>
          <w:lang w:val="en-US" w:eastAsia="zh-CN"/>
        </w:rPr>
        <w:t>6</w:t>
      </w:r>
      <w:r>
        <w:rPr>
          <w:rFonts w:hint="eastAsia" w:ascii="宋体" w:hAnsi="宋体" w:eastAsia="宋体" w:cs="宋体"/>
          <w:sz w:val="24"/>
          <w:szCs w:val="24"/>
        </w:rPr>
        <w:t>-1 报价一览表</w:t>
      </w:r>
      <w:bookmarkEnd w:id="43"/>
      <w:bookmarkEnd w:id="44"/>
    </w:p>
    <w:p w14:paraId="1E51BD4A">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jc w:val="left"/>
        <w:textAlignment w:val="auto"/>
        <w:outlineLvl w:val="0"/>
        <w:rPr>
          <w:rFonts w:hint="eastAsia" w:ascii="宋体" w:hAnsi="宋体" w:eastAsia="宋体" w:cs="宋体"/>
          <w:b/>
          <w:sz w:val="24"/>
          <w:szCs w:val="24"/>
          <w:lang w:eastAsia="zh-CN"/>
        </w:rPr>
      </w:pPr>
      <w:bookmarkStart w:id="45" w:name="_Toc19750"/>
      <w:bookmarkStart w:id="46" w:name="_Toc26365"/>
      <w:r>
        <w:rPr>
          <w:rFonts w:hint="eastAsia" w:ascii="宋体" w:hAnsi="宋体" w:eastAsia="宋体" w:cs="宋体"/>
          <w:b w:val="0"/>
          <w:bCs/>
          <w:sz w:val="24"/>
          <w:szCs w:val="24"/>
          <w:lang w:eastAsia="zh-CN"/>
        </w:rPr>
        <w:t>附件</w:t>
      </w:r>
      <w:r>
        <w:rPr>
          <w:rFonts w:hint="eastAsia" w:ascii="宋体" w:hAnsi="宋体" w:eastAsia="宋体" w:cs="宋体"/>
          <w:b w:val="0"/>
          <w:bCs/>
          <w:sz w:val="24"/>
          <w:szCs w:val="24"/>
          <w:lang w:val="en-US" w:eastAsia="zh-CN"/>
        </w:rPr>
        <w:t>6</w:t>
      </w:r>
      <w:r>
        <w:rPr>
          <w:rFonts w:hint="eastAsia" w:ascii="宋体" w:hAnsi="宋体" w:eastAsia="宋体" w:cs="宋体"/>
          <w:b w:val="0"/>
          <w:bCs/>
          <w:sz w:val="24"/>
          <w:szCs w:val="24"/>
          <w:lang w:eastAsia="zh-CN"/>
        </w:rPr>
        <w:t>-2分项报价明细表</w:t>
      </w:r>
      <w:bookmarkEnd w:id="45"/>
      <w:bookmarkEnd w:id="46"/>
    </w:p>
    <w:p w14:paraId="7AE67EE2">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4"/>
          <w:szCs w:val="24"/>
        </w:rPr>
      </w:pPr>
      <w:bookmarkStart w:id="47" w:name="_Toc25764"/>
      <w:bookmarkStart w:id="48" w:name="_Toc17666"/>
      <w:r>
        <w:rPr>
          <w:rFonts w:hint="eastAsia" w:ascii="宋体" w:hAnsi="宋体" w:cs="宋体"/>
          <w:b/>
          <w:sz w:val="24"/>
          <w:szCs w:val="24"/>
          <w:lang w:val="en-US" w:eastAsia="zh-CN"/>
        </w:rPr>
        <w:t>八</w:t>
      </w:r>
      <w:r>
        <w:rPr>
          <w:rFonts w:hint="eastAsia" w:ascii="宋体" w:hAnsi="宋体" w:eastAsia="宋体" w:cs="宋体"/>
          <w:b/>
          <w:sz w:val="24"/>
          <w:szCs w:val="24"/>
        </w:rPr>
        <w:t>、供应商认为需提供的资料及说明</w:t>
      </w:r>
      <w:bookmarkEnd w:id="47"/>
      <w:bookmarkEnd w:id="48"/>
    </w:p>
    <w:p w14:paraId="0D15B39C">
      <w:pPr>
        <w:pStyle w:val="24"/>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b/>
          <w:sz w:val="24"/>
          <w:szCs w:val="24"/>
          <w:lang w:eastAsia="zh-CN"/>
        </w:rPr>
      </w:pPr>
      <w:r>
        <w:rPr>
          <w:rFonts w:hint="eastAsia" w:hAnsi="宋体" w:cs="宋体"/>
          <w:b/>
          <w:sz w:val="24"/>
          <w:szCs w:val="24"/>
          <w:lang w:val="en-US" w:eastAsia="zh-CN"/>
        </w:rPr>
        <w:t>九</w:t>
      </w:r>
      <w:r>
        <w:rPr>
          <w:rFonts w:hint="eastAsia" w:ascii="宋体" w:hAnsi="宋体" w:eastAsia="宋体" w:cs="宋体"/>
          <w:b/>
          <w:sz w:val="24"/>
          <w:szCs w:val="24"/>
        </w:rPr>
        <w:t>、</w:t>
      </w:r>
      <w:r>
        <w:rPr>
          <w:rFonts w:hint="eastAsia" w:ascii="宋体" w:hAnsi="宋体" w:eastAsia="宋体" w:cs="宋体"/>
          <w:b/>
          <w:sz w:val="24"/>
          <w:szCs w:val="24"/>
          <w:lang w:eastAsia="zh-CN"/>
        </w:rPr>
        <w:t>最终报价表</w:t>
      </w:r>
    </w:p>
    <w:p w14:paraId="7897B0E4">
      <w:pPr>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sz w:val="24"/>
          <w:szCs w:val="24"/>
        </w:rPr>
      </w:pPr>
    </w:p>
    <w:p w14:paraId="38E5D812">
      <w:pPr>
        <w:keepLines w:val="0"/>
        <w:pageBreakBefore w:val="0"/>
        <w:widowControl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b/>
          <w:sz w:val="24"/>
          <w:szCs w:val="24"/>
        </w:rPr>
      </w:pPr>
    </w:p>
    <w:p w14:paraId="371B1A51">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jc w:val="center"/>
        <w:textAlignment w:val="auto"/>
        <w:outlineLvl w:val="9"/>
        <w:rPr>
          <w:rFonts w:hint="eastAsia" w:ascii="宋体" w:hAnsi="宋体" w:eastAsia="宋体" w:cs="宋体"/>
          <w:b/>
          <w:bCs/>
          <w:spacing w:val="113"/>
          <w:sz w:val="24"/>
          <w:szCs w:val="24"/>
        </w:rPr>
      </w:pPr>
    </w:p>
    <w:p w14:paraId="5E826B88">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jc w:val="center"/>
        <w:textAlignment w:val="auto"/>
        <w:outlineLvl w:val="0"/>
        <w:rPr>
          <w:rFonts w:hint="eastAsia" w:ascii="宋体" w:hAnsi="宋体" w:eastAsia="宋体" w:cs="宋体"/>
          <w:b/>
          <w:bCs/>
          <w:spacing w:val="113"/>
          <w:sz w:val="48"/>
          <w:szCs w:val="48"/>
        </w:rPr>
      </w:pPr>
      <w:bookmarkStart w:id="49" w:name="_Toc1354"/>
      <w:bookmarkStart w:id="50" w:name="_Toc20472"/>
    </w:p>
    <w:p w14:paraId="2C4FB033">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jc w:val="center"/>
        <w:textAlignment w:val="auto"/>
        <w:outlineLvl w:val="0"/>
        <w:rPr>
          <w:rFonts w:hint="eastAsia" w:ascii="宋体" w:hAnsi="宋体" w:eastAsia="宋体" w:cs="宋体"/>
          <w:b/>
          <w:bCs/>
          <w:spacing w:val="113"/>
          <w:sz w:val="48"/>
          <w:szCs w:val="48"/>
        </w:rPr>
      </w:pPr>
    </w:p>
    <w:p w14:paraId="4133BF34">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center"/>
        <w:textAlignment w:val="auto"/>
        <w:outlineLvl w:val="0"/>
        <w:rPr>
          <w:rFonts w:hint="eastAsia" w:ascii="宋体" w:hAnsi="宋体" w:eastAsia="宋体" w:cs="宋体"/>
          <w:b/>
          <w:bCs/>
          <w:spacing w:val="113"/>
          <w:sz w:val="72"/>
          <w:szCs w:val="72"/>
        </w:rPr>
      </w:pPr>
      <w:r>
        <w:rPr>
          <w:rFonts w:hint="eastAsia" w:ascii="宋体" w:hAnsi="宋体" w:eastAsia="宋体" w:cs="宋体"/>
          <w:b/>
          <w:bCs/>
          <w:spacing w:val="113"/>
          <w:sz w:val="72"/>
          <w:szCs w:val="72"/>
        </w:rPr>
        <w:t>政府采购</w:t>
      </w:r>
      <w:bookmarkEnd w:id="49"/>
      <w:bookmarkEnd w:id="50"/>
      <w:bookmarkStart w:id="51" w:name="_Toc24716"/>
    </w:p>
    <w:p w14:paraId="5B68A27E">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center"/>
        <w:textAlignment w:val="auto"/>
        <w:outlineLvl w:val="0"/>
        <w:rPr>
          <w:rFonts w:hint="eastAsia" w:ascii="宋体" w:hAnsi="宋体" w:eastAsia="宋体" w:cs="宋体"/>
          <w:b/>
          <w:bCs/>
          <w:spacing w:val="113"/>
          <w:sz w:val="72"/>
          <w:szCs w:val="72"/>
        </w:rPr>
      </w:pPr>
      <w:bookmarkStart w:id="52" w:name="_Toc23701"/>
      <w:bookmarkStart w:id="53" w:name="_Toc19597"/>
    </w:p>
    <w:p w14:paraId="54DFB87A">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center"/>
        <w:textAlignment w:val="auto"/>
        <w:outlineLvl w:val="0"/>
        <w:rPr>
          <w:rFonts w:hint="eastAsia" w:ascii="宋体" w:hAnsi="宋体" w:eastAsia="宋体" w:cs="宋体"/>
          <w:b/>
          <w:bCs/>
          <w:spacing w:val="113"/>
          <w:sz w:val="72"/>
          <w:szCs w:val="72"/>
        </w:rPr>
      </w:pPr>
      <w:r>
        <w:rPr>
          <w:rFonts w:hint="eastAsia" w:ascii="宋体" w:hAnsi="宋体" w:eastAsia="宋体" w:cs="宋体"/>
          <w:b/>
          <w:bCs/>
          <w:spacing w:val="113"/>
          <w:sz w:val="72"/>
          <w:szCs w:val="72"/>
        </w:rPr>
        <w:t>响 应 文 件</w:t>
      </w:r>
      <w:bookmarkEnd w:id="51"/>
      <w:bookmarkEnd w:id="52"/>
      <w:bookmarkEnd w:id="53"/>
    </w:p>
    <w:p w14:paraId="45E25AE6">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textAlignment w:val="auto"/>
        <w:rPr>
          <w:rFonts w:hint="eastAsia" w:ascii="宋体" w:hAnsi="宋体" w:eastAsia="宋体" w:cs="宋体"/>
          <w:b/>
          <w:bCs/>
          <w:color w:val="000000"/>
          <w:sz w:val="72"/>
          <w:szCs w:val="72"/>
        </w:rPr>
      </w:pPr>
    </w:p>
    <w:p w14:paraId="1002E0FC">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b/>
          <w:color w:val="000000"/>
          <w:sz w:val="32"/>
          <w:szCs w:val="32"/>
        </w:rPr>
      </w:pPr>
    </w:p>
    <w:p w14:paraId="71B35ECE">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ind w:firstLine="2120" w:firstLineChars="660"/>
        <w:textAlignment w:val="auto"/>
        <w:outlineLvl w:val="0"/>
        <w:rPr>
          <w:rFonts w:hint="eastAsia" w:ascii="宋体" w:hAnsi="宋体" w:eastAsia="宋体" w:cs="宋体"/>
          <w:b/>
          <w:bCs/>
          <w:sz w:val="32"/>
          <w:szCs w:val="32"/>
          <w:u w:val="single"/>
        </w:rPr>
      </w:pPr>
      <w:bookmarkStart w:id="54" w:name="_Toc12440"/>
      <w:bookmarkStart w:id="55" w:name="_Toc8032"/>
      <w:bookmarkStart w:id="56" w:name="_Toc6311"/>
      <w:r>
        <w:rPr>
          <w:rFonts w:hint="eastAsia" w:ascii="宋体" w:hAnsi="宋体" w:eastAsia="宋体" w:cs="宋体"/>
          <w:b/>
          <w:bCs/>
          <w:sz w:val="32"/>
          <w:szCs w:val="32"/>
        </w:rPr>
        <w:t>采购项目名称:</w:t>
      </w:r>
      <w:bookmarkEnd w:id="54"/>
      <w:bookmarkEnd w:id="55"/>
      <w:bookmarkEnd w:id="56"/>
    </w:p>
    <w:p w14:paraId="1C86E594">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ind w:firstLine="2120" w:firstLineChars="660"/>
        <w:textAlignment w:val="auto"/>
        <w:outlineLvl w:val="0"/>
        <w:rPr>
          <w:rFonts w:hint="eastAsia" w:ascii="宋体" w:hAnsi="宋体" w:eastAsia="宋体" w:cs="宋体"/>
          <w:b/>
          <w:bCs/>
          <w:sz w:val="32"/>
          <w:szCs w:val="32"/>
        </w:rPr>
      </w:pPr>
      <w:bookmarkStart w:id="57" w:name="_Toc7569"/>
      <w:bookmarkStart w:id="58" w:name="_Toc10815"/>
      <w:bookmarkStart w:id="59" w:name="_Toc5542"/>
      <w:r>
        <w:rPr>
          <w:rFonts w:hint="eastAsia" w:ascii="宋体" w:hAnsi="宋体" w:eastAsia="宋体" w:cs="宋体"/>
          <w:b/>
          <w:bCs/>
          <w:sz w:val="32"/>
          <w:szCs w:val="32"/>
        </w:rPr>
        <w:t>采   购   人：</w:t>
      </w:r>
      <w:bookmarkEnd w:id="57"/>
      <w:bookmarkEnd w:id="58"/>
      <w:bookmarkEnd w:id="59"/>
    </w:p>
    <w:p w14:paraId="56E4D9E5">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ind w:firstLine="2120" w:firstLineChars="660"/>
        <w:textAlignment w:val="auto"/>
        <w:outlineLvl w:val="0"/>
        <w:rPr>
          <w:rFonts w:hint="eastAsia" w:ascii="宋体" w:hAnsi="宋体" w:eastAsia="宋体" w:cs="宋体"/>
          <w:b/>
          <w:bCs/>
          <w:sz w:val="32"/>
          <w:szCs w:val="32"/>
        </w:rPr>
      </w:pPr>
      <w:r>
        <w:rPr>
          <w:rFonts w:hint="eastAsia" w:ascii="宋体" w:hAnsi="宋体" w:eastAsia="宋体" w:cs="宋体"/>
          <w:b/>
          <w:bCs/>
          <w:sz w:val="32"/>
          <w:szCs w:val="32"/>
        </w:rPr>
        <w:t>采购项目编号：</w:t>
      </w:r>
    </w:p>
    <w:p w14:paraId="130CF7DE">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ind w:firstLine="2120" w:firstLineChars="660"/>
        <w:textAlignment w:val="auto"/>
        <w:outlineLvl w:val="0"/>
        <w:rPr>
          <w:rFonts w:hint="eastAsia" w:ascii="宋体" w:hAnsi="宋体" w:eastAsia="宋体" w:cs="宋体"/>
          <w:b/>
          <w:bCs/>
          <w:sz w:val="32"/>
          <w:szCs w:val="32"/>
          <w:u w:val="single"/>
        </w:rPr>
      </w:pPr>
      <w:bookmarkStart w:id="60" w:name="_Toc17976"/>
      <w:bookmarkStart w:id="61" w:name="_Toc3452"/>
      <w:bookmarkStart w:id="62" w:name="_Toc18444"/>
      <w:r>
        <w:rPr>
          <w:rFonts w:hint="eastAsia" w:ascii="宋体" w:hAnsi="宋体" w:eastAsia="宋体" w:cs="宋体"/>
          <w:b/>
          <w:bCs/>
          <w:sz w:val="32"/>
          <w:szCs w:val="32"/>
        </w:rPr>
        <w:t>政府采购计划编号:</w:t>
      </w:r>
      <w:bookmarkEnd w:id="60"/>
      <w:bookmarkEnd w:id="61"/>
      <w:bookmarkEnd w:id="62"/>
    </w:p>
    <w:p w14:paraId="2A02843C">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ind w:firstLine="2120" w:firstLineChars="660"/>
        <w:textAlignment w:val="auto"/>
        <w:outlineLvl w:val="0"/>
        <w:rPr>
          <w:rFonts w:hint="eastAsia" w:ascii="宋体" w:hAnsi="宋体" w:eastAsia="宋体" w:cs="宋体"/>
          <w:b/>
          <w:bCs/>
          <w:sz w:val="32"/>
          <w:szCs w:val="32"/>
          <w:u w:val="single"/>
        </w:rPr>
      </w:pPr>
      <w:bookmarkStart w:id="63" w:name="_Toc6678"/>
      <w:bookmarkStart w:id="64" w:name="_Toc19519"/>
      <w:bookmarkStart w:id="65" w:name="_Toc28327"/>
      <w:r>
        <w:rPr>
          <w:rFonts w:hint="eastAsia" w:hAnsi="宋体" w:cs="宋体"/>
          <w:b/>
          <w:bCs/>
          <w:sz w:val="32"/>
          <w:szCs w:val="32"/>
          <w:lang w:val="en-US" w:eastAsia="zh-CN"/>
        </w:rPr>
        <w:t>委托</w:t>
      </w:r>
      <w:r>
        <w:rPr>
          <w:rFonts w:hint="eastAsia" w:ascii="宋体" w:hAnsi="宋体" w:eastAsia="宋体" w:cs="宋体"/>
          <w:b/>
          <w:bCs/>
          <w:sz w:val="32"/>
          <w:szCs w:val="32"/>
        </w:rPr>
        <w:t>代理编号:</w:t>
      </w:r>
      <w:bookmarkEnd w:id="63"/>
      <w:bookmarkEnd w:id="64"/>
      <w:bookmarkEnd w:id="65"/>
    </w:p>
    <w:p w14:paraId="2C0D9EB0">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ind w:firstLine="2120" w:firstLineChars="660"/>
        <w:textAlignment w:val="auto"/>
        <w:outlineLvl w:val="0"/>
        <w:rPr>
          <w:rFonts w:hint="eastAsia" w:ascii="宋体" w:hAnsi="宋体" w:eastAsia="宋体" w:cs="宋体"/>
          <w:b/>
          <w:bCs/>
          <w:sz w:val="32"/>
          <w:szCs w:val="32"/>
          <w:u w:val="single"/>
        </w:rPr>
      </w:pPr>
      <w:bookmarkStart w:id="66" w:name="_Toc1954"/>
      <w:bookmarkStart w:id="67" w:name="_Toc30738"/>
      <w:bookmarkStart w:id="68" w:name="_Toc11665"/>
      <w:r>
        <w:rPr>
          <w:rFonts w:hint="eastAsia" w:ascii="宋体" w:hAnsi="宋体" w:eastAsia="宋体" w:cs="宋体"/>
          <w:b/>
          <w:bCs/>
          <w:sz w:val="32"/>
          <w:szCs w:val="32"/>
        </w:rPr>
        <w:t>采购代理机构：</w:t>
      </w:r>
      <w:bookmarkEnd w:id="66"/>
      <w:bookmarkEnd w:id="67"/>
      <w:bookmarkEnd w:id="68"/>
    </w:p>
    <w:p w14:paraId="692AC94C">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textAlignment w:val="auto"/>
        <w:rPr>
          <w:rFonts w:hint="eastAsia" w:ascii="宋体" w:hAnsi="宋体" w:eastAsia="宋体" w:cs="宋体"/>
          <w:b/>
          <w:bCs/>
          <w:color w:val="000000"/>
          <w:sz w:val="32"/>
          <w:szCs w:val="32"/>
          <w:lang w:val="en-US" w:eastAsia="zh-CN"/>
        </w:rPr>
      </w:pPr>
      <w:r>
        <w:rPr>
          <w:rFonts w:hint="eastAsia" w:ascii="宋体" w:hAnsi="宋体" w:eastAsia="宋体" w:cs="宋体"/>
          <w:color w:val="000000"/>
          <w:sz w:val="32"/>
          <w:szCs w:val="32"/>
          <w:lang w:val="en-US" w:eastAsia="zh-CN"/>
        </w:rPr>
        <w:t xml:space="preserve">            </w:t>
      </w:r>
      <w:r>
        <w:rPr>
          <w:rFonts w:hint="eastAsia" w:ascii="宋体" w:hAnsi="宋体" w:eastAsia="宋体" w:cs="宋体"/>
          <w:b/>
          <w:bCs/>
          <w:color w:val="000000"/>
          <w:sz w:val="32"/>
          <w:szCs w:val="32"/>
          <w:lang w:val="en-US" w:eastAsia="zh-CN"/>
        </w:rPr>
        <w:t xml:space="preserve"> </w:t>
      </w:r>
      <w:r>
        <w:rPr>
          <w:rFonts w:hint="eastAsia" w:ascii="宋体" w:hAnsi="宋体" w:eastAsia="宋体" w:cs="宋体"/>
          <w:b/>
          <w:bCs/>
          <w:color w:val="000000"/>
          <w:spacing w:val="142"/>
          <w:sz w:val="32"/>
          <w:szCs w:val="32"/>
          <w:lang w:val="en-US" w:eastAsia="zh-CN"/>
        </w:rPr>
        <w:t>供应商:</w:t>
      </w:r>
    </w:p>
    <w:p w14:paraId="2293D191">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textAlignment w:val="auto"/>
        <w:rPr>
          <w:rFonts w:hint="eastAsia" w:ascii="宋体" w:hAnsi="宋体" w:eastAsia="宋体" w:cs="宋体"/>
          <w:color w:val="000000"/>
          <w:sz w:val="24"/>
          <w:szCs w:val="24"/>
        </w:rPr>
      </w:pPr>
    </w:p>
    <w:p w14:paraId="0676678B">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p>
    <w:p w14:paraId="0613BB6D">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p>
    <w:p w14:paraId="7504FDF8">
      <w:pPr>
        <w:pageBreakBefore w:val="0"/>
        <w:kinsoku/>
        <w:wordWrap/>
        <w:overflowPunct/>
        <w:bidi w:val="0"/>
        <w:spacing w:beforeAutospacing="0" w:afterAutospacing="0" w:line="500" w:lineRule="exact"/>
        <w:jc w:val="both"/>
        <w:textAlignment w:val="auto"/>
        <w:rPr>
          <w:rFonts w:hint="eastAsia" w:ascii="宋体" w:hAnsi="宋体" w:eastAsia="宋体" w:cs="宋体"/>
          <w:sz w:val="44"/>
          <w:szCs w:val="44"/>
        </w:rPr>
      </w:pPr>
    </w:p>
    <w:p w14:paraId="1DB6A045">
      <w:pPr>
        <w:pageBreakBefore w:val="0"/>
        <w:kinsoku/>
        <w:wordWrap/>
        <w:overflowPunct/>
        <w:bidi w:val="0"/>
        <w:spacing w:beforeAutospacing="0" w:afterAutospacing="0" w:line="500" w:lineRule="exact"/>
        <w:jc w:val="center"/>
        <w:textAlignment w:val="auto"/>
        <w:outlineLvl w:val="0"/>
        <w:rPr>
          <w:rFonts w:hint="eastAsia" w:ascii="宋体" w:hAnsi="宋体" w:eastAsia="宋体" w:cs="宋体"/>
          <w:b/>
          <w:bCs/>
          <w:sz w:val="44"/>
          <w:szCs w:val="44"/>
        </w:rPr>
      </w:pPr>
      <w:bookmarkStart w:id="69" w:name="_Toc28419"/>
      <w:bookmarkStart w:id="70" w:name="_Toc29317"/>
      <w:bookmarkStart w:id="71" w:name="_Toc2782"/>
      <w:r>
        <w:rPr>
          <w:rFonts w:hint="eastAsia" w:ascii="宋体" w:hAnsi="宋体" w:eastAsia="宋体" w:cs="宋体"/>
          <w:b/>
          <w:bCs/>
          <w:sz w:val="44"/>
          <w:szCs w:val="44"/>
        </w:rPr>
        <w:t>年  月  日</w:t>
      </w:r>
      <w:bookmarkEnd w:id="69"/>
      <w:bookmarkEnd w:id="70"/>
      <w:bookmarkEnd w:id="71"/>
    </w:p>
    <w:p w14:paraId="05AB997C">
      <w:pPr>
        <w:pageBreakBefore w:val="0"/>
        <w:widowControl/>
        <w:tabs>
          <w:tab w:val="left" w:pos="753"/>
        </w:tabs>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kern w:val="32"/>
          <w:sz w:val="24"/>
          <w:szCs w:val="24"/>
        </w:rPr>
      </w:pPr>
      <w:r>
        <w:rPr>
          <w:rFonts w:hint="eastAsia" w:ascii="宋体" w:hAnsi="宋体" w:eastAsia="宋体" w:cs="宋体"/>
          <w:sz w:val="24"/>
          <w:szCs w:val="24"/>
        </w:rPr>
        <w:br w:type="page"/>
      </w:r>
    </w:p>
    <w:p w14:paraId="2DB9C4CB">
      <w:pPr>
        <w:pStyle w:val="2"/>
        <w:pageBreakBefore w:val="0"/>
        <w:kinsoku/>
        <w:wordWrap/>
        <w:overflowPunct/>
        <w:bidi w:val="0"/>
        <w:spacing w:beforeAutospacing="0" w:afterAutospacing="0" w:line="500" w:lineRule="exact"/>
        <w:jc w:val="center"/>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一、磋商响应声明</w:t>
      </w:r>
      <w:bookmarkEnd w:id="12"/>
    </w:p>
    <w:p w14:paraId="1FBD1138">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致 (采购人、采购代理机构)：</w:t>
      </w:r>
    </w:p>
    <w:p w14:paraId="12F035AA">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35"/>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根据贵方为</w:t>
      </w:r>
      <w:r>
        <w:rPr>
          <w:rFonts w:hint="eastAsia" w:ascii="宋体" w:hAnsi="宋体" w:eastAsia="宋体" w:cs="宋体"/>
          <w:color w:val="000000"/>
          <w:sz w:val="24"/>
          <w:szCs w:val="24"/>
          <w:u w:val="single"/>
        </w:rPr>
        <w:t>（项目名称）</w:t>
      </w:r>
      <w:r>
        <w:rPr>
          <w:rFonts w:hint="eastAsia" w:ascii="宋体" w:hAnsi="宋体" w:eastAsia="宋体" w:cs="宋体"/>
          <w:color w:val="000000"/>
          <w:sz w:val="24"/>
          <w:szCs w:val="24"/>
        </w:rPr>
        <w:t>的</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邀请（政府</w:t>
      </w:r>
      <w:r>
        <w:rPr>
          <w:rFonts w:hint="eastAsia" w:ascii="宋体" w:hAnsi="宋体" w:eastAsia="宋体" w:cs="宋体"/>
          <w:iCs/>
          <w:color w:val="000000"/>
          <w:sz w:val="24"/>
          <w:szCs w:val="24"/>
        </w:rPr>
        <w:t>采购</w:t>
      </w:r>
      <w:r>
        <w:rPr>
          <w:rFonts w:hint="eastAsia" w:ascii="宋体" w:hAnsi="宋体" w:cs="宋体"/>
          <w:iCs/>
          <w:color w:val="000000"/>
          <w:sz w:val="24"/>
          <w:szCs w:val="24"/>
          <w:lang w:val="en-US" w:eastAsia="zh-CN"/>
        </w:rPr>
        <w:t>计划</w:t>
      </w:r>
      <w:r>
        <w:rPr>
          <w:rFonts w:hint="eastAsia" w:ascii="宋体" w:hAnsi="宋体" w:eastAsia="宋体" w:cs="宋体"/>
          <w:iCs/>
          <w:color w:val="000000"/>
          <w:sz w:val="24"/>
          <w:szCs w:val="24"/>
        </w:rPr>
        <w:t>编号：</w:t>
      </w:r>
      <w:r>
        <w:rPr>
          <w:rFonts w:hint="eastAsia" w:ascii="宋体" w:hAnsi="宋体" w:eastAsia="宋体" w:cs="宋体"/>
          <w:iCs/>
          <w:color w:val="000000"/>
          <w:sz w:val="24"/>
          <w:szCs w:val="24"/>
          <w:u w:val="none"/>
          <w:lang w:val="en-US" w:eastAsia="zh-CN"/>
        </w:rPr>
        <w:t xml:space="preserve"> </w:t>
      </w:r>
      <w:r>
        <w:rPr>
          <w:rFonts w:hint="eastAsia" w:ascii="宋体" w:hAnsi="宋体" w:eastAsia="宋体" w:cs="宋体"/>
          <w:iCs/>
          <w:color w:val="000000"/>
          <w:sz w:val="24"/>
          <w:szCs w:val="24"/>
          <w:u w:val="single"/>
          <w:lang w:val="en-US" w:eastAsia="zh-CN"/>
        </w:rPr>
        <w:t xml:space="preserve">      </w:t>
      </w:r>
      <w:r>
        <w:rPr>
          <w:rFonts w:hint="eastAsia" w:ascii="宋体" w:hAnsi="宋体" w:eastAsia="宋体" w:cs="宋体"/>
          <w:iCs/>
          <w:color w:val="000000"/>
          <w:sz w:val="24"/>
          <w:szCs w:val="24"/>
          <w:u w:val="single"/>
        </w:rPr>
        <w:t xml:space="preserve"> </w:t>
      </w:r>
      <w:r>
        <w:rPr>
          <w:rFonts w:hint="eastAsia" w:ascii="宋体" w:hAnsi="宋体" w:eastAsia="宋体" w:cs="宋体"/>
          <w:iCs/>
          <w:color w:val="000000"/>
          <w:sz w:val="24"/>
          <w:szCs w:val="24"/>
        </w:rPr>
        <w:t>，采购项目编号</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），签字代表</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u w:val="single"/>
        </w:rPr>
        <w:t xml:space="preserve"> （姓名、职务）</w:t>
      </w:r>
      <w:r>
        <w:rPr>
          <w:rFonts w:hint="eastAsia" w:ascii="宋体" w:hAnsi="宋体" w:eastAsia="宋体" w:cs="宋体"/>
          <w:color w:val="000000"/>
          <w:sz w:val="24"/>
          <w:szCs w:val="24"/>
        </w:rPr>
        <w:t xml:space="preserve">经正式授权并代表供应商 </w:t>
      </w:r>
      <w:r>
        <w:rPr>
          <w:rFonts w:hint="eastAsia" w:ascii="宋体" w:hAnsi="宋体" w:eastAsia="宋体" w:cs="宋体"/>
          <w:color w:val="000000"/>
          <w:sz w:val="24"/>
          <w:szCs w:val="24"/>
          <w:u w:val="single"/>
        </w:rPr>
        <w:t>（供应商名称）</w:t>
      </w:r>
      <w:r>
        <w:rPr>
          <w:rFonts w:hint="eastAsia" w:ascii="宋体" w:hAnsi="宋体" w:eastAsia="宋体" w:cs="宋体"/>
          <w:color w:val="000000"/>
          <w:sz w:val="24"/>
          <w:szCs w:val="24"/>
        </w:rPr>
        <w:t>提交响应文件正本一份</w:t>
      </w:r>
      <w:r>
        <w:rPr>
          <w:rFonts w:hint="eastAsia" w:ascii="宋体" w:hAnsi="宋体" w:cs="宋体"/>
          <w:color w:val="000000"/>
          <w:sz w:val="24"/>
          <w:szCs w:val="24"/>
          <w:lang w:eastAsia="zh-CN"/>
        </w:rPr>
        <w:t>、</w:t>
      </w:r>
      <w:r>
        <w:rPr>
          <w:rFonts w:hint="eastAsia" w:ascii="宋体" w:hAnsi="宋体" w:eastAsia="宋体" w:cs="宋体"/>
          <w:color w:val="000000"/>
          <w:sz w:val="24"/>
          <w:szCs w:val="24"/>
        </w:rPr>
        <w:t>副本</w:t>
      </w:r>
      <w:r>
        <w:rPr>
          <w:rFonts w:hint="eastAsia" w:ascii="宋体" w:hAnsi="宋体" w:cs="宋体"/>
          <w:color w:val="000000"/>
          <w:sz w:val="24"/>
          <w:szCs w:val="24"/>
          <w:lang w:eastAsia="zh-CN"/>
        </w:rPr>
        <w:t>两</w:t>
      </w:r>
      <w:r>
        <w:rPr>
          <w:rFonts w:hint="eastAsia" w:ascii="宋体" w:hAnsi="宋体" w:eastAsia="宋体" w:cs="宋体"/>
          <w:color w:val="000000"/>
          <w:sz w:val="24"/>
          <w:szCs w:val="24"/>
        </w:rPr>
        <w:t>份</w:t>
      </w:r>
      <w:r>
        <w:rPr>
          <w:rFonts w:hint="eastAsia" w:ascii="宋体" w:hAnsi="宋体" w:cs="宋体"/>
          <w:color w:val="000000"/>
          <w:sz w:val="24"/>
          <w:szCs w:val="24"/>
          <w:lang w:eastAsia="zh-CN"/>
        </w:rPr>
        <w:t>、</w:t>
      </w:r>
      <w:r>
        <w:rPr>
          <w:rFonts w:hint="eastAsia" w:ascii="宋体" w:hAnsi="宋体" w:eastAsia="宋体" w:cs="宋体"/>
          <w:color w:val="000000"/>
          <w:sz w:val="24"/>
          <w:szCs w:val="24"/>
        </w:rPr>
        <w:t>响应文件电子文档一份</w:t>
      </w:r>
      <w:r>
        <w:rPr>
          <w:rFonts w:hint="eastAsia" w:ascii="宋体" w:hAnsi="宋体" w:cs="宋体"/>
          <w:color w:val="000000"/>
          <w:sz w:val="24"/>
          <w:szCs w:val="24"/>
          <w:lang w:eastAsia="zh-CN"/>
        </w:rPr>
        <w:t>，</w:t>
      </w:r>
      <w:r>
        <w:rPr>
          <w:rFonts w:hint="eastAsia" w:ascii="宋体" w:hAnsi="宋体" w:eastAsia="宋体" w:cs="宋体"/>
          <w:color w:val="000000"/>
          <w:sz w:val="24"/>
          <w:szCs w:val="24"/>
        </w:rPr>
        <w:t>参加采购项目</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，并在此声明，所递交的响应文件内容完整、真实。</w:t>
      </w:r>
    </w:p>
    <w:p w14:paraId="63DA4D1E">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一、我方已详细审查磋商文件。我们完全理解并同意放弃对这方面有不明及误解的权力。</w:t>
      </w:r>
    </w:p>
    <w:p w14:paraId="351B30C0">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color w:val="000000"/>
          <w:sz w:val="24"/>
          <w:szCs w:val="24"/>
        </w:rPr>
        <w:t>二、我方愿意向贵方提供任何与本项采购有关的数据、情况和技术资料。若贵方需要，我方愿意提供我方作出的一切承诺的证明材料。</w:t>
      </w:r>
    </w:p>
    <w:p w14:paraId="79838777">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三、我方愿意按磋商文件规定和</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小组要求重新提交响应文件和最后报价。</w:t>
      </w:r>
    </w:p>
    <w:p w14:paraId="29A4BEEE">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四、我方同意在磋商文件中规定的提交首次响应文件截止时间起</w:t>
      </w:r>
      <w:r>
        <w:rPr>
          <w:rFonts w:hint="eastAsia" w:hAnsi="宋体" w:cs="宋体"/>
          <w:color w:val="000000"/>
          <w:sz w:val="24"/>
          <w:szCs w:val="24"/>
          <w:u w:val="single"/>
          <w:lang w:val="en-US" w:eastAsia="zh-CN"/>
        </w:rPr>
        <w:t xml:space="preserve">      </w:t>
      </w:r>
      <w:r>
        <w:rPr>
          <w:rFonts w:hint="eastAsia" w:ascii="宋体" w:hAnsi="宋体" w:eastAsia="宋体" w:cs="宋体"/>
          <w:color w:val="000000"/>
          <w:sz w:val="24"/>
          <w:szCs w:val="24"/>
        </w:rPr>
        <w:t>日内(响应文件有效期)遵守本响应文件中的承诺且在此期限期满之前均具有法律约束力。</w:t>
      </w:r>
    </w:p>
    <w:p w14:paraId="1E5D7651">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五、我方承诺遵守《政府采购法》及实施条例、《政府采购非招标方式管理办法》（财政部第74号令）的有关规定，保证在获得成交资格后，按照磋商文件确定的事项签订政府采购合同，履行双方所签订的合同，并承担合同规定的责任和义务。</w:t>
      </w:r>
    </w:p>
    <w:p w14:paraId="038E3F46">
      <w:pPr>
        <w:pStyle w:val="2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六、我方承诺在参与竞争性</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过程中，若出现《政府采购法》第七十七条、《政府采购法实施条例》第七十二条和《政府采购非招标方式管理办法》第五十四条规定之情形，我方同意接受条款规定作出的处罚。</w:t>
      </w:r>
    </w:p>
    <w:p w14:paraId="6323F835">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七、我方的联系方式：</w:t>
      </w:r>
    </w:p>
    <w:p w14:paraId="0C4A4827">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地址：；邮编： ；电话：；电子邮箱： 。</w:t>
      </w:r>
    </w:p>
    <w:p w14:paraId="5D6E2D3E">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供应商名称(盖单位公章)：</w:t>
      </w:r>
    </w:p>
    <w:p w14:paraId="0A847456">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72" w:firstLineChars="200"/>
        <w:textAlignment w:val="auto"/>
        <w:rPr>
          <w:rFonts w:hint="eastAsia" w:ascii="宋体" w:hAnsi="宋体" w:eastAsia="宋体" w:cs="宋体"/>
          <w:color w:val="000000"/>
          <w:sz w:val="24"/>
          <w:szCs w:val="24"/>
          <w:u w:val="single"/>
        </w:rPr>
      </w:pPr>
      <w:r>
        <w:rPr>
          <w:rFonts w:hint="eastAsia" w:ascii="宋体" w:hAnsi="宋体" w:eastAsia="宋体" w:cs="宋体"/>
          <w:color w:val="000000"/>
          <w:spacing w:val="-2"/>
          <w:kern w:val="0"/>
          <w:sz w:val="24"/>
          <w:szCs w:val="24"/>
        </w:rPr>
        <w:t>法</w:t>
      </w:r>
      <w:r>
        <w:rPr>
          <w:rFonts w:hint="eastAsia" w:ascii="宋体" w:hAnsi="宋体" w:eastAsia="宋体" w:cs="宋体"/>
          <w:color w:val="000000"/>
          <w:kern w:val="0"/>
          <w:sz w:val="24"/>
          <w:szCs w:val="24"/>
        </w:rPr>
        <w:t>定</w:t>
      </w:r>
      <w:r>
        <w:rPr>
          <w:rFonts w:hint="eastAsia" w:ascii="宋体" w:hAnsi="宋体" w:eastAsia="宋体" w:cs="宋体"/>
          <w:color w:val="000000"/>
          <w:spacing w:val="-2"/>
          <w:kern w:val="0"/>
          <w:sz w:val="24"/>
          <w:szCs w:val="24"/>
        </w:rPr>
        <w:t>代</w:t>
      </w:r>
      <w:r>
        <w:rPr>
          <w:rFonts w:hint="eastAsia" w:ascii="宋体" w:hAnsi="宋体" w:eastAsia="宋体" w:cs="宋体"/>
          <w:color w:val="000000"/>
          <w:kern w:val="0"/>
          <w:sz w:val="24"/>
          <w:szCs w:val="24"/>
        </w:rPr>
        <w:t>表</w:t>
      </w:r>
      <w:r>
        <w:rPr>
          <w:rFonts w:hint="eastAsia" w:ascii="宋体" w:hAnsi="宋体" w:eastAsia="宋体" w:cs="宋体"/>
          <w:color w:val="000000"/>
          <w:spacing w:val="-2"/>
          <w:kern w:val="0"/>
          <w:sz w:val="24"/>
          <w:szCs w:val="24"/>
        </w:rPr>
        <w:t>人</w:t>
      </w:r>
      <w:r>
        <w:rPr>
          <w:rFonts w:hint="eastAsia" w:ascii="宋体" w:hAnsi="宋体" w:eastAsia="宋体" w:cs="宋体"/>
          <w:color w:val="000000"/>
          <w:kern w:val="0"/>
          <w:sz w:val="24"/>
          <w:szCs w:val="24"/>
        </w:rPr>
        <w:t>（</w:t>
      </w:r>
      <w:r>
        <w:rPr>
          <w:rFonts w:hint="eastAsia" w:ascii="宋体" w:hAnsi="宋体" w:eastAsia="宋体" w:cs="宋体"/>
          <w:color w:val="000000"/>
          <w:spacing w:val="-2"/>
          <w:kern w:val="0"/>
          <w:sz w:val="24"/>
          <w:szCs w:val="24"/>
        </w:rPr>
        <w:t>单</w:t>
      </w:r>
      <w:r>
        <w:rPr>
          <w:rFonts w:hint="eastAsia" w:ascii="宋体" w:hAnsi="宋体" w:eastAsia="宋体" w:cs="宋体"/>
          <w:color w:val="000000"/>
          <w:kern w:val="0"/>
          <w:sz w:val="24"/>
          <w:szCs w:val="24"/>
        </w:rPr>
        <w:t>位</w:t>
      </w:r>
      <w:r>
        <w:rPr>
          <w:rFonts w:hint="eastAsia" w:ascii="宋体" w:hAnsi="宋体" w:eastAsia="宋体" w:cs="宋体"/>
          <w:color w:val="000000"/>
          <w:spacing w:val="-2"/>
          <w:kern w:val="0"/>
          <w:sz w:val="24"/>
          <w:szCs w:val="24"/>
        </w:rPr>
        <w:t>负</w:t>
      </w:r>
      <w:r>
        <w:rPr>
          <w:rFonts w:hint="eastAsia" w:ascii="宋体" w:hAnsi="宋体" w:eastAsia="宋体" w:cs="宋体"/>
          <w:color w:val="000000"/>
          <w:kern w:val="0"/>
          <w:sz w:val="24"/>
          <w:szCs w:val="24"/>
        </w:rPr>
        <w:t>责人</w:t>
      </w:r>
      <w:r>
        <w:rPr>
          <w:rFonts w:hint="eastAsia" w:ascii="宋体" w:hAnsi="宋体" w:eastAsia="宋体" w:cs="宋体"/>
          <w:color w:val="000000"/>
          <w:spacing w:val="-2"/>
          <w:kern w:val="0"/>
          <w:sz w:val="24"/>
          <w:szCs w:val="24"/>
        </w:rPr>
        <w:t>）</w:t>
      </w:r>
      <w:r>
        <w:rPr>
          <w:rFonts w:hint="eastAsia" w:ascii="宋体" w:hAnsi="宋体" w:eastAsia="宋体" w:cs="宋体"/>
          <w:color w:val="000000"/>
          <w:sz w:val="24"/>
          <w:szCs w:val="24"/>
        </w:rPr>
        <w:t>或其授权的代理人（签字或印章）：</w:t>
      </w:r>
    </w:p>
    <w:p w14:paraId="21A978E9">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日期：   年   月   日</w:t>
      </w:r>
    </w:p>
    <w:p w14:paraId="53A0E3A2">
      <w:pPr>
        <w:pStyle w:val="2"/>
        <w:pageBreakBefore w:val="0"/>
        <w:kinsoku/>
        <w:wordWrap/>
        <w:overflowPunct/>
        <w:bidi w:val="0"/>
        <w:spacing w:beforeAutospacing="0" w:afterAutospacing="0" w:line="500" w:lineRule="exact"/>
        <w:jc w:val="left"/>
        <w:textAlignment w:val="auto"/>
        <w:rPr>
          <w:rFonts w:hint="eastAsia" w:ascii="宋体" w:hAnsi="宋体" w:eastAsia="宋体" w:cs="宋体"/>
          <w:color w:val="000000"/>
          <w:sz w:val="24"/>
          <w:szCs w:val="24"/>
        </w:rPr>
      </w:pPr>
      <w:bookmarkStart w:id="72" w:name="_Toc34637791"/>
    </w:p>
    <w:p w14:paraId="780DF74C">
      <w:pPr>
        <w:rPr>
          <w:rFonts w:hint="eastAsia"/>
        </w:rPr>
      </w:pPr>
    </w:p>
    <w:p w14:paraId="40226DB0">
      <w:pPr>
        <w:pStyle w:val="2"/>
        <w:pageBreakBefore w:val="0"/>
        <w:kinsoku/>
        <w:wordWrap/>
        <w:overflowPunct/>
        <w:bidi w:val="0"/>
        <w:spacing w:beforeAutospacing="0" w:afterAutospacing="0" w:line="500" w:lineRule="exact"/>
        <w:jc w:val="left"/>
        <w:textAlignment w:val="auto"/>
        <w:rPr>
          <w:rFonts w:hint="eastAsia" w:ascii="宋体" w:hAnsi="宋体" w:eastAsia="宋体" w:cs="宋体"/>
          <w:color w:val="000000"/>
          <w:sz w:val="24"/>
          <w:szCs w:val="24"/>
        </w:rPr>
      </w:pPr>
    </w:p>
    <w:p w14:paraId="19AEE033">
      <w:pPr>
        <w:pStyle w:val="2"/>
        <w:pageBreakBefore w:val="0"/>
        <w:kinsoku/>
        <w:wordWrap/>
        <w:overflowPunct/>
        <w:bidi w:val="0"/>
        <w:spacing w:beforeAutospacing="0" w:afterAutospacing="0" w:line="500" w:lineRule="exact"/>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附件1-1  </w:t>
      </w:r>
    </w:p>
    <w:p w14:paraId="5E11E512">
      <w:pPr>
        <w:pStyle w:val="2"/>
        <w:pageBreakBefore w:val="0"/>
        <w:kinsoku/>
        <w:wordWrap/>
        <w:overflowPunct/>
        <w:bidi w:val="0"/>
        <w:spacing w:beforeAutospacing="0" w:afterAutospacing="0" w:line="500" w:lineRule="exact"/>
        <w:jc w:val="center"/>
        <w:textAlignment w:val="auto"/>
        <w:rPr>
          <w:rFonts w:hint="eastAsia" w:ascii="宋体" w:hAnsi="宋体" w:eastAsia="宋体" w:cs="宋体"/>
          <w:color w:val="000000"/>
          <w:kern w:val="0"/>
          <w:position w:val="-4"/>
          <w:sz w:val="24"/>
          <w:szCs w:val="24"/>
        </w:rPr>
      </w:pPr>
      <w:r>
        <w:rPr>
          <w:rFonts w:hint="eastAsia" w:ascii="宋体" w:hAnsi="宋体" w:eastAsia="宋体" w:cs="宋体"/>
          <w:color w:val="000000"/>
          <w:sz w:val="24"/>
          <w:szCs w:val="24"/>
        </w:rPr>
        <w:t>法定代表人（单位负责人）身份证明</w:t>
      </w:r>
      <w:bookmarkEnd w:id="72"/>
    </w:p>
    <w:p w14:paraId="7DF1668B">
      <w:pPr>
        <w:pageBreakBefore w:val="0"/>
        <w:tabs>
          <w:tab w:val="left" w:pos="3880"/>
        </w:tabs>
        <w:kinsoku/>
        <w:wordWrap/>
        <w:overflowPunct/>
        <w:autoSpaceDE w:val="0"/>
        <w:autoSpaceDN w:val="0"/>
        <w:bidi w:val="0"/>
        <w:adjustRightInd w:val="0"/>
        <w:snapToGrid w:val="0"/>
        <w:spacing w:beforeAutospacing="0" w:afterAutospacing="0" w:line="500" w:lineRule="exact"/>
        <w:ind w:left="100" w:right="-2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position w:val="-4"/>
          <w:sz w:val="24"/>
          <w:szCs w:val="24"/>
        </w:rPr>
        <w:t>供应商名</w:t>
      </w:r>
      <w:r>
        <w:rPr>
          <w:rFonts w:hint="eastAsia" w:ascii="宋体" w:hAnsi="宋体" w:eastAsia="宋体" w:cs="宋体"/>
          <w:color w:val="000000"/>
          <w:spacing w:val="-2"/>
          <w:kern w:val="0"/>
          <w:position w:val="-4"/>
          <w:sz w:val="24"/>
          <w:szCs w:val="24"/>
        </w:rPr>
        <w:t>称</w:t>
      </w:r>
      <w:r>
        <w:rPr>
          <w:rFonts w:hint="eastAsia" w:ascii="宋体" w:hAnsi="宋体" w:eastAsia="宋体" w:cs="宋体"/>
          <w:color w:val="000000"/>
          <w:kern w:val="0"/>
          <w:position w:val="-4"/>
          <w:sz w:val="24"/>
          <w:szCs w:val="24"/>
        </w:rPr>
        <w:t>：</w:t>
      </w:r>
    </w:p>
    <w:p w14:paraId="20915735">
      <w:pPr>
        <w:pageBreakBefore w:val="0"/>
        <w:tabs>
          <w:tab w:val="left" w:pos="2400"/>
          <w:tab w:val="left" w:pos="3880"/>
          <w:tab w:val="left" w:pos="5340"/>
          <w:tab w:val="left" w:pos="6820"/>
        </w:tabs>
        <w:kinsoku/>
        <w:wordWrap/>
        <w:overflowPunct/>
        <w:autoSpaceDE w:val="0"/>
        <w:autoSpaceDN w:val="0"/>
        <w:bidi w:val="0"/>
        <w:adjustRightInd w:val="0"/>
        <w:snapToGrid w:val="0"/>
        <w:spacing w:beforeAutospacing="0" w:afterAutospacing="0" w:line="500" w:lineRule="exact"/>
        <w:ind w:left="100" w:right="-20"/>
        <w:jc w:val="left"/>
        <w:textAlignment w:val="auto"/>
        <w:rPr>
          <w:rFonts w:hint="eastAsia" w:ascii="宋体" w:hAnsi="宋体" w:eastAsia="宋体" w:cs="宋体"/>
          <w:color w:val="000000"/>
          <w:kern w:val="0"/>
          <w:position w:val="-2"/>
          <w:sz w:val="24"/>
          <w:szCs w:val="24"/>
        </w:rPr>
      </w:pPr>
      <w:r>
        <w:rPr>
          <w:rFonts w:hint="eastAsia" w:ascii="宋体" w:hAnsi="宋体" w:eastAsia="宋体" w:cs="宋体"/>
          <w:color w:val="000000"/>
          <w:kern w:val="0"/>
          <w:position w:val="-2"/>
          <w:sz w:val="24"/>
          <w:szCs w:val="24"/>
        </w:rPr>
        <w:t>统一社会信用代码：</w:t>
      </w:r>
    </w:p>
    <w:p w14:paraId="1C36A238">
      <w:pPr>
        <w:pageBreakBefore w:val="0"/>
        <w:tabs>
          <w:tab w:val="left" w:pos="2400"/>
          <w:tab w:val="left" w:pos="3880"/>
          <w:tab w:val="left" w:pos="5340"/>
          <w:tab w:val="left" w:pos="6820"/>
        </w:tabs>
        <w:kinsoku/>
        <w:wordWrap/>
        <w:overflowPunct/>
        <w:autoSpaceDE w:val="0"/>
        <w:autoSpaceDN w:val="0"/>
        <w:bidi w:val="0"/>
        <w:adjustRightInd w:val="0"/>
        <w:snapToGrid w:val="0"/>
        <w:spacing w:beforeAutospacing="0" w:afterAutospacing="0" w:line="500" w:lineRule="exact"/>
        <w:ind w:left="100" w:right="-20"/>
        <w:jc w:val="left"/>
        <w:textAlignment w:val="auto"/>
        <w:rPr>
          <w:rFonts w:hint="eastAsia" w:ascii="宋体" w:hAnsi="宋体" w:eastAsia="宋体" w:cs="宋体"/>
          <w:color w:val="000000"/>
          <w:kern w:val="0"/>
          <w:position w:val="-2"/>
          <w:sz w:val="24"/>
          <w:szCs w:val="24"/>
        </w:rPr>
      </w:pPr>
      <w:r>
        <w:rPr>
          <w:rFonts w:hint="eastAsia" w:ascii="宋体" w:hAnsi="宋体" w:eastAsia="宋体" w:cs="宋体"/>
          <w:color w:val="000000"/>
          <w:kern w:val="0"/>
          <w:position w:val="-2"/>
          <w:sz w:val="24"/>
          <w:szCs w:val="24"/>
        </w:rPr>
        <w:t>注册地址：</w:t>
      </w:r>
    </w:p>
    <w:p w14:paraId="3AA7C801">
      <w:pPr>
        <w:pageBreakBefore w:val="0"/>
        <w:tabs>
          <w:tab w:val="left" w:pos="2400"/>
          <w:tab w:val="left" w:pos="3880"/>
          <w:tab w:val="left" w:pos="5340"/>
          <w:tab w:val="left" w:pos="6820"/>
        </w:tabs>
        <w:kinsoku/>
        <w:wordWrap/>
        <w:overflowPunct/>
        <w:autoSpaceDE w:val="0"/>
        <w:autoSpaceDN w:val="0"/>
        <w:bidi w:val="0"/>
        <w:adjustRightInd w:val="0"/>
        <w:snapToGrid w:val="0"/>
        <w:spacing w:beforeAutospacing="0" w:afterAutospacing="0" w:line="500" w:lineRule="exact"/>
        <w:ind w:left="102" w:right="-23"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position w:val="-2"/>
          <w:sz w:val="24"/>
          <w:szCs w:val="24"/>
        </w:rPr>
        <w:t>姓名</w:t>
      </w:r>
      <w:r>
        <w:rPr>
          <w:rFonts w:hint="eastAsia" w:ascii="宋体" w:hAnsi="宋体" w:eastAsia="宋体" w:cs="宋体"/>
          <w:color w:val="000000"/>
          <w:spacing w:val="-2"/>
          <w:kern w:val="0"/>
          <w:position w:val="-2"/>
          <w:sz w:val="24"/>
          <w:szCs w:val="24"/>
        </w:rPr>
        <w:t>：</w:t>
      </w:r>
      <w:r>
        <w:rPr>
          <w:rFonts w:hint="eastAsia" w:ascii="宋体" w:hAnsi="宋体" w:cs="宋体"/>
          <w:color w:val="000000"/>
          <w:spacing w:val="-2"/>
          <w:kern w:val="0"/>
          <w:position w:val="-2"/>
          <w:sz w:val="24"/>
          <w:szCs w:val="24"/>
          <w:u w:val="single"/>
          <w:lang w:val="en-US" w:eastAsia="zh-CN"/>
        </w:rPr>
        <w:t xml:space="preserve">      </w:t>
      </w:r>
      <w:r>
        <w:rPr>
          <w:rFonts w:hint="eastAsia" w:ascii="宋体" w:hAnsi="宋体" w:eastAsia="宋体" w:cs="宋体"/>
          <w:color w:val="000000"/>
          <w:kern w:val="0"/>
          <w:position w:val="-2"/>
          <w:sz w:val="24"/>
          <w:szCs w:val="24"/>
        </w:rPr>
        <w:t>性别</w:t>
      </w:r>
      <w:r>
        <w:rPr>
          <w:rFonts w:hint="eastAsia" w:ascii="宋体" w:hAnsi="宋体" w:eastAsia="宋体" w:cs="宋体"/>
          <w:color w:val="000000"/>
          <w:spacing w:val="-2"/>
          <w:kern w:val="0"/>
          <w:position w:val="-2"/>
          <w:sz w:val="24"/>
          <w:szCs w:val="24"/>
        </w:rPr>
        <w:t>：</w:t>
      </w:r>
      <w:r>
        <w:rPr>
          <w:rFonts w:hint="eastAsia" w:ascii="宋体" w:hAnsi="宋体" w:cs="宋体"/>
          <w:color w:val="000000"/>
          <w:spacing w:val="-2"/>
          <w:kern w:val="0"/>
          <w:position w:val="-2"/>
          <w:sz w:val="24"/>
          <w:szCs w:val="24"/>
          <w:u w:val="single"/>
          <w:lang w:val="en-US" w:eastAsia="zh-CN"/>
        </w:rPr>
        <w:t xml:space="preserve">      </w:t>
      </w:r>
      <w:r>
        <w:rPr>
          <w:rFonts w:hint="eastAsia" w:ascii="宋体" w:hAnsi="宋体" w:eastAsia="宋体" w:cs="宋体"/>
          <w:color w:val="000000"/>
          <w:kern w:val="0"/>
          <w:position w:val="-2"/>
          <w:sz w:val="24"/>
          <w:szCs w:val="24"/>
        </w:rPr>
        <w:t>年</w:t>
      </w:r>
      <w:r>
        <w:rPr>
          <w:rFonts w:hint="eastAsia" w:ascii="宋体" w:hAnsi="宋体" w:eastAsia="宋体" w:cs="宋体"/>
          <w:color w:val="000000"/>
          <w:spacing w:val="-2"/>
          <w:kern w:val="0"/>
          <w:position w:val="-2"/>
          <w:sz w:val="24"/>
          <w:szCs w:val="24"/>
        </w:rPr>
        <w:t>龄</w:t>
      </w:r>
      <w:r>
        <w:rPr>
          <w:rFonts w:hint="eastAsia" w:ascii="宋体" w:hAnsi="宋体" w:eastAsia="宋体" w:cs="宋体"/>
          <w:color w:val="000000"/>
          <w:kern w:val="0"/>
          <w:position w:val="-2"/>
          <w:sz w:val="24"/>
          <w:szCs w:val="24"/>
        </w:rPr>
        <w:t>：</w:t>
      </w:r>
      <w:r>
        <w:rPr>
          <w:rFonts w:hint="eastAsia" w:ascii="宋体" w:hAnsi="宋体" w:cs="宋体"/>
          <w:color w:val="000000"/>
          <w:kern w:val="0"/>
          <w:position w:val="-2"/>
          <w:sz w:val="24"/>
          <w:szCs w:val="24"/>
          <w:u w:val="single"/>
          <w:lang w:val="en-US" w:eastAsia="zh-CN"/>
        </w:rPr>
        <w:t xml:space="preserve">    </w:t>
      </w:r>
      <w:r>
        <w:rPr>
          <w:rFonts w:hint="eastAsia" w:ascii="宋体" w:hAnsi="宋体" w:eastAsia="宋体" w:cs="宋体"/>
          <w:color w:val="000000"/>
          <w:kern w:val="0"/>
          <w:position w:val="-2"/>
          <w:sz w:val="24"/>
          <w:szCs w:val="24"/>
        </w:rPr>
        <w:t>职</w:t>
      </w:r>
      <w:r>
        <w:rPr>
          <w:rFonts w:hint="eastAsia" w:ascii="宋体" w:hAnsi="宋体" w:eastAsia="宋体" w:cs="宋体"/>
          <w:color w:val="000000"/>
          <w:spacing w:val="-2"/>
          <w:kern w:val="0"/>
          <w:position w:val="-2"/>
          <w:sz w:val="24"/>
          <w:szCs w:val="24"/>
        </w:rPr>
        <w:t>务</w:t>
      </w:r>
      <w:r>
        <w:rPr>
          <w:rFonts w:hint="eastAsia" w:ascii="宋体" w:hAnsi="宋体" w:eastAsia="宋体" w:cs="宋体"/>
          <w:color w:val="000000"/>
          <w:kern w:val="0"/>
          <w:position w:val="-2"/>
          <w:sz w:val="24"/>
          <w:szCs w:val="24"/>
          <w:u w:val="single"/>
        </w:rPr>
        <w:t>：</w:t>
      </w:r>
      <w:r>
        <w:rPr>
          <w:rFonts w:hint="eastAsia" w:ascii="宋体" w:hAnsi="宋体" w:cs="宋体"/>
          <w:color w:val="000000"/>
          <w:kern w:val="0"/>
          <w:position w:val="-2"/>
          <w:sz w:val="24"/>
          <w:szCs w:val="24"/>
          <w:u w:val="single"/>
          <w:lang w:val="en-US" w:eastAsia="zh-CN"/>
        </w:rPr>
        <w:t xml:space="preserve">        </w:t>
      </w:r>
      <w:r>
        <w:rPr>
          <w:rFonts w:hint="eastAsia" w:ascii="宋体" w:hAnsi="宋体" w:eastAsia="宋体" w:cs="宋体"/>
          <w:color w:val="000000"/>
          <w:kern w:val="0"/>
          <w:position w:val="-2"/>
          <w:sz w:val="24"/>
          <w:szCs w:val="24"/>
        </w:rPr>
        <w:t>系</w:t>
      </w:r>
      <w:r>
        <w:rPr>
          <w:rFonts w:hint="eastAsia" w:ascii="宋体" w:hAnsi="宋体" w:eastAsia="宋体" w:cs="宋体"/>
          <w:color w:val="000000"/>
          <w:spacing w:val="-2"/>
          <w:kern w:val="0"/>
          <w:position w:val="-2"/>
          <w:sz w:val="24"/>
          <w:szCs w:val="24"/>
          <w:u w:val="single"/>
        </w:rPr>
        <w:t>（</w:t>
      </w:r>
      <w:r>
        <w:rPr>
          <w:rFonts w:hint="eastAsia" w:ascii="宋体" w:hAnsi="宋体" w:eastAsia="宋体" w:cs="宋体"/>
          <w:color w:val="000000"/>
          <w:kern w:val="0"/>
          <w:position w:val="-2"/>
          <w:sz w:val="24"/>
          <w:szCs w:val="24"/>
          <w:u w:val="single"/>
        </w:rPr>
        <w:t>供应商</w:t>
      </w:r>
      <w:r>
        <w:rPr>
          <w:rFonts w:hint="eastAsia" w:ascii="宋体" w:hAnsi="宋体" w:eastAsia="宋体" w:cs="宋体"/>
          <w:color w:val="000000"/>
          <w:spacing w:val="-2"/>
          <w:kern w:val="0"/>
          <w:position w:val="-2"/>
          <w:sz w:val="24"/>
          <w:szCs w:val="24"/>
          <w:u w:val="single"/>
        </w:rPr>
        <w:t>名</w:t>
      </w:r>
      <w:r>
        <w:rPr>
          <w:rFonts w:hint="eastAsia" w:ascii="宋体" w:hAnsi="宋体" w:eastAsia="宋体" w:cs="宋体"/>
          <w:color w:val="000000"/>
          <w:kern w:val="0"/>
          <w:position w:val="-2"/>
          <w:sz w:val="24"/>
          <w:szCs w:val="24"/>
          <w:u w:val="single"/>
        </w:rPr>
        <w:t>称</w:t>
      </w:r>
      <w:r>
        <w:rPr>
          <w:rFonts w:hint="eastAsia" w:ascii="宋体" w:hAnsi="宋体" w:eastAsia="宋体" w:cs="宋体"/>
          <w:color w:val="000000"/>
          <w:spacing w:val="-2"/>
          <w:kern w:val="0"/>
          <w:position w:val="-2"/>
          <w:sz w:val="24"/>
          <w:szCs w:val="24"/>
          <w:u w:val="single"/>
        </w:rPr>
        <w:t>）</w:t>
      </w:r>
      <w:r>
        <w:rPr>
          <w:rFonts w:hint="eastAsia" w:ascii="宋体" w:hAnsi="宋体" w:eastAsia="宋体" w:cs="宋体"/>
          <w:color w:val="000000"/>
          <w:kern w:val="0"/>
          <w:position w:val="-2"/>
          <w:sz w:val="24"/>
          <w:szCs w:val="24"/>
        </w:rPr>
        <w:t>的</w:t>
      </w:r>
      <w:r>
        <w:rPr>
          <w:rFonts w:hint="eastAsia" w:ascii="宋体" w:hAnsi="宋体" w:eastAsia="宋体" w:cs="宋体"/>
          <w:color w:val="000000"/>
          <w:spacing w:val="-2"/>
          <w:kern w:val="0"/>
          <w:position w:val="-2"/>
          <w:sz w:val="24"/>
          <w:szCs w:val="24"/>
        </w:rPr>
        <w:t>法定</w:t>
      </w:r>
      <w:r>
        <w:rPr>
          <w:rFonts w:hint="eastAsia" w:ascii="宋体" w:hAnsi="宋体" w:eastAsia="宋体" w:cs="宋体"/>
          <w:color w:val="000000"/>
          <w:kern w:val="0"/>
          <w:position w:val="-2"/>
          <w:sz w:val="24"/>
          <w:szCs w:val="24"/>
        </w:rPr>
        <w:t>代表</w:t>
      </w:r>
      <w:r>
        <w:rPr>
          <w:rFonts w:hint="eastAsia" w:ascii="宋体" w:hAnsi="宋体" w:eastAsia="宋体" w:cs="宋体"/>
          <w:color w:val="000000"/>
          <w:spacing w:val="-2"/>
          <w:kern w:val="0"/>
          <w:position w:val="-2"/>
          <w:sz w:val="24"/>
          <w:szCs w:val="24"/>
        </w:rPr>
        <w:t>人</w:t>
      </w:r>
      <w:r>
        <w:rPr>
          <w:rFonts w:hint="eastAsia" w:ascii="宋体" w:hAnsi="宋体" w:eastAsia="宋体" w:cs="宋体"/>
          <w:color w:val="000000"/>
          <w:kern w:val="0"/>
          <w:position w:val="-2"/>
          <w:sz w:val="24"/>
          <w:szCs w:val="24"/>
        </w:rPr>
        <w:t>（</w:t>
      </w:r>
      <w:r>
        <w:rPr>
          <w:rFonts w:hint="eastAsia" w:ascii="宋体" w:hAnsi="宋体" w:eastAsia="宋体" w:cs="宋体"/>
          <w:color w:val="000000"/>
          <w:spacing w:val="-2"/>
          <w:kern w:val="0"/>
          <w:position w:val="-2"/>
          <w:sz w:val="24"/>
          <w:szCs w:val="24"/>
        </w:rPr>
        <w:t>单</w:t>
      </w:r>
      <w:r>
        <w:rPr>
          <w:rFonts w:hint="eastAsia" w:ascii="宋体" w:hAnsi="宋体" w:eastAsia="宋体" w:cs="宋体"/>
          <w:color w:val="000000"/>
          <w:kern w:val="0"/>
          <w:position w:val="-2"/>
          <w:sz w:val="24"/>
          <w:szCs w:val="24"/>
        </w:rPr>
        <w:t>位</w:t>
      </w:r>
      <w:r>
        <w:rPr>
          <w:rFonts w:hint="eastAsia" w:ascii="宋体" w:hAnsi="宋体" w:eastAsia="宋体" w:cs="宋体"/>
          <w:color w:val="000000"/>
          <w:spacing w:val="-2"/>
          <w:kern w:val="0"/>
          <w:position w:val="-2"/>
          <w:sz w:val="24"/>
          <w:szCs w:val="24"/>
        </w:rPr>
        <w:t>负</w:t>
      </w:r>
      <w:r>
        <w:rPr>
          <w:rFonts w:hint="eastAsia" w:ascii="宋体" w:hAnsi="宋体" w:eastAsia="宋体" w:cs="宋体"/>
          <w:color w:val="000000"/>
          <w:kern w:val="0"/>
          <w:position w:val="-2"/>
          <w:sz w:val="24"/>
          <w:szCs w:val="24"/>
        </w:rPr>
        <w:t>责</w:t>
      </w:r>
      <w:r>
        <w:rPr>
          <w:rFonts w:hint="eastAsia" w:ascii="宋体" w:hAnsi="宋体" w:eastAsia="宋体" w:cs="宋体"/>
          <w:color w:val="000000"/>
          <w:spacing w:val="-2"/>
          <w:kern w:val="0"/>
          <w:position w:val="-2"/>
          <w:sz w:val="24"/>
          <w:szCs w:val="24"/>
        </w:rPr>
        <w:t>人</w:t>
      </w:r>
      <w:r>
        <w:rPr>
          <w:rFonts w:hint="eastAsia" w:ascii="宋体" w:hAnsi="宋体" w:eastAsia="宋体" w:cs="宋体"/>
          <w:color w:val="000000"/>
          <w:spacing w:val="-106"/>
          <w:kern w:val="0"/>
          <w:position w:val="-2"/>
          <w:sz w:val="24"/>
          <w:szCs w:val="24"/>
        </w:rPr>
        <w:t>）</w:t>
      </w:r>
      <w:r>
        <w:rPr>
          <w:rFonts w:hint="eastAsia" w:ascii="宋体" w:hAnsi="宋体" w:eastAsia="宋体" w:cs="宋体"/>
          <w:color w:val="000000"/>
          <w:kern w:val="0"/>
          <w:position w:val="-2"/>
          <w:sz w:val="24"/>
          <w:szCs w:val="24"/>
        </w:rPr>
        <w:t>。</w:t>
      </w:r>
    </w:p>
    <w:p w14:paraId="74D40E1B">
      <w:pPr>
        <w:pageBreakBefore w:val="0"/>
        <w:kinsoku/>
        <w:wordWrap/>
        <w:overflowPunct/>
        <w:autoSpaceDE w:val="0"/>
        <w:autoSpaceDN w:val="0"/>
        <w:bidi w:val="0"/>
        <w:adjustRightInd w:val="0"/>
        <w:snapToGrid w:val="0"/>
        <w:spacing w:beforeAutospacing="0" w:afterAutospacing="0" w:line="500" w:lineRule="exact"/>
        <w:ind w:left="520" w:right="-2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特此</w:t>
      </w:r>
      <w:r>
        <w:rPr>
          <w:rFonts w:hint="eastAsia" w:ascii="宋体" w:hAnsi="宋体" w:eastAsia="宋体" w:cs="宋体"/>
          <w:color w:val="000000"/>
          <w:spacing w:val="-2"/>
          <w:kern w:val="0"/>
          <w:sz w:val="24"/>
          <w:szCs w:val="24"/>
        </w:rPr>
        <w:t>证</w:t>
      </w:r>
      <w:r>
        <w:rPr>
          <w:rFonts w:hint="eastAsia" w:ascii="宋体" w:hAnsi="宋体" w:eastAsia="宋体" w:cs="宋体"/>
          <w:color w:val="000000"/>
          <w:kern w:val="0"/>
          <w:sz w:val="24"/>
          <w:szCs w:val="24"/>
        </w:rPr>
        <w:t>明。</w:t>
      </w:r>
    </w:p>
    <w:p w14:paraId="1A71F702">
      <w:pPr>
        <w:pageBreakBefore w:val="0"/>
        <w:kinsoku/>
        <w:wordWrap/>
        <w:overflowPunct/>
        <w:autoSpaceDE w:val="0"/>
        <w:autoSpaceDN w:val="0"/>
        <w:bidi w:val="0"/>
        <w:adjustRightInd w:val="0"/>
        <w:snapToGrid w:val="0"/>
        <w:spacing w:beforeAutospacing="0" w:afterAutospacing="0" w:line="500" w:lineRule="exact"/>
        <w:ind w:left="100" w:right="4231"/>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附：</w:t>
      </w:r>
      <w:r>
        <w:rPr>
          <w:rFonts w:hint="eastAsia" w:ascii="宋体" w:hAnsi="宋体" w:eastAsia="宋体" w:cs="宋体"/>
          <w:color w:val="000000"/>
          <w:spacing w:val="-2"/>
          <w:kern w:val="0"/>
          <w:sz w:val="24"/>
          <w:szCs w:val="24"/>
        </w:rPr>
        <w:t>法</w:t>
      </w:r>
      <w:r>
        <w:rPr>
          <w:rFonts w:hint="eastAsia" w:ascii="宋体" w:hAnsi="宋体" w:eastAsia="宋体" w:cs="宋体"/>
          <w:color w:val="000000"/>
          <w:kern w:val="0"/>
          <w:sz w:val="24"/>
          <w:szCs w:val="24"/>
        </w:rPr>
        <w:t>定</w:t>
      </w:r>
      <w:r>
        <w:rPr>
          <w:rFonts w:hint="eastAsia" w:ascii="宋体" w:hAnsi="宋体" w:eastAsia="宋体" w:cs="宋体"/>
          <w:color w:val="000000"/>
          <w:spacing w:val="-2"/>
          <w:kern w:val="0"/>
          <w:sz w:val="24"/>
          <w:szCs w:val="24"/>
        </w:rPr>
        <w:t>代</w:t>
      </w:r>
      <w:r>
        <w:rPr>
          <w:rFonts w:hint="eastAsia" w:ascii="宋体" w:hAnsi="宋体" w:eastAsia="宋体" w:cs="宋体"/>
          <w:color w:val="000000"/>
          <w:kern w:val="0"/>
          <w:sz w:val="24"/>
          <w:szCs w:val="24"/>
        </w:rPr>
        <w:t>表</w:t>
      </w:r>
      <w:r>
        <w:rPr>
          <w:rFonts w:hint="eastAsia" w:ascii="宋体" w:hAnsi="宋体" w:eastAsia="宋体" w:cs="宋体"/>
          <w:color w:val="000000"/>
          <w:spacing w:val="-2"/>
          <w:kern w:val="0"/>
          <w:sz w:val="24"/>
          <w:szCs w:val="24"/>
        </w:rPr>
        <w:t>人</w:t>
      </w:r>
      <w:r>
        <w:rPr>
          <w:rFonts w:hint="eastAsia" w:ascii="宋体" w:hAnsi="宋体" w:eastAsia="宋体" w:cs="宋体"/>
          <w:color w:val="000000"/>
          <w:kern w:val="0"/>
          <w:sz w:val="24"/>
          <w:szCs w:val="24"/>
        </w:rPr>
        <w:t>（</w:t>
      </w:r>
      <w:r>
        <w:rPr>
          <w:rFonts w:hint="eastAsia" w:ascii="宋体" w:hAnsi="宋体" w:eastAsia="宋体" w:cs="宋体"/>
          <w:color w:val="000000"/>
          <w:spacing w:val="-2"/>
          <w:kern w:val="0"/>
          <w:sz w:val="24"/>
          <w:szCs w:val="24"/>
        </w:rPr>
        <w:t>单</w:t>
      </w:r>
      <w:r>
        <w:rPr>
          <w:rFonts w:hint="eastAsia" w:ascii="宋体" w:hAnsi="宋体" w:eastAsia="宋体" w:cs="宋体"/>
          <w:color w:val="000000"/>
          <w:kern w:val="0"/>
          <w:sz w:val="24"/>
          <w:szCs w:val="24"/>
        </w:rPr>
        <w:t>位</w:t>
      </w:r>
      <w:r>
        <w:rPr>
          <w:rFonts w:hint="eastAsia" w:ascii="宋体" w:hAnsi="宋体" w:eastAsia="宋体" w:cs="宋体"/>
          <w:color w:val="000000"/>
          <w:spacing w:val="-2"/>
          <w:kern w:val="0"/>
          <w:sz w:val="24"/>
          <w:szCs w:val="24"/>
        </w:rPr>
        <w:t>负</w:t>
      </w:r>
      <w:r>
        <w:rPr>
          <w:rFonts w:hint="eastAsia" w:ascii="宋体" w:hAnsi="宋体" w:eastAsia="宋体" w:cs="宋体"/>
          <w:color w:val="000000"/>
          <w:kern w:val="0"/>
          <w:sz w:val="24"/>
          <w:szCs w:val="24"/>
        </w:rPr>
        <w:t>责人</w:t>
      </w:r>
      <w:r>
        <w:rPr>
          <w:rFonts w:hint="eastAsia" w:ascii="宋体" w:hAnsi="宋体" w:eastAsia="宋体" w:cs="宋体"/>
          <w:color w:val="000000"/>
          <w:spacing w:val="-2"/>
          <w:kern w:val="0"/>
          <w:sz w:val="24"/>
          <w:szCs w:val="24"/>
        </w:rPr>
        <w:t>）</w:t>
      </w:r>
      <w:r>
        <w:rPr>
          <w:rFonts w:hint="eastAsia" w:ascii="宋体" w:hAnsi="宋体" w:eastAsia="宋体" w:cs="宋体"/>
          <w:color w:val="000000"/>
          <w:kern w:val="0"/>
          <w:sz w:val="24"/>
          <w:szCs w:val="24"/>
        </w:rPr>
        <w:t>身</w:t>
      </w:r>
      <w:r>
        <w:rPr>
          <w:rFonts w:hint="eastAsia" w:ascii="宋体" w:hAnsi="宋体" w:eastAsia="宋体" w:cs="宋体"/>
          <w:color w:val="000000"/>
          <w:spacing w:val="-2"/>
          <w:kern w:val="0"/>
          <w:sz w:val="24"/>
          <w:szCs w:val="24"/>
        </w:rPr>
        <w:t>份</w:t>
      </w:r>
      <w:r>
        <w:rPr>
          <w:rFonts w:hint="eastAsia" w:ascii="宋体" w:hAnsi="宋体" w:eastAsia="宋体" w:cs="宋体"/>
          <w:color w:val="000000"/>
          <w:kern w:val="0"/>
          <w:sz w:val="24"/>
          <w:szCs w:val="24"/>
        </w:rPr>
        <w:t>证</w:t>
      </w:r>
      <w:r>
        <w:rPr>
          <w:rFonts w:hint="eastAsia" w:ascii="宋体" w:hAnsi="宋体" w:eastAsia="宋体" w:cs="宋体"/>
          <w:color w:val="000000"/>
          <w:spacing w:val="-2"/>
          <w:kern w:val="0"/>
          <w:sz w:val="24"/>
          <w:szCs w:val="24"/>
        </w:rPr>
        <w:t>复</w:t>
      </w:r>
      <w:r>
        <w:rPr>
          <w:rFonts w:hint="eastAsia" w:ascii="宋体" w:hAnsi="宋体" w:eastAsia="宋体" w:cs="宋体"/>
          <w:color w:val="000000"/>
          <w:kern w:val="0"/>
          <w:sz w:val="24"/>
          <w:szCs w:val="24"/>
        </w:rPr>
        <w:t>印</w:t>
      </w:r>
      <w:r>
        <w:rPr>
          <w:rFonts w:hint="eastAsia" w:ascii="宋体" w:hAnsi="宋体" w:eastAsia="宋体" w:cs="宋体"/>
          <w:color w:val="000000"/>
          <w:spacing w:val="-2"/>
          <w:kern w:val="0"/>
          <w:sz w:val="24"/>
          <w:szCs w:val="24"/>
        </w:rPr>
        <w:t>件</w:t>
      </w:r>
      <w:r>
        <w:rPr>
          <w:rFonts w:hint="eastAsia" w:ascii="宋体" w:hAnsi="宋体" w:eastAsia="宋体" w:cs="宋体"/>
          <w:color w:val="000000"/>
          <w:kern w:val="0"/>
          <w:sz w:val="24"/>
          <w:szCs w:val="24"/>
        </w:rPr>
        <w:t>。</w:t>
      </w:r>
    </w:p>
    <w:tbl>
      <w:tblPr>
        <w:tblStyle w:val="45"/>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C6F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3898" w:type="dxa"/>
            <w:vAlign w:val="center"/>
          </w:tcPr>
          <w:p w14:paraId="3F41EB54">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身份证（正面）</w:t>
            </w:r>
            <w:r>
              <w:rPr>
                <w:rFonts w:hint="eastAsia" w:ascii="宋体" w:hAnsi="宋体" w:eastAsia="宋体" w:cs="宋体"/>
                <w:color w:val="000000"/>
                <w:spacing w:val="-2"/>
                <w:kern w:val="0"/>
                <w:sz w:val="24"/>
                <w:szCs w:val="24"/>
              </w:rPr>
              <w:t>复</w:t>
            </w:r>
            <w:r>
              <w:rPr>
                <w:rFonts w:hint="eastAsia" w:ascii="宋体" w:hAnsi="宋体" w:eastAsia="宋体" w:cs="宋体"/>
                <w:color w:val="000000"/>
                <w:kern w:val="0"/>
                <w:sz w:val="24"/>
                <w:szCs w:val="24"/>
              </w:rPr>
              <w:t>印</w:t>
            </w:r>
            <w:r>
              <w:rPr>
                <w:rFonts w:hint="eastAsia" w:ascii="宋体" w:hAnsi="宋体" w:eastAsia="宋体" w:cs="宋体"/>
                <w:color w:val="000000"/>
                <w:spacing w:val="-2"/>
                <w:kern w:val="0"/>
                <w:sz w:val="24"/>
                <w:szCs w:val="24"/>
              </w:rPr>
              <w:t>件</w:t>
            </w:r>
          </w:p>
        </w:tc>
        <w:tc>
          <w:tcPr>
            <w:tcW w:w="3899" w:type="dxa"/>
            <w:vAlign w:val="center"/>
          </w:tcPr>
          <w:p w14:paraId="0F48E81C">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身份证（反面）</w:t>
            </w:r>
            <w:r>
              <w:rPr>
                <w:rFonts w:hint="eastAsia" w:ascii="宋体" w:hAnsi="宋体" w:eastAsia="宋体" w:cs="宋体"/>
                <w:color w:val="000000"/>
                <w:spacing w:val="-2"/>
                <w:kern w:val="0"/>
                <w:sz w:val="24"/>
                <w:szCs w:val="24"/>
              </w:rPr>
              <w:t>复</w:t>
            </w:r>
            <w:r>
              <w:rPr>
                <w:rFonts w:hint="eastAsia" w:ascii="宋体" w:hAnsi="宋体" w:eastAsia="宋体" w:cs="宋体"/>
                <w:color w:val="000000"/>
                <w:kern w:val="0"/>
                <w:sz w:val="24"/>
                <w:szCs w:val="24"/>
              </w:rPr>
              <w:t>印</w:t>
            </w:r>
            <w:r>
              <w:rPr>
                <w:rFonts w:hint="eastAsia" w:ascii="宋体" w:hAnsi="宋体" w:eastAsia="宋体" w:cs="宋体"/>
                <w:color w:val="000000"/>
                <w:spacing w:val="-2"/>
                <w:kern w:val="0"/>
                <w:sz w:val="24"/>
                <w:szCs w:val="24"/>
              </w:rPr>
              <w:t>件</w:t>
            </w:r>
          </w:p>
        </w:tc>
      </w:tr>
    </w:tbl>
    <w:p w14:paraId="3F124D5C">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注：供应商代表为法定代表人（单位负责人）的提供。供应商为自然人的无需提供。</w:t>
      </w:r>
    </w:p>
    <w:p w14:paraId="0C4DB968">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p>
    <w:p w14:paraId="2FC67C0C">
      <w:pPr>
        <w:pStyle w:val="24"/>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供应商名称(盖单位公章)：</w:t>
      </w:r>
    </w:p>
    <w:p w14:paraId="7C0C0116">
      <w:pPr>
        <w:pageBreakBefore w:val="0"/>
        <w:kinsoku/>
        <w:wordWrap/>
        <w:overflowPunct/>
        <w:bidi w:val="0"/>
        <w:adjustRightInd w:val="0"/>
        <w:snapToGrid w:val="0"/>
        <w:spacing w:beforeAutospacing="0" w:afterAutospacing="0" w:line="500" w:lineRule="exact"/>
        <w:ind w:right="24"/>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日期：   年   月   日</w:t>
      </w:r>
    </w:p>
    <w:p w14:paraId="3E05FE37">
      <w:pPr>
        <w:pStyle w:val="2"/>
        <w:pageBreakBefore w:val="0"/>
        <w:kinsoku/>
        <w:wordWrap/>
        <w:overflowPunct/>
        <w:bidi w:val="0"/>
        <w:spacing w:beforeAutospacing="0" w:afterAutospacing="0" w:line="500" w:lineRule="exact"/>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br w:type="page"/>
      </w:r>
      <w:bookmarkStart w:id="73" w:name="_Toc34637792"/>
      <w:r>
        <w:rPr>
          <w:rFonts w:hint="eastAsia" w:ascii="宋体" w:hAnsi="宋体" w:eastAsia="宋体" w:cs="宋体"/>
          <w:color w:val="000000"/>
          <w:sz w:val="24"/>
          <w:szCs w:val="24"/>
        </w:rPr>
        <w:t xml:space="preserve">附件1-2  </w:t>
      </w:r>
    </w:p>
    <w:p w14:paraId="6BEAE7FF">
      <w:pPr>
        <w:pStyle w:val="2"/>
        <w:pageBreakBefore w:val="0"/>
        <w:kinsoku/>
        <w:wordWrap/>
        <w:overflowPunct/>
        <w:bidi w:val="0"/>
        <w:spacing w:beforeAutospacing="0" w:afterAutospacing="0" w:line="500" w:lineRule="exact"/>
        <w:jc w:val="left"/>
        <w:textAlignment w:val="auto"/>
        <w:outlineLvl w:val="9"/>
        <w:rPr>
          <w:rFonts w:hint="eastAsia" w:ascii="宋体" w:hAnsi="宋体" w:eastAsia="宋体" w:cs="宋体"/>
          <w:color w:val="000000"/>
          <w:sz w:val="24"/>
          <w:szCs w:val="24"/>
        </w:rPr>
      </w:pPr>
    </w:p>
    <w:p w14:paraId="639B18BA">
      <w:pPr>
        <w:pStyle w:val="2"/>
        <w:pageBreakBefore w:val="0"/>
        <w:kinsoku/>
        <w:wordWrap/>
        <w:overflowPunct/>
        <w:bidi w:val="0"/>
        <w:spacing w:beforeAutospacing="0" w:afterAutospacing="0" w:line="50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sz w:val="24"/>
          <w:szCs w:val="24"/>
        </w:rPr>
        <w:t>法定代表人授权委托书</w:t>
      </w:r>
      <w:bookmarkEnd w:id="73"/>
    </w:p>
    <w:p w14:paraId="05E7E4B0">
      <w:pPr>
        <w:pageBreakBefore w:val="0"/>
        <w:kinsoku/>
        <w:wordWrap/>
        <w:overflowPunct/>
        <w:autoSpaceDE w:val="0"/>
        <w:autoSpaceDN w:val="0"/>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本人</w:t>
      </w:r>
      <w:r>
        <w:rPr>
          <w:rFonts w:hint="eastAsia" w:ascii="宋体" w:hAnsi="宋体" w:eastAsia="宋体" w:cs="宋体"/>
          <w:color w:val="000000"/>
          <w:kern w:val="0"/>
          <w:sz w:val="24"/>
          <w:szCs w:val="24"/>
          <w:u w:val="single"/>
        </w:rPr>
        <w:t>（姓名、职务）</w:t>
      </w:r>
      <w:r>
        <w:rPr>
          <w:rFonts w:hint="eastAsia" w:ascii="宋体" w:hAnsi="宋体" w:eastAsia="宋体" w:cs="宋体"/>
          <w:color w:val="000000"/>
          <w:kern w:val="0"/>
          <w:sz w:val="24"/>
          <w:szCs w:val="24"/>
        </w:rPr>
        <w:t xml:space="preserve">系 </w:t>
      </w:r>
      <w:r>
        <w:rPr>
          <w:rFonts w:hint="eastAsia" w:ascii="宋体" w:hAnsi="宋体" w:eastAsia="宋体" w:cs="宋体"/>
          <w:color w:val="000000"/>
          <w:kern w:val="0"/>
          <w:sz w:val="24"/>
          <w:szCs w:val="24"/>
          <w:u w:val="single"/>
        </w:rPr>
        <w:t>（</w:t>
      </w:r>
      <w:r>
        <w:rPr>
          <w:rFonts w:hint="eastAsia" w:ascii="宋体" w:hAnsi="宋体" w:eastAsia="宋体" w:cs="宋体"/>
          <w:color w:val="000000"/>
          <w:sz w:val="24"/>
          <w:szCs w:val="24"/>
          <w:u w:val="single"/>
        </w:rPr>
        <w:t>供应商</w:t>
      </w:r>
      <w:r>
        <w:rPr>
          <w:rFonts w:hint="eastAsia" w:ascii="宋体" w:hAnsi="宋体" w:eastAsia="宋体" w:cs="宋体"/>
          <w:color w:val="000000"/>
          <w:kern w:val="0"/>
          <w:sz w:val="24"/>
          <w:szCs w:val="24"/>
          <w:u w:val="single"/>
        </w:rPr>
        <w:t>名称）</w:t>
      </w:r>
      <w:r>
        <w:rPr>
          <w:rFonts w:hint="eastAsia" w:ascii="宋体" w:hAnsi="宋体" w:eastAsia="宋体" w:cs="宋体"/>
          <w:color w:val="000000"/>
          <w:kern w:val="0"/>
          <w:sz w:val="24"/>
          <w:szCs w:val="24"/>
        </w:rPr>
        <w:t>的法定代表人（</w:t>
      </w:r>
      <w:r>
        <w:rPr>
          <w:rFonts w:hint="eastAsia" w:ascii="宋体" w:hAnsi="宋体" w:eastAsia="宋体" w:cs="宋体"/>
          <w:color w:val="000000"/>
          <w:spacing w:val="-2"/>
          <w:kern w:val="0"/>
          <w:sz w:val="24"/>
          <w:szCs w:val="24"/>
        </w:rPr>
        <w:t>单</w:t>
      </w:r>
      <w:r>
        <w:rPr>
          <w:rFonts w:hint="eastAsia" w:ascii="宋体" w:hAnsi="宋体" w:eastAsia="宋体" w:cs="宋体"/>
          <w:color w:val="000000"/>
          <w:kern w:val="0"/>
          <w:sz w:val="24"/>
          <w:szCs w:val="24"/>
        </w:rPr>
        <w:t>位</w:t>
      </w:r>
      <w:r>
        <w:rPr>
          <w:rFonts w:hint="eastAsia" w:ascii="宋体" w:hAnsi="宋体" w:eastAsia="宋体" w:cs="宋体"/>
          <w:color w:val="000000"/>
          <w:spacing w:val="-2"/>
          <w:kern w:val="0"/>
          <w:sz w:val="24"/>
          <w:szCs w:val="24"/>
        </w:rPr>
        <w:t>负</w:t>
      </w:r>
      <w:r>
        <w:rPr>
          <w:rFonts w:hint="eastAsia" w:ascii="宋体" w:hAnsi="宋体" w:eastAsia="宋体" w:cs="宋体"/>
          <w:color w:val="000000"/>
          <w:kern w:val="0"/>
          <w:sz w:val="24"/>
          <w:szCs w:val="24"/>
        </w:rPr>
        <w:t>责人</w:t>
      </w:r>
      <w:r>
        <w:rPr>
          <w:rFonts w:hint="eastAsia" w:ascii="宋体" w:hAnsi="宋体" w:eastAsia="宋体" w:cs="宋体"/>
          <w:color w:val="000000"/>
          <w:spacing w:val="-2"/>
          <w:kern w:val="0"/>
          <w:sz w:val="24"/>
          <w:szCs w:val="24"/>
        </w:rPr>
        <w:t>）</w:t>
      </w:r>
      <w:r>
        <w:rPr>
          <w:rFonts w:hint="eastAsia" w:ascii="宋体" w:hAnsi="宋体" w:eastAsia="宋体" w:cs="宋体"/>
          <w:color w:val="000000"/>
          <w:kern w:val="0"/>
          <w:sz w:val="24"/>
          <w:szCs w:val="24"/>
        </w:rPr>
        <w:t>，现授权</w:t>
      </w:r>
      <w:r>
        <w:rPr>
          <w:rFonts w:hint="eastAsia" w:ascii="宋体" w:hAnsi="宋体" w:eastAsia="宋体" w:cs="宋体"/>
          <w:color w:val="000000"/>
          <w:kern w:val="0"/>
          <w:sz w:val="24"/>
          <w:szCs w:val="24"/>
          <w:u w:val="single"/>
        </w:rPr>
        <w:t>（姓名、职务）</w:t>
      </w:r>
      <w:r>
        <w:rPr>
          <w:rFonts w:hint="eastAsia" w:ascii="宋体" w:hAnsi="宋体" w:eastAsia="宋体" w:cs="宋体"/>
          <w:color w:val="000000"/>
          <w:kern w:val="0"/>
          <w:sz w:val="24"/>
          <w:szCs w:val="24"/>
        </w:rPr>
        <w:t>为我方代理人。代理人根据授权，以我方名义：(1)签署、澄清、补正、修改、撤回、提交（项目名称、</w:t>
      </w:r>
      <w:r>
        <w:rPr>
          <w:rFonts w:hint="eastAsia" w:ascii="宋体" w:hAnsi="宋体" w:eastAsia="宋体" w:cs="宋体"/>
          <w:color w:val="000000"/>
          <w:sz w:val="24"/>
          <w:szCs w:val="24"/>
        </w:rPr>
        <w:t>政府</w:t>
      </w:r>
      <w:r>
        <w:rPr>
          <w:rFonts w:hint="eastAsia" w:ascii="宋体" w:hAnsi="宋体" w:eastAsia="宋体" w:cs="宋体"/>
          <w:color w:val="000000"/>
          <w:kern w:val="0"/>
          <w:sz w:val="24"/>
          <w:szCs w:val="24"/>
        </w:rPr>
        <w:t>采购</w:t>
      </w:r>
      <w:r>
        <w:rPr>
          <w:rFonts w:hint="eastAsia" w:ascii="宋体" w:hAnsi="宋体" w:cs="宋体"/>
          <w:color w:val="000000"/>
          <w:kern w:val="0"/>
          <w:sz w:val="24"/>
          <w:szCs w:val="24"/>
          <w:lang w:val="en-US" w:eastAsia="zh-CN"/>
        </w:rPr>
        <w:t>计划</w:t>
      </w:r>
      <w:r>
        <w:rPr>
          <w:rFonts w:hint="eastAsia" w:ascii="宋体" w:hAnsi="宋体" w:eastAsia="宋体" w:cs="宋体"/>
          <w:color w:val="000000"/>
          <w:kern w:val="0"/>
          <w:sz w:val="24"/>
          <w:szCs w:val="24"/>
        </w:rPr>
        <w:t>编号、采购</w:t>
      </w:r>
      <w:r>
        <w:rPr>
          <w:rFonts w:hint="eastAsia" w:ascii="宋体" w:hAnsi="宋体" w:cs="宋体"/>
          <w:color w:val="000000"/>
          <w:kern w:val="0"/>
          <w:sz w:val="24"/>
          <w:szCs w:val="24"/>
          <w:lang w:val="en-US" w:eastAsia="zh-CN"/>
        </w:rPr>
        <w:t>项目</w:t>
      </w:r>
      <w:r>
        <w:rPr>
          <w:rFonts w:hint="eastAsia" w:ascii="宋体" w:hAnsi="宋体" w:eastAsia="宋体" w:cs="宋体"/>
          <w:color w:val="000000"/>
          <w:kern w:val="0"/>
          <w:sz w:val="24"/>
          <w:szCs w:val="24"/>
        </w:rPr>
        <w:t>编号）响应文件；(2)签署并重新提交响应文件及最后报价；(3)退出</w:t>
      </w:r>
      <w:r>
        <w:rPr>
          <w:rFonts w:hint="eastAsia" w:ascii="宋体" w:hAnsi="宋体" w:cs="宋体"/>
          <w:color w:val="000000"/>
          <w:kern w:val="0"/>
          <w:sz w:val="24"/>
          <w:szCs w:val="24"/>
          <w:lang w:val="en-US" w:eastAsia="zh-CN"/>
        </w:rPr>
        <w:t>磋商</w:t>
      </w:r>
      <w:r>
        <w:rPr>
          <w:rFonts w:hint="eastAsia" w:ascii="宋体" w:hAnsi="宋体" w:eastAsia="宋体" w:cs="宋体"/>
          <w:color w:val="000000"/>
          <w:kern w:val="0"/>
          <w:sz w:val="24"/>
          <w:szCs w:val="24"/>
        </w:rPr>
        <w:t>（如可能）；(4)签订合同和处理有关事宜，其法律后果由我方承担。</w:t>
      </w:r>
    </w:p>
    <w:p w14:paraId="40E945BC">
      <w:pPr>
        <w:pageBreakBefore w:val="0"/>
        <w:kinsoku/>
        <w:wordWrap/>
        <w:overflowPunct/>
        <w:autoSpaceDE w:val="0"/>
        <w:autoSpaceDN w:val="0"/>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委托期限：</w:t>
      </w:r>
      <w:r>
        <w:rPr>
          <w:rFonts w:hint="eastAsia" w:ascii="宋体" w:hAnsi="宋体" w:cs="宋体"/>
          <w:color w:val="000000"/>
          <w:kern w:val="0"/>
          <w:sz w:val="24"/>
          <w:szCs w:val="24"/>
          <w:u w:val="single"/>
          <w:lang w:val="en-US" w:eastAsia="zh-CN"/>
        </w:rPr>
        <w:t xml:space="preserve">           </w:t>
      </w:r>
      <w:r>
        <w:rPr>
          <w:rFonts w:hint="eastAsia" w:ascii="宋体" w:hAnsi="宋体" w:eastAsia="宋体" w:cs="宋体"/>
          <w:color w:val="000000"/>
          <w:kern w:val="0"/>
          <w:sz w:val="24"/>
          <w:szCs w:val="24"/>
        </w:rPr>
        <w:t xml:space="preserve"> 。</w:t>
      </w:r>
    </w:p>
    <w:p w14:paraId="0D07D25E">
      <w:pPr>
        <w:pageBreakBefore w:val="0"/>
        <w:kinsoku/>
        <w:wordWrap/>
        <w:overflowPunct/>
        <w:bidi w:val="0"/>
        <w:adjustRightInd w:val="0"/>
        <w:snapToGrid w:val="0"/>
        <w:spacing w:beforeAutospacing="0" w:afterAutospacing="0" w:line="500" w:lineRule="exact"/>
        <w:ind w:firstLine="435"/>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代理人无转委托权。</w:t>
      </w:r>
    </w:p>
    <w:p w14:paraId="7FEDA529">
      <w:pPr>
        <w:pageBreakBefore w:val="0"/>
        <w:kinsoku/>
        <w:wordWrap/>
        <w:overflowPunct/>
        <w:bidi w:val="0"/>
        <w:adjustRightInd w:val="0"/>
        <w:snapToGrid w:val="0"/>
        <w:spacing w:beforeAutospacing="0" w:afterAutospacing="0" w:line="500" w:lineRule="exact"/>
        <w:ind w:firstLine="435"/>
        <w:textAlignment w:val="auto"/>
        <w:rPr>
          <w:rFonts w:hint="eastAsia" w:ascii="宋体" w:hAnsi="宋体" w:eastAsia="宋体" w:cs="宋体"/>
          <w:color w:val="000000"/>
          <w:kern w:val="0"/>
          <w:sz w:val="24"/>
          <w:szCs w:val="24"/>
        </w:rPr>
      </w:pPr>
      <w:r>
        <w:rPr>
          <w:rFonts w:hint="eastAsia" w:ascii="宋体" w:hAnsi="宋体" w:eastAsia="宋体" w:cs="宋体"/>
          <w:color w:val="000000"/>
          <w:sz w:val="24"/>
          <w:szCs w:val="24"/>
        </w:rPr>
        <w:t>本授权书于</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日签字生效，特此声明。</w:t>
      </w:r>
    </w:p>
    <w:tbl>
      <w:tblPr>
        <w:tblStyle w:val="45"/>
        <w:tblpPr w:leftFromText="180" w:rightFromText="180" w:vertAnchor="text" w:horzAnchor="page" w:tblpX="2250" w:tblpY="460"/>
        <w:tblOverlap w:val="never"/>
        <w:tblW w:w="77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4B2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3898" w:type="dxa"/>
            <w:vAlign w:val="center"/>
          </w:tcPr>
          <w:p w14:paraId="596072DC">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w:t>
            </w:r>
          </w:p>
          <w:p w14:paraId="7F36F8E1">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身份证（正面）复印件</w:t>
            </w:r>
          </w:p>
        </w:tc>
        <w:tc>
          <w:tcPr>
            <w:tcW w:w="3899" w:type="dxa"/>
            <w:vAlign w:val="center"/>
          </w:tcPr>
          <w:p w14:paraId="67777B4B">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w:t>
            </w:r>
          </w:p>
          <w:p w14:paraId="3A92ED32">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身份证（反面）复印件</w:t>
            </w:r>
          </w:p>
        </w:tc>
      </w:tr>
      <w:tr w14:paraId="2572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3898" w:type="dxa"/>
            <w:vAlign w:val="center"/>
          </w:tcPr>
          <w:p w14:paraId="188B13C5">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委托代理人</w:t>
            </w:r>
          </w:p>
          <w:p w14:paraId="72294B07">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身份证（正面）</w:t>
            </w:r>
            <w:r>
              <w:rPr>
                <w:rFonts w:hint="eastAsia" w:ascii="宋体" w:hAnsi="宋体" w:eastAsia="宋体" w:cs="宋体"/>
                <w:color w:val="000000"/>
                <w:spacing w:val="-2"/>
                <w:kern w:val="0"/>
                <w:sz w:val="24"/>
                <w:szCs w:val="24"/>
              </w:rPr>
              <w:t>复</w:t>
            </w:r>
            <w:r>
              <w:rPr>
                <w:rFonts w:hint="eastAsia" w:ascii="宋体" w:hAnsi="宋体" w:eastAsia="宋体" w:cs="宋体"/>
                <w:color w:val="000000"/>
                <w:kern w:val="0"/>
                <w:sz w:val="24"/>
                <w:szCs w:val="24"/>
              </w:rPr>
              <w:t>印</w:t>
            </w:r>
            <w:r>
              <w:rPr>
                <w:rFonts w:hint="eastAsia" w:ascii="宋体" w:hAnsi="宋体" w:eastAsia="宋体" w:cs="宋体"/>
                <w:color w:val="000000"/>
                <w:spacing w:val="-2"/>
                <w:kern w:val="0"/>
                <w:sz w:val="24"/>
                <w:szCs w:val="24"/>
              </w:rPr>
              <w:t>件</w:t>
            </w:r>
          </w:p>
        </w:tc>
        <w:tc>
          <w:tcPr>
            <w:tcW w:w="3899" w:type="dxa"/>
            <w:vAlign w:val="center"/>
          </w:tcPr>
          <w:p w14:paraId="2DEE45B3">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委托代理人</w:t>
            </w:r>
          </w:p>
          <w:p w14:paraId="4F7AE703">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身份证（反面）</w:t>
            </w:r>
            <w:r>
              <w:rPr>
                <w:rFonts w:hint="eastAsia" w:ascii="宋体" w:hAnsi="宋体" w:eastAsia="宋体" w:cs="宋体"/>
                <w:color w:val="000000"/>
                <w:spacing w:val="-2"/>
                <w:kern w:val="0"/>
                <w:sz w:val="24"/>
                <w:szCs w:val="24"/>
              </w:rPr>
              <w:t>复</w:t>
            </w:r>
            <w:r>
              <w:rPr>
                <w:rFonts w:hint="eastAsia" w:ascii="宋体" w:hAnsi="宋体" w:eastAsia="宋体" w:cs="宋体"/>
                <w:color w:val="000000"/>
                <w:kern w:val="0"/>
                <w:sz w:val="24"/>
                <w:szCs w:val="24"/>
              </w:rPr>
              <w:t>印</w:t>
            </w:r>
            <w:r>
              <w:rPr>
                <w:rFonts w:hint="eastAsia" w:ascii="宋体" w:hAnsi="宋体" w:eastAsia="宋体" w:cs="宋体"/>
                <w:color w:val="000000"/>
                <w:spacing w:val="-2"/>
                <w:kern w:val="0"/>
                <w:sz w:val="24"/>
                <w:szCs w:val="24"/>
              </w:rPr>
              <w:t>件</w:t>
            </w:r>
          </w:p>
        </w:tc>
      </w:tr>
    </w:tbl>
    <w:p w14:paraId="4FC48093">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p>
    <w:p w14:paraId="684754DB">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p>
    <w:p w14:paraId="68416119">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p>
    <w:p w14:paraId="3EC4B2EC">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p>
    <w:p w14:paraId="2B2473A1">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p>
    <w:p w14:paraId="6C4BA32D">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p>
    <w:p w14:paraId="3E8380B1">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p>
    <w:p w14:paraId="77FBAB8E">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p>
    <w:p w14:paraId="12908504">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注：供应商代表不是供应商的法定代表人（单位负责人）的提供。供应商为自然人的无需提供。</w:t>
      </w:r>
    </w:p>
    <w:p w14:paraId="4F13C934">
      <w:pPr>
        <w:pStyle w:val="24"/>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供应商名称(盖单位公章)：</w:t>
      </w:r>
    </w:p>
    <w:p w14:paraId="1A182590">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法</w:t>
      </w:r>
      <w:r>
        <w:rPr>
          <w:rFonts w:hint="eastAsia" w:ascii="宋体" w:hAnsi="宋体" w:eastAsia="宋体" w:cs="宋体"/>
          <w:color w:val="000000"/>
          <w:kern w:val="0"/>
          <w:sz w:val="24"/>
          <w:szCs w:val="24"/>
        </w:rPr>
        <w:t>定</w:t>
      </w:r>
      <w:r>
        <w:rPr>
          <w:rFonts w:hint="eastAsia" w:ascii="宋体" w:hAnsi="宋体" w:eastAsia="宋体" w:cs="宋体"/>
          <w:color w:val="000000"/>
          <w:spacing w:val="-2"/>
          <w:kern w:val="0"/>
          <w:sz w:val="24"/>
          <w:szCs w:val="24"/>
        </w:rPr>
        <w:t>代</w:t>
      </w:r>
      <w:r>
        <w:rPr>
          <w:rFonts w:hint="eastAsia" w:ascii="宋体" w:hAnsi="宋体" w:eastAsia="宋体" w:cs="宋体"/>
          <w:color w:val="000000"/>
          <w:kern w:val="0"/>
          <w:sz w:val="24"/>
          <w:szCs w:val="24"/>
        </w:rPr>
        <w:t>表</w:t>
      </w:r>
      <w:r>
        <w:rPr>
          <w:rFonts w:hint="eastAsia" w:ascii="宋体" w:hAnsi="宋体" w:eastAsia="宋体" w:cs="宋体"/>
          <w:color w:val="000000"/>
          <w:spacing w:val="-2"/>
          <w:kern w:val="0"/>
          <w:sz w:val="24"/>
          <w:szCs w:val="24"/>
        </w:rPr>
        <w:t>人</w:t>
      </w:r>
      <w:r>
        <w:rPr>
          <w:rFonts w:hint="eastAsia" w:ascii="宋体" w:hAnsi="宋体" w:eastAsia="宋体" w:cs="宋体"/>
          <w:color w:val="000000"/>
          <w:kern w:val="0"/>
          <w:sz w:val="24"/>
          <w:szCs w:val="24"/>
        </w:rPr>
        <w:t>（签字或印章</w:t>
      </w:r>
      <w:r>
        <w:rPr>
          <w:rFonts w:hint="eastAsia" w:ascii="宋体" w:hAnsi="宋体" w:eastAsia="宋体" w:cs="宋体"/>
          <w:color w:val="000000"/>
          <w:spacing w:val="-2"/>
          <w:kern w:val="0"/>
          <w:sz w:val="24"/>
          <w:szCs w:val="24"/>
        </w:rPr>
        <w:t>）:</w:t>
      </w:r>
    </w:p>
    <w:p w14:paraId="13047460">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授权的代理人（</w:t>
      </w:r>
      <w:r>
        <w:rPr>
          <w:rFonts w:hint="eastAsia" w:ascii="宋体" w:hAnsi="宋体" w:eastAsia="宋体" w:cs="宋体"/>
          <w:color w:val="000000"/>
          <w:kern w:val="0"/>
          <w:sz w:val="24"/>
          <w:szCs w:val="24"/>
        </w:rPr>
        <w:t>签字或印章</w:t>
      </w:r>
      <w:r>
        <w:rPr>
          <w:rFonts w:hint="eastAsia" w:ascii="宋体" w:hAnsi="宋体" w:eastAsia="宋体" w:cs="宋体"/>
          <w:color w:val="000000"/>
          <w:sz w:val="24"/>
          <w:szCs w:val="24"/>
        </w:rPr>
        <w:t>）：</w:t>
      </w:r>
    </w:p>
    <w:p w14:paraId="4A81B54D">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日期：   年   月   日</w:t>
      </w:r>
    </w:p>
    <w:p w14:paraId="237C4B2F">
      <w:pPr>
        <w:pStyle w:val="2"/>
        <w:pageBreakBefore w:val="0"/>
        <w:kinsoku/>
        <w:wordWrap/>
        <w:overflowPunct/>
        <w:bidi w:val="0"/>
        <w:spacing w:beforeAutospacing="0" w:afterAutospacing="0" w:line="500" w:lineRule="exact"/>
        <w:jc w:val="center"/>
        <w:textAlignment w:val="auto"/>
        <w:outlineLvl w:val="9"/>
        <w:rPr>
          <w:rFonts w:hint="eastAsia" w:ascii="宋体" w:hAnsi="宋体" w:eastAsia="宋体" w:cs="宋体"/>
          <w:color w:val="000000"/>
          <w:sz w:val="24"/>
          <w:szCs w:val="24"/>
        </w:rPr>
      </w:pPr>
      <w:bookmarkStart w:id="74" w:name="_Toc11143"/>
      <w:bookmarkStart w:id="75" w:name="_Toc20702"/>
      <w:bookmarkStart w:id="76" w:name="_Toc12683"/>
      <w:bookmarkStart w:id="77" w:name="_Toc1078"/>
      <w:bookmarkStart w:id="78" w:name="_Toc2805"/>
      <w:bookmarkStart w:id="79" w:name="_Toc34637795"/>
    </w:p>
    <w:p w14:paraId="0757F401">
      <w:pPr>
        <w:pStyle w:val="2"/>
        <w:pageBreakBefore w:val="0"/>
        <w:kinsoku/>
        <w:wordWrap/>
        <w:overflowPunct/>
        <w:bidi w:val="0"/>
        <w:spacing w:beforeAutospacing="0" w:afterAutospacing="0" w:line="500" w:lineRule="exact"/>
        <w:jc w:val="center"/>
        <w:textAlignment w:val="auto"/>
        <w:rPr>
          <w:rFonts w:hint="eastAsia" w:ascii="宋体" w:hAnsi="宋体" w:eastAsia="宋体" w:cs="宋体"/>
          <w:color w:val="000000"/>
          <w:sz w:val="28"/>
          <w:szCs w:val="28"/>
        </w:rPr>
      </w:pPr>
    </w:p>
    <w:p w14:paraId="01033BC4">
      <w:pPr>
        <w:rPr>
          <w:rFonts w:hint="eastAsia" w:ascii="宋体" w:hAnsi="宋体" w:eastAsia="宋体" w:cs="宋体"/>
          <w:color w:val="000000"/>
          <w:sz w:val="28"/>
          <w:szCs w:val="28"/>
        </w:rPr>
      </w:pPr>
    </w:p>
    <w:p w14:paraId="070D1C54">
      <w:pPr>
        <w:rPr>
          <w:rFonts w:hint="eastAsia" w:ascii="宋体" w:hAnsi="宋体" w:eastAsia="宋体" w:cs="宋体"/>
          <w:color w:val="000000"/>
          <w:sz w:val="28"/>
          <w:szCs w:val="28"/>
        </w:rPr>
      </w:pPr>
    </w:p>
    <w:p w14:paraId="0701DAD4">
      <w:pPr>
        <w:pStyle w:val="2"/>
        <w:pageBreakBefore w:val="0"/>
        <w:kinsoku/>
        <w:wordWrap/>
        <w:overflowPunct/>
        <w:bidi w:val="0"/>
        <w:spacing w:beforeAutospacing="0" w:afterAutospacing="0" w:line="500" w:lineRule="exact"/>
        <w:jc w:val="center"/>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二、保证金</w:t>
      </w:r>
      <w:bookmarkEnd w:id="74"/>
      <w:bookmarkEnd w:id="75"/>
      <w:bookmarkEnd w:id="76"/>
    </w:p>
    <w:p w14:paraId="334AE1C2">
      <w:pPr>
        <w:pageBreakBefore w:val="0"/>
        <w:kinsoku/>
        <w:wordWrap/>
        <w:overflowPunct/>
        <w:bidi w:val="0"/>
        <w:adjustRightInd w:val="0"/>
        <w:snapToGrid w:val="0"/>
        <w:spacing w:beforeAutospacing="0" w:afterAutospacing="0" w:line="500" w:lineRule="exact"/>
        <w:ind w:firstLine="482" w:firstLineChars="200"/>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备注：（本项目不提供保证金）</w:t>
      </w:r>
    </w:p>
    <w:p w14:paraId="2E62944D">
      <w:pPr>
        <w:pStyle w:val="60"/>
        <w:pageBreakBefore w:val="0"/>
        <w:kinsoku/>
        <w:wordWrap/>
        <w:overflowPunct/>
        <w:bidi w:val="0"/>
        <w:spacing w:beforeAutospacing="0" w:afterAutospacing="0" w:line="500" w:lineRule="exact"/>
        <w:ind w:firstLine="0" w:firstLineChars="0"/>
        <w:textAlignment w:val="auto"/>
        <w:rPr>
          <w:rFonts w:hint="eastAsia" w:ascii="宋体" w:hAnsi="宋体" w:eastAsia="宋体" w:cs="宋体"/>
          <w:b/>
          <w:color w:val="000000"/>
          <w:sz w:val="24"/>
          <w:szCs w:val="24"/>
        </w:rPr>
      </w:pPr>
    </w:p>
    <w:p w14:paraId="514EFD0E">
      <w:pPr>
        <w:pageBreakBefore w:val="0"/>
        <w:kinsoku/>
        <w:wordWrap/>
        <w:overflowPunct/>
        <w:bidi w:val="0"/>
        <w:adjustRightInd w:val="0"/>
        <w:snapToGrid w:val="0"/>
        <w:spacing w:beforeAutospacing="0" w:afterAutospacing="0" w:line="500" w:lineRule="exact"/>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如需提供：付款凭证复印件，或金融机构、担保机构出具的保函原件。</w:t>
      </w:r>
    </w:p>
    <w:p w14:paraId="0EC4ABF1">
      <w:pPr>
        <w:pStyle w:val="4"/>
        <w:pageBreakBefore w:val="0"/>
        <w:kinsoku/>
        <w:wordWrap/>
        <w:overflowPunct/>
        <w:bidi w:val="0"/>
        <w:spacing w:before="0" w:beforeAutospacing="0" w:after="0" w:afterAutospacing="0"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附件2-1 </w:t>
      </w:r>
      <w:bookmarkEnd w:id="77"/>
      <w:bookmarkEnd w:id="78"/>
    </w:p>
    <w:p w14:paraId="3221BB49">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color w:val="000000"/>
          <w:sz w:val="24"/>
          <w:szCs w:val="24"/>
          <w:u w:val="single"/>
        </w:rPr>
      </w:pPr>
      <w:r>
        <w:rPr>
          <w:rFonts w:hint="eastAsia" w:ascii="宋体" w:hAnsi="宋体" w:eastAsia="宋体" w:cs="宋体"/>
          <w:b/>
          <w:color w:val="000000"/>
          <w:sz w:val="24"/>
          <w:szCs w:val="24"/>
        </w:rPr>
        <w:t>保函</w:t>
      </w:r>
    </w:p>
    <w:p w14:paraId="5B901173">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（金融机构、担保机构保函）</w:t>
      </w:r>
    </w:p>
    <w:p w14:paraId="47D12D43">
      <w:pPr>
        <w:pageBreakBefore w:val="0"/>
        <w:kinsoku/>
        <w:wordWrap/>
        <w:overflowPunct/>
        <w:bidi w:val="0"/>
        <w:adjustRightInd w:val="0"/>
        <w:snapToGrid w:val="0"/>
        <w:spacing w:beforeAutospacing="0" w:afterAutospacing="0" w:line="500" w:lineRule="exact"/>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（采购人名称）：</w:t>
      </w:r>
    </w:p>
    <w:p w14:paraId="795E980E">
      <w:pPr>
        <w:pageBreakBefore w:val="0"/>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鉴于（供应商名称）（以下称“供应商”）于  年  月  日参加（项目名称）的竞争性磋商（政府采购计划编号：，采购代理编号：），（担保人名称，以下简称“我方”）无条件地、不可撤销地保证：若供应商在响应文件有效期内撤销响应文件，或成交后无正当理由不与采购人订立合同，或在签订合同时向采购人提出附加条件，或不按照磋商文件要求提交履约保证金，以及发生磋商文件明确规定可以不予退还保证金的其他情形，我方承担保证责任。收到你方书面通知后，我方在 7 日内向你方无条件支付人民币（大写）。 </w:t>
      </w:r>
    </w:p>
    <w:p w14:paraId="2F553D76">
      <w:pPr>
        <w:pageBreakBefore w:val="0"/>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本保函在响应文件有效期内保持有效。要求我方承担保证责任的通知应在响应文件有效期内送达我方。</w:t>
      </w:r>
    </w:p>
    <w:p w14:paraId="014226C3">
      <w:pPr>
        <w:pageBreakBefore w:val="0"/>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担保人名称：（盖单位公章）</w:t>
      </w:r>
    </w:p>
    <w:p w14:paraId="4CA407D9">
      <w:pPr>
        <w:pageBreakBefore w:val="0"/>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法定代表人（单位负责人）或委托代理人：（签字或印章）</w:t>
      </w:r>
    </w:p>
    <w:p w14:paraId="378BE598">
      <w:pPr>
        <w:pageBreakBefore w:val="0"/>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地    址：</w:t>
      </w:r>
    </w:p>
    <w:p w14:paraId="5ECC2269">
      <w:pPr>
        <w:pageBreakBefore w:val="0"/>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邮政编码：</w:t>
      </w:r>
    </w:p>
    <w:p w14:paraId="04D06782">
      <w:pPr>
        <w:pageBreakBefore w:val="0"/>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电    话：</w:t>
      </w:r>
    </w:p>
    <w:p w14:paraId="6C7EEF0C">
      <w:pPr>
        <w:pageBreakBefore w:val="0"/>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日期：年   月   日</w:t>
      </w:r>
    </w:p>
    <w:p w14:paraId="06A6FB4D">
      <w:pPr>
        <w:pStyle w:val="4"/>
        <w:pageBreakBefore w:val="0"/>
        <w:kinsoku/>
        <w:wordWrap/>
        <w:overflowPunct/>
        <w:bidi w:val="0"/>
        <w:spacing w:before="0" w:beforeAutospacing="0" w:after="0" w:afterAutospacing="0" w:line="500" w:lineRule="exact"/>
        <w:jc w:val="center"/>
        <w:textAlignment w:val="auto"/>
        <w:rPr>
          <w:rFonts w:hint="eastAsia" w:ascii="宋体" w:hAnsi="宋体" w:eastAsia="宋体" w:cs="宋体"/>
          <w:sz w:val="28"/>
          <w:szCs w:val="28"/>
        </w:rPr>
      </w:pPr>
      <w:bookmarkStart w:id="80" w:name="_Toc30664"/>
      <w:bookmarkStart w:id="81" w:name="_Toc4564"/>
      <w:bookmarkStart w:id="82" w:name="_Toc34637835"/>
    </w:p>
    <w:p w14:paraId="5F9FB12B">
      <w:pPr>
        <w:rPr>
          <w:rFonts w:hint="eastAsia" w:ascii="宋体" w:hAnsi="宋体" w:eastAsia="宋体" w:cs="宋体"/>
          <w:sz w:val="28"/>
          <w:szCs w:val="28"/>
        </w:rPr>
      </w:pPr>
    </w:p>
    <w:p w14:paraId="7C0AB6EF">
      <w:pPr>
        <w:pStyle w:val="43"/>
        <w:rPr>
          <w:rFonts w:hint="eastAsia" w:ascii="宋体" w:hAnsi="宋体" w:eastAsia="宋体" w:cs="宋体"/>
          <w:sz w:val="28"/>
          <w:szCs w:val="28"/>
        </w:rPr>
      </w:pPr>
    </w:p>
    <w:p w14:paraId="4AC45930">
      <w:pPr>
        <w:pStyle w:val="43"/>
        <w:rPr>
          <w:rFonts w:hint="eastAsia" w:ascii="宋体" w:hAnsi="宋体" w:eastAsia="宋体" w:cs="宋体"/>
          <w:sz w:val="28"/>
          <w:szCs w:val="28"/>
        </w:rPr>
      </w:pPr>
    </w:p>
    <w:p w14:paraId="3FB4832A">
      <w:pPr>
        <w:pStyle w:val="43"/>
        <w:rPr>
          <w:rFonts w:hint="eastAsia" w:ascii="宋体" w:hAnsi="宋体" w:eastAsia="宋体" w:cs="宋体"/>
          <w:sz w:val="28"/>
          <w:szCs w:val="28"/>
        </w:rPr>
      </w:pPr>
    </w:p>
    <w:p w14:paraId="1F9B5C5C">
      <w:pPr>
        <w:pStyle w:val="4"/>
        <w:pageBreakBefore w:val="0"/>
        <w:kinsoku/>
        <w:wordWrap/>
        <w:overflowPunct/>
        <w:bidi w:val="0"/>
        <w:spacing w:before="0" w:beforeAutospacing="0" w:after="0" w:afterAutospacing="0" w:line="50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三、供应商的资格证明材料</w:t>
      </w:r>
      <w:bookmarkEnd w:id="80"/>
      <w:bookmarkEnd w:id="81"/>
    </w:p>
    <w:p w14:paraId="739F26C9">
      <w:pPr>
        <w:pageBreakBefore w:val="0"/>
        <w:kinsoku/>
        <w:wordWrap/>
        <w:overflowPunct/>
        <w:bidi w:val="0"/>
        <w:adjustRightInd w:val="0"/>
        <w:snapToGrid w:val="0"/>
        <w:spacing w:beforeAutospacing="0" w:afterAutospacing="0" w:line="500" w:lineRule="exact"/>
        <w:jc w:val="left"/>
        <w:textAlignment w:val="auto"/>
        <w:rPr>
          <w:rFonts w:hint="eastAsia" w:ascii="宋体" w:hAnsi="宋体" w:eastAsia="宋体" w:cs="宋体"/>
          <w:b/>
          <w:sz w:val="24"/>
          <w:szCs w:val="24"/>
        </w:rPr>
      </w:pPr>
      <w:r>
        <w:rPr>
          <w:rFonts w:hint="eastAsia" w:ascii="宋体" w:hAnsi="宋体" w:eastAsia="宋体" w:cs="宋体"/>
          <w:b/>
          <w:sz w:val="24"/>
          <w:szCs w:val="24"/>
        </w:rPr>
        <w:t>附件3-1</w:t>
      </w:r>
      <w:bookmarkEnd w:id="82"/>
    </w:p>
    <w:p w14:paraId="2701FED9">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供应商资格声明</w:t>
      </w:r>
    </w:p>
    <w:p w14:paraId="7D7155EB">
      <w:pPr>
        <w:pageBreakBefore w:val="0"/>
        <w:widowControl/>
        <w:kinsoku/>
        <w:wordWrap/>
        <w:overflowPunct/>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r>
        <w:rPr>
          <w:rFonts w:hint="eastAsia" w:ascii="宋体" w:hAnsi="宋体" w:eastAsia="宋体" w:cs="宋体"/>
          <w:sz w:val="24"/>
          <w:szCs w:val="24"/>
        </w:rPr>
        <w:t>致(采购人、采购代理机构)：</w:t>
      </w:r>
    </w:p>
    <w:p w14:paraId="66B7DE1C">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sz w:val="24"/>
          <w:szCs w:val="24"/>
        </w:rPr>
        <w:t>按照《中华人民共和国政府采购法》及实施条例和</w:t>
      </w:r>
      <w:r>
        <w:rPr>
          <w:rFonts w:hint="eastAsia" w:ascii="宋体" w:hAnsi="宋体" w:eastAsia="宋体" w:cs="宋体"/>
          <w:sz w:val="24"/>
          <w:szCs w:val="24"/>
          <w:u w:val="single"/>
        </w:rPr>
        <w:t>(项目名称)</w:t>
      </w:r>
      <w:r>
        <w:rPr>
          <w:rFonts w:hint="eastAsia" w:ascii="宋体" w:hAnsi="宋体" w:cs="宋体"/>
          <w:sz w:val="24"/>
          <w:szCs w:val="24"/>
          <w:lang w:eastAsia="zh-CN"/>
        </w:rPr>
        <w:t>竞争性</w:t>
      </w:r>
      <w:r>
        <w:rPr>
          <w:rFonts w:hint="eastAsia" w:ascii="宋体" w:hAnsi="宋体" w:eastAsia="宋体" w:cs="宋体"/>
          <w:sz w:val="24"/>
          <w:szCs w:val="24"/>
        </w:rPr>
        <w:t>邀请</w:t>
      </w:r>
      <w:r>
        <w:rPr>
          <w:rFonts w:hint="eastAsia" w:ascii="宋体" w:hAnsi="宋体" w:cs="宋体"/>
          <w:sz w:val="24"/>
          <w:szCs w:val="24"/>
          <w:lang w:eastAsia="zh-CN"/>
        </w:rPr>
        <w:t>公告</w:t>
      </w:r>
      <w:r>
        <w:rPr>
          <w:rFonts w:hint="eastAsia" w:ascii="宋体" w:hAnsi="宋体" w:eastAsia="宋体" w:cs="宋体"/>
          <w:sz w:val="24"/>
          <w:szCs w:val="24"/>
        </w:rPr>
        <w:t>的规定，我单位郑重声明如下：</w:t>
      </w:r>
    </w:p>
    <w:p w14:paraId="66AC60B9">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sz w:val="24"/>
          <w:szCs w:val="24"/>
        </w:rPr>
        <w:t>一、我单位是按照中华人民共和国法律规定登记注册的，注册地点为</w:t>
      </w:r>
      <w:r>
        <w:rPr>
          <w:rFonts w:hint="eastAsia" w:ascii="宋体" w:hAnsi="宋体" w:cs="宋体"/>
          <w:sz w:val="24"/>
          <w:szCs w:val="24"/>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，全称为</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，统一社会信用代码为</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，法定代表人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为</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，具有独立承担民事责任的能力。</w:t>
      </w:r>
    </w:p>
    <w:p w14:paraId="2EEABEC2">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二、我单位具有良好的商业信誉和健全的财务会计制度。</w:t>
      </w:r>
    </w:p>
    <w:p w14:paraId="62EF1FAF">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rPr>
        <w:t>三、我</w:t>
      </w:r>
      <w:r>
        <w:rPr>
          <w:rFonts w:hint="eastAsia" w:ascii="宋体" w:hAnsi="宋体" w:eastAsia="宋体" w:cs="宋体"/>
          <w:sz w:val="24"/>
          <w:szCs w:val="24"/>
        </w:rPr>
        <w:t>单位</w:t>
      </w:r>
      <w:r>
        <w:rPr>
          <w:rFonts w:hint="eastAsia" w:ascii="宋体" w:hAnsi="宋体" w:eastAsia="宋体" w:cs="宋体"/>
          <w:kern w:val="0"/>
          <w:sz w:val="24"/>
          <w:szCs w:val="24"/>
        </w:rPr>
        <w:t>依法进行纳税和社会保险申报并实际履行了义务。</w:t>
      </w:r>
    </w:p>
    <w:p w14:paraId="351D80BA">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w:t>
      </w:r>
      <w:r>
        <w:rPr>
          <w:rFonts w:hint="eastAsia" w:ascii="宋体" w:hAnsi="宋体" w:eastAsia="宋体" w:cs="宋体"/>
          <w:sz w:val="24"/>
          <w:szCs w:val="24"/>
        </w:rPr>
        <w:t>我单位具有履行本项目采购合同所必需的设备和专业技术能力，并具有履行合同的良好记录。</w:t>
      </w:r>
    </w:p>
    <w:p w14:paraId="782E0C3C">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0C96BA8F">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供应商在参加政府采购活动前3年内因违法经营被禁止在一定期限内参加政府采购活动，期限届满的，可以参加政府采购活动。</w:t>
      </w:r>
    </w:p>
    <w:p w14:paraId="01BA9E0A">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六、我单位具备法律、行政法规规定的其他条件。</w:t>
      </w:r>
    </w:p>
    <w:p w14:paraId="32C31B20">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七、与我单位存在“单位负责人为同一人或者存在直接控股、管理关系”的其他单位信息如下（如无，填写“无”）：</w:t>
      </w:r>
    </w:p>
    <w:p w14:paraId="14EA4527">
      <w:pPr>
        <w:pageBreakBefore w:val="0"/>
        <w:kinsoku/>
        <w:wordWrap/>
        <w:overflowPunct/>
        <w:bidi w:val="0"/>
        <w:adjustRightInd w:val="0"/>
        <w:snapToGrid w:val="0"/>
        <w:spacing w:beforeAutospacing="0" w:afterAutospacing="0" w:line="500" w:lineRule="exact"/>
        <w:ind w:firstLine="480" w:firstLineChars="200"/>
        <w:textAlignment w:val="auto"/>
        <w:rPr>
          <w:rFonts w:hint="default" w:ascii="宋体" w:hAnsi="宋体" w:eastAsia="宋体" w:cs="宋体"/>
          <w:sz w:val="24"/>
          <w:szCs w:val="24"/>
          <w:u w:val="single"/>
          <w:lang w:val="en-US" w:eastAsia="zh-CN"/>
        </w:rPr>
      </w:pPr>
      <w:r>
        <w:rPr>
          <w:rFonts w:hint="eastAsia" w:ascii="宋体" w:hAnsi="宋体" w:eastAsia="宋体" w:cs="宋体"/>
          <w:sz w:val="24"/>
          <w:szCs w:val="24"/>
        </w:rPr>
        <w:t>1、与我单位的法定代表人（单位负责人）为同一人的其他单位如下：</w:t>
      </w:r>
      <w:r>
        <w:rPr>
          <w:rFonts w:hint="eastAsia" w:ascii="宋体" w:hAnsi="宋体" w:cs="宋体"/>
          <w:sz w:val="24"/>
          <w:szCs w:val="24"/>
          <w:u w:val="single"/>
          <w:lang w:val="en-US" w:eastAsia="zh-CN"/>
        </w:rPr>
        <w:t xml:space="preserve">    </w:t>
      </w:r>
    </w:p>
    <w:p w14:paraId="40DB4D37">
      <w:pPr>
        <w:pageBreakBefore w:val="0"/>
        <w:kinsoku/>
        <w:wordWrap/>
        <w:overflowPunct/>
        <w:bidi w:val="0"/>
        <w:adjustRightInd w:val="0"/>
        <w:snapToGrid w:val="0"/>
        <w:spacing w:beforeAutospacing="0" w:afterAutospacing="0" w:line="500" w:lineRule="exact"/>
        <w:ind w:firstLine="480" w:firstLineChars="200"/>
        <w:textAlignment w:val="auto"/>
        <w:rPr>
          <w:rFonts w:hint="default" w:ascii="宋体" w:hAnsi="宋体" w:eastAsia="宋体" w:cs="宋体"/>
          <w:sz w:val="24"/>
          <w:szCs w:val="24"/>
          <w:u w:val="single"/>
          <w:lang w:val="en-US" w:eastAsia="zh-CN"/>
        </w:rPr>
      </w:pPr>
      <w:r>
        <w:rPr>
          <w:rFonts w:hint="eastAsia" w:ascii="宋体" w:hAnsi="宋体" w:eastAsia="宋体" w:cs="宋体"/>
          <w:sz w:val="24"/>
          <w:szCs w:val="24"/>
        </w:rPr>
        <w:t>2、我单位直接控股的其他单位如下：</w:t>
      </w:r>
      <w:r>
        <w:rPr>
          <w:rFonts w:hint="eastAsia" w:ascii="宋体" w:hAnsi="宋体" w:cs="宋体"/>
          <w:sz w:val="24"/>
          <w:szCs w:val="24"/>
          <w:u w:val="single"/>
          <w:lang w:val="en-US" w:eastAsia="zh-CN"/>
        </w:rPr>
        <w:t xml:space="preserve">    </w:t>
      </w:r>
    </w:p>
    <w:p w14:paraId="59788162">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b/>
          <w:bCs/>
          <w:sz w:val="24"/>
          <w:szCs w:val="24"/>
        </w:rPr>
      </w:pPr>
      <w:r>
        <w:rPr>
          <w:rFonts w:hint="eastAsia" w:ascii="宋体" w:hAnsi="宋体" w:eastAsia="宋体" w:cs="宋体"/>
          <w:sz w:val="24"/>
          <w:szCs w:val="24"/>
        </w:rPr>
        <w:t>3、与我单位存在管理关系的其他单位如下：</w:t>
      </w:r>
      <w:r>
        <w:rPr>
          <w:rFonts w:hint="eastAsia" w:ascii="宋体" w:hAnsi="宋体" w:cs="宋体"/>
          <w:sz w:val="24"/>
          <w:szCs w:val="24"/>
          <w:u w:val="single"/>
          <w:lang w:val="en-US" w:eastAsia="zh-CN"/>
        </w:rPr>
        <w:t xml:space="preserve">    </w:t>
      </w:r>
    </w:p>
    <w:p w14:paraId="11B4DCEA">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rPr>
        <w:t>八、</w:t>
      </w:r>
      <w:r>
        <w:rPr>
          <w:rFonts w:hint="eastAsia" w:ascii="宋体" w:hAnsi="宋体" w:eastAsia="宋体" w:cs="宋体"/>
          <w:sz w:val="24"/>
          <w:szCs w:val="24"/>
        </w:rPr>
        <w:t>我单位不属于为本项目提供整体设计、规范编制或者项目管理、监理、检测等服务的供应商。</w:t>
      </w:r>
    </w:p>
    <w:p w14:paraId="359E7E61">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九、我单位无以下不良信用记录情形：</w:t>
      </w:r>
    </w:p>
    <w:p w14:paraId="41052EC7">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1、在“信用中国”网站被列入失信被执行人和重大税收违法案件当事人名单；</w:t>
      </w:r>
    </w:p>
    <w:p w14:paraId="5E66C722">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2、在“中国政府采购网”网站被列入政府采购严重违法失信行为记录名单；</w:t>
      </w:r>
    </w:p>
    <w:p w14:paraId="0930E053">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3、不符合《政府采购法》第二十二条规定的条件。</w:t>
      </w:r>
    </w:p>
    <w:p w14:paraId="4348CE40">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我单位保证上述声明的事项都是真实的，如有虚假，我单位愿意承担相应的法律责任，并承担因此所造成的一切损失。</w:t>
      </w:r>
    </w:p>
    <w:p w14:paraId="113A5A10">
      <w:pPr>
        <w:pageBreakBefore w:val="0"/>
        <w:widowControl/>
        <w:kinsoku/>
        <w:wordWrap/>
        <w:overflowPunct/>
        <w:bidi w:val="0"/>
        <w:adjustRightInd w:val="0"/>
        <w:snapToGrid w:val="0"/>
        <w:spacing w:beforeAutospacing="0" w:afterAutospacing="0" w:line="5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注：第三条“良好的商业信誉”是指供应商经营状况良好，无本资格声明第九条情形。</w:t>
      </w:r>
    </w:p>
    <w:p w14:paraId="61A3AAF5">
      <w:pPr>
        <w:pageBreakBefore w:val="0"/>
        <w:widowControl/>
        <w:kinsoku/>
        <w:wordWrap/>
        <w:overflowPunct/>
        <w:bidi w:val="0"/>
        <w:adjustRightInd w:val="0"/>
        <w:snapToGrid w:val="0"/>
        <w:spacing w:beforeAutospacing="0" w:afterAutospacing="0" w:line="500" w:lineRule="exact"/>
        <w:jc w:val="left"/>
        <w:textAlignment w:val="auto"/>
        <w:rPr>
          <w:rFonts w:hint="eastAsia" w:ascii="宋体" w:hAnsi="宋体" w:eastAsia="宋体" w:cs="宋体"/>
          <w:sz w:val="24"/>
          <w:szCs w:val="24"/>
        </w:rPr>
      </w:pPr>
    </w:p>
    <w:p w14:paraId="2ABD3857">
      <w:pPr>
        <w:pageBreakBefore w:val="0"/>
        <w:widowControl/>
        <w:kinsoku/>
        <w:wordWrap/>
        <w:overflowPunct/>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r>
        <w:rPr>
          <w:rFonts w:hint="eastAsia" w:ascii="宋体" w:hAnsi="宋体" w:eastAsia="宋体" w:cs="宋体"/>
          <w:sz w:val="24"/>
          <w:szCs w:val="24"/>
        </w:rPr>
        <w:t>供应商名称（盖单位公章）：</w:t>
      </w:r>
    </w:p>
    <w:p w14:paraId="4F673435">
      <w:pPr>
        <w:pageBreakBefore w:val="0"/>
        <w:widowControl/>
        <w:kinsoku/>
        <w:wordWrap/>
        <w:overflowPunct/>
        <w:bidi w:val="0"/>
        <w:adjustRightInd w:val="0"/>
        <w:snapToGrid w:val="0"/>
        <w:spacing w:beforeAutospacing="0" w:afterAutospacing="0" w:line="500" w:lineRule="exact"/>
        <w:jc w:val="left"/>
        <w:textAlignment w:val="auto"/>
        <w:rPr>
          <w:rFonts w:hint="eastAsia" w:ascii="宋体" w:hAnsi="宋体" w:eastAsia="宋体" w:cs="宋体"/>
          <w:b/>
          <w:bCs/>
          <w:kern w:val="0"/>
          <w:sz w:val="24"/>
          <w:szCs w:val="24"/>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或委托代理人：（签字或印章）</w:t>
      </w:r>
    </w:p>
    <w:p w14:paraId="0D7CD611">
      <w:pPr>
        <w:pageBreakBefore w:val="0"/>
        <w:widowControl/>
        <w:kinsoku/>
        <w:wordWrap/>
        <w:overflowPunct/>
        <w:bidi w:val="0"/>
        <w:adjustRightInd w:val="0"/>
        <w:snapToGrid w:val="0"/>
        <w:spacing w:beforeAutospacing="0" w:afterAutospacing="0" w:line="5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日期：   年   月  日</w:t>
      </w:r>
    </w:p>
    <w:p w14:paraId="6F737678">
      <w:pPr>
        <w:pStyle w:val="4"/>
        <w:pageBreakBefore w:val="0"/>
        <w:kinsoku/>
        <w:wordWrap/>
        <w:overflowPunct/>
        <w:bidi w:val="0"/>
        <w:spacing w:before="0" w:beforeAutospacing="0" w:after="0" w:afterAutospacing="0" w:line="500" w:lineRule="exact"/>
        <w:textAlignment w:val="auto"/>
        <w:outlineLvl w:val="9"/>
        <w:rPr>
          <w:rFonts w:hint="eastAsia" w:ascii="宋体" w:hAnsi="宋体" w:eastAsia="宋体" w:cs="宋体"/>
          <w:sz w:val="24"/>
          <w:szCs w:val="24"/>
          <w:highlight w:val="none"/>
        </w:rPr>
      </w:pPr>
      <w:bookmarkStart w:id="83" w:name="_Toc23714"/>
    </w:p>
    <w:p w14:paraId="7BCCBF38">
      <w:pPr>
        <w:pStyle w:val="4"/>
        <w:pageBreakBefore w:val="0"/>
        <w:kinsoku/>
        <w:wordWrap/>
        <w:overflowPunct/>
        <w:bidi w:val="0"/>
        <w:spacing w:before="0" w:beforeAutospacing="0" w:after="0" w:afterAutospacing="0" w:line="500" w:lineRule="exact"/>
        <w:textAlignment w:val="auto"/>
        <w:outlineLvl w:val="9"/>
        <w:rPr>
          <w:rFonts w:hint="eastAsia" w:ascii="宋体" w:hAnsi="宋体" w:eastAsia="宋体" w:cs="宋体"/>
          <w:sz w:val="24"/>
          <w:szCs w:val="24"/>
          <w:highlight w:val="none"/>
        </w:rPr>
      </w:pPr>
    </w:p>
    <w:p w14:paraId="3B80EF6A">
      <w:pPr>
        <w:pStyle w:val="4"/>
        <w:pageBreakBefore w:val="0"/>
        <w:kinsoku/>
        <w:wordWrap/>
        <w:overflowPunct/>
        <w:bidi w:val="0"/>
        <w:spacing w:before="0" w:beforeAutospacing="0" w:after="0" w:afterAutospacing="0" w:line="500" w:lineRule="exact"/>
        <w:textAlignment w:val="auto"/>
        <w:outlineLvl w:val="9"/>
        <w:rPr>
          <w:rFonts w:hint="eastAsia" w:ascii="宋体" w:hAnsi="宋体" w:eastAsia="宋体" w:cs="宋体"/>
          <w:sz w:val="24"/>
          <w:szCs w:val="24"/>
          <w:highlight w:val="none"/>
        </w:rPr>
      </w:pPr>
    </w:p>
    <w:p w14:paraId="5F5CA220">
      <w:pPr>
        <w:pStyle w:val="4"/>
        <w:pageBreakBefore w:val="0"/>
        <w:kinsoku/>
        <w:wordWrap/>
        <w:overflowPunct/>
        <w:bidi w:val="0"/>
        <w:spacing w:before="0" w:beforeAutospacing="0" w:after="0" w:afterAutospacing="0" w:line="500" w:lineRule="exact"/>
        <w:textAlignment w:val="auto"/>
        <w:outlineLvl w:val="9"/>
        <w:rPr>
          <w:rFonts w:hint="eastAsia" w:ascii="宋体" w:hAnsi="宋体" w:eastAsia="宋体" w:cs="宋体"/>
          <w:sz w:val="24"/>
          <w:szCs w:val="24"/>
          <w:highlight w:val="none"/>
        </w:rPr>
      </w:pPr>
    </w:p>
    <w:p w14:paraId="3D9BA6EB">
      <w:pPr>
        <w:pStyle w:val="4"/>
        <w:pageBreakBefore w:val="0"/>
        <w:kinsoku/>
        <w:wordWrap/>
        <w:overflowPunct/>
        <w:bidi w:val="0"/>
        <w:spacing w:before="0" w:beforeAutospacing="0" w:after="0" w:afterAutospacing="0" w:line="500" w:lineRule="exact"/>
        <w:textAlignment w:val="auto"/>
        <w:outlineLvl w:val="9"/>
        <w:rPr>
          <w:rFonts w:hint="eastAsia" w:ascii="宋体" w:hAnsi="宋体" w:eastAsia="宋体" w:cs="宋体"/>
          <w:sz w:val="24"/>
          <w:szCs w:val="24"/>
          <w:highlight w:val="none"/>
        </w:rPr>
      </w:pPr>
    </w:p>
    <w:p w14:paraId="3B0C8464">
      <w:pPr>
        <w:pStyle w:val="4"/>
        <w:pageBreakBefore w:val="0"/>
        <w:kinsoku/>
        <w:wordWrap/>
        <w:overflowPunct/>
        <w:bidi w:val="0"/>
        <w:spacing w:before="0" w:beforeAutospacing="0" w:after="0" w:afterAutospacing="0" w:line="500" w:lineRule="exact"/>
        <w:textAlignment w:val="auto"/>
        <w:outlineLvl w:val="9"/>
        <w:rPr>
          <w:rFonts w:hint="eastAsia" w:ascii="宋体" w:hAnsi="宋体" w:eastAsia="宋体" w:cs="宋体"/>
          <w:sz w:val="24"/>
          <w:szCs w:val="24"/>
          <w:highlight w:val="none"/>
        </w:rPr>
      </w:pPr>
    </w:p>
    <w:p w14:paraId="07CB1AC7">
      <w:pPr>
        <w:pageBreakBefore w:val="0"/>
        <w:kinsoku/>
        <w:wordWrap/>
        <w:overflowPunct/>
        <w:bidi w:val="0"/>
        <w:spacing w:line="500" w:lineRule="exact"/>
        <w:textAlignment w:val="auto"/>
        <w:rPr>
          <w:rFonts w:hint="eastAsia"/>
        </w:rPr>
      </w:pPr>
    </w:p>
    <w:p w14:paraId="4D2D2F67">
      <w:pPr>
        <w:pStyle w:val="4"/>
        <w:pageBreakBefore w:val="0"/>
        <w:kinsoku/>
        <w:wordWrap/>
        <w:overflowPunct/>
        <w:bidi w:val="0"/>
        <w:spacing w:before="0" w:beforeAutospacing="0" w:after="0" w:afterAutospacing="0" w:line="500" w:lineRule="exact"/>
        <w:textAlignment w:val="auto"/>
        <w:outlineLvl w:val="9"/>
        <w:rPr>
          <w:rFonts w:hint="eastAsia" w:ascii="宋体" w:hAnsi="宋体" w:eastAsia="宋体" w:cs="宋体"/>
          <w:sz w:val="24"/>
          <w:szCs w:val="24"/>
          <w:highlight w:val="none"/>
        </w:rPr>
      </w:pPr>
    </w:p>
    <w:p w14:paraId="15B33CC7">
      <w:pPr>
        <w:pStyle w:val="4"/>
        <w:pageBreakBefore w:val="0"/>
        <w:kinsoku/>
        <w:wordWrap/>
        <w:overflowPunct/>
        <w:bidi w:val="0"/>
        <w:spacing w:before="0" w:beforeAutospacing="0" w:after="0" w:afterAutospacing="0" w:line="500" w:lineRule="exact"/>
        <w:textAlignment w:val="auto"/>
        <w:outlineLvl w:val="9"/>
        <w:rPr>
          <w:rFonts w:hint="eastAsia" w:ascii="宋体" w:hAnsi="宋体" w:eastAsia="宋体" w:cs="宋体"/>
          <w:sz w:val="24"/>
          <w:szCs w:val="24"/>
          <w:highlight w:val="none"/>
        </w:rPr>
      </w:pPr>
    </w:p>
    <w:p w14:paraId="60A1389E">
      <w:pPr>
        <w:pageBreakBefore w:val="0"/>
        <w:kinsoku/>
        <w:wordWrap/>
        <w:overflowPunct/>
        <w:bidi w:val="0"/>
        <w:spacing w:beforeAutospacing="0" w:afterAutospacing="0" w:line="500" w:lineRule="exact"/>
        <w:textAlignment w:val="auto"/>
        <w:rPr>
          <w:rFonts w:hint="eastAsia" w:ascii="宋体" w:hAnsi="宋体" w:eastAsia="宋体" w:cs="宋体"/>
          <w:sz w:val="24"/>
          <w:szCs w:val="24"/>
          <w:highlight w:val="none"/>
        </w:rPr>
      </w:pPr>
    </w:p>
    <w:p w14:paraId="4C5A252A">
      <w:pPr>
        <w:pageBreakBefore w:val="0"/>
        <w:kinsoku/>
        <w:wordWrap/>
        <w:overflowPunct/>
        <w:bidi w:val="0"/>
        <w:spacing w:beforeAutospacing="0" w:afterAutospacing="0" w:line="500" w:lineRule="exact"/>
        <w:textAlignment w:val="auto"/>
        <w:rPr>
          <w:rFonts w:hint="eastAsia" w:ascii="宋体" w:hAnsi="宋体" w:eastAsia="宋体" w:cs="宋体"/>
          <w:sz w:val="24"/>
          <w:szCs w:val="24"/>
          <w:highlight w:val="none"/>
        </w:rPr>
      </w:pPr>
    </w:p>
    <w:p w14:paraId="78FC4DBE">
      <w:pPr>
        <w:pageBreakBefore w:val="0"/>
        <w:kinsoku/>
        <w:wordWrap/>
        <w:overflowPunct/>
        <w:bidi w:val="0"/>
        <w:spacing w:beforeAutospacing="0" w:afterAutospacing="0" w:line="500" w:lineRule="exact"/>
        <w:textAlignment w:val="auto"/>
        <w:rPr>
          <w:rFonts w:hint="eastAsia" w:ascii="宋体" w:hAnsi="宋体" w:eastAsia="宋体" w:cs="宋体"/>
          <w:sz w:val="24"/>
          <w:szCs w:val="24"/>
          <w:highlight w:val="none"/>
        </w:rPr>
      </w:pPr>
    </w:p>
    <w:p w14:paraId="14DA5686">
      <w:pPr>
        <w:pageBreakBefore w:val="0"/>
        <w:kinsoku/>
        <w:wordWrap/>
        <w:overflowPunct/>
        <w:bidi w:val="0"/>
        <w:spacing w:beforeAutospacing="0" w:afterAutospacing="0" w:line="500" w:lineRule="exact"/>
        <w:textAlignment w:val="auto"/>
        <w:rPr>
          <w:rFonts w:hint="eastAsia" w:ascii="宋体" w:hAnsi="宋体" w:eastAsia="宋体" w:cs="宋体"/>
          <w:sz w:val="24"/>
          <w:szCs w:val="24"/>
          <w:highlight w:val="none"/>
        </w:rPr>
      </w:pPr>
    </w:p>
    <w:p w14:paraId="610E1BD9">
      <w:pPr>
        <w:pageBreakBefore w:val="0"/>
        <w:kinsoku/>
        <w:wordWrap/>
        <w:overflowPunct/>
        <w:bidi w:val="0"/>
        <w:spacing w:beforeAutospacing="0" w:afterAutospacing="0" w:line="500" w:lineRule="exact"/>
        <w:textAlignment w:val="auto"/>
        <w:rPr>
          <w:rFonts w:hint="eastAsia" w:ascii="宋体" w:hAnsi="宋体" w:eastAsia="宋体" w:cs="宋体"/>
          <w:sz w:val="24"/>
          <w:szCs w:val="24"/>
          <w:highlight w:val="none"/>
        </w:rPr>
      </w:pPr>
    </w:p>
    <w:p w14:paraId="48337B1F">
      <w:pPr>
        <w:pageBreakBefore w:val="0"/>
        <w:kinsoku/>
        <w:wordWrap/>
        <w:overflowPunct/>
        <w:bidi w:val="0"/>
        <w:spacing w:beforeAutospacing="0" w:afterAutospacing="0" w:line="500" w:lineRule="exact"/>
        <w:textAlignment w:val="auto"/>
        <w:rPr>
          <w:rFonts w:hint="eastAsia" w:ascii="宋体" w:hAnsi="宋体" w:eastAsia="宋体" w:cs="宋体"/>
          <w:sz w:val="24"/>
          <w:szCs w:val="24"/>
          <w:highlight w:val="none"/>
        </w:rPr>
      </w:pPr>
    </w:p>
    <w:p w14:paraId="2718D374">
      <w:pPr>
        <w:pageBreakBefore w:val="0"/>
        <w:kinsoku/>
        <w:wordWrap/>
        <w:overflowPunct/>
        <w:bidi w:val="0"/>
        <w:spacing w:beforeAutospacing="0" w:afterAutospacing="0" w:line="500" w:lineRule="exact"/>
        <w:textAlignment w:val="auto"/>
        <w:rPr>
          <w:rFonts w:hint="eastAsia" w:ascii="宋体" w:hAnsi="宋体" w:eastAsia="宋体" w:cs="宋体"/>
          <w:sz w:val="24"/>
          <w:szCs w:val="24"/>
          <w:highlight w:val="none"/>
        </w:rPr>
      </w:pPr>
    </w:p>
    <w:p w14:paraId="110D0F0B">
      <w:pPr>
        <w:pStyle w:val="4"/>
        <w:pageBreakBefore w:val="0"/>
        <w:kinsoku/>
        <w:wordWrap/>
        <w:overflowPunct/>
        <w:bidi w:val="0"/>
        <w:spacing w:before="0" w:beforeAutospacing="0" w:after="0" w:afterAutospacing="0" w:line="500" w:lineRule="exact"/>
        <w:textAlignment w:val="auto"/>
        <w:rPr>
          <w:rFonts w:hint="eastAsia" w:ascii="宋体" w:hAnsi="宋体" w:eastAsia="宋体" w:cs="宋体"/>
          <w:sz w:val="24"/>
          <w:szCs w:val="24"/>
          <w:highlight w:val="none"/>
        </w:rPr>
      </w:pPr>
    </w:p>
    <w:p w14:paraId="6D571D01">
      <w:pPr>
        <w:pStyle w:val="4"/>
        <w:pageBreakBefore w:val="0"/>
        <w:kinsoku/>
        <w:wordWrap/>
        <w:overflowPunct/>
        <w:bidi w:val="0"/>
        <w:spacing w:before="0" w:beforeAutospacing="0" w:after="0" w:afterAutospacing="0" w:line="500" w:lineRule="exact"/>
        <w:textAlignment w:val="auto"/>
        <w:rPr>
          <w:rFonts w:hint="eastAsia" w:ascii="宋体" w:hAnsi="宋体" w:eastAsia="宋体" w:cs="宋体"/>
          <w:sz w:val="24"/>
          <w:szCs w:val="24"/>
          <w:highlight w:val="none"/>
        </w:rPr>
      </w:pPr>
    </w:p>
    <w:p w14:paraId="67726AA9">
      <w:pPr>
        <w:pStyle w:val="4"/>
        <w:pageBreakBefore w:val="0"/>
        <w:kinsoku/>
        <w:wordWrap/>
        <w:overflowPunct/>
        <w:bidi w:val="0"/>
        <w:spacing w:before="0" w:beforeAutospacing="0" w:after="0" w:afterAutospacing="0"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附件3-</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 xml:space="preserve"> 法人或者其他组织的营业执照等主体资格证明文件，自然人的身份证明</w:t>
      </w:r>
    </w:p>
    <w:p w14:paraId="581E6D96">
      <w:pPr>
        <w:pageBreakBefore w:val="0"/>
        <w:widowControl/>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z w:val="24"/>
          <w:szCs w:val="24"/>
          <w:highlight w:val="none"/>
        </w:rPr>
      </w:pPr>
    </w:p>
    <w:p w14:paraId="5DAC8A31">
      <w:pPr>
        <w:pageBreakBefore w:val="0"/>
        <w:widowControl/>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z w:val="24"/>
          <w:szCs w:val="24"/>
          <w:highlight w:val="none"/>
        </w:rPr>
      </w:pPr>
    </w:p>
    <w:p w14:paraId="38EF9562">
      <w:pPr>
        <w:pageBreakBefore w:val="0"/>
        <w:widowControl/>
        <w:kinsoku/>
        <w:wordWrap/>
        <w:overflowPunct/>
        <w:bidi w:val="0"/>
        <w:adjustRightInd w:val="0"/>
        <w:snapToGrid w:val="0"/>
        <w:spacing w:beforeAutospacing="0" w:afterAutospacing="0" w:line="500" w:lineRule="exact"/>
        <w:ind w:firstLine="482" w:firstLineChars="200"/>
        <w:jc w:val="both"/>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法人或者其他组织的营业执照等主体资格证明文件，自然人的身份证明</w:t>
      </w:r>
    </w:p>
    <w:p w14:paraId="10501313">
      <w:pPr>
        <w:pageBreakBefore w:val="0"/>
        <w:widowControl/>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sz w:val="24"/>
          <w:szCs w:val="24"/>
          <w:highlight w:val="none"/>
        </w:rPr>
      </w:pPr>
    </w:p>
    <w:p w14:paraId="2EB11735">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注：</w:t>
      </w:r>
    </w:p>
    <w:p w14:paraId="58572F80">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（1）投标人为法人的，应提交营业执照或法人登记证书的复印件；</w:t>
      </w:r>
    </w:p>
    <w:p w14:paraId="4C2D2B9B">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（2）投标人为非法人组织的，应提交依法登记证书复印件；</w:t>
      </w:r>
    </w:p>
    <w:p w14:paraId="43D3B7EC">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（3）投标人为个体工商户的，应提交个体工商户营业执照复印件；</w:t>
      </w:r>
    </w:p>
    <w:p w14:paraId="2E8127D4">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（4）投标人为自然人的，应提交自然人的身份证明复印件。</w:t>
      </w:r>
    </w:p>
    <w:p w14:paraId="5F9DC5CB">
      <w:pPr>
        <w:pStyle w:val="24"/>
        <w:pageBreakBefore w:val="0"/>
        <w:kinsoku/>
        <w:wordWrap/>
        <w:overflowPunct/>
        <w:bidi w:val="0"/>
        <w:adjustRightInd w:val="0"/>
        <w:snapToGrid w:val="0"/>
        <w:spacing w:beforeAutospacing="0" w:afterAutospacing="0" w:line="500" w:lineRule="exact"/>
        <w:ind w:left="4620" w:leftChars="2200"/>
        <w:textAlignment w:val="auto"/>
        <w:rPr>
          <w:rFonts w:hint="eastAsia" w:ascii="宋体" w:hAnsi="宋体" w:eastAsia="宋体" w:cs="宋体"/>
          <w:sz w:val="24"/>
          <w:szCs w:val="24"/>
          <w:highlight w:val="none"/>
        </w:rPr>
      </w:pPr>
    </w:p>
    <w:p w14:paraId="650EFD5D">
      <w:pPr>
        <w:pageBreakBefore w:val="0"/>
        <w:kinsoku/>
        <w:wordWrap/>
        <w:overflowPunct/>
        <w:bidi w:val="0"/>
        <w:spacing w:beforeAutospacing="0" w:afterAutospacing="0" w:line="500" w:lineRule="exact"/>
        <w:textAlignment w:val="auto"/>
        <w:rPr>
          <w:rFonts w:hint="eastAsia" w:ascii="宋体" w:hAnsi="宋体" w:eastAsia="宋体" w:cs="宋体"/>
          <w:sz w:val="24"/>
          <w:szCs w:val="24"/>
          <w:highlight w:val="none"/>
        </w:rPr>
      </w:pPr>
    </w:p>
    <w:p w14:paraId="2300941D">
      <w:pPr>
        <w:pageBreakBefore w:val="0"/>
        <w:kinsoku/>
        <w:wordWrap/>
        <w:overflowPunct/>
        <w:bidi w:val="0"/>
        <w:spacing w:beforeAutospacing="0" w:afterAutospacing="0" w:line="500" w:lineRule="exact"/>
        <w:textAlignment w:val="auto"/>
        <w:rPr>
          <w:rFonts w:hint="eastAsia" w:ascii="宋体" w:hAnsi="宋体" w:eastAsia="宋体" w:cs="宋体"/>
          <w:sz w:val="24"/>
          <w:szCs w:val="24"/>
          <w:highlight w:val="none"/>
        </w:rPr>
      </w:pPr>
    </w:p>
    <w:p w14:paraId="4A6DD1C8">
      <w:pPr>
        <w:pStyle w:val="43"/>
        <w:rPr>
          <w:rFonts w:hint="eastAsia" w:ascii="宋体" w:hAnsi="宋体" w:eastAsia="宋体" w:cs="宋体"/>
          <w:sz w:val="24"/>
          <w:szCs w:val="24"/>
          <w:highlight w:val="none"/>
        </w:rPr>
      </w:pPr>
    </w:p>
    <w:p w14:paraId="183C156E">
      <w:pPr>
        <w:pStyle w:val="43"/>
        <w:rPr>
          <w:rFonts w:hint="eastAsia" w:ascii="宋体" w:hAnsi="宋体" w:eastAsia="宋体" w:cs="宋体"/>
          <w:sz w:val="24"/>
          <w:szCs w:val="24"/>
          <w:highlight w:val="none"/>
        </w:rPr>
      </w:pPr>
    </w:p>
    <w:p w14:paraId="689DE654">
      <w:pPr>
        <w:pStyle w:val="43"/>
        <w:rPr>
          <w:rFonts w:hint="eastAsia" w:ascii="宋体" w:hAnsi="宋体" w:eastAsia="宋体" w:cs="宋体"/>
          <w:sz w:val="24"/>
          <w:szCs w:val="24"/>
          <w:highlight w:val="none"/>
        </w:rPr>
      </w:pPr>
    </w:p>
    <w:p w14:paraId="26480AD4">
      <w:pPr>
        <w:pStyle w:val="43"/>
        <w:rPr>
          <w:rFonts w:hint="eastAsia" w:ascii="宋体" w:hAnsi="宋体" w:eastAsia="宋体" w:cs="宋体"/>
          <w:sz w:val="24"/>
          <w:szCs w:val="24"/>
          <w:highlight w:val="none"/>
        </w:rPr>
      </w:pPr>
    </w:p>
    <w:p w14:paraId="45019354">
      <w:pPr>
        <w:pStyle w:val="43"/>
        <w:rPr>
          <w:rFonts w:hint="eastAsia" w:ascii="宋体" w:hAnsi="宋体" w:eastAsia="宋体" w:cs="宋体"/>
          <w:sz w:val="24"/>
          <w:szCs w:val="24"/>
          <w:highlight w:val="none"/>
        </w:rPr>
      </w:pPr>
    </w:p>
    <w:p w14:paraId="0440D166">
      <w:pPr>
        <w:pStyle w:val="43"/>
        <w:rPr>
          <w:rFonts w:hint="eastAsia" w:ascii="宋体" w:hAnsi="宋体" w:eastAsia="宋体" w:cs="宋体"/>
          <w:sz w:val="24"/>
          <w:szCs w:val="24"/>
          <w:highlight w:val="none"/>
        </w:rPr>
      </w:pPr>
    </w:p>
    <w:p w14:paraId="32725236">
      <w:pPr>
        <w:pStyle w:val="43"/>
        <w:rPr>
          <w:rFonts w:hint="eastAsia" w:ascii="宋体" w:hAnsi="宋体" w:eastAsia="宋体" w:cs="宋体"/>
          <w:sz w:val="24"/>
          <w:szCs w:val="24"/>
          <w:highlight w:val="none"/>
        </w:rPr>
      </w:pPr>
    </w:p>
    <w:p w14:paraId="56D31094">
      <w:pPr>
        <w:pStyle w:val="43"/>
        <w:rPr>
          <w:rFonts w:hint="eastAsia" w:ascii="宋体" w:hAnsi="宋体" w:eastAsia="宋体" w:cs="宋体"/>
          <w:sz w:val="24"/>
          <w:szCs w:val="24"/>
          <w:highlight w:val="none"/>
        </w:rPr>
      </w:pPr>
    </w:p>
    <w:p w14:paraId="03C3EE3E">
      <w:pPr>
        <w:pStyle w:val="43"/>
        <w:rPr>
          <w:rFonts w:hint="eastAsia" w:ascii="宋体" w:hAnsi="宋体" w:eastAsia="宋体" w:cs="宋体"/>
          <w:sz w:val="24"/>
          <w:szCs w:val="24"/>
          <w:highlight w:val="none"/>
        </w:rPr>
      </w:pPr>
    </w:p>
    <w:p w14:paraId="19053133">
      <w:pPr>
        <w:pStyle w:val="43"/>
        <w:rPr>
          <w:rFonts w:hint="eastAsia" w:ascii="宋体" w:hAnsi="宋体" w:eastAsia="宋体" w:cs="宋体"/>
          <w:sz w:val="24"/>
          <w:szCs w:val="24"/>
          <w:highlight w:val="none"/>
        </w:rPr>
      </w:pPr>
    </w:p>
    <w:p w14:paraId="3163AA3E">
      <w:pPr>
        <w:pStyle w:val="43"/>
        <w:rPr>
          <w:rFonts w:hint="eastAsia" w:ascii="宋体" w:hAnsi="宋体" w:eastAsia="宋体" w:cs="宋体"/>
          <w:sz w:val="24"/>
          <w:szCs w:val="24"/>
          <w:highlight w:val="none"/>
        </w:rPr>
      </w:pPr>
    </w:p>
    <w:p w14:paraId="24E66F30">
      <w:pPr>
        <w:pStyle w:val="43"/>
        <w:ind w:left="0" w:leftChars="0" w:firstLine="0" w:firstLineChars="0"/>
        <w:rPr>
          <w:rFonts w:hint="eastAsia" w:ascii="宋体" w:hAnsi="宋体" w:eastAsia="宋体" w:cs="宋体"/>
          <w:sz w:val="24"/>
          <w:szCs w:val="24"/>
          <w:highlight w:val="none"/>
        </w:rPr>
      </w:pPr>
    </w:p>
    <w:p w14:paraId="7D8B6389">
      <w:pPr>
        <w:pageBreakBefore w:val="0"/>
        <w:kinsoku/>
        <w:wordWrap/>
        <w:overflowPunct/>
        <w:bidi w:val="0"/>
        <w:spacing w:beforeAutospacing="0" w:afterAutospacing="0" w:line="500" w:lineRule="exact"/>
        <w:jc w:val="both"/>
        <w:textAlignment w:val="auto"/>
        <w:rPr>
          <w:rFonts w:hint="default" w:ascii="宋体" w:hAnsi="宋体" w:cs="宋体"/>
          <w:b/>
          <w:bCs/>
          <w:sz w:val="24"/>
          <w:szCs w:val="24"/>
          <w:lang w:val="en-US" w:eastAsia="zh-CN"/>
        </w:rPr>
      </w:pPr>
      <w:r>
        <w:rPr>
          <w:rFonts w:hint="eastAsia" w:ascii="宋体" w:hAnsi="宋体" w:eastAsia="宋体" w:cs="宋体"/>
          <w:b/>
          <w:bCs/>
          <w:sz w:val="24"/>
          <w:szCs w:val="24"/>
          <w:lang w:eastAsia="zh-CN"/>
        </w:rPr>
        <w:t>附件</w:t>
      </w:r>
      <w:r>
        <w:rPr>
          <w:rFonts w:hint="eastAsia" w:ascii="宋体" w:hAnsi="宋体" w:eastAsia="宋体" w:cs="宋体"/>
          <w:b/>
          <w:bCs/>
          <w:sz w:val="24"/>
          <w:szCs w:val="24"/>
        </w:rPr>
        <w:t>3-</w:t>
      </w:r>
      <w:r>
        <w:rPr>
          <w:rFonts w:hint="eastAsia" w:ascii="宋体" w:hAnsi="宋体" w:eastAsia="宋体" w:cs="宋体"/>
          <w:b/>
          <w:bCs/>
          <w:sz w:val="24"/>
          <w:szCs w:val="24"/>
          <w:lang w:val="en-US" w:eastAsia="zh-CN"/>
        </w:rPr>
        <w:t>3</w:t>
      </w:r>
      <w:r>
        <w:rPr>
          <w:rFonts w:hint="default" w:ascii="宋体" w:hAnsi="宋体" w:cs="宋体"/>
          <w:b/>
          <w:bCs/>
          <w:sz w:val="24"/>
          <w:szCs w:val="24"/>
          <w:lang w:val="en-US" w:eastAsia="zh-CN"/>
        </w:rPr>
        <w:t xml:space="preserve">              </w:t>
      </w:r>
    </w:p>
    <w:p w14:paraId="093B5B90">
      <w:pPr>
        <w:pageBreakBefore w:val="0"/>
        <w:kinsoku/>
        <w:wordWrap/>
        <w:overflowPunct/>
        <w:bidi w:val="0"/>
        <w:spacing w:beforeAutospacing="0" w:afterAutospacing="0" w:line="500" w:lineRule="exact"/>
        <w:jc w:val="both"/>
        <w:textAlignment w:val="auto"/>
        <w:rPr>
          <w:rFonts w:hint="default" w:ascii="宋体" w:hAnsi="宋体" w:cs="宋体"/>
          <w:b/>
          <w:bCs/>
          <w:sz w:val="24"/>
          <w:szCs w:val="24"/>
          <w:lang w:val="en-US" w:eastAsia="zh-CN"/>
        </w:rPr>
      </w:pPr>
      <w:r>
        <w:rPr>
          <w:rFonts w:hint="default" w:ascii="宋体" w:hAnsi="宋体" w:cs="宋体"/>
          <w:b/>
          <w:bCs/>
          <w:sz w:val="24"/>
          <w:szCs w:val="24"/>
          <w:lang w:val="en-US" w:eastAsia="zh-CN"/>
        </w:rPr>
        <w:t xml:space="preserve"> </w:t>
      </w:r>
    </w:p>
    <w:p w14:paraId="676C02C6">
      <w:pPr>
        <w:pageBreakBefore w:val="0"/>
        <w:kinsoku/>
        <w:wordWrap/>
        <w:overflowPunct/>
        <w:bidi w:val="0"/>
        <w:spacing w:beforeAutospacing="0" w:afterAutospacing="0" w:line="500" w:lineRule="exact"/>
        <w:jc w:val="center"/>
        <w:textAlignment w:val="auto"/>
        <w:rPr>
          <w:rFonts w:hint="eastAsia" w:ascii="宋体" w:hAnsi="宋体" w:eastAsia="宋体" w:cs="宋体"/>
          <w:sz w:val="30"/>
          <w:szCs w:val="30"/>
          <w:highlight w:val="none"/>
        </w:rPr>
      </w:pPr>
      <w:r>
        <w:rPr>
          <w:rFonts w:hint="eastAsia" w:ascii="宋体" w:hAnsi="宋体" w:eastAsia="宋体" w:cs="宋体"/>
          <w:b/>
          <w:bCs/>
          <w:sz w:val="30"/>
          <w:szCs w:val="30"/>
          <w:highlight w:val="none"/>
        </w:rPr>
        <w:t>湖南省政府采购供应商资格承诺函</w:t>
      </w:r>
    </w:p>
    <w:p w14:paraId="46BF1207">
      <w:pPr>
        <w:pageBreakBefore w:val="0"/>
        <w:widowControl/>
        <w:kinsoku/>
        <w:wordWrap/>
        <w:overflowPunct/>
        <w:topLinePunct w:val="0"/>
        <w:bidi w:val="0"/>
        <w:spacing w:beforeAutospacing="0" w:afterAutospacing="0"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4E3E489">
      <w:pPr>
        <w:pageBreakBefore w:val="0"/>
        <w:widowControl/>
        <w:kinsoku/>
        <w:wordWrap/>
        <w:overflowPunct/>
        <w:topLinePunct w:val="0"/>
        <w:bidi w:val="0"/>
        <w:spacing w:beforeAutospacing="0" w:afterAutospacing="0"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按照《政府采购促进中小企业发展管理办法》（财库〔2020〕46号），本公司企业规模为：大型□ 中型□ 小型□ 微型□</w:t>
      </w:r>
    </w:p>
    <w:p w14:paraId="62654A18">
      <w:pPr>
        <w:pageBreakBefore w:val="0"/>
        <w:widowControl/>
        <w:kinsoku/>
        <w:wordWrap/>
        <w:overflowPunct/>
        <w:topLinePunct w:val="0"/>
        <w:bidi w:val="0"/>
        <w:spacing w:beforeAutospacing="0" w:afterAutospacing="0" w:line="500" w:lineRule="exact"/>
        <w:jc w:val="righ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公司（单位）名称（盖章） </w:t>
      </w:r>
    </w:p>
    <w:p w14:paraId="1B9DAA23">
      <w:pPr>
        <w:pageBreakBefore w:val="0"/>
        <w:widowControl/>
        <w:kinsoku/>
        <w:wordWrap/>
        <w:overflowPunct/>
        <w:topLinePunct w:val="0"/>
        <w:bidi w:val="0"/>
        <w:spacing w:beforeAutospacing="0" w:afterAutospacing="0" w:line="500" w:lineRule="exact"/>
        <w:ind w:right="630"/>
        <w:jc w:val="righ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年    月    日</w:t>
      </w:r>
    </w:p>
    <w:p w14:paraId="20C4B0D0">
      <w:pPr>
        <w:pageBreakBefore w:val="0"/>
        <w:widowControl/>
        <w:kinsoku/>
        <w:wordWrap/>
        <w:overflowPunct/>
        <w:topLinePunct w:val="0"/>
        <w:bidi w:val="0"/>
        <w:spacing w:beforeAutospacing="0" w:afterAutospacing="0" w:line="500" w:lineRule="exact"/>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机构代码</w:t>
      </w:r>
      <w:r>
        <w:rPr>
          <w:rFonts w:hint="eastAsia" w:ascii="宋体" w:hAnsi="宋体" w:eastAsia="宋体" w:cs="宋体"/>
          <w:kern w:val="0"/>
          <w:sz w:val="24"/>
          <w:szCs w:val="24"/>
          <w:highlight w:val="none"/>
          <w:lang w:eastAsia="zh-CN"/>
        </w:rPr>
        <w:t>：</w:t>
      </w:r>
    </w:p>
    <w:p w14:paraId="3BD07AFF">
      <w:pPr>
        <w:pageBreakBefore w:val="0"/>
        <w:widowControl/>
        <w:kinsoku/>
        <w:wordWrap/>
        <w:overflowPunct/>
        <w:topLinePunct w:val="0"/>
        <w:bidi w:val="0"/>
        <w:spacing w:beforeAutospacing="0" w:afterAutospacing="0" w:line="500" w:lineRule="exact"/>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注册登记机构</w:t>
      </w:r>
      <w:r>
        <w:rPr>
          <w:rFonts w:hint="eastAsia" w:ascii="宋体" w:hAnsi="宋体" w:eastAsia="宋体" w:cs="宋体"/>
          <w:kern w:val="0"/>
          <w:sz w:val="24"/>
          <w:szCs w:val="24"/>
          <w:highlight w:val="none"/>
          <w:lang w:eastAsia="zh-CN"/>
        </w:rPr>
        <w:t>：</w:t>
      </w:r>
    </w:p>
    <w:p w14:paraId="4B6B9F91">
      <w:pPr>
        <w:pageBreakBefore w:val="0"/>
        <w:widowControl/>
        <w:kinsoku/>
        <w:wordWrap/>
        <w:overflowPunct/>
        <w:topLinePunct w:val="0"/>
        <w:bidi w:val="0"/>
        <w:spacing w:beforeAutospacing="0" w:afterAutospacing="0" w:line="500" w:lineRule="exact"/>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日期</w:t>
      </w:r>
      <w:r>
        <w:rPr>
          <w:rFonts w:hint="eastAsia" w:ascii="宋体" w:hAnsi="宋体" w:eastAsia="宋体" w:cs="宋体"/>
          <w:kern w:val="0"/>
          <w:sz w:val="24"/>
          <w:szCs w:val="24"/>
          <w:highlight w:val="none"/>
          <w:lang w:eastAsia="zh-CN"/>
        </w:rPr>
        <w:t>：</w:t>
      </w:r>
    </w:p>
    <w:p w14:paraId="40686F49">
      <w:pPr>
        <w:pageBreakBefore w:val="0"/>
        <w:widowControl/>
        <w:kinsoku/>
        <w:wordWrap/>
        <w:overflowPunct/>
        <w:topLinePunct w:val="0"/>
        <w:bidi w:val="0"/>
        <w:spacing w:beforeAutospacing="0" w:afterAutospacing="0" w:line="500" w:lineRule="exact"/>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有效期</w:t>
      </w:r>
      <w:r>
        <w:rPr>
          <w:rFonts w:hint="eastAsia" w:ascii="宋体" w:hAnsi="宋体" w:eastAsia="宋体" w:cs="宋体"/>
          <w:kern w:val="0"/>
          <w:sz w:val="24"/>
          <w:szCs w:val="24"/>
          <w:highlight w:val="none"/>
          <w:lang w:eastAsia="zh-CN"/>
        </w:rPr>
        <w:t>：</w:t>
      </w:r>
    </w:p>
    <w:p w14:paraId="4D53232B">
      <w:pPr>
        <w:pageBreakBefore w:val="0"/>
        <w:widowControl/>
        <w:kinsoku/>
        <w:wordWrap/>
        <w:overflowPunct/>
        <w:topLinePunct w:val="0"/>
        <w:bidi w:val="0"/>
        <w:spacing w:beforeAutospacing="0" w:afterAutospacing="0" w:line="500" w:lineRule="exact"/>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注册资本</w:t>
      </w:r>
      <w:r>
        <w:rPr>
          <w:rFonts w:hint="eastAsia" w:ascii="宋体" w:hAnsi="宋体" w:eastAsia="宋体" w:cs="宋体"/>
          <w:kern w:val="0"/>
          <w:sz w:val="24"/>
          <w:szCs w:val="24"/>
          <w:highlight w:val="none"/>
          <w:lang w:eastAsia="zh-CN"/>
        </w:rPr>
        <w:t>：</w:t>
      </w:r>
    </w:p>
    <w:p w14:paraId="59A8333E">
      <w:pPr>
        <w:pageBreakBefore w:val="0"/>
        <w:widowControl/>
        <w:kinsoku/>
        <w:wordWrap/>
        <w:overflowPunct/>
        <w:topLinePunct w:val="0"/>
        <w:bidi w:val="0"/>
        <w:spacing w:beforeAutospacing="0" w:afterAutospacing="0" w:line="500" w:lineRule="exact"/>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地址</w:t>
      </w:r>
      <w:r>
        <w:rPr>
          <w:rFonts w:hint="eastAsia" w:ascii="宋体" w:hAnsi="宋体" w:eastAsia="宋体" w:cs="宋体"/>
          <w:kern w:val="0"/>
          <w:sz w:val="24"/>
          <w:szCs w:val="24"/>
          <w:highlight w:val="none"/>
          <w:lang w:eastAsia="zh-CN"/>
        </w:rPr>
        <w:t>：</w:t>
      </w:r>
    </w:p>
    <w:p w14:paraId="77762746">
      <w:pPr>
        <w:pageBreakBefore w:val="0"/>
        <w:widowControl/>
        <w:kinsoku/>
        <w:wordWrap/>
        <w:overflowPunct/>
        <w:topLinePunct w:val="0"/>
        <w:bidi w:val="0"/>
        <w:spacing w:beforeAutospacing="0" w:afterAutospacing="0" w:line="500" w:lineRule="exact"/>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经济行业</w:t>
      </w:r>
      <w:r>
        <w:rPr>
          <w:rFonts w:hint="eastAsia" w:ascii="宋体" w:hAnsi="宋体" w:eastAsia="宋体" w:cs="宋体"/>
          <w:kern w:val="0"/>
          <w:sz w:val="24"/>
          <w:szCs w:val="24"/>
          <w:highlight w:val="none"/>
          <w:lang w:eastAsia="zh-CN"/>
        </w:rPr>
        <w:t>：</w:t>
      </w:r>
    </w:p>
    <w:p w14:paraId="14EC52EE">
      <w:pPr>
        <w:pageBreakBefore w:val="0"/>
        <w:widowControl/>
        <w:kinsoku/>
        <w:wordWrap/>
        <w:overflowPunct/>
        <w:topLinePunct w:val="0"/>
        <w:bidi w:val="0"/>
        <w:spacing w:beforeAutospacing="0" w:afterAutospacing="0" w:line="5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经济性质：</w:t>
      </w:r>
    </w:p>
    <w:p w14:paraId="570E983F">
      <w:pPr>
        <w:pageBreakBefore w:val="0"/>
        <w:widowControl/>
        <w:kinsoku/>
        <w:wordWrap/>
        <w:overflowPunct/>
        <w:topLinePunct w:val="0"/>
        <w:bidi w:val="0"/>
        <w:spacing w:beforeAutospacing="0" w:afterAutospacing="0" w:line="500" w:lineRule="exact"/>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法定代表人（负责人）姓名（签字）</w:t>
      </w:r>
      <w:r>
        <w:rPr>
          <w:rFonts w:hint="eastAsia" w:ascii="宋体" w:hAnsi="宋体" w:eastAsia="宋体" w:cs="宋体"/>
          <w:kern w:val="0"/>
          <w:sz w:val="24"/>
          <w:szCs w:val="24"/>
          <w:highlight w:val="none"/>
          <w:lang w:eastAsia="zh-CN"/>
        </w:rPr>
        <w:t>：</w:t>
      </w:r>
    </w:p>
    <w:p w14:paraId="3BF7655C">
      <w:pPr>
        <w:pageBreakBefore w:val="0"/>
        <w:widowControl/>
        <w:kinsoku/>
        <w:wordWrap/>
        <w:overflowPunct/>
        <w:topLinePunct w:val="0"/>
        <w:bidi w:val="0"/>
        <w:spacing w:beforeAutospacing="0" w:afterAutospacing="0" w:line="500" w:lineRule="exact"/>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身份证号</w:t>
      </w:r>
      <w:r>
        <w:rPr>
          <w:rFonts w:hint="eastAsia" w:ascii="宋体" w:hAnsi="宋体" w:eastAsia="宋体" w:cs="宋体"/>
          <w:kern w:val="0"/>
          <w:sz w:val="24"/>
          <w:szCs w:val="24"/>
          <w:highlight w:val="none"/>
          <w:lang w:eastAsia="zh-CN"/>
        </w:rPr>
        <w:t>：</w:t>
      </w:r>
    </w:p>
    <w:p w14:paraId="46B98F19">
      <w:pPr>
        <w:pageBreakBefore w:val="0"/>
        <w:widowControl/>
        <w:kinsoku/>
        <w:wordWrap/>
        <w:overflowPunct/>
        <w:topLinePunct w:val="0"/>
        <w:bidi w:val="0"/>
        <w:spacing w:beforeAutospacing="0" w:afterAutospacing="0" w:line="5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手机号： </w:t>
      </w:r>
    </w:p>
    <w:p w14:paraId="1BFF0097">
      <w:pPr>
        <w:pageBreakBefore w:val="0"/>
        <w:kinsoku/>
        <w:wordWrap/>
        <w:overflowPunct/>
        <w:topLinePunct w:val="0"/>
        <w:bidi w:val="0"/>
        <w:spacing w:beforeAutospacing="0" w:afterAutospacing="0" w:line="500" w:lineRule="exac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授权代表人姓名（签字）</w:t>
      </w:r>
      <w:r>
        <w:rPr>
          <w:rFonts w:hint="eastAsia" w:ascii="宋体" w:hAnsi="宋体" w:eastAsia="宋体" w:cs="宋体"/>
          <w:kern w:val="0"/>
          <w:sz w:val="24"/>
          <w:szCs w:val="24"/>
          <w:highlight w:val="none"/>
          <w:lang w:eastAsia="zh-CN"/>
        </w:rPr>
        <w:t>：</w:t>
      </w:r>
    </w:p>
    <w:p w14:paraId="30ED924E">
      <w:pPr>
        <w:pageBreakBefore w:val="0"/>
        <w:kinsoku/>
        <w:wordWrap/>
        <w:overflowPunct/>
        <w:topLinePunct w:val="0"/>
        <w:bidi w:val="0"/>
        <w:spacing w:beforeAutospacing="0" w:afterAutospacing="0" w:line="500" w:lineRule="exac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身份证号</w:t>
      </w:r>
      <w:r>
        <w:rPr>
          <w:rFonts w:hint="eastAsia" w:ascii="宋体" w:hAnsi="宋体" w:eastAsia="宋体" w:cs="宋体"/>
          <w:kern w:val="0"/>
          <w:sz w:val="24"/>
          <w:szCs w:val="24"/>
          <w:highlight w:val="none"/>
          <w:lang w:val="en-US" w:eastAsia="zh-CN"/>
        </w:rPr>
        <w:t>:</w:t>
      </w:r>
    </w:p>
    <w:p w14:paraId="38B1C7B3">
      <w:pPr>
        <w:pageBreakBefore w:val="0"/>
        <w:kinsoku/>
        <w:wordWrap/>
        <w:overflowPunct/>
        <w:topLinePunct w:val="0"/>
        <w:bidi w:val="0"/>
        <w:spacing w:beforeAutospacing="0" w:afterAutospacing="0" w:line="500" w:lineRule="exact"/>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手机号：</w:t>
      </w:r>
    </w:p>
    <w:p w14:paraId="07BF17EB">
      <w:pPr>
        <w:pageBreakBefore w:val="0"/>
        <w:kinsoku/>
        <w:wordWrap/>
        <w:overflowPunct/>
        <w:bidi w:val="0"/>
        <w:spacing w:beforeAutospacing="0" w:afterAutospacing="0" w:line="500" w:lineRule="exact"/>
        <w:textAlignment w:val="auto"/>
        <w:rPr>
          <w:rFonts w:hint="eastAsia" w:ascii="宋体" w:hAnsi="宋体" w:eastAsia="宋体" w:cs="宋体"/>
          <w:b/>
          <w:bCs/>
          <w:sz w:val="24"/>
          <w:szCs w:val="24"/>
        </w:rPr>
      </w:pPr>
    </w:p>
    <w:p w14:paraId="6B822B9B">
      <w:pPr>
        <w:pageBreakBefore w:val="0"/>
        <w:kinsoku/>
        <w:wordWrap/>
        <w:overflowPunct/>
        <w:bidi w:val="0"/>
        <w:spacing w:beforeAutospacing="0" w:afterAutospacing="0" w:line="500" w:lineRule="exact"/>
        <w:textAlignment w:val="auto"/>
        <w:rPr>
          <w:rFonts w:hint="eastAsia" w:ascii="宋体" w:hAnsi="宋体" w:eastAsia="宋体" w:cs="宋体"/>
          <w:b/>
          <w:bCs/>
          <w:sz w:val="24"/>
          <w:szCs w:val="24"/>
        </w:rPr>
      </w:pPr>
    </w:p>
    <w:p w14:paraId="111B8ECB">
      <w:pPr>
        <w:pStyle w:val="2"/>
        <w:rPr>
          <w:rFonts w:hint="eastAsia" w:ascii="宋体" w:hAnsi="宋体" w:eastAsia="宋体" w:cs="宋体"/>
          <w:b/>
          <w:bCs/>
          <w:sz w:val="24"/>
          <w:szCs w:val="24"/>
        </w:rPr>
      </w:pPr>
    </w:p>
    <w:p w14:paraId="2AAF917E">
      <w:pPr>
        <w:rPr>
          <w:rFonts w:hint="eastAsia" w:ascii="宋体" w:hAnsi="宋体" w:eastAsia="宋体" w:cs="宋体"/>
          <w:b/>
          <w:bCs/>
          <w:sz w:val="24"/>
          <w:szCs w:val="24"/>
        </w:rPr>
      </w:pPr>
    </w:p>
    <w:p w14:paraId="26E03D88">
      <w:pPr>
        <w:pStyle w:val="2"/>
        <w:rPr>
          <w:rFonts w:hint="eastAsia"/>
        </w:rPr>
      </w:pPr>
    </w:p>
    <w:p w14:paraId="7385DB2A">
      <w:pPr>
        <w:pageBreakBefore w:val="0"/>
        <w:kinsoku/>
        <w:wordWrap/>
        <w:overflowPunct/>
        <w:bidi w:val="0"/>
        <w:spacing w:beforeAutospacing="0" w:afterAutospacing="0" w:line="50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t>附件3-</w:t>
      </w:r>
      <w:r>
        <w:rPr>
          <w:rFonts w:hint="eastAsia" w:ascii="宋体" w:hAnsi="宋体" w:eastAsia="宋体" w:cs="宋体"/>
          <w:b/>
          <w:bCs/>
          <w:sz w:val="24"/>
          <w:szCs w:val="24"/>
          <w:lang w:val="en-US" w:eastAsia="zh-CN"/>
        </w:rPr>
        <w:t>4</w:t>
      </w:r>
    </w:p>
    <w:p w14:paraId="1FABDAB0">
      <w:pPr>
        <w:pageBreakBefore w:val="0"/>
        <w:widowControl/>
        <w:kinsoku/>
        <w:wordWrap/>
        <w:overflowPunct/>
        <w:bidi w:val="0"/>
        <w:spacing w:beforeAutospacing="0" w:afterAutospacing="0" w:line="500" w:lineRule="exact"/>
        <w:jc w:val="center"/>
        <w:textAlignment w:val="auto"/>
        <w:rPr>
          <w:rFonts w:hint="eastAsia" w:ascii="宋体" w:hAnsi="宋体" w:eastAsia="宋体" w:cs="宋体"/>
          <w:b/>
          <w:color w:val="000000"/>
          <w:kern w:val="36"/>
          <w:sz w:val="24"/>
          <w:szCs w:val="24"/>
        </w:rPr>
      </w:pPr>
      <w:r>
        <w:rPr>
          <w:rFonts w:hint="eastAsia" w:ascii="宋体" w:hAnsi="宋体" w:eastAsia="宋体" w:cs="宋体"/>
          <w:b/>
          <w:color w:val="000000"/>
          <w:kern w:val="36"/>
          <w:sz w:val="24"/>
          <w:szCs w:val="24"/>
        </w:rPr>
        <w:t>磋商文件规定的特定资格条件证明资料</w:t>
      </w:r>
    </w:p>
    <w:p w14:paraId="112F902F">
      <w:pPr>
        <w:pStyle w:val="12"/>
        <w:pageBreakBefore w:val="0"/>
        <w:kinsoku/>
        <w:wordWrap/>
        <w:overflowPunct/>
        <w:bidi w:val="0"/>
        <w:spacing w:beforeAutospacing="0" w:afterAutospacing="0" w:line="500" w:lineRule="exact"/>
        <w:textAlignment w:val="auto"/>
        <w:rPr>
          <w:rFonts w:hint="eastAsia" w:ascii="宋体" w:hAnsi="宋体" w:eastAsia="宋体" w:cs="宋体"/>
          <w:sz w:val="24"/>
          <w:szCs w:val="24"/>
        </w:rPr>
      </w:pPr>
    </w:p>
    <w:p w14:paraId="223D2F26">
      <w:pPr>
        <w:pStyle w:val="12"/>
        <w:pageBreakBefore w:val="0"/>
        <w:kinsoku/>
        <w:wordWrap/>
        <w:overflowPunct/>
        <w:bidi w:val="0"/>
        <w:spacing w:beforeAutospacing="0" w:afterAutospacing="0" w:line="500" w:lineRule="exact"/>
        <w:textAlignment w:val="auto"/>
        <w:rPr>
          <w:rFonts w:hint="eastAsia"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备注：提供第二章磋商须知第3.1款供应商特定资格条件证明资料的复印件。</w:t>
      </w:r>
    </w:p>
    <w:p w14:paraId="10F1DD27">
      <w:pPr>
        <w:pStyle w:val="12"/>
        <w:pageBreakBefore w:val="0"/>
        <w:kinsoku/>
        <w:wordWrap/>
        <w:overflowPunct/>
        <w:bidi w:val="0"/>
        <w:spacing w:beforeAutospacing="0" w:afterAutospacing="0" w:line="500" w:lineRule="exact"/>
        <w:textAlignment w:val="auto"/>
        <w:rPr>
          <w:rFonts w:hint="eastAsia" w:ascii="宋体" w:hAnsi="宋体" w:eastAsia="宋体" w:cs="宋体"/>
          <w:color w:val="000000"/>
          <w:sz w:val="24"/>
          <w:szCs w:val="24"/>
          <w:shd w:val="clear" w:color="auto" w:fill="FFFFFF"/>
        </w:rPr>
      </w:pPr>
    </w:p>
    <w:p w14:paraId="0A87785A">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sz w:val="24"/>
          <w:szCs w:val="24"/>
          <w:highlight w:val="none"/>
          <w:lang w:eastAsia="zh-CN"/>
        </w:rPr>
      </w:pPr>
    </w:p>
    <w:p w14:paraId="6666EE1D">
      <w:pPr>
        <w:pStyle w:val="43"/>
        <w:rPr>
          <w:rFonts w:hint="eastAsia" w:ascii="宋体" w:hAnsi="宋体" w:eastAsia="宋体" w:cs="宋体"/>
          <w:sz w:val="24"/>
          <w:szCs w:val="24"/>
          <w:highlight w:val="none"/>
          <w:lang w:eastAsia="zh-CN"/>
        </w:rPr>
      </w:pPr>
    </w:p>
    <w:p w14:paraId="3CA8034E">
      <w:pPr>
        <w:pStyle w:val="43"/>
        <w:rPr>
          <w:rFonts w:hint="eastAsia" w:ascii="宋体" w:hAnsi="宋体" w:eastAsia="宋体" w:cs="宋体"/>
          <w:sz w:val="24"/>
          <w:szCs w:val="24"/>
          <w:highlight w:val="none"/>
          <w:lang w:eastAsia="zh-CN"/>
        </w:rPr>
      </w:pPr>
    </w:p>
    <w:p w14:paraId="22EA3EA6">
      <w:pPr>
        <w:pStyle w:val="43"/>
        <w:rPr>
          <w:rFonts w:hint="eastAsia" w:ascii="宋体" w:hAnsi="宋体" w:eastAsia="宋体" w:cs="宋体"/>
          <w:sz w:val="24"/>
          <w:szCs w:val="24"/>
          <w:highlight w:val="none"/>
          <w:lang w:eastAsia="zh-CN"/>
        </w:rPr>
      </w:pPr>
    </w:p>
    <w:p w14:paraId="3B99C300">
      <w:pPr>
        <w:pStyle w:val="43"/>
        <w:rPr>
          <w:rFonts w:hint="eastAsia" w:ascii="宋体" w:hAnsi="宋体" w:eastAsia="宋体" w:cs="宋体"/>
          <w:sz w:val="24"/>
          <w:szCs w:val="24"/>
          <w:highlight w:val="none"/>
          <w:lang w:eastAsia="zh-CN"/>
        </w:rPr>
      </w:pPr>
    </w:p>
    <w:p w14:paraId="4A148DA5">
      <w:pPr>
        <w:pStyle w:val="43"/>
        <w:rPr>
          <w:rFonts w:hint="eastAsia" w:ascii="宋体" w:hAnsi="宋体" w:eastAsia="宋体" w:cs="宋体"/>
          <w:sz w:val="24"/>
          <w:szCs w:val="24"/>
          <w:highlight w:val="none"/>
          <w:lang w:eastAsia="zh-CN"/>
        </w:rPr>
      </w:pPr>
    </w:p>
    <w:p w14:paraId="39596963">
      <w:pPr>
        <w:pStyle w:val="43"/>
        <w:rPr>
          <w:rFonts w:hint="eastAsia" w:ascii="宋体" w:hAnsi="宋体" w:eastAsia="宋体" w:cs="宋体"/>
          <w:sz w:val="24"/>
          <w:szCs w:val="24"/>
          <w:highlight w:val="none"/>
          <w:lang w:eastAsia="zh-CN"/>
        </w:rPr>
      </w:pPr>
    </w:p>
    <w:p w14:paraId="49FD8298">
      <w:pPr>
        <w:pStyle w:val="43"/>
        <w:rPr>
          <w:rFonts w:hint="eastAsia" w:ascii="宋体" w:hAnsi="宋体" w:eastAsia="宋体" w:cs="宋体"/>
          <w:sz w:val="24"/>
          <w:szCs w:val="24"/>
          <w:highlight w:val="none"/>
          <w:lang w:eastAsia="zh-CN"/>
        </w:rPr>
      </w:pPr>
    </w:p>
    <w:p w14:paraId="70E2D8C7">
      <w:pPr>
        <w:pStyle w:val="43"/>
        <w:rPr>
          <w:rFonts w:hint="eastAsia" w:ascii="宋体" w:hAnsi="宋体" w:eastAsia="宋体" w:cs="宋体"/>
          <w:sz w:val="24"/>
          <w:szCs w:val="24"/>
          <w:highlight w:val="none"/>
          <w:lang w:eastAsia="zh-CN"/>
        </w:rPr>
      </w:pPr>
    </w:p>
    <w:p w14:paraId="15B0DF94">
      <w:pPr>
        <w:pStyle w:val="43"/>
        <w:rPr>
          <w:rFonts w:hint="eastAsia" w:ascii="宋体" w:hAnsi="宋体" w:eastAsia="宋体" w:cs="宋体"/>
          <w:sz w:val="24"/>
          <w:szCs w:val="24"/>
          <w:highlight w:val="none"/>
          <w:lang w:eastAsia="zh-CN"/>
        </w:rPr>
      </w:pPr>
    </w:p>
    <w:p w14:paraId="75E677FF">
      <w:pPr>
        <w:pStyle w:val="43"/>
        <w:rPr>
          <w:rFonts w:hint="eastAsia" w:ascii="宋体" w:hAnsi="宋体" w:eastAsia="宋体" w:cs="宋体"/>
          <w:sz w:val="24"/>
          <w:szCs w:val="24"/>
          <w:highlight w:val="none"/>
          <w:lang w:eastAsia="zh-CN"/>
        </w:rPr>
      </w:pPr>
    </w:p>
    <w:p w14:paraId="16975494">
      <w:pPr>
        <w:pStyle w:val="43"/>
        <w:rPr>
          <w:rFonts w:hint="eastAsia" w:ascii="宋体" w:hAnsi="宋体" w:eastAsia="宋体" w:cs="宋体"/>
          <w:sz w:val="24"/>
          <w:szCs w:val="24"/>
          <w:highlight w:val="none"/>
          <w:lang w:eastAsia="zh-CN"/>
        </w:rPr>
      </w:pPr>
    </w:p>
    <w:p w14:paraId="3CC20855">
      <w:pPr>
        <w:pStyle w:val="43"/>
        <w:rPr>
          <w:rFonts w:hint="eastAsia" w:ascii="宋体" w:hAnsi="宋体" w:eastAsia="宋体" w:cs="宋体"/>
          <w:sz w:val="24"/>
          <w:szCs w:val="24"/>
          <w:highlight w:val="none"/>
          <w:lang w:eastAsia="zh-CN"/>
        </w:rPr>
      </w:pPr>
    </w:p>
    <w:p w14:paraId="2A2D1D1D">
      <w:pPr>
        <w:pStyle w:val="43"/>
        <w:rPr>
          <w:rFonts w:hint="eastAsia" w:ascii="宋体" w:hAnsi="宋体" w:eastAsia="宋体" w:cs="宋体"/>
          <w:sz w:val="24"/>
          <w:szCs w:val="24"/>
          <w:highlight w:val="none"/>
          <w:lang w:eastAsia="zh-CN"/>
        </w:rPr>
      </w:pPr>
    </w:p>
    <w:p w14:paraId="456E5849">
      <w:pPr>
        <w:pStyle w:val="43"/>
        <w:rPr>
          <w:rFonts w:hint="eastAsia" w:ascii="宋体" w:hAnsi="宋体" w:eastAsia="宋体" w:cs="宋体"/>
          <w:sz w:val="24"/>
          <w:szCs w:val="24"/>
          <w:highlight w:val="none"/>
          <w:lang w:eastAsia="zh-CN"/>
        </w:rPr>
      </w:pPr>
    </w:p>
    <w:p w14:paraId="4B70A105">
      <w:pPr>
        <w:pStyle w:val="43"/>
        <w:rPr>
          <w:rFonts w:hint="eastAsia" w:ascii="宋体" w:hAnsi="宋体" w:eastAsia="宋体" w:cs="宋体"/>
          <w:sz w:val="24"/>
          <w:szCs w:val="24"/>
          <w:highlight w:val="none"/>
          <w:lang w:eastAsia="zh-CN"/>
        </w:rPr>
      </w:pPr>
    </w:p>
    <w:p w14:paraId="6EA788D3">
      <w:pPr>
        <w:pStyle w:val="43"/>
        <w:rPr>
          <w:rFonts w:hint="eastAsia" w:ascii="宋体" w:hAnsi="宋体" w:eastAsia="宋体" w:cs="宋体"/>
          <w:sz w:val="24"/>
          <w:szCs w:val="24"/>
          <w:highlight w:val="none"/>
          <w:lang w:eastAsia="zh-CN"/>
        </w:rPr>
      </w:pPr>
    </w:p>
    <w:p w14:paraId="2BA415CD">
      <w:pPr>
        <w:pStyle w:val="43"/>
        <w:rPr>
          <w:rFonts w:hint="eastAsia" w:ascii="宋体" w:hAnsi="宋体" w:eastAsia="宋体" w:cs="宋体"/>
          <w:sz w:val="24"/>
          <w:szCs w:val="24"/>
          <w:highlight w:val="none"/>
          <w:lang w:eastAsia="zh-CN"/>
        </w:rPr>
      </w:pPr>
    </w:p>
    <w:p w14:paraId="2B2C0695">
      <w:pPr>
        <w:pStyle w:val="43"/>
        <w:rPr>
          <w:rFonts w:hint="eastAsia" w:ascii="宋体" w:hAnsi="宋体" w:eastAsia="宋体" w:cs="宋体"/>
          <w:sz w:val="24"/>
          <w:szCs w:val="24"/>
          <w:highlight w:val="none"/>
          <w:lang w:eastAsia="zh-CN"/>
        </w:rPr>
      </w:pPr>
    </w:p>
    <w:p w14:paraId="1523DDD0">
      <w:pPr>
        <w:pStyle w:val="43"/>
        <w:rPr>
          <w:rFonts w:hint="eastAsia" w:ascii="宋体" w:hAnsi="宋体" w:eastAsia="宋体" w:cs="宋体"/>
          <w:sz w:val="24"/>
          <w:szCs w:val="24"/>
          <w:highlight w:val="none"/>
          <w:lang w:eastAsia="zh-CN"/>
        </w:rPr>
      </w:pPr>
    </w:p>
    <w:p w14:paraId="5EDC0709">
      <w:pPr>
        <w:pageBreakBefore w:val="0"/>
        <w:kinsoku/>
        <w:wordWrap/>
        <w:overflowPunct/>
        <w:bidi w:val="0"/>
        <w:spacing w:beforeAutospacing="0" w:afterAutospacing="0" w:line="50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t>附件3-</w:t>
      </w:r>
      <w:bookmarkStart w:id="84" w:name="_Toc29574"/>
      <w:r>
        <w:rPr>
          <w:rFonts w:hint="eastAsia" w:ascii="宋体" w:hAnsi="宋体" w:eastAsia="宋体" w:cs="宋体"/>
          <w:b/>
          <w:bCs/>
          <w:sz w:val="24"/>
          <w:szCs w:val="24"/>
          <w:lang w:val="en-US" w:eastAsia="zh-CN"/>
        </w:rPr>
        <w:t xml:space="preserve">5                          </w:t>
      </w:r>
    </w:p>
    <w:p w14:paraId="56D0ABBE">
      <w:pPr>
        <w:pageBreakBefore w:val="0"/>
        <w:kinsoku/>
        <w:wordWrap/>
        <w:overflowPunct/>
        <w:bidi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供应商基本情况表</w:t>
      </w:r>
      <w:bookmarkEnd w:id="84"/>
    </w:p>
    <w:tbl>
      <w:tblPr>
        <w:tblStyle w:val="4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629"/>
        <w:gridCol w:w="876"/>
        <w:gridCol w:w="850"/>
        <w:gridCol w:w="590"/>
        <w:gridCol w:w="294"/>
        <w:gridCol w:w="1083"/>
        <w:gridCol w:w="1552"/>
        <w:gridCol w:w="1799"/>
      </w:tblGrid>
      <w:tr w14:paraId="2029E9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887" w:type="dxa"/>
            <w:gridSpan w:val="3"/>
            <w:tcBorders>
              <w:top w:val="double" w:color="auto" w:sz="4" w:space="0"/>
              <w:left w:val="double" w:color="auto" w:sz="4" w:space="0"/>
              <w:bottom w:val="single" w:color="auto" w:sz="6" w:space="0"/>
              <w:right w:val="single" w:color="auto" w:sz="6" w:space="0"/>
            </w:tcBorders>
            <w:vAlign w:val="center"/>
          </w:tcPr>
          <w:p w14:paraId="1A3A3104">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供应商名称</w:t>
            </w:r>
          </w:p>
        </w:tc>
        <w:tc>
          <w:tcPr>
            <w:tcW w:w="3693" w:type="dxa"/>
            <w:gridSpan w:val="5"/>
            <w:tcBorders>
              <w:top w:val="double" w:color="auto" w:sz="4" w:space="0"/>
              <w:left w:val="single" w:color="auto" w:sz="6" w:space="0"/>
              <w:bottom w:val="single" w:color="auto" w:sz="6" w:space="0"/>
              <w:right w:val="single" w:color="auto" w:sz="6" w:space="0"/>
            </w:tcBorders>
            <w:vAlign w:val="center"/>
          </w:tcPr>
          <w:p w14:paraId="0A3C29D8">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1552" w:type="dxa"/>
            <w:tcBorders>
              <w:top w:val="double" w:color="auto" w:sz="4" w:space="0"/>
              <w:left w:val="single" w:color="auto" w:sz="6" w:space="0"/>
              <w:bottom w:val="single" w:color="auto" w:sz="6" w:space="0"/>
              <w:right w:val="single" w:color="auto" w:sz="6" w:space="0"/>
            </w:tcBorders>
            <w:vAlign w:val="center"/>
          </w:tcPr>
          <w:p w14:paraId="4E8FE4EF">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法定代表人</w:t>
            </w:r>
          </w:p>
        </w:tc>
        <w:tc>
          <w:tcPr>
            <w:tcW w:w="1799" w:type="dxa"/>
            <w:tcBorders>
              <w:top w:val="double" w:color="auto" w:sz="4" w:space="0"/>
              <w:left w:val="single" w:color="auto" w:sz="6" w:space="0"/>
              <w:bottom w:val="single" w:color="auto" w:sz="6" w:space="0"/>
              <w:right w:val="double" w:color="auto" w:sz="4" w:space="0"/>
            </w:tcBorders>
            <w:vAlign w:val="center"/>
          </w:tcPr>
          <w:p w14:paraId="60D2DC21">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r>
      <w:tr w14:paraId="0C23A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100DB9B4">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组织机构代码</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6C092438">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1552" w:type="dxa"/>
            <w:tcBorders>
              <w:top w:val="single" w:color="auto" w:sz="6" w:space="0"/>
              <w:left w:val="single" w:color="auto" w:sz="6" w:space="0"/>
              <w:bottom w:val="single" w:color="auto" w:sz="6" w:space="0"/>
              <w:right w:val="single" w:color="auto" w:sz="6" w:space="0"/>
            </w:tcBorders>
            <w:vAlign w:val="center"/>
          </w:tcPr>
          <w:p w14:paraId="3B27D09B">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邮政编码</w:t>
            </w:r>
          </w:p>
        </w:tc>
        <w:tc>
          <w:tcPr>
            <w:tcW w:w="1799" w:type="dxa"/>
            <w:tcBorders>
              <w:top w:val="single" w:color="auto" w:sz="6" w:space="0"/>
              <w:left w:val="single" w:color="auto" w:sz="6" w:space="0"/>
              <w:bottom w:val="single" w:color="auto" w:sz="6" w:space="0"/>
              <w:right w:val="double" w:color="auto" w:sz="4" w:space="0"/>
            </w:tcBorders>
            <w:vAlign w:val="center"/>
          </w:tcPr>
          <w:p w14:paraId="5CC1A1C1">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r>
      <w:tr w14:paraId="6B93FE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1229DC80">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委托代理人</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0FE733D5">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1552" w:type="dxa"/>
            <w:tcBorders>
              <w:top w:val="single" w:color="auto" w:sz="6" w:space="0"/>
              <w:left w:val="single" w:color="auto" w:sz="6" w:space="0"/>
              <w:bottom w:val="single" w:color="auto" w:sz="6" w:space="0"/>
              <w:right w:val="single" w:color="auto" w:sz="6" w:space="0"/>
            </w:tcBorders>
            <w:vAlign w:val="center"/>
          </w:tcPr>
          <w:p w14:paraId="3AE5E8F3">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电子邮箱</w:t>
            </w:r>
          </w:p>
        </w:tc>
        <w:tc>
          <w:tcPr>
            <w:tcW w:w="1799" w:type="dxa"/>
            <w:tcBorders>
              <w:top w:val="single" w:color="auto" w:sz="6" w:space="0"/>
              <w:left w:val="single" w:color="auto" w:sz="6" w:space="0"/>
              <w:bottom w:val="single" w:color="auto" w:sz="6" w:space="0"/>
              <w:right w:val="double" w:color="auto" w:sz="4" w:space="0"/>
            </w:tcBorders>
            <w:vAlign w:val="center"/>
          </w:tcPr>
          <w:p w14:paraId="17BAF29C">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r>
      <w:tr w14:paraId="79D8F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04E05581">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上年营业收入</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428DFC53">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1552" w:type="dxa"/>
            <w:tcBorders>
              <w:top w:val="single" w:color="auto" w:sz="6" w:space="0"/>
              <w:left w:val="single" w:color="auto" w:sz="6" w:space="0"/>
              <w:bottom w:val="single" w:color="auto" w:sz="6" w:space="0"/>
              <w:right w:val="single" w:color="auto" w:sz="6" w:space="0"/>
            </w:tcBorders>
            <w:vAlign w:val="center"/>
          </w:tcPr>
          <w:p w14:paraId="4DD2F999">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员工总人数</w:t>
            </w:r>
          </w:p>
        </w:tc>
        <w:tc>
          <w:tcPr>
            <w:tcW w:w="1799" w:type="dxa"/>
            <w:tcBorders>
              <w:top w:val="single" w:color="auto" w:sz="6" w:space="0"/>
              <w:left w:val="single" w:color="auto" w:sz="6" w:space="0"/>
              <w:bottom w:val="single" w:color="auto" w:sz="6" w:space="0"/>
              <w:right w:val="double" w:color="auto" w:sz="4" w:space="0"/>
            </w:tcBorders>
            <w:vAlign w:val="center"/>
          </w:tcPr>
          <w:p w14:paraId="2E1849E0">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r>
      <w:tr w14:paraId="077CA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083DD4E0">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71597022">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1C33D333">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1F8994D1">
            <w:pPr>
              <w:pageBreakBefore w:val="0"/>
              <w:kinsoku/>
              <w:wordWrap/>
              <w:overflowPunct/>
              <w:topLinePunct/>
              <w:bidi w:val="0"/>
              <w:spacing w:beforeAutospacing="0" w:afterAutospacing="0" w:line="500" w:lineRule="exact"/>
              <w:ind w:firstLine="120" w:firstLineChars="50"/>
              <w:jc w:val="center"/>
              <w:textAlignment w:val="auto"/>
              <w:rPr>
                <w:rFonts w:hint="eastAsia" w:ascii="宋体" w:hAnsi="宋体" w:eastAsia="宋体" w:cs="宋体"/>
                <w:sz w:val="24"/>
                <w:szCs w:val="24"/>
              </w:rPr>
            </w:pPr>
            <w:r>
              <w:rPr>
                <w:rFonts w:hint="eastAsia" w:ascii="宋体" w:hAnsi="宋体" w:eastAsia="宋体" w:cs="宋体"/>
                <w:sz w:val="24"/>
                <w:szCs w:val="24"/>
              </w:rPr>
              <w:t>注册地址</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76824A10">
            <w:pPr>
              <w:pageBreakBefore w:val="0"/>
              <w:kinsoku/>
              <w:wordWrap/>
              <w:overflowPunct/>
              <w:topLinePunct/>
              <w:bidi w:val="0"/>
              <w:spacing w:beforeAutospacing="0" w:afterAutospacing="0" w:line="500" w:lineRule="exact"/>
              <w:ind w:firstLine="120" w:firstLineChars="50"/>
              <w:jc w:val="center"/>
              <w:textAlignment w:val="auto"/>
              <w:rPr>
                <w:rFonts w:hint="eastAsia" w:ascii="宋体" w:hAnsi="宋体" w:eastAsia="宋体" w:cs="宋体"/>
                <w:sz w:val="24"/>
                <w:szCs w:val="24"/>
              </w:rPr>
            </w:pPr>
          </w:p>
        </w:tc>
      </w:tr>
      <w:tr w14:paraId="25A0A6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44594433">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47A6F04A">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7FC99C3">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6AC909B4">
            <w:pPr>
              <w:pageBreakBefore w:val="0"/>
              <w:kinsoku/>
              <w:wordWrap/>
              <w:overflowPunct/>
              <w:topLinePunct/>
              <w:bidi w:val="0"/>
              <w:spacing w:beforeAutospacing="0" w:afterAutospacing="0" w:line="500" w:lineRule="exact"/>
              <w:ind w:firstLine="120" w:firstLineChars="50"/>
              <w:jc w:val="center"/>
              <w:textAlignment w:val="auto"/>
              <w:rPr>
                <w:rFonts w:hint="eastAsia" w:ascii="宋体" w:hAnsi="宋体" w:eastAsia="宋体" w:cs="宋体"/>
                <w:sz w:val="24"/>
                <w:szCs w:val="24"/>
              </w:rPr>
            </w:pPr>
            <w:r>
              <w:rPr>
                <w:rFonts w:hint="eastAsia" w:ascii="宋体" w:hAnsi="宋体" w:eastAsia="宋体" w:cs="宋体"/>
                <w:sz w:val="24"/>
                <w:szCs w:val="24"/>
              </w:rPr>
              <w:t>发证日期</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12C1398A">
            <w:pPr>
              <w:pageBreakBefore w:val="0"/>
              <w:kinsoku/>
              <w:wordWrap/>
              <w:overflowPunct/>
              <w:topLinePunct/>
              <w:bidi w:val="0"/>
              <w:spacing w:beforeAutospacing="0" w:afterAutospacing="0" w:line="500" w:lineRule="exact"/>
              <w:ind w:firstLine="120" w:firstLineChars="50"/>
              <w:jc w:val="center"/>
              <w:textAlignment w:val="auto"/>
              <w:rPr>
                <w:rFonts w:hint="eastAsia" w:ascii="宋体" w:hAnsi="宋体" w:eastAsia="宋体" w:cs="宋体"/>
                <w:sz w:val="24"/>
                <w:szCs w:val="24"/>
              </w:rPr>
            </w:pPr>
          </w:p>
        </w:tc>
      </w:tr>
      <w:tr w14:paraId="29B70C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4CC78FAF">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064F3DF2">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营业范围（主营）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26883D13">
            <w:pPr>
              <w:pageBreakBefore w:val="0"/>
              <w:kinsoku/>
              <w:wordWrap/>
              <w:overflowPunct/>
              <w:topLinePunct/>
              <w:bidi w:val="0"/>
              <w:spacing w:beforeAutospacing="0" w:afterAutospacing="0" w:line="500" w:lineRule="exact"/>
              <w:ind w:firstLine="120" w:firstLineChars="50"/>
              <w:jc w:val="center"/>
              <w:textAlignment w:val="auto"/>
              <w:rPr>
                <w:rFonts w:hint="eastAsia" w:ascii="宋体" w:hAnsi="宋体" w:eastAsia="宋体" w:cs="宋体"/>
                <w:sz w:val="24"/>
                <w:szCs w:val="24"/>
              </w:rPr>
            </w:pPr>
          </w:p>
        </w:tc>
      </w:tr>
      <w:tr w14:paraId="15562B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376882D4">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45808B17">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营业范围（兼营）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32A7A0FC">
            <w:pPr>
              <w:pageBreakBefore w:val="0"/>
              <w:kinsoku/>
              <w:wordWrap/>
              <w:overflowPunct/>
              <w:topLinePunct/>
              <w:bidi w:val="0"/>
              <w:spacing w:beforeAutospacing="0" w:afterAutospacing="0" w:line="500" w:lineRule="exact"/>
              <w:ind w:firstLine="120" w:firstLineChars="50"/>
              <w:jc w:val="center"/>
              <w:textAlignment w:val="auto"/>
              <w:rPr>
                <w:rFonts w:hint="eastAsia" w:ascii="宋体" w:hAnsi="宋体" w:eastAsia="宋体" w:cs="宋体"/>
                <w:sz w:val="24"/>
                <w:szCs w:val="24"/>
              </w:rPr>
            </w:pPr>
          </w:p>
        </w:tc>
      </w:tr>
      <w:tr w14:paraId="20386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0BC6A5BA">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基本账户开户行及帐号</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7037D887">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r>
      <w:tr w14:paraId="3E556F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0C8DBD75">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税务登记机关</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5AFE394D">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r>
      <w:tr w14:paraId="67799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2356BE0">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58443F79">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4DCF279B">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发证机关</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56901A53">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有效期</w:t>
            </w:r>
          </w:p>
        </w:tc>
      </w:tr>
      <w:tr w14:paraId="212EC7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F020CFB">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B50FCAE">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1083" w:type="dxa"/>
            <w:tcBorders>
              <w:top w:val="single" w:color="auto" w:sz="6" w:space="0"/>
              <w:left w:val="single" w:color="auto" w:sz="6" w:space="0"/>
              <w:bottom w:val="single" w:color="auto" w:sz="6" w:space="0"/>
              <w:right w:val="single" w:color="auto" w:sz="6" w:space="0"/>
            </w:tcBorders>
            <w:vAlign w:val="center"/>
          </w:tcPr>
          <w:p w14:paraId="3171587A">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96A0ABF">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r>
      <w:tr w14:paraId="72E88F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585FA780">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66CC431">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1083" w:type="dxa"/>
            <w:tcBorders>
              <w:top w:val="single" w:color="auto" w:sz="6" w:space="0"/>
              <w:left w:val="single" w:color="auto" w:sz="6" w:space="0"/>
              <w:bottom w:val="single" w:color="auto" w:sz="6" w:space="0"/>
              <w:right w:val="single" w:color="auto" w:sz="6" w:space="0"/>
            </w:tcBorders>
            <w:vAlign w:val="center"/>
          </w:tcPr>
          <w:p w14:paraId="7A7AB7FB">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6B87B374">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r>
      <w:tr w14:paraId="2E53FC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39D8DA30">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9CE1C9F">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1083" w:type="dxa"/>
            <w:tcBorders>
              <w:top w:val="single" w:color="auto" w:sz="6" w:space="0"/>
              <w:left w:val="single" w:color="auto" w:sz="6" w:space="0"/>
              <w:bottom w:val="single" w:color="auto" w:sz="6" w:space="0"/>
              <w:right w:val="single" w:color="auto" w:sz="6" w:space="0"/>
            </w:tcBorders>
            <w:vAlign w:val="center"/>
          </w:tcPr>
          <w:p w14:paraId="7D714CFC">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7ECB714E">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r>
      <w:tr w14:paraId="43178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260EC6E1">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2C4B3DC">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1083" w:type="dxa"/>
            <w:tcBorders>
              <w:top w:val="single" w:color="auto" w:sz="6" w:space="0"/>
              <w:left w:val="single" w:color="auto" w:sz="6" w:space="0"/>
              <w:bottom w:val="single" w:color="auto" w:sz="6" w:space="0"/>
              <w:right w:val="single" w:color="auto" w:sz="6" w:space="0"/>
            </w:tcBorders>
            <w:vAlign w:val="center"/>
          </w:tcPr>
          <w:p w14:paraId="56C020F3">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68C28422">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p>
        </w:tc>
      </w:tr>
      <w:tr w14:paraId="2BB3D4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gridSpan w:val="2"/>
            <w:tcBorders>
              <w:top w:val="single" w:color="auto" w:sz="6" w:space="0"/>
              <w:left w:val="double" w:color="auto" w:sz="4" w:space="0"/>
              <w:bottom w:val="double" w:color="auto" w:sz="4" w:space="0"/>
              <w:right w:val="single" w:color="auto" w:sz="6" w:space="0"/>
            </w:tcBorders>
            <w:vAlign w:val="center"/>
          </w:tcPr>
          <w:p w14:paraId="028927DE">
            <w:pPr>
              <w:pageBreakBefore w:val="0"/>
              <w:kinsoku/>
              <w:wordWrap/>
              <w:overflowPunct/>
              <w:topLine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备注</w:t>
            </w:r>
          </w:p>
        </w:tc>
        <w:tc>
          <w:tcPr>
            <w:tcW w:w="7673" w:type="dxa"/>
            <w:gridSpan w:val="8"/>
            <w:tcBorders>
              <w:top w:val="single" w:color="auto" w:sz="6" w:space="0"/>
              <w:left w:val="single" w:color="auto" w:sz="6" w:space="0"/>
              <w:bottom w:val="double" w:color="auto" w:sz="4" w:space="0"/>
              <w:right w:val="double" w:color="auto" w:sz="4" w:space="0"/>
            </w:tcBorders>
            <w:vAlign w:val="center"/>
          </w:tcPr>
          <w:p w14:paraId="1EDBF4BB">
            <w:pPr>
              <w:pageBreakBefore w:val="0"/>
              <w:kinsoku/>
              <w:wordWrap/>
              <w:overflowPunct/>
              <w:topLinePunct/>
              <w:bidi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提供营业执照(副本复印件)</w:t>
            </w:r>
          </w:p>
        </w:tc>
      </w:tr>
    </w:tbl>
    <w:p w14:paraId="1FD4F9E2">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p w14:paraId="65A1DC16">
      <w:pPr>
        <w:pageBreakBefore w:val="0"/>
        <w:kinsoku/>
        <w:wordWrap/>
        <w:overflowPunct/>
        <w:bidi w:val="0"/>
        <w:adjustRightInd w:val="0"/>
        <w:snapToGrid w:val="0"/>
        <w:spacing w:beforeAutospacing="0" w:afterAutospacing="0" w:line="500" w:lineRule="exact"/>
        <w:textAlignment w:val="auto"/>
        <w:outlineLvl w:val="2"/>
        <w:rPr>
          <w:rFonts w:hint="eastAsia" w:ascii="宋体" w:hAnsi="宋体" w:eastAsia="宋体" w:cs="宋体"/>
          <w:b/>
          <w:sz w:val="24"/>
          <w:szCs w:val="24"/>
        </w:rPr>
      </w:pPr>
    </w:p>
    <w:p w14:paraId="75035DB4">
      <w:pPr>
        <w:pageBreakBefore w:val="0"/>
        <w:kinsoku/>
        <w:wordWrap/>
        <w:overflowPunct/>
        <w:bidi w:val="0"/>
        <w:adjustRightInd w:val="0"/>
        <w:snapToGrid w:val="0"/>
        <w:spacing w:beforeAutospacing="0" w:afterAutospacing="0" w:line="500" w:lineRule="exact"/>
        <w:textAlignment w:val="auto"/>
        <w:outlineLvl w:val="2"/>
        <w:rPr>
          <w:rFonts w:hint="eastAsia" w:ascii="宋体" w:hAnsi="宋体" w:eastAsia="宋体" w:cs="宋体"/>
          <w:b/>
          <w:sz w:val="24"/>
          <w:szCs w:val="24"/>
        </w:rPr>
      </w:pPr>
    </w:p>
    <w:p w14:paraId="3D3B9968">
      <w:pPr>
        <w:pageBreakBefore w:val="0"/>
        <w:kinsoku/>
        <w:wordWrap/>
        <w:overflowPunct/>
        <w:bidi w:val="0"/>
        <w:adjustRightInd w:val="0"/>
        <w:snapToGrid w:val="0"/>
        <w:spacing w:beforeAutospacing="0" w:afterAutospacing="0" w:line="500" w:lineRule="exact"/>
        <w:textAlignment w:val="auto"/>
        <w:outlineLvl w:val="2"/>
        <w:rPr>
          <w:rFonts w:hint="eastAsia" w:ascii="宋体" w:hAnsi="宋体" w:eastAsia="宋体" w:cs="宋体"/>
          <w:sz w:val="24"/>
          <w:szCs w:val="24"/>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3-6</w:t>
      </w:r>
    </w:p>
    <w:p w14:paraId="38E9C0EC">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p w14:paraId="565F46D7">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本项目</w:t>
      </w:r>
      <w:r>
        <w:rPr>
          <w:rFonts w:hint="eastAsia" w:ascii="宋体" w:hAnsi="宋体" w:eastAsia="宋体" w:cs="宋体"/>
          <w:b/>
          <w:bCs/>
          <w:sz w:val="24"/>
          <w:szCs w:val="24"/>
        </w:rPr>
        <w:t>人员配备情况表</w:t>
      </w:r>
    </w:p>
    <w:p w14:paraId="1D066D26">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p>
    <w:p w14:paraId="5219E821">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政府采购</w:t>
      </w:r>
      <w:r>
        <w:rPr>
          <w:rFonts w:hint="eastAsia" w:ascii="宋体" w:hAnsi="宋体" w:cs="宋体"/>
          <w:sz w:val="24"/>
          <w:szCs w:val="24"/>
          <w:lang w:val="en-US" w:eastAsia="zh-CN"/>
        </w:rPr>
        <w:t>计划</w:t>
      </w:r>
      <w:r>
        <w:rPr>
          <w:rFonts w:hint="eastAsia" w:ascii="宋体" w:hAnsi="宋体" w:eastAsia="宋体" w:cs="宋体"/>
          <w:sz w:val="24"/>
          <w:szCs w:val="24"/>
        </w:rPr>
        <w:t xml:space="preserve">编号：                                    项目名称：                           </w:t>
      </w:r>
    </w:p>
    <w:tbl>
      <w:tblPr>
        <w:tblStyle w:val="4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240"/>
        <w:gridCol w:w="1013"/>
        <w:gridCol w:w="2106"/>
        <w:gridCol w:w="1812"/>
        <w:gridCol w:w="1044"/>
      </w:tblGrid>
      <w:tr w14:paraId="7FBEE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63" w:type="dxa"/>
            <w:tcBorders>
              <w:bottom w:val="single" w:color="auto" w:sz="4" w:space="0"/>
              <w:right w:val="single" w:color="auto" w:sz="4" w:space="0"/>
            </w:tcBorders>
            <w:vAlign w:val="center"/>
          </w:tcPr>
          <w:p w14:paraId="354DE9AF">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序号</w:t>
            </w:r>
          </w:p>
        </w:tc>
        <w:tc>
          <w:tcPr>
            <w:tcW w:w="2240" w:type="dxa"/>
            <w:tcBorders>
              <w:left w:val="single" w:color="auto" w:sz="4" w:space="0"/>
              <w:bottom w:val="single" w:color="auto" w:sz="4" w:space="0"/>
              <w:right w:val="single" w:color="auto" w:sz="4" w:space="0"/>
            </w:tcBorders>
            <w:vAlign w:val="center"/>
          </w:tcPr>
          <w:p w14:paraId="30319E41">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拟投本项目人员姓名</w:t>
            </w:r>
          </w:p>
        </w:tc>
        <w:tc>
          <w:tcPr>
            <w:tcW w:w="1013" w:type="dxa"/>
            <w:tcBorders>
              <w:left w:val="single" w:color="auto" w:sz="4" w:space="0"/>
              <w:bottom w:val="single" w:color="auto" w:sz="4" w:space="0"/>
              <w:right w:val="single" w:color="auto" w:sz="4" w:space="0"/>
            </w:tcBorders>
            <w:vAlign w:val="center"/>
          </w:tcPr>
          <w:p w14:paraId="17612D8A">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职称</w:t>
            </w:r>
          </w:p>
        </w:tc>
        <w:tc>
          <w:tcPr>
            <w:tcW w:w="2106" w:type="dxa"/>
            <w:tcBorders>
              <w:left w:val="single" w:color="auto" w:sz="4" w:space="0"/>
              <w:bottom w:val="single" w:color="auto" w:sz="4" w:space="0"/>
              <w:right w:val="single" w:color="auto" w:sz="4" w:space="0"/>
            </w:tcBorders>
            <w:vAlign w:val="center"/>
          </w:tcPr>
          <w:p w14:paraId="3200AA13">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在本项目中</w:t>
            </w:r>
          </w:p>
          <w:p w14:paraId="6FE204CF">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的工作职责</w:t>
            </w:r>
          </w:p>
        </w:tc>
        <w:tc>
          <w:tcPr>
            <w:tcW w:w="1812" w:type="dxa"/>
            <w:tcBorders>
              <w:left w:val="single" w:color="auto" w:sz="4" w:space="0"/>
              <w:bottom w:val="single" w:color="auto" w:sz="4" w:space="0"/>
              <w:right w:val="single" w:color="auto" w:sz="4" w:space="0"/>
            </w:tcBorders>
            <w:vAlign w:val="center"/>
          </w:tcPr>
          <w:p w14:paraId="5203874E">
            <w:pPr>
              <w:pageBreakBefore w:val="0"/>
              <w:kinsoku/>
              <w:wordWrap/>
              <w:overflowPunct/>
              <w:bidi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相关证书名称</w:t>
            </w:r>
          </w:p>
        </w:tc>
        <w:tc>
          <w:tcPr>
            <w:tcW w:w="1044" w:type="dxa"/>
            <w:tcBorders>
              <w:left w:val="single" w:color="auto" w:sz="4" w:space="0"/>
              <w:bottom w:val="single" w:color="auto" w:sz="4" w:space="0"/>
            </w:tcBorders>
            <w:vAlign w:val="center"/>
          </w:tcPr>
          <w:p w14:paraId="5F586FF1">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备注</w:t>
            </w:r>
          </w:p>
        </w:tc>
      </w:tr>
      <w:tr w14:paraId="4D54E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6006E96B">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2240" w:type="dxa"/>
            <w:tcBorders>
              <w:top w:val="single" w:color="auto" w:sz="4" w:space="0"/>
              <w:left w:val="single" w:color="auto" w:sz="4" w:space="0"/>
              <w:bottom w:val="single" w:color="auto" w:sz="4" w:space="0"/>
              <w:right w:val="single" w:color="auto" w:sz="4" w:space="0"/>
            </w:tcBorders>
            <w:vAlign w:val="center"/>
          </w:tcPr>
          <w:p w14:paraId="75F3671F">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013" w:type="dxa"/>
            <w:tcBorders>
              <w:top w:val="single" w:color="auto" w:sz="4" w:space="0"/>
              <w:left w:val="single" w:color="auto" w:sz="4" w:space="0"/>
              <w:bottom w:val="single" w:color="auto" w:sz="4" w:space="0"/>
              <w:right w:val="single" w:color="auto" w:sz="4" w:space="0"/>
            </w:tcBorders>
            <w:vAlign w:val="center"/>
          </w:tcPr>
          <w:p w14:paraId="29F3F7A5">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2106" w:type="dxa"/>
            <w:tcBorders>
              <w:top w:val="single" w:color="auto" w:sz="4" w:space="0"/>
              <w:left w:val="single" w:color="auto" w:sz="4" w:space="0"/>
              <w:bottom w:val="single" w:color="auto" w:sz="4" w:space="0"/>
              <w:right w:val="single" w:color="auto" w:sz="4" w:space="0"/>
            </w:tcBorders>
            <w:vAlign w:val="center"/>
          </w:tcPr>
          <w:p w14:paraId="6E071959">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812" w:type="dxa"/>
            <w:tcBorders>
              <w:top w:val="single" w:color="auto" w:sz="4" w:space="0"/>
              <w:left w:val="single" w:color="auto" w:sz="4" w:space="0"/>
              <w:bottom w:val="single" w:color="auto" w:sz="4" w:space="0"/>
              <w:right w:val="single" w:color="auto" w:sz="4" w:space="0"/>
            </w:tcBorders>
            <w:vAlign w:val="center"/>
          </w:tcPr>
          <w:p w14:paraId="347CFB4E">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044" w:type="dxa"/>
            <w:tcBorders>
              <w:top w:val="single" w:color="auto" w:sz="4" w:space="0"/>
              <w:left w:val="single" w:color="auto" w:sz="4" w:space="0"/>
              <w:bottom w:val="single" w:color="auto" w:sz="4" w:space="0"/>
            </w:tcBorders>
            <w:vAlign w:val="center"/>
          </w:tcPr>
          <w:p w14:paraId="4116F391">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r>
      <w:tr w14:paraId="054FD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62FBB07A">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2240" w:type="dxa"/>
            <w:tcBorders>
              <w:top w:val="single" w:color="auto" w:sz="4" w:space="0"/>
              <w:left w:val="single" w:color="auto" w:sz="4" w:space="0"/>
              <w:bottom w:val="single" w:color="auto" w:sz="4" w:space="0"/>
              <w:right w:val="single" w:color="auto" w:sz="4" w:space="0"/>
            </w:tcBorders>
            <w:vAlign w:val="center"/>
          </w:tcPr>
          <w:p w14:paraId="15DBC8F4">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013" w:type="dxa"/>
            <w:tcBorders>
              <w:top w:val="single" w:color="auto" w:sz="4" w:space="0"/>
              <w:left w:val="single" w:color="auto" w:sz="4" w:space="0"/>
              <w:bottom w:val="single" w:color="auto" w:sz="4" w:space="0"/>
              <w:right w:val="single" w:color="auto" w:sz="4" w:space="0"/>
            </w:tcBorders>
            <w:vAlign w:val="center"/>
          </w:tcPr>
          <w:p w14:paraId="52010687">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2106" w:type="dxa"/>
            <w:tcBorders>
              <w:top w:val="single" w:color="auto" w:sz="4" w:space="0"/>
              <w:left w:val="single" w:color="auto" w:sz="4" w:space="0"/>
              <w:bottom w:val="single" w:color="auto" w:sz="4" w:space="0"/>
              <w:right w:val="single" w:color="auto" w:sz="4" w:space="0"/>
            </w:tcBorders>
            <w:vAlign w:val="center"/>
          </w:tcPr>
          <w:p w14:paraId="76EAF46A">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812" w:type="dxa"/>
            <w:tcBorders>
              <w:top w:val="single" w:color="auto" w:sz="4" w:space="0"/>
              <w:left w:val="single" w:color="auto" w:sz="4" w:space="0"/>
              <w:bottom w:val="single" w:color="auto" w:sz="4" w:space="0"/>
              <w:right w:val="single" w:color="auto" w:sz="4" w:space="0"/>
            </w:tcBorders>
            <w:vAlign w:val="center"/>
          </w:tcPr>
          <w:p w14:paraId="45185F20">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044" w:type="dxa"/>
            <w:tcBorders>
              <w:top w:val="single" w:color="auto" w:sz="4" w:space="0"/>
              <w:left w:val="single" w:color="auto" w:sz="4" w:space="0"/>
              <w:bottom w:val="single" w:color="auto" w:sz="4" w:space="0"/>
            </w:tcBorders>
            <w:vAlign w:val="center"/>
          </w:tcPr>
          <w:p w14:paraId="3ADC4863">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r>
      <w:tr w14:paraId="3560EC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255A3115">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2240" w:type="dxa"/>
            <w:tcBorders>
              <w:top w:val="single" w:color="auto" w:sz="4" w:space="0"/>
              <w:left w:val="single" w:color="auto" w:sz="4" w:space="0"/>
              <w:bottom w:val="single" w:color="auto" w:sz="4" w:space="0"/>
              <w:right w:val="single" w:color="auto" w:sz="4" w:space="0"/>
            </w:tcBorders>
            <w:vAlign w:val="center"/>
          </w:tcPr>
          <w:p w14:paraId="763E6477">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013" w:type="dxa"/>
            <w:tcBorders>
              <w:top w:val="single" w:color="auto" w:sz="4" w:space="0"/>
              <w:left w:val="single" w:color="auto" w:sz="4" w:space="0"/>
              <w:bottom w:val="single" w:color="auto" w:sz="4" w:space="0"/>
              <w:right w:val="single" w:color="auto" w:sz="4" w:space="0"/>
            </w:tcBorders>
            <w:vAlign w:val="center"/>
          </w:tcPr>
          <w:p w14:paraId="50B36732">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2106" w:type="dxa"/>
            <w:tcBorders>
              <w:top w:val="single" w:color="auto" w:sz="4" w:space="0"/>
              <w:left w:val="single" w:color="auto" w:sz="4" w:space="0"/>
              <w:bottom w:val="single" w:color="auto" w:sz="4" w:space="0"/>
              <w:right w:val="single" w:color="auto" w:sz="4" w:space="0"/>
            </w:tcBorders>
            <w:vAlign w:val="center"/>
          </w:tcPr>
          <w:p w14:paraId="7243E350">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812" w:type="dxa"/>
            <w:tcBorders>
              <w:top w:val="single" w:color="auto" w:sz="4" w:space="0"/>
              <w:left w:val="single" w:color="auto" w:sz="4" w:space="0"/>
              <w:bottom w:val="single" w:color="auto" w:sz="4" w:space="0"/>
              <w:right w:val="single" w:color="auto" w:sz="4" w:space="0"/>
            </w:tcBorders>
            <w:vAlign w:val="center"/>
          </w:tcPr>
          <w:p w14:paraId="12CDB1FE">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044" w:type="dxa"/>
            <w:tcBorders>
              <w:top w:val="single" w:color="auto" w:sz="4" w:space="0"/>
              <w:left w:val="single" w:color="auto" w:sz="4" w:space="0"/>
              <w:bottom w:val="single" w:color="auto" w:sz="4" w:space="0"/>
            </w:tcBorders>
            <w:vAlign w:val="center"/>
          </w:tcPr>
          <w:p w14:paraId="3E0B2E6F">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r>
      <w:tr w14:paraId="7DE937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55BD2DDF">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2240" w:type="dxa"/>
            <w:tcBorders>
              <w:top w:val="single" w:color="auto" w:sz="4" w:space="0"/>
              <w:left w:val="single" w:color="auto" w:sz="4" w:space="0"/>
              <w:bottom w:val="single" w:color="auto" w:sz="4" w:space="0"/>
              <w:right w:val="single" w:color="auto" w:sz="4" w:space="0"/>
            </w:tcBorders>
            <w:vAlign w:val="center"/>
          </w:tcPr>
          <w:p w14:paraId="422816CD">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013" w:type="dxa"/>
            <w:tcBorders>
              <w:top w:val="single" w:color="auto" w:sz="4" w:space="0"/>
              <w:left w:val="single" w:color="auto" w:sz="4" w:space="0"/>
              <w:bottom w:val="single" w:color="auto" w:sz="4" w:space="0"/>
              <w:right w:val="single" w:color="auto" w:sz="4" w:space="0"/>
            </w:tcBorders>
            <w:vAlign w:val="center"/>
          </w:tcPr>
          <w:p w14:paraId="34BE78DF">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2106" w:type="dxa"/>
            <w:tcBorders>
              <w:top w:val="single" w:color="auto" w:sz="4" w:space="0"/>
              <w:left w:val="single" w:color="auto" w:sz="4" w:space="0"/>
              <w:bottom w:val="single" w:color="auto" w:sz="4" w:space="0"/>
              <w:right w:val="single" w:color="auto" w:sz="4" w:space="0"/>
            </w:tcBorders>
            <w:vAlign w:val="center"/>
          </w:tcPr>
          <w:p w14:paraId="680AA47C">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812" w:type="dxa"/>
            <w:tcBorders>
              <w:top w:val="single" w:color="auto" w:sz="4" w:space="0"/>
              <w:left w:val="single" w:color="auto" w:sz="4" w:space="0"/>
              <w:bottom w:val="single" w:color="auto" w:sz="4" w:space="0"/>
              <w:right w:val="single" w:color="auto" w:sz="4" w:space="0"/>
            </w:tcBorders>
            <w:vAlign w:val="center"/>
          </w:tcPr>
          <w:p w14:paraId="46934696">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044" w:type="dxa"/>
            <w:tcBorders>
              <w:top w:val="single" w:color="auto" w:sz="4" w:space="0"/>
              <w:left w:val="single" w:color="auto" w:sz="4" w:space="0"/>
              <w:bottom w:val="single" w:color="auto" w:sz="4" w:space="0"/>
            </w:tcBorders>
            <w:vAlign w:val="center"/>
          </w:tcPr>
          <w:p w14:paraId="34612A1E">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r>
      <w:tr w14:paraId="610F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right w:val="single" w:color="auto" w:sz="4" w:space="0"/>
            </w:tcBorders>
            <w:vAlign w:val="center"/>
          </w:tcPr>
          <w:p w14:paraId="3474C7DD">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2240" w:type="dxa"/>
            <w:tcBorders>
              <w:top w:val="single" w:color="auto" w:sz="4" w:space="0"/>
              <w:left w:val="single" w:color="auto" w:sz="4" w:space="0"/>
              <w:right w:val="single" w:color="auto" w:sz="4" w:space="0"/>
            </w:tcBorders>
            <w:vAlign w:val="center"/>
          </w:tcPr>
          <w:p w14:paraId="24A7C482">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013" w:type="dxa"/>
            <w:tcBorders>
              <w:top w:val="single" w:color="auto" w:sz="4" w:space="0"/>
              <w:left w:val="single" w:color="auto" w:sz="4" w:space="0"/>
              <w:right w:val="single" w:color="auto" w:sz="4" w:space="0"/>
            </w:tcBorders>
            <w:vAlign w:val="center"/>
          </w:tcPr>
          <w:p w14:paraId="0C28A327">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2106" w:type="dxa"/>
            <w:tcBorders>
              <w:top w:val="single" w:color="auto" w:sz="4" w:space="0"/>
              <w:left w:val="single" w:color="auto" w:sz="4" w:space="0"/>
              <w:right w:val="single" w:color="auto" w:sz="4" w:space="0"/>
            </w:tcBorders>
            <w:vAlign w:val="center"/>
          </w:tcPr>
          <w:p w14:paraId="192E4441">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812" w:type="dxa"/>
            <w:tcBorders>
              <w:top w:val="single" w:color="auto" w:sz="4" w:space="0"/>
              <w:left w:val="single" w:color="auto" w:sz="4" w:space="0"/>
              <w:right w:val="single" w:color="auto" w:sz="4" w:space="0"/>
            </w:tcBorders>
            <w:vAlign w:val="center"/>
          </w:tcPr>
          <w:p w14:paraId="6436C023">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044" w:type="dxa"/>
            <w:tcBorders>
              <w:top w:val="single" w:color="auto" w:sz="4" w:space="0"/>
              <w:left w:val="single" w:color="auto" w:sz="4" w:space="0"/>
            </w:tcBorders>
            <w:vAlign w:val="center"/>
          </w:tcPr>
          <w:p w14:paraId="4085BA7D">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r>
    </w:tbl>
    <w:p w14:paraId="2BB87C79">
      <w:pPr>
        <w:pageBreakBefore w:val="0"/>
        <w:kinsoku/>
        <w:wordWrap/>
        <w:overflowPunct/>
        <w:bidi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注：1、供应商根据本项目实际需求配备人员。</w:t>
      </w:r>
    </w:p>
    <w:p w14:paraId="0E59ACAA">
      <w:pPr>
        <w:pageBreakBefore w:val="0"/>
        <w:kinsoku/>
        <w:wordWrap/>
        <w:overflowPunct/>
        <w:bidi w:val="0"/>
        <w:spacing w:beforeAutospacing="0" w:afterAutospacing="0" w:line="500" w:lineRule="exact"/>
        <w:textAlignment w:val="auto"/>
        <w:rPr>
          <w:rFonts w:hint="eastAsia" w:ascii="宋体" w:hAnsi="宋体" w:eastAsia="宋体" w:cs="宋体"/>
          <w:sz w:val="24"/>
          <w:szCs w:val="24"/>
        </w:rPr>
      </w:pPr>
    </w:p>
    <w:p w14:paraId="42090E0E">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p>
    <w:p w14:paraId="0B9878F8">
      <w:pPr>
        <w:pStyle w:val="44"/>
        <w:pageBreakBefore w:val="0"/>
        <w:kinsoku/>
        <w:wordWrap/>
        <w:overflowPunct/>
        <w:bidi w:val="0"/>
        <w:spacing w:beforeAutospacing="0" w:after="0" w:afterAutospacing="0" w:line="500" w:lineRule="exact"/>
        <w:textAlignment w:val="auto"/>
        <w:rPr>
          <w:rFonts w:hint="eastAsia" w:ascii="宋体" w:hAnsi="宋体" w:eastAsia="宋体" w:cs="宋体"/>
          <w:sz w:val="24"/>
          <w:szCs w:val="24"/>
        </w:rPr>
      </w:pPr>
    </w:p>
    <w:p w14:paraId="43CB2785">
      <w:pPr>
        <w:pStyle w:val="12"/>
        <w:pageBreakBefore w:val="0"/>
        <w:kinsoku/>
        <w:wordWrap/>
        <w:overflowPunct/>
        <w:bidi w:val="0"/>
        <w:spacing w:beforeAutospacing="0" w:afterAutospacing="0" w:line="500" w:lineRule="exact"/>
        <w:textAlignment w:val="auto"/>
        <w:rPr>
          <w:rFonts w:hint="eastAsia" w:ascii="宋体" w:hAnsi="宋体" w:eastAsia="宋体" w:cs="宋体"/>
          <w:sz w:val="24"/>
          <w:szCs w:val="24"/>
        </w:rPr>
      </w:pPr>
    </w:p>
    <w:p w14:paraId="22235337">
      <w:pPr>
        <w:pageBreakBefore w:val="0"/>
        <w:kinsoku/>
        <w:wordWrap/>
        <w:overflowPunct/>
        <w:bidi w:val="0"/>
        <w:spacing w:beforeAutospacing="0" w:afterAutospacing="0" w:line="500" w:lineRule="exact"/>
        <w:textAlignment w:val="auto"/>
        <w:rPr>
          <w:rFonts w:hint="eastAsia" w:ascii="宋体" w:hAnsi="宋体" w:eastAsia="宋体" w:cs="宋体"/>
          <w:sz w:val="24"/>
          <w:szCs w:val="24"/>
        </w:rPr>
      </w:pPr>
    </w:p>
    <w:p w14:paraId="5EA8D13D">
      <w:pPr>
        <w:pStyle w:val="26"/>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bCs/>
          <w:sz w:val="24"/>
          <w:szCs w:val="24"/>
        </w:rPr>
      </w:pPr>
      <w:r>
        <w:rPr>
          <w:rFonts w:hint="eastAsia" w:ascii="宋体" w:hAnsi="宋体" w:eastAsia="宋体" w:cs="宋体"/>
          <w:sz w:val="24"/>
          <w:szCs w:val="24"/>
        </w:rPr>
        <w:t>供应商名称：</w:t>
      </w:r>
    </w:p>
    <w:p w14:paraId="3C8F6F7A">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法定代表人或其委托代理人(签字)：</w:t>
      </w:r>
    </w:p>
    <w:p w14:paraId="5D2A1443">
      <w:pPr>
        <w:pageBreakBefore w:val="0"/>
        <w:kinsoku/>
        <w:wordWrap/>
        <w:overflowPunct/>
        <w:bidi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日期：  年  月  日</w:t>
      </w:r>
    </w:p>
    <w:p w14:paraId="0655EED9">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bCs/>
          <w:sz w:val="24"/>
          <w:szCs w:val="24"/>
        </w:rPr>
      </w:pPr>
    </w:p>
    <w:bookmarkEnd w:id="83"/>
    <w:p w14:paraId="552BC33E">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8"/>
          <w:szCs w:val="28"/>
          <w:lang w:eastAsia="zh-CN"/>
        </w:rPr>
      </w:pPr>
      <w:bookmarkStart w:id="85" w:name="_Toc8086"/>
      <w:bookmarkStart w:id="86" w:name="_Toc17403"/>
      <w:bookmarkStart w:id="87" w:name="_Toc9844"/>
      <w:bookmarkStart w:id="88" w:name="_Toc4335"/>
    </w:p>
    <w:p w14:paraId="392EAB5B">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8"/>
          <w:szCs w:val="28"/>
          <w:lang w:eastAsia="zh-CN"/>
        </w:rPr>
      </w:pPr>
    </w:p>
    <w:p w14:paraId="30A1F662">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8"/>
          <w:szCs w:val="28"/>
          <w:lang w:eastAsia="zh-CN"/>
        </w:rPr>
      </w:pPr>
    </w:p>
    <w:p w14:paraId="59A6D6BD">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8"/>
          <w:szCs w:val="28"/>
          <w:lang w:eastAsia="zh-CN"/>
        </w:rPr>
      </w:pPr>
    </w:p>
    <w:p w14:paraId="68C70730">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8"/>
          <w:szCs w:val="28"/>
          <w:lang w:eastAsia="zh-CN"/>
        </w:rPr>
      </w:pPr>
    </w:p>
    <w:p w14:paraId="25AD58D7">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8"/>
          <w:szCs w:val="28"/>
          <w:lang w:eastAsia="zh-CN"/>
        </w:rPr>
      </w:pPr>
    </w:p>
    <w:p w14:paraId="1901703B">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8"/>
          <w:szCs w:val="28"/>
          <w:lang w:eastAsia="zh-CN"/>
        </w:rPr>
      </w:pPr>
    </w:p>
    <w:p w14:paraId="510D0D1C">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4"/>
          <w:szCs w:val="24"/>
          <w:lang w:eastAsia="zh-CN"/>
        </w:rPr>
      </w:pPr>
      <w:r>
        <w:rPr>
          <w:rFonts w:hint="eastAsia" w:ascii="宋体" w:hAnsi="宋体" w:eastAsia="宋体" w:cs="宋体"/>
          <w:b/>
          <w:sz w:val="28"/>
          <w:szCs w:val="28"/>
          <w:lang w:eastAsia="zh-CN"/>
        </w:rPr>
        <w:t>四、项目实施方案</w:t>
      </w:r>
    </w:p>
    <w:p w14:paraId="456AA7D4">
      <w:pPr>
        <w:pageBreakBefore w:val="0"/>
        <w:kinsoku/>
        <w:wordWrap/>
        <w:overflowPunct/>
        <w:bidi w:val="0"/>
        <w:adjustRightInd w:val="0"/>
        <w:snapToGrid w:val="0"/>
        <w:spacing w:beforeAutospacing="0" w:afterAutospacing="0" w:line="500" w:lineRule="exact"/>
        <w:jc w:val="both"/>
        <w:textAlignment w:val="auto"/>
        <w:outlineLvl w:val="0"/>
        <w:rPr>
          <w:rFonts w:hint="eastAsia" w:ascii="宋体" w:hAnsi="宋体" w:eastAsia="宋体" w:cs="宋体"/>
          <w:b/>
          <w:sz w:val="24"/>
          <w:szCs w:val="24"/>
          <w:lang w:eastAsia="zh-CN"/>
        </w:rPr>
      </w:pPr>
      <w:r>
        <w:rPr>
          <w:rFonts w:hint="eastAsia" w:ascii="宋体" w:hAnsi="宋体" w:eastAsia="宋体" w:cs="宋体"/>
          <w:b/>
          <w:sz w:val="24"/>
          <w:szCs w:val="24"/>
          <w:lang w:eastAsia="zh-CN"/>
        </w:rPr>
        <w:t>附件4-1</w:t>
      </w:r>
    </w:p>
    <w:p w14:paraId="5E54B76B">
      <w:pPr>
        <w:pageBreakBefore w:val="0"/>
        <w:kinsoku/>
        <w:wordWrap/>
        <w:overflowPunct/>
        <w:bidi w:val="0"/>
        <w:adjustRightInd w:val="0"/>
        <w:snapToGrid w:val="0"/>
        <w:spacing w:beforeAutospacing="0" w:afterAutospacing="0" w:line="500" w:lineRule="exact"/>
        <w:jc w:val="both"/>
        <w:textAlignment w:val="auto"/>
        <w:outlineLvl w:val="0"/>
        <w:rPr>
          <w:rFonts w:hint="eastAsia" w:ascii="宋体" w:hAnsi="宋体" w:eastAsia="宋体" w:cs="宋体"/>
          <w:b/>
          <w:sz w:val="24"/>
          <w:szCs w:val="24"/>
          <w:lang w:eastAsia="zh-CN"/>
        </w:rPr>
      </w:pPr>
      <w:r>
        <w:rPr>
          <w:rFonts w:hint="eastAsia" w:ascii="宋体" w:hAnsi="宋体" w:eastAsia="宋体" w:cs="宋体"/>
          <w:b/>
          <w:sz w:val="24"/>
          <w:szCs w:val="24"/>
          <w:lang w:eastAsia="zh-CN"/>
        </w:rPr>
        <w:t>项目实施方案说明</w:t>
      </w:r>
      <w:r>
        <w:rPr>
          <w:rFonts w:hint="eastAsia" w:ascii="宋体" w:hAnsi="宋体" w:cs="宋体"/>
          <w:b/>
          <w:sz w:val="24"/>
          <w:szCs w:val="24"/>
          <w:lang w:eastAsia="zh-CN"/>
        </w:rPr>
        <w:t>：</w:t>
      </w:r>
      <w:r>
        <w:rPr>
          <w:rFonts w:hint="eastAsia" w:ascii="宋体" w:hAnsi="宋体" w:eastAsia="宋体" w:cs="宋体"/>
          <w:b/>
          <w:sz w:val="24"/>
          <w:szCs w:val="24"/>
          <w:lang w:eastAsia="zh-CN"/>
        </w:rPr>
        <w:t>供应商根据竞争性磋商文件评审因素技术部分规定编写具体方案</w:t>
      </w:r>
    </w:p>
    <w:p w14:paraId="63473250">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4"/>
          <w:szCs w:val="24"/>
          <w:lang w:eastAsia="zh-CN"/>
        </w:rPr>
      </w:pPr>
    </w:p>
    <w:p w14:paraId="01752A0E">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4"/>
          <w:szCs w:val="24"/>
          <w:lang w:eastAsia="zh-CN"/>
        </w:rPr>
      </w:pPr>
    </w:p>
    <w:p w14:paraId="3E136318">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4"/>
          <w:szCs w:val="24"/>
          <w:lang w:eastAsia="zh-CN"/>
        </w:rPr>
      </w:pPr>
    </w:p>
    <w:p w14:paraId="20CDB23C">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4"/>
          <w:szCs w:val="24"/>
          <w:lang w:eastAsia="zh-CN"/>
        </w:rPr>
      </w:pPr>
    </w:p>
    <w:p w14:paraId="0DD58A9E">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4"/>
          <w:szCs w:val="24"/>
          <w:lang w:eastAsia="zh-CN"/>
        </w:rPr>
      </w:pPr>
    </w:p>
    <w:p w14:paraId="5B33A105">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4"/>
          <w:szCs w:val="24"/>
          <w:lang w:eastAsia="zh-CN"/>
        </w:rPr>
      </w:pPr>
    </w:p>
    <w:p w14:paraId="15350EE5">
      <w:pPr>
        <w:pStyle w:val="2"/>
        <w:pageBreakBefore w:val="0"/>
        <w:kinsoku/>
        <w:wordWrap/>
        <w:overflowPunct/>
        <w:bidi w:val="0"/>
        <w:spacing w:line="500" w:lineRule="exact"/>
        <w:textAlignment w:val="auto"/>
        <w:rPr>
          <w:rFonts w:hint="eastAsia" w:ascii="宋体" w:hAnsi="宋体" w:eastAsia="宋体" w:cs="宋体"/>
          <w:b/>
          <w:sz w:val="24"/>
          <w:szCs w:val="24"/>
          <w:lang w:eastAsia="zh-CN"/>
        </w:rPr>
      </w:pPr>
    </w:p>
    <w:p w14:paraId="0E2756DA">
      <w:pPr>
        <w:pageBreakBefore w:val="0"/>
        <w:kinsoku/>
        <w:wordWrap/>
        <w:overflowPunct/>
        <w:bidi w:val="0"/>
        <w:spacing w:line="500" w:lineRule="exact"/>
        <w:textAlignment w:val="auto"/>
        <w:rPr>
          <w:rFonts w:hint="eastAsia" w:ascii="宋体" w:hAnsi="宋体" w:eastAsia="宋体" w:cs="宋体"/>
          <w:b/>
          <w:sz w:val="24"/>
          <w:szCs w:val="24"/>
          <w:lang w:eastAsia="zh-CN"/>
        </w:rPr>
      </w:pPr>
    </w:p>
    <w:p w14:paraId="4FD9EDE4">
      <w:pPr>
        <w:pStyle w:val="2"/>
        <w:pageBreakBefore w:val="0"/>
        <w:kinsoku/>
        <w:wordWrap/>
        <w:overflowPunct/>
        <w:bidi w:val="0"/>
        <w:spacing w:line="500" w:lineRule="exact"/>
        <w:textAlignment w:val="auto"/>
        <w:rPr>
          <w:rFonts w:hint="eastAsia" w:ascii="宋体" w:hAnsi="宋体" w:eastAsia="宋体" w:cs="宋体"/>
          <w:b/>
          <w:sz w:val="24"/>
          <w:szCs w:val="24"/>
          <w:lang w:eastAsia="zh-CN"/>
        </w:rPr>
      </w:pPr>
    </w:p>
    <w:p w14:paraId="12301348">
      <w:pPr>
        <w:pageBreakBefore w:val="0"/>
        <w:kinsoku/>
        <w:wordWrap/>
        <w:overflowPunct/>
        <w:bidi w:val="0"/>
        <w:spacing w:line="500" w:lineRule="exact"/>
        <w:textAlignment w:val="auto"/>
        <w:rPr>
          <w:rFonts w:hint="eastAsia" w:ascii="宋体" w:hAnsi="宋体" w:eastAsia="宋体" w:cs="宋体"/>
          <w:b/>
          <w:sz w:val="24"/>
          <w:szCs w:val="24"/>
          <w:lang w:eastAsia="zh-CN"/>
        </w:rPr>
      </w:pPr>
    </w:p>
    <w:p w14:paraId="60CA9AEE">
      <w:pPr>
        <w:pStyle w:val="2"/>
        <w:pageBreakBefore w:val="0"/>
        <w:kinsoku/>
        <w:wordWrap/>
        <w:overflowPunct/>
        <w:bidi w:val="0"/>
        <w:spacing w:line="500" w:lineRule="exact"/>
        <w:textAlignment w:val="auto"/>
        <w:rPr>
          <w:rFonts w:hint="eastAsia" w:ascii="宋体" w:hAnsi="宋体" w:eastAsia="宋体" w:cs="宋体"/>
          <w:b/>
          <w:sz w:val="24"/>
          <w:szCs w:val="24"/>
          <w:lang w:eastAsia="zh-CN"/>
        </w:rPr>
      </w:pPr>
    </w:p>
    <w:p w14:paraId="20662DEF">
      <w:pPr>
        <w:pageBreakBefore w:val="0"/>
        <w:kinsoku/>
        <w:wordWrap/>
        <w:overflowPunct/>
        <w:bidi w:val="0"/>
        <w:spacing w:line="500" w:lineRule="exact"/>
        <w:textAlignment w:val="auto"/>
        <w:rPr>
          <w:rFonts w:hint="eastAsia"/>
          <w:lang w:eastAsia="zh-CN"/>
        </w:rPr>
      </w:pPr>
    </w:p>
    <w:p w14:paraId="4DDD1BC7">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4"/>
          <w:szCs w:val="24"/>
          <w:lang w:eastAsia="zh-CN"/>
        </w:rPr>
      </w:pPr>
    </w:p>
    <w:p w14:paraId="2E7EF0C3">
      <w:pPr>
        <w:pageBreakBefore w:val="0"/>
        <w:kinsoku/>
        <w:wordWrap/>
        <w:overflowPunct/>
        <w:bidi w:val="0"/>
        <w:adjustRightInd w:val="0"/>
        <w:snapToGrid w:val="0"/>
        <w:spacing w:beforeAutospacing="0" w:afterAutospacing="0" w:line="500" w:lineRule="exact"/>
        <w:jc w:val="left"/>
        <w:textAlignment w:val="auto"/>
        <w:outlineLvl w:val="0"/>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供应商名称（盖单位章）：</w:t>
      </w:r>
    </w:p>
    <w:p w14:paraId="25C4CB60">
      <w:pPr>
        <w:pageBreakBefore w:val="0"/>
        <w:kinsoku/>
        <w:wordWrap/>
        <w:overflowPunct/>
        <w:bidi w:val="0"/>
        <w:adjustRightInd w:val="0"/>
        <w:snapToGrid w:val="0"/>
        <w:spacing w:beforeAutospacing="0" w:afterAutospacing="0" w:line="500" w:lineRule="exact"/>
        <w:jc w:val="left"/>
        <w:textAlignment w:val="auto"/>
        <w:outlineLvl w:val="0"/>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法定代表人或其委托代理人(签字)：</w:t>
      </w:r>
    </w:p>
    <w:p w14:paraId="50FD2AC3">
      <w:pPr>
        <w:pageBreakBefore w:val="0"/>
        <w:kinsoku/>
        <w:wordWrap/>
        <w:overflowPunct/>
        <w:bidi w:val="0"/>
        <w:adjustRightInd w:val="0"/>
        <w:snapToGrid w:val="0"/>
        <w:spacing w:beforeAutospacing="0" w:afterAutospacing="0" w:line="500" w:lineRule="exact"/>
        <w:jc w:val="left"/>
        <w:textAlignment w:val="auto"/>
        <w:outlineLvl w:val="0"/>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日期：  年  月  日</w:t>
      </w:r>
    </w:p>
    <w:p w14:paraId="318B06EB">
      <w:pPr>
        <w:pageBreakBefore w:val="0"/>
        <w:kinsoku/>
        <w:wordWrap/>
        <w:overflowPunct/>
        <w:bidi w:val="0"/>
        <w:adjustRightInd w:val="0"/>
        <w:snapToGrid w:val="0"/>
        <w:spacing w:beforeAutospacing="0" w:afterAutospacing="0" w:line="500" w:lineRule="exact"/>
        <w:jc w:val="left"/>
        <w:textAlignment w:val="auto"/>
        <w:outlineLvl w:val="0"/>
        <w:rPr>
          <w:rFonts w:hint="eastAsia" w:ascii="宋体" w:hAnsi="宋体" w:eastAsia="宋体" w:cs="宋体"/>
          <w:b w:val="0"/>
          <w:bCs/>
          <w:sz w:val="24"/>
          <w:szCs w:val="24"/>
          <w:lang w:eastAsia="zh-CN"/>
        </w:rPr>
      </w:pPr>
    </w:p>
    <w:p w14:paraId="5BC1BE8E">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cs="宋体"/>
          <w:b/>
          <w:sz w:val="28"/>
          <w:szCs w:val="28"/>
          <w:lang w:val="en-US" w:eastAsia="zh-CN"/>
        </w:rPr>
      </w:pPr>
    </w:p>
    <w:p w14:paraId="4F4437AB">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cs="宋体"/>
          <w:b/>
          <w:sz w:val="28"/>
          <w:szCs w:val="28"/>
          <w:lang w:val="en-US" w:eastAsia="zh-CN"/>
        </w:rPr>
      </w:pPr>
    </w:p>
    <w:p w14:paraId="14ED05F9">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cs="宋体"/>
          <w:b/>
          <w:sz w:val="28"/>
          <w:szCs w:val="28"/>
          <w:lang w:val="en-US" w:eastAsia="zh-CN"/>
        </w:rPr>
      </w:pPr>
    </w:p>
    <w:p w14:paraId="1A44B0E3">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cs="宋体"/>
          <w:b/>
          <w:sz w:val="28"/>
          <w:szCs w:val="28"/>
          <w:lang w:val="en-US" w:eastAsia="zh-CN"/>
        </w:rPr>
      </w:pPr>
    </w:p>
    <w:p w14:paraId="11631E8A">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cs="宋体"/>
          <w:b/>
          <w:sz w:val="28"/>
          <w:szCs w:val="28"/>
          <w:lang w:val="en-US" w:eastAsia="zh-CN"/>
        </w:rPr>
      </w:pPr>
    </w:p>
    <w:p w14:paraId="6B82A1A9">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cs="宋体"/>
          <w:b/>
          <w:sz w:val="28"/>
          <w:szCs w:val="28"/>
          <w:lang w:val="en-US" w:eastAsia="zh-CN"/>
        </w:rPr>
      </w:pPr>
    </w:p>
    <w:p w14:paraId="5845F377">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cs="宋体"/>
          <w:b/>
          <w:sz w:val="28"/>
          <w:szCs w:val="28"/>
          <w:lang w:val="en-US" w:eastAsia="zh-CN"/>
        </w:rPr>
      </w:pPr>
    </w:p>
    <w:p w14:paraId="0C94A464">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cs="宋体"/>
          <w:b/>
          <w:sz w:val="28"/>
          <w:szCs w:val="28"/>
          <w:lang w:val="en-US" w:eastAsia="zh-CN"/>
        </w:rPr>
      </w:pPr>
    </w:p>
    <w:p w14:paraId="6870F836">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cs="宋体"/>
          <w:b/>
          <w:sz w:val="28"/>
          <w:szCs w:val="28"/>
          <w:lang w:val="en-US" w:eastAsia="zh-CN"/>
        </w:rPr>
      </w:pPr>
    </w:p>
    <w:p w14:paraId="0856426A">
      <w:pPr>
        <w:pageBreakBefore w:val="0"/>
        <w:kinsoku/>
        <w:wordWrap/>
        <w:overflowPunct/>
        <w:bidi w:val="0"/>
        <w:adjustRightInd w:val="0"/>
        <w:snapToGrid w:val="0"/>
        <w:spacing w:beforeAutospacing="0" w:afterAutospacing="0" w:line="500" w:lineRule="exact"/>
        <w:jc w:val="center"/>
        <w:textAlignment w:val="auto"/>
        <w:outlineLvl w:val="0"/>
        <w:rPr>
          <w:rFonts w:hint="eastAsia" w:ascii="宋体" w:hAnsi="宋体" w:eastAsia="宋体" w:cs="宋体"/>
          <w:b/>
          <w:sz w:val="28"/>
          <w:szCs w:val="28"/>
        </w:rPr>
      </w:pPr>
      <w:r>
        <w:rPr>
          <w:rFonts w:hint="eastAsia" w:ascii="宋体" w:hAnsi="宋体" w:cs="宋体"/>
          <w:b/>
          <w:sz w:val="28"/>
          <w:szCs w:val="28"/>
          <w:lang w:val="en-US" w:eastAsia="zh-CN"/>
        </w:rPr>
        <w:t>五</w:t>
      </w:r>
      <w:r>
        <w:rPr>
          <w:rFonts w:hint="eastAsia" w:ascii="宋体" w:hAnsi="宋体" w:eastAsia="宋体" w:cs="宋体"/>
          <w:b/>
          <w:sz w:val="28"/>
          <w:szCs w:val="28"/>
        </w:rPr>
        <w:t>、技术/商务响应与偏离表</w:t>
      </w:r>
      <w:bookmarkEnd w:id="85"/>
      <w:bookmarkEnd w:id="86"/>
      <w:bookmarkEnd w:id="87"/>
      <w:bookmarkEnd w:id="88"/>
    </w:p>
    <w:p w14:paraId="612ADA21">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u w:val="single"/>
        </w:rPr>
      </w:pPr>
    </w:p>
    <w:tbl>
      <w:tblPr>
        <w:tblStyle w:val="45"/>
        <w:tblW w:w="967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28"/>
        <w:gridCol w:w="1860"/>
        <w:gridCol w:w="2239"/>
        <w:gridCol w:w="2945"/>
        <w:gridCol w:w="1365"/>
        <w:gridCol w:w="636"/>
      </w:tblGrid>
      <w:tr w14:paraId="6BB7BA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2" w:hRule="atLeast"/>
          <w:jc w:val="center"/>
        </w:trPr>
        <w:tc>
          <w:tcPr>
            <w:tcW w:w="628" w:type="dxa"/>
            <w:vAlign w:val="center"/>
          </w:tcPr>
          <w:p w14:paraId="3FBEFF6E">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bCs/>
                <w:sz w:val="24"/>
                <w:szCs w:val="24"/>
              </w:rPr>
            </w:pPr>
            <w:r>
              <w:rPr>
                <w:rFonts w:hint="eastAsia" w:ascii="宋体" w:hAnsi="宋体" w:eastAsia="宋体" w:cs="宋体"/>
                <w:bCs/>
                <w:sz w:val="24"/>
                <w:szCs w:val="24"/>
              </w:rPr>
              <w:t>序号</w:t>
            </w:r>
          </w:p>
        </w:tc>
        <w:tc>
          <w:tcPr>
            <w:tcW w:w="1860" w:type="dxa"/>
            <w:vAlign w:val="center"/>
          </w:tcPr>
          <w:p w14:paraId="1E63A45A">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r>
              <w:rPr>
                <w:rFonts w:hint="eastAsia" w:ascii="宋体" w:hAnsi="宋体" w:eastAsia="宋体" w:cs="宋体"/>
                <w:sz w:val="24"/>
                <w:szCs w:val="24"/>
              </w:rPr>
              <w:t>磋商文件条目号</w:t>
            </w:r>
          </w:p>
        </w:tc>
        <w:tc>
          <w:tcPr>
            <w:tcW w:w="2239" w:type="dxa"/>
            <w:vAlign w:val="center"/>
          </w:tcPr>
          <w:p w14:paraId="470B4915">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r>
              <w:rPr>
                <w:rFonts w:hint="eastAsia" w:ascii="宋体" w:hAnsi="宋体" w:eastAsia="宋体" w:cs="宋体"/>
                <w:sz w:val="24"/>
                <w:szCs w:val="24"/>
              </w:rPr>
              <w:t>采购规格/技术条款</w:t>
            </w:r>
          </w:p>
        </w:tc>
        <w:tc>
          <w:tcPr>
            <w:tcW w:w="2945" w:type="dxa"/>
            <w:vAlign w:val="center"/>
          </w:tcPr>
          <w:p w14:paraId="4E06A4E3">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r>
              <w:rPr>
                <w:rFonts w:hint="eastAsia" w:ascii="宋体" w:hAnsi="宋体" w:eastAsia="宋体" w:cs="宋体"/>
                <w:sz w:val="24"/>
                <w:szCs w:val="24"/>
              </w:rPr>
              <w:t>响应文件的规格/技术条款</w:t>
            </w:r>
          </w:p>
        </w:tc>
        <w:tc>
          <w:tcPr>
            <w:tcW w:w="1365" w:type="dxa"/>
            <w:vAlign w:val="center"/>
          </w:tcPr>
          <w:p w14:paraId="659E321F">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r>
              <w:rPr>
                <w:rFonts w:hint="eastAsia" w:ascii="宋体" w:hAnsi="宋体" w:eastAsia="宋体" w:cs="宋体"/>
                <w:sz w:val="24"/>
                <w:szCs w:val="24"/>
              </w:rPr>
              <w:t>响应与偏离</w:t>
            </w:r>
          </w:p>
        </w:tc>
        <w:tc>
          <w:tcPr>
            <w:tcW w:w="636" w:type="dxa"/>
            <w:vAlign w:val="center"/>
          </w:tcPr>
          <w:p w14:paraId="4DB9D897">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r>
              <w:rPr>
                <w:rFonts w:hint="eastAsia" w:ascii="宋体" w:hAnsi="宋体" w:eastAsia="宋体" w:cs="宋体"/>
                <w:sz w:val="24"/>
                <w:szCs w:val="24"/>
              </w:rPr>
              <w:t>说明</w:t>
            </w:r>
          </w:p>
        </w:tc>
      </w:tr>
      <w:tr w14:paraId="5C8E41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628" w:type="dxa"/>
          </w:tcPr>
          <w:p w14:paraId="4E28F28E">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1860" w:type="dxa"/>
            <w:vAlign w:val="center"/>
          </w:tcPr>
          <w:p w14:paraId="36004574">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2239" w:type="dxa"/>
            <w:vAlign w:val="center"/>
          </w:tcPr>
          <w:p w14:paraId="6EAD1183">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2945" w:type="dxa"/>
            <w:vAlign w:val="center"/>
          </w:tcPr>
          <w:p w14:paraId="0E43A1DE">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1365" w:type="dxa"/>
            <w:vAlign w:val="center"/>
          </w:tcPr>
          <w:p w14:paraId="4F94CC0F">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636" w:type="dxa"/>
            <w:vAlign w:val="center"/>
          </w:tcPr>
          <w:p w14:paraId="7A6A29D8">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r>
      <w:tr w14:paraId="3AF6D8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628" w:type="dxa"/>
          </w:tcPr>
          <w:p w14:paraId="6424F94B">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1860" w:type="dxa"/>
            <w:vAlign w:val="center"/>
          </w:tcPr>
          <w:p w14:paraId="03A7D20C">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2239" w:type="dxa"/>
            <w:vAlign w:val="center"/>
          </w:tcPr>
          <w:p w14:paraId="2CCA8CC5">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2945" w:type="dxa"/>
            <w:vAlign w:val="center"/>
          </w:tcPr>
          <w:p w14:paraId="1EB36A24">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1365" w:type="dxa"/>
            <w:vAlign w:val="center"/>
          </w:tcPr>
          <w:p w14:paraId="7313BF87">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636" w:type="dxa"/>
            <w:vAlign w:val="center"/>
          </w:tcPr>
          <w:p w14:paraId="6F394C64">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r>
      <w:tr w14:paraId="2065C6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628" w:type="dxa"/>
          </w:tcPr>
          <w:p w14:paraId="1851D415">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1860" w:type="dxa"/>
            <w:vAlign w:val="center"/>
          </w:tcPr>
          <w:p w14:paraId="4FD05344">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2239" w:type="dxa"/>
            <w:vAlign w:val="center"/>
          </w:tcPr>
          <w:p w14:paraId="2F190F11">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2945" w:type="dxa"/>
            <w:vAlign w:val="center"/>
          </w:tcPr>
          <w:p w14:paraId="0B1EF1F8">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1365" w:type="dxa"/>
            <w:vAlign w:val="center"/>
          </w:tcPr>
          <w:p w14:paraId="6B02DB1B">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636" w:type="dxa"/>
            <w:vAlign w:val="center"/>
          </w:tcPr>
          <w:p w14:paraId="65028A51">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r>
      <w:tr w14:paraId="067ABE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628" w:type="dxa"/>
          </w:tcPr>
          <w:p w14:paraId="375F68B2">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1860" w:type="dxa"/>
            <w:vAlign w:val="center"/>
          </w:tcPr>
          <w:p w14:paraId="4888DD02">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2239" w:type="dxa"/>
            <w:vAlign w:val="center"/>
          </w:tcPr>
          <w:p w14:paraId="7E396A5F">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2945" w:type="dxa"/>
            <w:vAlign w:val="center"/>
          </w:tcPr>
          <w:p w14:paraId="5F6A374C">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1365" w:type="dxa"/>
            <w:vAlign w:val="center"/>
          </w:tcPr>
          <w:p w14:paraId="160E37DE">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636" w:type="dxa"/>
            <w:vAlign w:val="center"/>
          </w:tcPr>
          <w:p w14:paraId="4B96B76B">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r>
      <w:tr w14:paraId="226A90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628" w:type="dxa"/>
          </w:tcPr>
          <w:p w14:paraId="64C3B993">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1860" w:type="dxa"/>
            <w:vAlign w:val="center"/>
          </w:tcPr>
          <w:p w14:paraId="733FF981">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2239" w:type="dxa"/>
            <w:vAlign w:val="center"/>
          </w:tcPr>
          <w:p w14:paraId="1A096F62">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2945" w:type="dxa"/>
            <w:vAlign w:val="center"/>
          </w:tcPr>
          <w:p w14:paraId="436B283C">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1365" w:type="dxa"/>
            <w:vAlign w:val="center"/>
          </w:tcPr>
          <w:p w14:paraId="4AE41B44">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c>
          <w:tcPr>
            <w:tcW w:w="636" w:type="dxa"/>
            <w:vAlign w:val="center"/>
          </w:tcPr>
          <w:p w14:paraId="0C3E8C5B">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sz w:val="24"/>
                <w:szCs w:val="24"/>
              </w:rPr>
            </w:pPr>
          </w:p>
        </w:tc>
      </w:tr>
    </w:tbl>
    <w:p w14:paraId="425618C7">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4"/>
          <w:szCs w:val="24"/>
          <w:u w:val="single"/>
        </w:rPr>
      </w:pPr>
    </w:p>
    <w:p w14:paraId="396E395B">
      <w:pPr>
        <w:pageBreakBefore w:val="0"/>
        <w:kinsoku/>
        <w:wordWrap/>
        <w:overflowPunct/>
        <w:bidi w:val="0"/>
        <w:adjustRightInd w:val="0"/>
        <w:snapToGrid w:val="0"/>
        <w:spacing w:beforeAutospacing="0" w:afterAutospacing="0" w:line="500" w:lineRule="exact"/>
        <w:ind w:left="-88" w:leftChars="-42"/>
        <w:textAlignment w:val="auto"/>
        <w:rPr>
          <w:rFonts w:hint="eastAsia" w:ascii="宋体" w:hAnsi="宋体" w:eastAsia="宋体" w:cs="宋体"/>
          <w:sz w:val="24"/>
          <w:szCs w:val="24"/>
        </w:rPr>
      </w:pPr>
      <w:r>
        <w:rPr>
          <w:rFonts w:hint="eastAsia" w:ascii="宋体" w:hAnsi="宋体" w:eastAsia="宋体" w:cs="宋体"/>
          <w:sz w:val="24"/>
          <w:szCs w:val="24"/>
        </w:rPr>
        <w:t>说明：</w:t>
      </w:r>
    </w:p>
    <w:p w14:paraId="2562D3B4">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1、“响应与偏离”应注明“响应”或“偏离”。</w:t>
      </w:r>
    </w:p>
    <w:p w14:paraId="5F0AD44D">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2、属磋商文件规定可能变动的内容在“说明”栏中注明。</w:t>
      </w:r>
    </w:p>
    <w:p w14:paraId="7CC9A23E">
      <w:pPr>
        <w:pStyle w:val="26"/>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p>
    <w:p w14:paraId="2D9BCE77">
      <w:pPr>
        <w:pageBreakBefore w:val="0"/>
        <w:kinsoku/>
        <w:wordWrap/>
        <w:overflowPunct/>
        <w:bidi w:val="0"/>
        <w:spacing w:beforeAutospacing="0" w:afterAutospacing="0" w:line="500" w:lineRule="exact"/>
        <w:textAlignment w:val="auto"/>
        <w:rPr>
          <w:rFonts w:hint="eastAsia" w:ascii="宋体" w:hAnsi="宋体" w:eastAsia="宋体" w:cs="宋体"/>
          <w:sz w:val="24"/>
          <w:szCs w:val="24"/>
        </w:rPr>
      </w:pPr>
    </w:p>
    <w:p w14:paraId="534AD81C">
      <w:pPr>
        <w:pStyle w:val="26"/>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bCs/>
          <w:sz w:val="24"/>
          <w:szCs w:val="24"/>
          <w:u w:val="single"/>
        </w:rPr>
      </w:pPr>
      <w:r>
        <w:rPr>
          <w:rFonts w:hint="eastAsia" w:ascii="宋体" w:hAnsi="宋体" w:eastAsia="宋体" w:cs="宋体"/>
          <w:sz w:val="24"/>
          <w:szCs w:val="24"/>
        </w:rPr>
        <w:t>供应商名称（盖单位章）：</w:t>
      </w:r>
    </w:p>
    <w:p w14:paraId="239580FA">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法定代表人或其委托代理人（签字）： </w:t>
      </w:r>
    </w:p>
    <w:p w14:paraId="72DB2E8D">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日期：   年   月   日</w:t>
      </w:r>
      <w:bookmarkStart w:id="89" w:name="_Toc22201164"/>
      <w:bookmarkStart w:id="90" w:name="_Toc34637806"/>
    </w:p>
    <w:p w14:paraId="744BEBFF">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p>
    <w:p w14:paraId="57CD9FA5">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p>
    <w:p w14:paraId="4A36BC83">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p>
    <w:p w14:paraId="715AC9BA">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p>
    <w:p w14:paraId="3BDF8608">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p>
    <w:p w14:paraId="4529BDF3">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p>
    <w:p w14:paraId="12E7136A">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p>
    <w:p w14:paraId="0C0122A5">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p>
    <w:p w14:paraId="555012CD">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p>
    <w:p w14:paraId="18FBDD93">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p>
    <w:p w14:paraId="50C4F0B2">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cs="宋体"/>
          <w:b/>
          <w:bCs/>
          <w:sz w:val="28"/>
          <w:szCs w:val="28"/>
          <w:lang w:val="en-US" w:eastAsia="zh-CN"/>
        </w:rPr>
      </w:pPr>
    </w:p>
    <w:p w14:paraId="7D5F8C1E">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sz w:val="28"/>
          <w:szCs w:val="28"/>
        </w:rPr>
      </w:pPr>
      <w:r>
        <w:rPr>
          <w:rFonts w:hint="eastAsia" w:ascii="宋体" w:hAnsi="宋体" w:cs="宋体"/>
          <w:b/>
          <w:bCs/>
          <w:sz w:val="28"/>
          <w:szCs w:val="28"/>
          <w:lang w:val="en-US" w:eastAsia="zh-CN"/>
        </w:rPr>
        <w:t>六</w:t>
      </w:r>
      <w:r>
        <w:rPr>
          <w:rFonts w:hint="eastAsia" w:ascii="宋体" w:hAnsi="宋体" w:eastAsia="宋体" w:cs="宋体"/>
          <w:b/>
          <w:bCs/>
          <w:sz w:val="28"/>
          <w:szCs w:val="28"/>
          <w:lang w:eastAsia="zh-CN"/>
        </w:rPr>
        <w:t>、</w:t>
      </w:r>
      <w:r>
        <w:rPr>
          <w:rFonts w:hint="eastAsia" w:ascii="宋体" w:hAnsi="宋体" w:eastAsia="宋体" w:cs="宋体"/>
          <w:b/>
          <w:bCs/>
          <w:sz w:val="28"/>
          <w:szCs w:val="28"/>
        </w:rPr>
        <w:t>提供享受政府采购政策的证明资料</w:t>
      </w:r>
      <w:bookmarkStart w:id="91" w:name="_Toc22201162"/>
      <w:bookmarkStart w:id="92" w:name="_Toc34637805"/>
    </w:p>
    <w:p w14:paraId="256B3DD9">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t>附件</w:t>
      </w: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-1</w:t>
      </w:r>
      <w:bookmarkEnd w:id="91"/>
      <w:bookmarkEnd w:id="92"/>
      <w:r>
        <w:rPr>
          <w:rFonts w:hint="eastAsia" w:ascii="宋体" w:hAnsi="宋体" w:eastAsia="宋体" w:cs="宋体"/>
          <w:b/>
          <w:bCs/>
          <w:sz w:val="24"/>
          <w:szCs w:val="24"/>
          <w:lang w:val="en-US" w:eastAsia="zh-CN"/>
        </w:rPr>
        <w:t xml:space="preserve">     </w:t>
      </w:r>
    </w:p>
    <w:p w14:paraId="068F8C90">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bCs/>
          <w:spacing w:val="6"/>
          <w:kern w:val="0"/>
          <w:sz w:val="28"/>
          <w:szCs w:val="28"/>
        </w:rPr>
      </w:pPr>
      <w:r>
        <w:rPr>
          <w:rFonts w:hint="eastAsia" w:ascii="宋体" w:hAnsi="宋体" w:eastAsia="宋体" w:cs="宋体"/>
          <w:b/>
          <w:bCs/>
          <w:spacing w:val="6"/>
          <w:kern w:val="0"/>
          <w:sz w:val="28"/>
          <w:szCs w:val="28"/>
        </w:rPr>
        <w:t>中小企业声明函（工程、服务）</w:t>
      </w:r>
    </w:p>
    <w:p w14:paraId="7C420AFE">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bCs/>
          <w:spacing w:val="6"/>
          <w:kern w:val="0"/>
          <w:sz w:val="28"/>
          <w:szCs w:val="28"/>
        </w:rPr>
      </w:pPr>
      <w:r>
        <w:rPr>
          <w:rFonts w:hint="eastAsia" w:ascii="宋体" w:hAnsi="宋体" w:eastAsia="宋体" w:cs="宋体"/>
          <w:b/>
          <w:bCs/>
          <w:spacing w:val="6"/>
          <w:kern w:val="0"/>
          <w:sz w:val="28"/>
          <w:szCs w:val="28"/>
        </w:rPr>
        <w:t>(不满足以下条件的无需填写)</w:t>
      </w:r>
    </w:p>
    <w:p w14:paraId="776BB3BE">
      <w:pPr>
        <w:pStyle w:val="12"/>
        <w:pageBreakBefore w:val="0"/>
        <w:kinsoku/>
        <w:wordWrap/>
        <w:overflowPunct/>
        <w:bidi w:val="0"/>
        <w:spacing w:beforeAutospacing="0" w:afterAutospacing="0" w:line="500" w:lineRule="exact"/>
        <w:ind w:left="0" w:leftChars="0" w:firstLine="720" w:firstLineChars="300"/>
        <w:textAlignment w:val="auto"/>
        <w:rPr>
          <w:rFonts w:hint="eastAsia" w:ascii="宋体" w:hAnsi="宋体" w:eastAsia="宋体" w:cs="宋体"/>
          <w:kern w:val="2"/>
          <w:sz w:val="24"/>
          <w:szCs w:val="24"/>
        </w:rPr>
      </w:pPr>
      <w:r>
        <w:rPr>
          <w:rFonts w:hint="eastAsia" w:ascii="宋体" w:hAnsi="宋体" w:eastAsia="宋体" w:cs="宋体"/>
          <w:kern w:val="2"/>
          <w:sz w:val="24"/>
          <w:szCs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24E0701E">
      <w:pPr>
        <w:pStyle w:val="12"/>
        <w:pageBreakBefore w:val="0"/>
        <w:kinsoku/>
        <w:wordWrap/>
        <w:overflowPunct/>
        <w:bidi w:val="0"/>
        <w:spacing w:beforeAutospacing="0" w:afterAutospacing="0" w:line="500" w:lineRule="exact"/>
        <w:textAlignment w:val="auto"/>
        <w:rPr>
          <w:rFonts w:hint="eastAsia" w:ascii="宋体" w:hAnsi="宋体" w:eastAsia="宋体" w:cs="宋体"/>
          <w:kern w:val="2"/>
          <w:sz w:val="24"/>
          <w:szCs w:val="24"/>
        </w:rPr>
      </w:pPr>
      <w:r>
        <w:rPr>
          <w:rFonts w:hint="eastAsia" w:ascii="宋体" w:hAnsi="宋体" w:eastAsia="宋体" w:cs="宋体"/>
          <w:kern w:val="2"/>
          <w:sz w:val="24"/>
          <w:szCs w:val="24"/>
        </w:rPr>
        <w:t xml:space="preserve">1. （标的名称），属于（采购文件中明确的所属行业）；承建（承接）企业为（企业名称），从业人员 </w:t>
      </w:r>
      <w:r>
        <w:rPr>
          <w:rFonts w:hint="eastAsia" w:ascii="宋体" w:hAnsi="宋体" w:eastAsia="宋体" w:cs="宋体"/>
          <w:kern w:val="2"/>
          <w:sz w:val="24"/>
          <w:szCs w:val="24"/>
          <w:u w:val="single"/>
        </w:rPr>
        <w:t xml:space="preserve">     </w:t>
      </w:r>
      <w:r>
        <w:rPr>
          <w:rFonts w:hint="eastAsia" w:ascii="宋体" w:hAnsi="宋体" w:eastAsia="宋体" w:cs="宋体"/>
          <w:kern w:val="2"/>
          <w:sz w:val="24"/>
          <w:szCs w:val="24"/>
        </w:rPr>
        <w:t>人，营业收入为</w:t>
      </w:r>
      <w:r>
        <w:rPr>
          <w:rFonts w:hint="eastAsia" w:ascii="宋体" w:hAnsi="宋体" w:eastAsia="宋体" w:cs="宋体"/>
          <w:kern w:val="2"/>
          <w:sz w:val="24"/>
          <w:szCs w:val="24"/>
          <w:u w:val="single"/>
        </w:rPr>
        <w:t xml:space="preserve">    </w:t>
      </w:r>
      <w:r>
        <w:rPr>
          <w:rFonts w:hint="eastAsia" w:ascii="宋体" w:hAnsi="宋体" w:eastAsia="宋体" w:cs="宋体"/>
          <w:kern w:val="2"/>
          <w:sz w:val="24"/>
          <w:szCs w:val="24"/>
        </w:rPr>
        <w:t>万元，资产总额为</w:t>
      </w:r>
      <w:r>
        <w:rPr>
          <w:rFonts w:hint="eastAsia" w:ascii="宋体" w:hAnsi="宋体" w:eastAsia="宋体" w:cs="宋体"/>
          <w:kern w:val="2"/>
          <w:sz w:val="24"/>
          <w:szCs w:val="24"/>
          <w:u w:val="single"/>
        </w:rPr>
        <w:t xml:space="preserve">    </w:t>
      </w:r>
      <w:r>
        <w:rPr>
          <w:rFonts w:hint="eastAsia" w:ascii="宋体" w:hAnsi="宋体" w:eastAsia="宋体" w:cs="宋体"/>
          <w:kern w:val="2"/>
          <w:sz w:val="24"/>
          <w:szCs w:val="24"/>
        </w:rPr>
        <w:t>万元，属于（中型企业、小型企业、微型企业）；</w:t>
      </w:r>
    </w:p>
    <w:p w14:paraId="563EF21F">
      <w:pPr>
        <w:pStyle w:val="12"/>
        <w:pageBreakBefore w:val="0"/>
        <w:kinsoku/>
        <w:wordWrap/>
        <w:overflowPunct/>
        <w:bidi w:val="0"/>
        <w:spacing w:beforeAutospacing="0" w:afterAutospacing="0" w:line="500" w:lineRule="exact"/>
        <w:textAlignment w:val="auto"/>
        <w:rPr>
          <w:rFonts w:hint="eastAsia" w:ascii="宋体" w:hAnsi="宋体" w:eastAsia="宋体" w:cs="宋体"/>
          <w:kern w:val="2"/>
          <w:sz w:val="24"/>
          <w:szCs w:val="24"/>
        </w:rPr>
      </w:pPr>
      <w:r>
        <w:rPr>
          <w:rFonts w:hint="eastAsia" w:ascii="宋体" w:hAnsi="宋体" w:eastAsia="宋体" w:cs="宋体"/>
          <w:kern w:val="2"/>
          <w:sz w:val="24"/>
          <w:szCs w:val="24"/>
        </w:rPr>
        <w:t>2. （标的名称），属于（采购文件中明确的所属行业）；承建（承接）企业为（企业名称），从业人员</w:t>
      </w:r>
      <w:r>
        <w:rPr>
          <w:rFonts w:hint="eastAsia" w:ascii="宋体" w:hAnsi="宋体" w:eastAsia="宋体" w:cs="宋体"/>
          <w:kern w:val="2"/>
          <w:sz w:val="24"/>
          <w:szCs w:val="24"/>
          <w:u w:val="single"/>
        </w:rPr>
        <w:t xml:space="preserve">      </w:t>
      </w:r>
      <w:r>
        <w:rPr>
          <w:rFonts w:hint="eastAsia" w:ascii="宋体" w:hAnsi="宋体" w:eastAsia="宋体" w:cs="宋体"/>
          <w:kern w:val="2"/>
          <w:sz w:val="24"/>
          <w:szCs w:val="24"/>
        </w:rPr>
        <w:t xml:space="preserve">人，营业收入为 </w:t>
      </w:r>
      <w:r>
        <w:rPr>
          <w:rFonts w:hint="eastAsia" w:ascii="宋体" w:hAnsi="宋体" w:eastAsia="宋体" w:cs="宋体"/>
          <w:kern w:val="2"/>
          <w:sz w:val="24"/>
          <w:szCs w:val="24"/>
          <w:u w:val="single"/>
        </w:rPr>
        <w:t xml:space="preserve">     </w:t>
      </w:r>
      <w:r>
        <w:rPr>
          <w:rFonts w:hint="eastAsia" w:ascii="宋体" w:hAnsi="宋体" w:eastAsia="宋体" w:cs="宋体"/>
          <w:kern w:val="2"/>
          <w:sz w:val="24"/>
          <w:szCs w:val="24"/>
        </w:rPr>
        <w:t xml:space="preserve"> 万元，资产总额为</w:t>
      </w:r>
      <w:r>
        <w:rPr>
          <w:rFonts w:hint="eastAsia" w:ascii="宋体" w:hAnsi="宋体" w:eastAsia="宋体" w:cs="宋体"/>
          <w:kern w:val="2"/>
          <w:sz w:val="24"/>
          <w:szCs w:val="24"/>
          <w:u w:val="single"/>
        </w:rPr>
        <w:t xml:space="preserve">      </w:t>
      </w:r>
      <w:r>
        <w:rPr>
          <w:rFonts w:hint="eastAsia" w:ascii="宋体" w:hAnsi="宋体" w:eastAsia="宋体" w:cs="宋体"/>
          <w:kern w:val="2"/>
          <w:sz w:val="24"/>
          <w:szCs w:val="24"/>
        </w:rPr>
        <w:t xml:space="preserve">  万元，属于（中型企业、小型企业、微型企业）；</w:t>
      </w:r>
    </w:p>
    <w:p w14:paraId="0251C220">
      <w:pPr>
        <w:pStyle w:val="12"/>
        <w:pageBreakBefore w:val="0"/>
        <w:kinsoku/>
        <w:wordWrap/>
        <w:overflowPunct/>
        <w:bidi w:val="0"/>
        <w:spacing w:beforeAutospacing="0" w:afterAutospacing="0" w:line="500" w:lineRule="exact"/>
        <w:textAlignment w:val="auto"/>
        <w:rPr>
          <w:rFonts w:hint="eastAsia" w:ascii="宋体" w:hAnsi="宋体" w:eastAsia="宋体" w:cs="宋体"/>
          <w:kern w:val="2"/>
          <w:sz w:val="24"/>
          <w:szCs w:val="24"/>
        </w:rPr>
      </w:pPr>
      <w:r>
        <w:rPr>
          <w:rFonts w:hint="eastAsia" w:ascii="宋体" w:hAnsi="宋体" w:eastAsia="宋体" w:cs="宋体"/>
          <w:kern w:val="2"/>
          <w:sz w:val="24"/>
          <w:szCs w:val="24"/>
        </w:rPr>
        <w:t>……</w:t>
      </w:r>
    </w:p>
    <w:p w14:paraId="7BE90FE9">
      <w:pPr>
        <w:pStyle w:val="12"/>
        <w:pageBreakBefore w:val="0"/>
        <w:kinsoku/>
        <w:wordWrap/>
        <w:overflowPunct/>
        <w:bidi w:val="0"/>
        <w:spacing w:beforeAutospacing="0" w:afterAutospacing="0" w:line="500" w:lineRule="exact"/>
        <w:ind w:left="0" w:leftChars="0" w:firstLine="0" w:firstLineChars="0"/>
        <w:textAlignment w:val="auto"/>
        <w:rPr>
          <w:rFonts w:hint="eastAsia" w:ascii="宋体" w:hAnsi="宋体" w:eastAsia="宋体" w:cs="宋体"/>
          <w:kern w:val="2"/>
          <w:sz w:val="24"/>
          <w:szCs w:val="24"/>
        </w:rPr>
      </w:pPr>
      <w:r>
        <w:rPr>
          <w:rFonts w:hint="eastAsia" w:ascii="宋体" w:hAnsi="宋体" w:eastAsia="宋体" w:cs="宋体"/>
          <w:kern w:val="2"/>
          <w:sz w:val="24"/>
          <w:szCs w:val="24"/>
        </w:rPr>
        <w:t>以上企业，不属于大企业的分支机构，不存在控股股东为大企业的情形，也不存在与大企业的负责人为同一人的情形。</w:t>
      </w:r>
    </w:p>
    <w:p w14:paraId="413FDEDB">
      <w:pPr>
        <w:pStyle w:val="12"/>
        <w:pageBreakBefore w:val="0"/>
        <w:kinsoku/>
        <w:wordWrap/>
        <w:overflowPunct/>
        <w:bidi w:val="0"/>
        <w:spacing w:beforeAutospacing="0" w:afterAutospacing="0" w:line="500" w:lineRule="exact"/>
        <w:textAlignment w:val="auto"/>
        <w:rPr>
          <w:rFonts w:hint="eastAsia" w:ascii="宋体" w:hAnsi="宋体" w:eastAsia="宋体" w:cs="宋体"/>
          <w:kern w:val="2"/>
          <w:sz w:val="24"/>
          <w:szCs w:val="24"/>
        </w:rPr>
      </w:pPr>
      <w:r>
        <w:rPr>
          <w:rFonts w:hint="eastAsia" w:ascii="宋体" w:hAnsi="宋体" w:eastAsia="宋体" w:cs="宋体"/>
          <w:kern w:val="2"/>
          <w:sz w:val="24"/>
          <w:szCs w:val="24"/>
        </w:rPr>
        <w:t>本企业对上述声明内容的真实性负责。如有虚假，将依法承担相应责任。</w:t>
      </w:r>
    </w:p>
    <w:p w14:paraId="21219304">
      <w:pPr>
        <w:pStyle w:val="12"/>
        <w:pageBreakBefore w:val="0"/>
        <w:kinsoku/>
        <w:wordWrap/>
        <w:overflowPunct/>
        <w:bidi w:val="0"/>
        <w:spacing w:beforeAutospacing="0" w:afterAutospacing="0" w:line="500" w:lineRule="exact"/>
        <w:ind w:firstLine="6000" w:firstLineChars="2500"/>
        <w:textAlignment w:val="auto"/>
        <w:rPr>
          <w:rFonts w:hint="eastAsia" w:ascii="宋体" w:hAnsi="宋体" w:eastAsia="宋体" w:cs="宋体"/>
          <w:kern w:val="2"/>
          <w:sz w:val="24"/>
          <w:szCs w:val="24"/>
        </w:rPr>
      </w:pPr>
    </w:p>
    <w:p w14:paraId="43D1FBBB">
      <w:pPr>
        <w:pStyle w:val="12"/>
        <w:pageBreakBefore w:val="0"/>
        <w:kinsoku/>
        <w:wordWrap/>
        <w:overflowPunct/>
        <w:bidi w:val="0"/>
        <w:spacing w:beforeAutospacing="0" w:afterAutospacing="0" w:line="500" w:lineRule="exact"/>
        <w:ind w:left="0" w:leftChars="0" w:firstLine="5520" w:firstLineChars="2300"/>
        <w:textAlignment w:val="auto"/>
        <w:rPr>
          <w:rFonts w:hint="eastAsia" w:ascii="宋体" w:hAnsi="宋体" w:eastAsia="宋体" w:cs="宋体"/>
          <w:kern w:val="2"/>
          <w:sz w:val="24"/>
          <w:szCs w:val="24"/>
        </w:rPr>
      </w:pPr>
      <w:r>
        <w:rPr>
          <w:rFonts w:hint="eastAsia" w:ascii="宋体" w:hAnsi="宋体" w:eastAsia="宋体" w:cs="宋体"/>
          <w:kern w:val="2"/>
          <w:sz w:val="24"/>
          <w:szCs w:val="24"/>
        </w:rPr>
        <w:t>企业名称（盖章）：</w:t>
      </w:r>
    </w:p>
    <w:p w14:paraId="139ECF19">
      <w:pPr>
        <w:pStyle w:val="12"/>
        <w:pageBreakBefore w:val="0"/>
        <w:kinsoku/>
        <w:wordWrap/>
        <w:overflowPunct/>
        <w:bidi w:val="0"/>
        <w:spacing w:beforeAutospacing="0" w:afterAutospacing="0" w:line="500" w:lineRule="exact"/>
        <w:ind w:left="0" w:leftChars="0" w:firstLine="5520" w:firstLineChars="2300"/>
        <w:textAlignment w:val="auto"/>
        <w:rPr>
          <w:rFonts w:hint="eastAsia" w:ascii="宋体" w:hAnsi="宋体" w:eastAsia="宋体" w:cs="宋体"/>
          <w:kern w:val="2"/>
          <w:sz w:val="24"/>
          <w:szCs w:val="24"/>
        </w:rPr>
      </w:pPr>
      <w:r>
        <w:rPr>
          <w:rFonts w:hint="eastAsia" w:ascii="宋体" w:hAnsi="宋体" w:eastAsia="宋体" w:cs="宋体"/>
          <w:kern w:val="2"/>
          <w:sz w:val="24"/>
          <w:szCs w:val="24"/>
        </w:rPr>
        <w:t>日 期：</w:t>
      </w:r>
    </w:p>
    <w:p w14:paraId="34929545">
      <w:pPr>
        <w:pStyle w:val="12"/>
        <w:keepNext w:val="0"/>
        <w:keepLines w:val="0"/>
        <w:pageBreakBefore w:val="0"/>
        <w:widowControl/>
        <w:kinsoku/>
        <w:wordWrap/>
        <w:overflowPunct/>
        <w:topLinePunct w:val="0"/>
        <w:autoSpaceDE/>
        <w:autoSpaceDN/>
        <w:bidi w:val="0"/>
        <w:adjustRightInd/>
        <w:snapToGrid/>
        <w:spacing w:beforeAutospacing="0" w:afterAutospacing="0" w:line="500" w:lineRule="exact"/>
        <w:ind w:left="422" w:leftChars="0" w:hanging="422" w:hangingChars="200"/>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lang w:eastAsia="zh-CN"/>
        </w:rPr>
        <w:t>注：</w:t>
      </w:r>
      <w:r>
        <w:rPr>
          <w:rFonts w:hint="eastAsia" w:ascii="宋体" w:hAnsi="宋体" w:eastAsia="宋体" w:cs="宋体"/>
          <w:b/>
          <w:bCs/>
          <w:kern w:val="2"/>
          <w:sz w:val="21"/>
          <w:szCs w:val="21"/>
        </w:rPr>
        <w:t>从业人员、营业收入、资产总额填报上一年度数据，无上一年度数据的新成立企业可不填报。</w:t>
      </w:r>
    </w:p>
    <w:p w14:paraId="6CA24C99">
      <w:pPr>
        <w:pStyle w:val="12"/>
        <w:keepNext w:val="0"/>
        <w:keepLines w:val="0"/>
        <w:pageBreakBefore w:val="0"/>
        <w:widowControl/>
        <w:kinsoku/>
        <w:wordWrap/>
        <w:overflowPunct/>
        <w:topLinePunct w:val="0"/>
        <w:autoSpaceDE/>
        <w:autoSpaceDN/>
        <w:bidi w:val="0"/>
        <w:adjustRightInd/>
        <w:snapToGrid/>
        <w:spacing w:beforeAutospacing="0" w:afterAutospacing="0" w:line="500" w:lineRule="exact"/>
        <w:ind w:left="422" w:leftChars="0" w:hanging="422" w:hangingChars="200"/>
        <w:textAlignment w:val="auto"/>
        <w:rPr>
          <w:rFonts w:hint="eastAsia" w:ascii="宋体" w:hAnsi="宋体" w:eastAsia="宋体" w:cs="宋体"/>
          <w:b/>
          <w:bCs/>
          <w:kern w:val="2"/>
          <w:sz w:val="21"/>
          <w:szCs w:val="21"/>
        </w:rPr>
      </w:pPr>
    </w:p>
    <w:p w14:paraId="2C2D3943">
      <w:pPr>
        <w:pStyle w:val="12"/>
        <w:keepNext w:val="0"/>
        <w:keepLines w:val="0"/>
        <w:pageBreakBefore w:val="0"/>
        <w:widowControl/>
        <w:kinsoku/>
        <w:wordWrap/>
        <w:overflowPunct/>
        <w:topLinePunct w:val="0"/>
        <w:autoSpaceDE/>
        <w:autoSpaceDN/>
        <w:bidi w:val="0"/>
        <w:adjustRightInd/>
        <w:snapToGrid/>
        <w:spacing w:beforeAutospacing="0" w:afterAutospacing="0" w:line="500" w:lineRule="exact"/>
        <w:ind w:left="422" w:leftChars="0" w:hanging="422" w:hangingChars="200"/>
        <w:textAlignment w:val="auto"/>
        <w:rPr>
          <w:rFonts w:hint="eastAsia" w:ascii="宋体" w:hAnsi="宋体" w:eastAsia="宋体" w:cs="宋体"/>
          <w:b/>
          <w:bCs/>
          <w:kern w:val="2"/>
          <w:sz w:val="21"/>
          <w:szCs w:val="21"/>
        </w:rPr>
      </w:pPr>
    </w:p>
    <w:p w14:paraId="14D645A8">
      <w:pPr>
        <w:pStyle w:val="12"/>
        <w:keepNext w:val="0"/>
        <w:keepLines w:val="0"/>
        <w:pageBreakBefore w:val="0"/>
        <w:widowControl/>
        <w:kinsoku/>
        <w:wordWrap/>
        <w:overflowPunct/>
        <w:topLinePunct w:val="0"/>
        <w:autoSpaceDE/>
        <w:autoSpaceDN/>
        <w:bidi w:val="0"/>
        <w:adjustRightInd/>
        <w:snapToGrid/>
        <w:spacing w:beforeAutospacing="0" w:afterAutospacing="0" w:line="500" w:lineRule="exact"/>
        <w:ind w:left="422" w:leftChars="0" w:hanging="422" w:hangingChars="200"/>
        <w:textAlignment w:val="auto"/>
        <w:rPr>
          <w:rFonts w:hint="eastAsia" w:ascii="宋体" w:hAnsi="宋体" w:eastAsia="宋体" w:cs="宋体"/>
          <w:b/>
          <w:bCs/>
          <w:kern w:val="2"/>
          <w:sz w:val="21"/>
          <w:szCs w:val="21"/>
        </w:rPr>
      </w:pPr>
    </w:p>
    <w:p w14:paraId="44FD0BF1">
      <w:pPr>
        <w:pStyle w:val="12"/>
        <w:keepNext w:val="0"/>
        <w:keepLines w:val="0"/>
        <w:pageBreakBefore w:val="0"/>
        <w:widowControl/>
        <w:kinsoku/>
        <w:wordWrap/>
        <w:overflowPunct/>
        <w:topLinePunct w:val="0"/>
        <w:autoSpaceDE/>
        <w:autoSpaceDN/>
        <w:bidi w:val="0"/>
        <w:adjustRightInd/>
        <w:snapToGrid/>
        <w:spacing w:beforeAutospacing="0" w:afterAutospacing="0" w:line="500" w:lineRule="exact"/>
        <w:ind w:left="422" w:leftChars="0" w:hanging="422" w:hangingChars="200"/>
        <w:textAlignment w:val="auto"/>
        <w:rPr>
          <w:rFonts w:hint="eastAsia" w:ascii="宋体" w:hAnsi="宋体" w:eastAsia="宋体" w:cs="宋体"/>
          <w:b/>
          <w:bCs/>
          <w:kern w:val="2"/>
          <w:sz w:val="21"/>
          <w:szCs w:val="21"/>
        </w:rPr>
      </w:pPr>
    </w:p>
    <w:p w14:paraId="16166CE8">
      <w:pPr>
        <w:pStyle w:val="12"/>
        <w:keepNext w:val="0"/>
        <w:keepLines w:val="0"/>
        <w:pageBreakBefore w:val="0"/>
        <w:widowControl/>
        <w:kinsoku/>
        <w:wordWrap/>
        <w:overflowPunct/>
        <w:topLinePunct w:val="0"/>
        <w:autoSpaceDE/>
        <w:autoSpaceDN/>
        <w:bidi w:val="0"/>
        <w:adjustRightInd/>
        <w:snapToGrid/>
        <w:spacing w:beforeAutospacing="0" w:afterAutospacing="0" w:line="500" w:lineRule="exact"/>
        <w:ind w:left="422" w:leftChars="0" w:hanging="422" w:hangingChars="200"/>
        <w:textAlignment w:val="auto"/>
        <w:rPr>
          <w:rFonts w:hint="eastAsia" w:ascii="宋体" w:hAnsi="宋体" w:eastAsia="宋体" w:cs="宋体"/>
          <w:b/>
          <w:bCs/>
          <w:kern w:val="2"/>
          <w:sz w:val="21"/>
          <w:szCs w:val="21"/>
        </w:rPr>
      </w:pPr>
    </w:p>
    <w:p w14:paraId="3A328FFA">
      <w:pPr>
        <w:pStyle w:val="12"/>
        <w:keepNext w:val="0"/>
        <w:keepLines w:val="0"/>
        <w:pageBreakBefore w:val="0"/>
        <w:widowControl/>
        <w:kinsoku/>
        <w:wordWrap/>
        <w:overflowPunct/>
        <w:topLinePunct w:val="0"/>
        <w:autoSpaceDE/>
        <w:autoSpaceDN/>
        <w:bidi w:val="0"/>
        <w:adjustRightInd/>
        <w:snapToGrid/>
        <w:spacing w:beforeAutospacing="0" w:afterAutospacing="0" w:line="500" w:lineRule="exact"/>
        <w:ind w:left="506" w:leftChars="0" w:hanging="506" w:hangingChars="200"/>
        <w:textAlignment w:val="auto"/>
        <w:rPr>
          <w:rFonts w:hint="eastAsia" w:ascii="宋体" w:hAnsi="宋体" w:eastAsia="宋体" w:cs="宋体"/>
          <w:b/>
          <w:bCs/>
          <w:spacing w:val="6"/>
          <w:sz w:val="24"/>
          <w:szCs w:val="24"/>
        </w:rPr>
      </w:pPr>
      <w:r>
        <w:rPr>
          <w:rFonts w:hint="eastAsia" w:ascii="宋体" w:hAnsi="宋体" w:eastAsia="宋体" w:cs="宋体"/>
          <w:b/>
          <w:bCs/>
          <w:spacing w:val="6"/>
          <w:kern w:val="0"/>
          <w:sz w:val="24"/>
          <w:szCs w:val="24"/>
        </w:rPr>
        <w:t>附件</w:t>
      </w:r>
      <w:r>
        <w:rPr>
          <w:rFonts w:hint="eastAsia" w:ascii="宋体" w:hAnsi="宋体" w:eastAsia="宋体" w:cs="宋体"/>
          <w:b/>
          <w:bCs/>
          <w:spacing w:val="6"/>
          <w:kern w:val="0"/>
          <w:sz w:val="24"/>
          <w:szCs w:val="24"/>
          <w:lang w:val="en-US" w:eastAsia="zh-CN"/>
        </w:rPr>
        <w:t>5</w:t>
      </w:r>
      <w:r>
        <w:rPr>
          <w:rFonts w:hint="eastAsia" w:ascii="宋体" w:hAnsi="宋体" w:eastAsia="宋体" w:cs="宋体"/>
          <w:b/>
          <w:bCs/>
          <w:spacing w:val="6"/>
          <w:kern w:val="0"/>
          <w:sz w:val="24"/>
          <w:szCs w:val="24"/>
        </w:rPr>
        <w:t xml:space="preserve">-2 </w:t>
      </w:r>
      <w:bookmarkEnd w:id="89"/>
      <w:bookmarkEnd w:id="90"/>
    </w:p>
    <w:p w14:paraId="2559674B">
      <w:pPr>
        <w:pageBreakBefore w:val="0"/>
        <w:kinsoku/>
        <w:wordWrap/>
        <w:overflowPunct/>
        <w:bidi w:val="0"/>
        <w:adjustRightInd w:val="0"/>
        <w:snapToGrid w:val="0"/>
        <w:spacing w:beforeAutospacing="0" w:afterAutospacing="0" w:line="500" w:lineRule="exact"/>
        <w:jc w:val="both"/>
        <w:textAlignment w:val="auto"/>
        <w:rPr>
          <w:rFonts w:hint="eastAsia" w:ascii="宋体" w:hAnsi="宋体" w:eastAsia="宋体" w:cs="宋体"/>
          <w:b/>
          <w:spacing w:val="6"/>
          <w:sz w:val="24"/>
          <w:szCs w:val="24"/>
        </w:rPr>
      </w:pPr>
    </w:p>
    <w:p w14:paraId="76FB5D91">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pacing w:val="6"/>
          <w:sz w:val="24"/>
          <w:szCs w:val="24"/>
        </w:rPr>
      </w:pPr>
    </w:p>
    <w:p w14:paraId="2AC03F31">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pacing w:val="6"/>
          <w:sz w:val="28"/>
          <w:szCs w:val="28"/>
        </w:rPr>
      </w:pPr>
      <w:r>
        <w:rPr>
          <w:rFonts w:hint="eastAsia" w:ascii="宋体" w:hAnsi="宋体" w:eastAsia="宋体" w:cs="宋体"/>
          <w:b/>
          <w:spacing w:val="6"/>
          <w:sz w:val="28"/>
          <w:szCs w:val="28"/>
        </w:rPr>
        <w:t>残疾人福利性单位声明函</w:t>
      </w:r>
    </w:p>
    <w:p w14:paraId="7B8387FE">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pacing w:val="6"/>
          <w:sz w:val="28"/>
          <w:szCs w:val="28"/>
        </w:rPr>
      </w:pPr>
      <w:r>
        <w:rPr>
          <w:rFonts w:hint="eastAsia" w:ascii="宋体" w:hAnsi="宋体" w:eastAsia="宋体" w:cs="宋体"/>
          <w:b/>
          <w:spacing w:val="6"/>
          <w:sz w:val="28"/>
          <w:szCs w:val="28"/>
        </w:rPr>
        <w:t>(不属于残疾人福利性单位的无需填写)</w:t>
      </w:r>
    </w:p>
    <w:p w14:paraId="04C84A58">
      <w:pPr>
        <w:pageBreakBefore w:val="0"/>
        <w:kinsoku/>
        <w:wordWrap/>
        <w:overflowPunct/>
        <w:bidi w:val="0"/>
        <w:adjustRightInd w:val="0"/>
        <w:snapToGrid w:val="0"/>
        <w:spacing w:beforeAutospacing="0" w:afterAutospacing="0" w:line="500" w:lineRule="exact"/>
        <w:ind w:firstLine="584" w:firstLineChars="200"/>
        <w:textAlignment w:val="auto"/>
        <w:rPr>
          <w:rFonts w:hint="eastAsia" w:ascii="宋体" w:hAnsi="宋体" w:eastAsia="宋体" w:cs="宋体"/>
          <w:spacing w:val="6"/>
          <w:sz w:val="28"/>
          <w:szCs w:val="28"/>
        </w:rPr>
      </w:pPr>
    </w:p>
    <w:p w14:paraId="57502D99">
      <w:pPr>
        <w:pageBreakBefore w:val="0"/>
        <w:kinsoku/>
        <w:wordWrap/>
        <w:overflowPunct/>
        <w:bidi w:val="0"/>
        <w:adjustRightInd w:val="0"/>
        <w:snapToGrid w:val="0"/>
        <w:spacing w:beforeAutospacing="0" w:afterAutospacing="0" w:line="500" w:lineRule="exact"/>
        <w:ind w:firstLine="504" w:firstLineChars="200"/>
        <w:textAlignment w:val="auto"/>
        <w:rPr>
          <w:rFonts w:hint="eastAsia" w:ascii="宋体" w:hAnsi="宋体" w:eastAsia="宋体" w:cs="宋体"/>
          <w:spacing w:val="6"/>
          <w:sz w:val="24"/>
          <w:szCs w:val="24"/>
        </w:rPr>
      </w:pPr>
      <w:r>
        <w:rPr>
          <w:rFonts w:hint="eastAsia" w:ascii="宋体" w:hAnsi="宋体" w:eastAsia="宋体" w:cs="宋体"/>
          <w:spacing w:val="6"/>
          <w:sz w:val="24"/>
          <w:szCs w:val="24"/>
        </w:rPr>
        <w:t>本单位郑重声明，根据《财政部民政部中国残疾人联合会关于促进残疾人就业政府采购政策的通知》（财库</w:t>
      </w:r>
      <w:r>
        <w:rPr>
          <w:rFonts w:hint="eastAsia" w:ascii="宋体" w:hAnsi="宋体" w:eastAsia="宋体" w:cs="宋体"/>
          <w:sz w:val="24"/>
          <w:szCs w:val="24"/>
        </w:rPr>
        <w:t>〔2017〕141</w:t>
      </w:r>
      <w:r>
        <w:rPr>
          <w:rFonts w:hint="eastAsia" w:ascii="宋体" w:hAnsi="宋体" w:eastAsia="宋体" w:cs="宋体"/>
          <w:spacing w:val="6"/>
          <w:sz w:val="24"/>
          <w:szCs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431AF1F">
      <w:pPr>
        <w:pageBreakBefore w:val="0"/>
        <w:kinsoku/>
        <w:wordWrap/>
        <w:overflowPunct/>
        <w:bidi w:val="0"/>
        <w:adjustRightInd w:val="0"/>
        <w:snapToGrid w:val="0"/>
        <w:spacing w:beforeAutospacing="0" w:afterAutospacing="0" w:line="500" w:lineRule="exact"/>
        <w:ind w:firstLine="504" w:firstLineChars="200"/>
        <w:textAlignment w:val="auto"/>
        <w:rPr>
          <w:rFonts w:hint="eastAsia" w:ascii="宋体" w:hAnsi="宋体" w:eastAsia="宋体" w:cs="宋体"/>
          <w:spacing w:val="6"/>
          <w:sz w:val="24"/>
          <w:szCs w:val="24"/>
        </w:rPr>
      </w:pPr>
      <w:r>
        <w:rPr>
          <w:rFonts w:hint="eastAsia" w:ascii="宋体" w:hAnsi="宋体" w:eastAsia="宋体" w:cs="宋体"/>
          <w:spacing w:val="6"/>
          <w:sz w:val="24"/>
          <w:szCs w:val="24"/>
        </w:rPr>
        <w:t>本单位对上述声明的真实性负责。如有虚假，将依法承担相应责任。</w:t>
      </w:r>
    </w:p>
    <w:p w14:paraId="4D839541">
      <w:pPr>
        <w:pageBreakBefore w:val="0"/>
        <w:kinsoku/>
        <w:wordWrap/>
        <w:overflowPunct/>
        <w:bidi w:val="0"/>
        <w:adjustRightInd w:val="0"/>
        <w:snapToGrid w:val="0"/>
        <w:spacing w:beforeAutospacing="0" w:afterAutospacing="0" w:line="500" w:lineRule="exact"/>
        <w:ind w:firstLine="504" w:firstLineChars="200"/>
        <w:textAlignment w:val="auto"/>
        <w:rPr>
          <w:rFonts w:hint="eastAsia" w:ascii="宋体" w:hAnsi="宋体" w:eastAsia="宋体" w:cs="宋体"/>
          <w:spacing w:val="6"/>
          <w:sz w:val="24"/>
          <w:szCs w:val="24"/>
        </w:rPr>
      </w:pPr>
    </w:p>
    <w:p w14:paraId="154BD4AD">
      <w:pPr>
        <w:pageBreakBefore w:val="0"/>
        <w:kinsoku/>
        <w:wordWrap/>
        <w:overflowPunct/>
        <w:bidi w:val="0"/>
        <w:adjustRightInd w:val="0"/>
        <w:snapToGrid w:val="0"/>
        <w:spacing w:beforeAutospacing="0" w:afterAutospacing="0" w:line="500" w:lineRule="exact"/>
        <w:ind w:firstLine="504" w:firstLineChars="200"/>
        <w:textAlignment w:val="auto"/>
        <w:rPr>
          <w:rFonts w:hint="eastAsia" w:ascii="宋体" w:hAnsi="宋体" w:eastAsia="宋体" w:cs="宋体"/>
          <w:spacing w:val="6"/>
          <w:sz w:val="24"/>
          <w:szCs w:val="24"/>
        </w:rPr>
      </w:pPr>
    </w:p>
    <w:p w14:paraId="3471E796">
      <w:pPr>
        <w:pageBreakBefore w:val="0"/>
        <w:tabs>
          <w:tab w:val="left" w:pos="4860"/>
        </w:tabs>
        <w:kinsoku/>
        <w:wordWrap/>
        <w:overflowPunct/>
        <w:bidi w:val="0"/>
        <w:adjustRightInd w:val="0"/>
        <w:snapToGrid w:val="0"/>
        <w:spacing w:beforeAutospacing="0" w:afterAutospacing="0" w:line="500" w:lineRule="exact"/>
        <w:ind w:right="1560" w:firstLine="504" w:firstLineChars="200"/>
        <w:jc w:val="center"/>
        <w:textAlignment w:val="auto"/>
        <w:rPr>
          <w:rFonts w:hint="eastAsia" w:ascii="宋体" w:hAnsi="宋体" w:eastAsia="宋体" w:cs="宋体"/>
          <w:spacing w:val="6"/>
          <w:sz w:val="24"/>
          <w:szCs w:val="24"/>
        </w:rPr>
      </w:pPr>
      <w:r>
        <w:rPr>
          <w:rFonts w:hint="eastAsia" w:ascii="宋体" w:hAnsi="宋体" w:eastAsia="宋体" w:cs="宋体"/>
          <w:spacing w:val="6"/>
          <w:sz w:val="24"/>
          <w:szCs w:val="24"/>
        </w:rPr>
        <w:t xml:space="preserve">               单位名称（盖章）：</w:t>
      </w:r>
    </w:p>
    <w:p w14:paraId="7A6B46A3">
      <w:pPr>
        <w:pageBreakBefore w:val="0"/>
        <w:tabs>
          <w:tab w:val="left" w:pos="4860"/>
        </w:tabs>
        <w:kinsoku/>
        <w:wordWrap/>
        <w:overflowPunct/>
        <w:bidi w:val="0"/>
        <w:adjustRightInd w:val="0"/>
        <w:snapToGrid w:val="0"/>
        <w:spacing w:beforeAutospacing="0" w:afterAutospacing="0" w:line="500" w:lineRule="exact"/>
        <w:ind w:right="1560" w:firstLine="504" w:firstLineChars="200"/>
        <w:jc w:val="center"/>
        <w:textAlignment w:val="auto"/>
        <w:rPr>
          <w:rFonts w:hint="eastAsia" w:ascii="宋体" w:hAnsi="宋体" w:eastAsia="宋体" w:cs="宋体"/>
          <w:spacing w:val="6"/>
          <w:sz w:val="24"/>
          <w:szCs w:val="24"/>
        </w:rPr>
      </w:pPr>
      <w:r>
        <w:rPr>
          <w:rFonts w:hint="eastAsia" w:ascii="宋体" w:hAnsi="宋体" w:eastAsia="宋体" w:cs="宋体"/>
          <w:spacing w:val="6"/>
          <w:sz w:val="24"/>
          <w:szCs w:val="24"/>
        </w:rPr>
        <w:t xml:space="preserve">       日  期：</w:t>
      </w:r>
    </w:p>
    <w:p w14:paraId="6EEDA70C">
      <w:pPr>
        <w:pageBreakBefore w:val="0"/>
        <w:tabs>
          <w:tab w:val="left" w:pos="3600"/>
        </w:tabs>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p>
    <w:p w14:paraId="6829669F">
      <w:pPr>
        <w:pageBreakBefore w:val="0"/>
        <w:tabs>
          <w:tab w:val="left" w:pos="4860"/>
        </w:tabs>
        <w:kinsoku/>
        <w:wordWrap/>
        <w:overflowPunct/>
        <w:bidi w:val="0"/>
        <w:adjustRightInd w:val="0"/>
        <w:snapToGrid w:val="0"/>
        <w:spacing w:beforeAutospacing="0" w:afterAutospacing="0" w:line="500" w:lineRule="exact"/>
        <w:ind w:right="1560"/>
        <w:textAlignment w:val="auto"/>
        <w:rPr>
          <w:rFonts w:hint="eastAsia" w:ascii="宋体" w:hAnsi="宋体" w:eastAsia="宋体" w:cs="宋体"/>
          <w:b/>
          <w:bCs/>
          <w:kern w:val="0"/>
          <w:sz w:val="24"/>
          <w:szCs w:val="24"/>
        </w:rPr>
      </w:pPr>
      <w:bookmarkStart w:id="93" w:name="_Toc34637807"/>
      <w:bookmarkStart w:id="94" w:name="_Toc22201165"/>
    </w:p>
    <w:p w14:paraId="59BE2D8B">
      <w:pPr>
        <w:pageBreakBefore w:val="0"/>
        <w:tabs>
          <w:tab w:val="left" w:pos="4860"/>
        </w:tabs>
        <w:kinsoku/>
        <w:wordWrap/>
        <w:overflowPunct/>
        <w:bidi w:val="0"/>
        <w:adjustRightInd w:val="0"/>
        <w:snapToGrid w:val="0"/>
        <w:spacing w:beforeAutospacing="0" w:afterAutospacing="0" w:line="500" w:lineRule="exact"/>
        <w:ind w:right="1560"/>
        <w:textAlignment w:val="auto"/>
        <w:rPr>
          <w:rFonts w:hint="eastAsia" w:ascii="宋体" w:hAnsi="宋体" w:eastAsia="宋体" w:cs="宋体"/>
          <w:b/>
          <w:bCs/>
          <w:kern w:val="0"/>
          <w:sz w:val="24"/>
          <w:szCs w:val="24"/>
        </w:rPr>
      </w:pPr>
    </w:p>
    <w:p w14:paraId="0044D2BA">
      <w:pPr>
        <w:pageBreakBefore w:val="0"/>
        <w:tabs>
          <w:tab w:val="left" w:pos="4860"/>
        </w:tabs>
        <w:kinsoku/>
        <w:wordWrap/>
        <w:overflowPunct/>
        <w:bidi w:val="0"/>
        <w:adjustRightInd w:val="0"/>
        <w:snapToGrid w:val="0"/>
        <w:spacing w:beforeAutospacing="0" w:afterAutospacing="0" w:line="500" w:lineRule="exact"/>
        <w:ind w:right="1560"/>
        <w:textAlignment w:val="auto"/>
        <w:rPr>
          <w:rFonts w:hint="eastAsia" w:ascii="宋体" w:hAnsi="宋体" w:eastAsia="宋体" w:cs="宋体"/>
          <w:b/>
          <w:bCs/>
          <w:kern w:val="0"/>
          <w:sz w:val="24"/>
          <w:szCs w:val="24"/>
        </w:rPr>
      </w:pPr>
    </w:p>
    <w:p w14:paraId="176987EE">
      <w:pPr>
        <w:pageBreakBefore w:val="0"/>
        <w:tabs>
          <w:tab w:val="left" w:pos="4860"/>
        </w:tabs>
        <w:kinsoku/>
        <w:wordWrap/>
        <w:overflowPunct/>
        <w:bidi w:val="0"/>
        <w:adjustRightInd w:val="0"/>
        <w:snapToGrid w:val="0"/>
        <w:spacing w:beforeAutospacing="0" w:afterAutospacing="0" w:line="500" w:lineRule="exact"/>
        <w:ind w:right="1560"/>
        <w:textAlignment w:val="auto"/>
        <w:rPr>
          <w:rFonts w:hint="eastAsia" w:ascii="宋体" w:hAnsi="宋体" w:eastAsia="宋体" w:cs="宋体"/>
          <w:b/>
          <w:bCs/>
          <w:kern w:val="0"/>
          <w:sz w:val="24"/>
          <w:szCs w:val="24"/>
        </w:rPr>
      </w:pPr>
    </w:p>
    <w:p w14:paraId="72132BC1">
      <w:pPr>
        <w:pageBreakBefore w:val="0"/>
        <w:tabs>
          <w:tab w:val="left" w:pos="4860"/>
        </w:tabs>
        <w:kinsoku/>
        <w:wordWrap/>
        <w:overflowPunct/>
        <w:bidi w:val="0"/>
        <w:adjustRightInd w:val="0"/>
        <w:snapToGrid w:val="0"/>
        <w:spacing w:beforeAutospacing="0" w:afterAutospacing="0" w:line="500" w:lineRule="exact"/>
        <w:ind w:right="1560"/>
        <w:textAlignment w:val="auto"/>
        <w:rPr>
          <w:rFonts w:hint="eastAsia" w:ascii="宋体" w:hAnsi="宋体" w:eastAsia="宋体" w:cs="宋体"/>
          <w:b/>
          <w:bCs/>
          <w:kern w:val="0"/>
          <w:sz w:val="24"/>
          <w:szCs w:val="24"/>
        </w:rPr>
      </w:pPr>
    </w:p>
    <w:p w14:paraId="6F670E02">
      <w:pPr>
        <w:pageBreakBefore w:val="0"/>
        <w:tabs>
          <w:tab w:val="left" w:pos="4860"/>
        </w:tabs>
        <w:kinsoku/>
        <w:wordWrap/>
        <w:overflowPunct/>
        <w:bidi w:val="0"/>
        <w:adjustRightInd w:val="0"/>
        <w:snapToGrid w:val="0"/>
        <w:spacing w:beforeAutospacing="0" w:afterAutospacing="0" w:line="500" w:lineRule="exact"/>
        <w:ind w:right="1560"/>
        <w:textAlignment w:val="auto"/>
        <w:rPr>
          <w:rFonts w:hint="eastAsia" w:ascii="宋体" w:hAnsi="宋体" w:eastAsia="宋体" w:cs="宋体"/>
          <w:b/>
          <w:bCs/>
          <w:kern w:val="0"/>
          <w:sz w:val="24"/>
          <w:szCs w:val="24"/>
        </w:rPr>
      </w:pPr>
    </w:p>
    <w:p w14:paraId="1D23E7E8">
      <w:pPr>
        <w:pageBreakBefore w:val="0"/>
        <w:tabs>
          <w:tab w:val="left" w:pos="4860"/>
        </w:tabs>
        <w:kinsoku/>
        <w:wordWrap/>
        <w:overflowPunct/>
        <w:bidi w:val="0"/>
        <w:adjustRightInd w:val="0"/>
        <w:snapToGrid w:val="0"/>
        <w:spacing w:beforeAutospacing="0" w:afterAutospacing="0" w:line="500" w:lineRule="exact"/>
        <w:ind w:right="1560"/>
        <w:textAlignment w:val="auto"/>
        <w:rPr>
          <w:rFonts w:hint="eastAsia" w:ascii="宋体" w:hAnsi="宋体" w:eastAsia="宋体" w:cs="宋体"/>
          <w:b/>
          <w:bCs/>
          <w:kern w:val="0"/>
          <w:sz w:val="24"/>
          <w:szCs w:val="24"/>
        </w:rPr>
      </w:pPr>
    </w:p>
    <w:p w14:paraId="6FEA9073">
      <w:pPr>
        <w:pageBreakBefore w:val="0"/>
        <w:tabs>
          <w:tab w:val="left" w:pos="4860"/>
        </w:tabs>
        <w:kinsoku/>
        <w:wordWrap/>
        <w:overflowPunct/>
        <w:bidi w:val="0"/>
        <w:adjustRightInd w:val="0"/>
        <w:snapToGrid w:val="0"/>
        <w:spacing w:beforeAutospacing="0" w:afterAutospacing="0" w:line="500" w:lineRule="exact"/>
        <w:ind w:right="1560"/>
        <w:textAlignment w:val="auto"/>
        <w:rPr>
          <w:rFonts w:hint="eastAsia" w:ascii="宋体" w:hAnsi="宋体" w:eastAsia="宋体" w:cs="宋体"/>
          <w:b/>
          <w:bCs/>
          <w:kern w:val="0"/>
          <w:sz w:val="24"/>
          <w:szCs w:val="24"/>
        </w:rPr>
      </w:pPr>
    </w:p>
    <w:p w14:paraId="0BC3A8DD">
      <w:pPr>
        <w:pageBreakBefore w:val="0"/>
        <w:tabs>
          <w:tab w:val="left" w:pos="4860"/>
        </w:tabs>
        <w:kinsoku/>
        <w:wordWrap/>
        <w:overflowPunct/>
        <w:bidi w:val="0"/>
        <w:adjustRightInd w:val="0"/>
        <w:snapToGrid w:val="0"/>
        <w:spacing w:beforeAutospacing="0" w:afterAutospacing="0" w:line="500" w:lineRule="exact"/>
        <w:ind w:right="1560"/>
        <w:textAlignment w:val="auto"/>
        <w:rPr>
          <w:rFonts w:hint="eastAsia" w:ascii="宋体" w:hAnsi="宋体" w:eastAsia="宋体" w:cs="宋体"/>
          <w:b/>
          <w:bCs/>
          <w:kern w:val="0"/>
          <w:sz w:val="24"/>
          <w:szCs w:val="24"/>
        </w:rPr>
      </w:pPr>
    </w:p>
    <w:p w14:paraId="154D3A06">
      <w:pPr>
        <w:pageBreakBefore w:val="0"/>
        <w:tabs>
          <w:tab w:val="left" w:pos="4860"/>
        </w:tabs>
        <w:kinsoku/>
        <w:wordWrap/>
        <w:overflowPunct/>
        <w:bidi w:val="0"/>
        <w:adjustRightInd w:val="0"/>
        <w:snapToGrid w:val="0"/>
        <w:spacing w:beforeAutospacing="0" w:afterAutospacing="0" w:line="500" w:lineRule="exact"/>
        <w:ind w:right="1560"/>
        <w:textAlignment w:val="auto"/>
        <w:rPr>
          <w:rFonts w:hint="eastAsia" w:ascii="宋体" w:hAnsi="宋体" w:eastAsia="宋体" w:cs="宋体"/>
          <w:b/>
          <w:bCs/>
          <w:kern w:val="0"/>
          <w:sz w:val="24"/>
          <w:szCs w:val="24"/>
        </w:rPr>
      </w:pPr>
    </w:p>
    <w:p w14:paraId="64D0C841">
      <w:pPr>
        <w:pageBreakBefore w:val="0"/>
        <w:tabs>
          <w:tab w:val="left" w:pos="4860"/>
        </w:tabs>
        <w:kinsoku/>
        <w:wordWrap/>
        <w:overflowPunct/>
        <w:bidi w:val="0"/>
        <w:adjustRightInd w:val="0"/>
        <w:snapToGrid w:val="0"/>
        <w:spacing w:beforeAutospacing="0" w:afterAutospacing="0" w:line="500" w:lineRule="exact"/>
        <w:ind w:right="1560"/>
        <w:textAlignment w:val="auto"/>
        <w:rPr>
          <w:rFonts w:hint="eastAsia" w:ascii="宋体" w:hAnsi="宋体" w:eastAsia="宋体" w:cs="宋体"/>
          <w:b/>
          <w:bCs/>
          <w:kern w:val="0"/>
          <w:sz w:val="24"/>
          <w:szCs w:val="24"/>
        </w:rPr>
      </w:pPr>
    </w:p>
    <w:p w14:paraId="35BA1F8A">
      <w:pPr>
        <w:pageBreakBefore w:val="0"/>
        <w:tabs>
          <w:tab w:val="left" w:pos="4860"/>
        </w:tabs>
        <w:kinsoku/>
        <w:wordWrap/>
        <w:overflowPunct/>
        <w:bidi w:val="0"/>
        <w:adjustRightInd w:val="0"/>
        <w:snapToGrid w:val="0"/>
        <w:spacing w:beforeAutospacing="0" w:afterAutospacing="0" w:line="500" w:lineRule="exact"/>
        <w:ind w:right="1560"/>
        <w:textAlignment w:val="auto"/>
        <w:rPr>
          <w:rFonts w:hint="eastAsia" w:ascii="宋体" w:hAnsi="宋体" w:eastAsia="宋体" w:cs="宋体"/>
          <w:b/>
          <w:bCs/>
          <w:kern w:val="0"/>
          <w:sz w:val="24"/>
          <w:szCs w:val="24"/>
        </w:rPr>
      </w:pPr>
    </w:p>
    <w:p w14:paraId="6E8641FC">
      <w:pPr>
        <w:pageBreakBefore w:val="0"/>
        <w:tabs>
          <w:tab w:val="left" w:pos="4860"/>
        </w:tabs>
        <w:kinsoku/>
        <w:wordWrap/>
        <w:overflowPunct/>
        <w:bidi w:val="0"/>
        <w:adjustRightInd w:val="0"/>
        <w:snapToGrid w:val="0"/>
        <w:spacing w:beforeAutospacing="0" w:afterAutospacing="0" w:line="500" w:lineRule="exact"/>
        <w:ind w:right="156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附件</w:t>
      </w:r>
      <w:r>
        <w:rPr>
          <w:rFonts w:hint="eastAsia" w:ascii="宋体" w:hAnsi="宋体" w:eastAsia="宋体" w:cs="宋体"/>
          <w:b/>
          <w:bCs/>
          <w:kern w:val="0"/>
          <w:sz w:val="24"/>
          <w:szCs w:val="24"/>
          <w:lang w:val="en-US" w:eastAsia="zh-CN"/>
        </w:rPr>
        <w:t>5</w:t>
      </w:r>
      <w:r>
        <w:rPr>
          <w:rFonts w:hint="eastAsia" w:ascii="宋体" w:hAnsi="宋体" w:eastAsia="宋体" w:cs="宋体"/>
          <w:b/>
          <w:bCs/>
          <w:kern w:val="0"/>
          <w:sz w:val="24"/>
          <w:szCs w:val="24"/>
        </w:rPr>
        <w:t xml:space="preserve">-3 </w:t>
      </w:r>
      <w:bookmarkEnd w:id="93"/>
      <w:bookmarkEnd w:id="94"/>
    </w:p>
    <w:p w14:paraId="319C39D6">
      <w:pPr>
        <w:pStyle w:val="43"/>
        <w:rPr>
          <w:rFonts w:hint="eastAsia"/>
        </w:rPr>
      </w:pPr>
    </w:p>
    <w:p w14:paraId="2E18B848">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z w:val="28"/>
          <w:szCs w:val="28"/>
        </w:rPr>
      </w:pPr>
      <w:r>
        <w:rPr>
          <w:rFonts w:hint="eastAsia" w:ascii="宋体" w:hAnsi="宋体" w:eastAsia="宋体" w:cs="宋体"/>
          <w:b/>
          <w:sz w:val="28"/>
          <w:szCs w:val="28"/>
        </w:rPr>
        <w:t>监狱企业证明资料</w:t>
      </w:r>
    </w:p>
    <w:p w14:paraId="472DD2D9">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pacing w:val="6"/>
          <w:sz w:val="28"/>
          <w:szCs w:val="28"/>
        </w:rPr>
      </w:pPr>
      <w:r>
        <w:rPr>
          <w:rFonts w:hint="eastAsia" w:ascii="宋体" w:hAnsi="宋体" w:eastAsia="宋体" w:cs="宋体"/>
          <w:b/>
          <w:spacing w:val="6"/>
          <w:sz w:val="28"/>
          <w:szCs w:val="28"/>
        </w:rPr>
        <w:t>(不属于监狱企业的无需提供)</w:t>
      </w:r>
    </w:p>
    <w:p w14:paraId="449D3CC6">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8"/>
          <w:szCs w:val="28"/>
        </w:rPr>
      </w:pPr>
    </w:p>
    <w:p w14:paraId="293FD9DA">
      <w:pPr>
        <w:pageBreakBefore w:val="0"/>
        <w:kinsoku/>
        <w:wordWrap/>
        <w:overflowPunct/>
        <w:bidi w:val="0"/>
        <w:adjustRightInd w:val="0"/>
        <w:snapToGrid w:val="0"/>
        <w:spacing w:beforeAutospacing="0" w:afterAutospacing="0" w:line="500" w:lineRule="exact"/>
        <w:ind w:firstLine="504" w:firstLineChars="200"/>
        <w:textAlignment w:val="auto"/>
        <w:rPr>
          <w:rFonts w:hint="eastAsia" w:ascii="宋体" w:hAnsi="宋体" w:eastAsia="宋体" w:cs="宋体"/>
          <w:sz w:val="24"/>
          <w:szCs w:val="24"/>
        </w:rPr>
      </w:pPr>
      <w:r>
        <w:rPr>
          <w:rFonts w:hint="eastAsia" w:ascii="宋体" w:hAnsi="宋体" w:eastAsia="宋体" w:cs="宋体"/>
          <w:bCs/>
          <w:spacing w:val="6"/>
          <w:kern w:val="0"/>
          <w:sz w:val="24"/>
          <w:szCs w:val="24"/>
        </w:rPr>
        <w:t>备注：</w:t>
      </w:r>
      <w:r>
        <w:rPr>
          <w:rFonts w:hint="eastAsia" w:ascii="宋体" w:hAnsi="宋体" w:eastAsia="宋体" w:cs="宋体"/>
          <w:sz w:val="24"/>
          <w:szCs w:val="24"/>
        </w:rPr>
        <w:t>按</w:t>
      </w:r>
      <w:r>
        <w:rPr>
          <w:rFonts w:hint="eastAsia" w:ascii="宋体" w:hAnsi="宋体" w:eastAsia="宋体" w:cs="宋体"/>
          <w:spacing w:val="6"/>
          <w:sz w:val="24"/>
          <w:szCs w:val="24"/>
        </w:rPr>
        <w:t>《</w:t>
      </w:r>
      <w:r>
        <w:rPr>
          <w:rFonts w:hint="eastAsia" w:ascii="宋体" w:hAnsi="宋体" w:eastAsia="宋体" w:cs="宋体"/>
          <w:sz w:val="24"/>
          <w:szCs w:val="24"/>
        </w:rPr>
        <w:t>财政部司法部关于政府采购支持监狱企业发展有关问题的通知</w:t>
      </w:r>
      <w:r>
        <w:rPr>
          <w:rFonts w:hint="eastAsia" w:ascii="宋体" w:hAnsi="宋体" w:eastAsia="宋体" w:cs="宋体"/>
          <w:spacing w:val="6"/>
          <w:sz w:val="24"/>
          <w:szCs w:val="24"/>
        </w:rPr>
        <w:t>》</w:t>
      </w:r>
      <w:r>
        <w:rPr>
          <w:rFonts w:hint="eastAsia" w:ascii="宋体" w:hAnsi="宋体" w:eastAsia="宋体" w:cs="宋体"/>
          <w:sz w:val="24"/>
          <w:szCs w:val="24"/>
        </w:rPr>
        <w:t>(财库〔2014〕68号)文件规定提供证明文件（复印件）。</w:t>
      </w:r>
    </w:p>
    <w:p w14:paraId="2A413B50">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7144C10A">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246EF740">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2C7807CC">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38192A62">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0AD6F61D">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434E89E1">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1438D377">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6B14354F">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4B246239">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6302ED22">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4B47B1DD">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73B8C81D">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62FBDD07">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31DAF805">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0D5D93C1">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1557F954">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587BEDBC">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30101F19">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7AB310B7">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5A2B6985">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p>
    <w:p w14:paraId="4C414BC7">
      <w:pPr>
        <w:pageBreakBefore w:val="0"/>
        <w:kinsoku/>
        <w:wordWrap/>
        <w:overflowPunct/>
        <w:bidi w:val="0"/>
        <w:adjustRightInd w:val="0"/>
        <w:snapToGrid w:val="0"/>
        <w:spacing w:beforeAutospacing="0" w:afterAutospacing="0" w:line="500" w:lineRule="exact"/>
        <w:ind w:firstLine="506" w:firstLineChars="200"/>
        <w:textAlignment w:val="auto"/>
        <w:rPr>
          <w:rFonts w:hint="eastAsia" w:ascii="宋体" w:hAnsi="宋体" w:eastAsia="宋体" w:cs="宋体"/>
          <w:b/>
          <w:bCs/>
          <w:sz w:val="24"/>
          <w:szCs w:val="24"/>
        </w:rPr>
      </w:pPr>
      <w:r>
        <w:rPr>
          <w:rFonts w:hint="eastAsia" w:ascii="宋体" w:hAnsi="宋体" w:eastAsia="宋体" w:cs="宋体"/>
          <w:b/>
          <w:bCs/>
          <w:spacing w:val="6"/>
          <w:kern w:val="0"/>
          <w:sz w:val="24"/>
          <w:szCs w:val="24"/>
        </w:rPr>
        <w:t>附件</w:t>
      </w:r>
      <w:r>
        <w:rPr>
          <w:rFonts w:hint="eastAsia" w:ascii="宋体" w:hAnsi="宋体" w:eastAsia="宋体" w:cs="宋体"/>
          <w:b/>
          <w:bCs/>
          <w:spacing w:val="6"/>
          <w:kern w:val="0"/>
          <w:sz w:val="24"/>
          <w:szCs w:val="24"/>
          <w:lang w:val="en-US" w:eastAsia="zh-CN"/>
        </w:rPr>
        <w:t>5</w:t>
      </w:r>
      <w:r>
        <w:rPr>
          <w:rFonts w:hint="eastAsia" w:ascii="宋体" w:hAnsi="宋体" w:eastAsia="宋体" w:cs="宋体"/>
          <w:b/>
          <w:bCs/>
          <w:spacing w:val="6"/>
          <w:kern w:val="0"/>
          <w:sz w:val="24"/>
          <w:szCs w:val="24"/>
        </w:rPr>
        <w:t xml:space="preserve">-4 </w:t>
      </w:r>
    </w:p>
    <w:p w14:paraId="6ADC58C6">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z w:val="28"/>
          <w:szCs w:val="28"/>
        </w:rPr>
      </w:pPr>
      <w:r>
        <w:rPr>
          <w:rFonts w:hint="eastAsia" w:ascii="宋体" w:hAnsi="宋体" w:eastAsia="宋体" w:cs="宋体"/>
          <w:b/>
          <w:sz w:val="28"/>
          <w:szCs w:val="28"/>
        </w:rPr>
        <w:t>强制采购或者优先采购产品</w:t>
      </w:r>
      <w:r>
        <w:rPr>
          <w:rFonts w:hint="eastAsia" w:ascii="宋体" w:hAnsi="宋体" w:eastAsia="宋体" w:cs="宋体"/>
          <w:b/>
          <w:bCs/>
          <w:sz w:val="28"/>
          <w:szCs w:val="28"/>
        </w:rPr>
        <w:t>的</w:t>
      </w:r>
      <w:r>
        <w:rPr>
          <w:rFonts w:hint="eastAsia" w:ascii="宋体" w:hAnsi="宋体" w:eastAsia="宋体" w:cs="宋体"/>
          <w:b/>
          <w:sz w:val="28"/>
          <w:szCs w:val="28"/>
        </w:rPr>
        <w:t>证明材料</w:t>
      </w:r>
    </w:p>
    <w:p w14:paraId="3218C09D">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spacing w:val="6"/>
          <w:sz w:val="28"/>
          <w:szCs w:val="28"/>
        </w:rPr>
      </w:pPr>
      <w:r>
        <w:rPr>
          <w:rFonts w:hint="eastAsia" w:ascii="宋体" w:hAnsi="宋体" w:eastAsia="宋体" w:cs="宋体"/>
          <w:b/>
          <w:spacing w:val="6"/>
          <w:sz w:val="28"/>
          <w:szCs w:val="28"/>
        </w:rPr>
        <w:t>(不属于强制采购或者优先采购产品的无需提供)</w:t>
      </w:r>
    </w:p>
    <w:p w14:paraId="175CAAC3">
      <w:pPr>
        <w:pageBreakBefore w:val="0"/>
        <w:kinsoku/>
        <w:wordWrap/>
        <w:overflowPunct/>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p>
    <w:p w14:paraId="69ED2539">
      <w:pPr>
        <w:pageBreakBefore w:val="0"/>
        <w:kinsoku/>
        <w:wordWrap/>
        <w:overflowPunct/>
        <w:bidi w:val="0"/>
        <w:adjustRightInd w:val="0"/>
        <w:snapToGrid w:val="0"/>
        <w:spacing w:beforeAutospacing="0" w:afterAutospacing="0" w:line="5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说明：1、供应商提供的产品</w:t>
      </w:r>
      <w:r>
        <w:rPr>
          <w:rFonts w:hint="eastAsia" w:ascii="宋体" w:hAnsi="宋体" w:eastAsia="宋体" w:cs="宋体"/>
          <w:bCs/>
          <w:sz w:val="24"/>
          <w:szCs w:val="24"/>
        </w:rPr>
        <w:t>属于强制采购或者优先采购的</w:t>
      </w:r>
      <w:r>
        <w:rPr>
          <w:rFonts w:hint="eastAsia" w:ascii="宋体" w:hAnsi="宋体" w:eastAsia="宋体" w:cs="宋体"/>
          <w:sz w:val="24"/>
          <w:szCs w:val="24"/>
        </w:rPr>
        <w:t>，应按第二章第九节规定提供证明材料和本章本节附页1“优先采购产品清单”，并加盖供应商单位公章。</w:t>
      </w:r>
    </w:p>
    <w:p w14:paraId="7DF3AF78">
      <w:pPr>
        <w:keepNext w:val="0"/>
        <w:keepLines w:val="0"/>
        <w:pageBreakBefore w:val="0"/>
        <w:widowControl w:val="0"/>
        <w:numPr>
          <w:ilvl w:val="0"/>
          <w:numId w:val="8"/>
        </w:numPr>
        <w:kinsoku/>
        <w:wordWrap/>
        <w:overflowPunct/>
        <w:topLinePunct w:val="0"/>
        <w:autoSpaceDE/>
        <w:autoSpaceDN/>
        <w:bidi w:val="0"/>
        <w:adjustRightInd w:val="0"/>
        <w:snapToGrid w:val="0"/>
        <w:spacing w:beforeAutospacing="0" w:afterAutospacing="0" w:line="500" w:lineRule="exact"/>
        <w:ind w:firstLine="720" w:firstLineChars="300"/>
        <w:jc w:val="left"/>
        <w:textAlignment w:val="auto"/>
        <w:rPr>
          <w:rFonts w:hint="eastAsia" w:ascii="宋体" w:hAnsi="宋体" w:eastAsia="宋体" w:cs="宋体"/>
          <w:sz w:val="24"/>
          <w:szCs w:val="24"/>
        </w:rPr>
      </w:pPr>
      <w:r>
        <w:rPr>
          <w:rFonts w:hint="eastAsia" w:ascii="宋体" w:hAnsi="宋体" w:eastAsia="宋体" w:cs="宋体"/>
          <w:sz w:val="24"/>
          <w:szCs w:val="24"/>
        </w:rPr>
        <w:t>节能产品、环境标志产品(强制采购或者优先采购产品)认证证书内容注明“详见证书附件”的，应提供其附件，以证明认证证书与响应文件一致。</w:t>
      </w:r>
    </w:p>
    <w:p w14:paraId="65A2E0F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630B8B8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6D3A10C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5710875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7A845E1B">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480AC2F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0AC4269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432AE7B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591EF0AC">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7E5C8CE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76228B0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7A83601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43C2E4C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5120663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5FBD2FDC">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2B1242F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pacing w:val="6"/>
          <w:kern w:val="0"/>
          <w:sz w:val="24"/>
          <w:szCs w:val="24"/>
        </w:rPr>
      </w:pPr>
    </w:p>
    <w:p w14:paraId="34CD30A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bCs/>
          <w:spacing w:val="6"/>
          <w:kern w:val="0"/>
          <w:sz w:val="24"/>
          <w:szCs w:val="24"/>
        </w:rPr>
      </w:pPr>
    </w:p>
    <w:p w14:paraId="2C588EA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bCs/>
          <w:spacing w:val="6"/>
          <w:kern w:val="0"/>
          <w:sz w:val="24"/>
          <w:szCs w:val="24"/>
        </w:rPr>
      </w:pPr>
    </w:p>
    <w:p w14:paraId="706018A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bCs/>
          <w:spacing w:val="6"/>
          <w:kern w:val="0"/>
          <w:sz w:val="24"/>
          <w:szCs w:val="24"/>
        </w:rPr>
      </w:pPr>
    </w:p>
    <w:p w14:paraId="5B71977B">
      <w:pPr>
        <w:pStyle w:val="43"/>
        <w:rPr>
          <w:rFonts w:hint="eastAsia" w:ascii="宋体" w:hAnsi="宋体" w:eastAsia="宋体" w:cs="宋体"/>
          <w:b/>
          <w:bCs/>
          <w:spacing w:val="6"/>
          <w:kern w:val="0"/>
          <w:sz w:val="24"/>
          <w:szCs w:val="24"/>
        </w:rPr>
      </w:pPr>
    </w:p>
    <w:p w14:paraId="331CA95A">
      <w:pPr>
        <w:pStyle w:val="43"/>
        <w:rPr>
          <w:rFonts w:hint="eastAsia" w:ascii="宋体" w:hAnsi="宋体" w:eastAsia="宋体" w:cs="宋体"/>
          <w:b/>
          <w:bCs/>
          <w:spacing w:val="6"/>
          <w:kern w:val="0"/>
          <w:sz w:val="24"/>
          <w:szCs w:val="24"/>
        </w:rPr>
      </w:pPr>
    </w:p>
    <w:p w14:paraId="4F1E9CE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bCs/>
          <w:spacing w:val="6"/>
          <w:kern w:val="0"/>
          <w:sz w:val="24"/>
          <w:szCs w:val="24"/>
        </w:rPr>
      </w:pPr>
    </w:p>
    <w:p w14:paraId="6FAA026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spacing w:val="6"/>
          <w:sz w:val="28"/>
          <w:szCs w:val="28"/>
        </w:rPr>
      </w:pPr>
      <w:r>
        <w:rPr>
          <w:rFonts w:hint="eastAsia" w:ascii="宋体" w:hAnsi="宋体" w:eastAsia="宋体" w:cs="宋体"/>
          <w:b/>
          <w:bCs/>
          <w:spacing w:val="6"/>
          <w:kern w:val="0"/>
          <w:sz w:val="24"/>
          <w:szCs w:val="24"/>
        </w:rPr>
        <w:t>附页1</w:t>
      </w:r>
      <w:r>
        <w:rPr>
          <w:rFonts w:hint="default" w:ascii="宋体" w:hAnsi="宋体" w:cs="宋体"/>
          <w:b/>
          <w:bCs/>
          <w:spacing w:val="6"/>
          <w:kern w:val="0"/>
          <w:sz w:val="24"/>
          <w:szCs w:val="24"/>
          <w:lang w:val="en-US"/>
        </w:rPr>
        <w:t xml:space="preserve">                 </w:t>
      </w:r>
      <w:r>
        <w:rPr>
          <w:rFonts w:hint="default" w:ascii="宋体" w:hAnsi="宋体" w:cs="宋体"/>
          <w:b/>
          <w:bCs/>
          <w:spacing w:val="6"/>
          <w:kern w:val="0"/>
          <w:sz w:val="28"/>
          <w:szCs w:val="28"/>
          <w:lang w:val="en-US"/>
        </w:rPr>
        <w:t xml:space="preserve">   </w:t>
      </w:r>
      <w:r>
        <w:rPr>
          <w:rFonts w:hint="eastAsia" w:ascii="宋体" w:hAnsi="宋体" w:eastAsia="宋体" w:cs="宋体"/>
          <w:b/>
          <w:sz w:val="28"/>
          <w:szCs w:val="28"/>
        </w:rPr>
        <w:t>优先采购产品清单</w:t>
      </w:r>
    </w:p>
    <w:p w14:paraId="0120B764">
      <w:pPr>
        <w:keepNext w:val="0"/>
        <w:keepLines w:val="0"/>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cs="宋体"/>
          <w:sz w:val="24"/>
          <w:szCs w:val="24"/>
          <w:lang w:val="en-US" w:eastAsia="zh-CN"/>
        </w:rPr>
        <w:t>政府采购计划</w:t>
      </w:r>
      <w:r>
        <w:rPr>
          <w:rFonts w:hint="eastAsia" w:ascii="宋体" w:hAnsi="宋体" w:eastAsia="宋体" w:cs="宋体"/>
          <w:sz w:val="24"/>
          <w:szCs w:val="24"/>
        </w:rPr>
        <w:t>编号：                     项目名称：</w:t>
      </w:r>
    </w:p>
    <w:p w14:paraId="7DE46B1F">
      <w:pPr>
        <w:keepNext w:val="0"/>
        <w:keepLines w:val="0"/>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包       号：                      </w:t>
      </w:r>
      <w:r>
        <w:rPr>
          <w:rFonts w:hint="eastAsia" w:ascii="宋体" w:hAnsi="宋体" w:cs="宋体"/>
          <w:sz w:val="24"/>
          <w:szCs w:val="24"/>
          <w:lang w:val="en-US" w:eastAsia="zh-CN"/>
        </w:rPr>
        <w:t xml:space="preserve">     </w:t>
      </w:r>
      <w:r>
        <w:rPr>
          <w:rFonts w:hint="eastAsia" w:ascii="宋体" w:hAnsi="宋体" w:eastAsia="宋体" w:cs="宋体"/>
          <w:sz w:val="24"/>
          <w:szCs w:val="24"/>
        </w:rPr>
        <w:t>包名称：</w:t>
      </w:r>
    </w:p>
    <w:tbl>
      <w:tblPr>
        <w:tblStyle w:val="45"/>
        <w:tblW w:w="10156" w:type="dxa"/>
        <w:tblInd w:w="-11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78"/>
        <w:gridCol w:w="1559"/>
        <w:gridCol w:w="1276"/>
        <w:gridCol w:w="1276"/>
        <w:gridCol w:w="1984"/>
        <w:gridCol w:w="2983"/>
      </w:tblGrid>
      <w:tr w14:paraId="2B96B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2" w:hRule="exact"/>
        </w:trPr>
        <w:tc>
          <w:tcPr>
            <w:tcW w:w="10156" w:type="dxa"/>
            <w:gridSpan w:val="6"/>
            <w:vAlign w:val="center"/>
          </w:tcPr>
          <w:p w14:paraId="72652E8E">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以下为供应商提供的政府采购优先采购产品，供应商对本表的真实性负责。如有虚假，将依法承担相应责任。</w:t>
            </w:r>
          </w:p>
        </w:tc>
      </w:tr>
      <w:tr w14:paraId="680C66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2" w:hRule="exact"/>
        </w:trPr>
        <w:tc>
          <w:tcPr>
            <w:tcW w:w="1078" w:type="dxa"/>
            <w:vAlign w:val="center"/>
          </w:tcPr>
          <w:p w14:paraId="3A1C5AD2">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59" w:type="dxa"/>
            <w:vAlign w:val="center"/>
          </w:tcPr>
          <w:p w14:paraId="30E16CA4">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276" w:type="dxa"/>
            <w:tcBorders>
              <w:right w:val="single" w:color="auto" w:sz="4" w:space="0"/>
            </w:tcBorders>
            <w:vAlign w:val="center"/>
          </w:tcPr>
          <w:p w14:paraId="14336873">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276" w:type="dxa"/>
            <w:tcBorders>
              <w:left w:val="single" w:color="auto" w:sz="4" w:space="0"/>
            </w:tcBorders>
            <w:vAlign w:val="center"/>
          </w:tcPr>
          <w:p w14:paraId="15016DE5">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984" w:type="dxa"/>
            <w:vAlign w:val="center"/>
          </w:tcPr>
          <w:p w14:paraId="5084AC22">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2983" w:type="dxa"/>
            <w:vAlign w:val="center"/>
          </w:tcPr>
          <w:p w14:paraId="60A0D4C2">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6</w:t>
            </w:r>
          </w:p>
        </w:tc>
      </w:tr>
      <w:tr w14:paraId="0869B6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28DD89E2">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559" w:type="dxa"/>
            <w:vAlign w:val="center"/>
          </w:tcPr>
          <w:p w14:paraId="6EF41323">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货物名称</w:t>
            </w:r>
          </w:p>
        </w:tc>
        <w:tc>
          <w:tcPr>
            <w:tcW w:w="1276" w:type="dxa"/>
            <w:tcBorders>
              <w:right w:val="single" w:color="auto" w:sz="4" w:space="0"/>
            </w:tcBorders>
            <w:vAlign w:val="center"/>
          </w:tcPr>
          <w:p w14:paraId="57364F86">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规格型号</w:t>
            </w:r>
          </w:p>
        </w:tc>
        <w:tc>
          <w:tcPr>
            <w:tcW w:w="1276" w:type="dxa"/>
            <w:tcBorders>
              <w:left w:val="single" w:color="auto" w:sz="4" w:space="0"/>
            </w:tcBorders>
            <w:vAlign w:val="center"/>
          </w:tcPr>
          <w:p w14:paraId="7D37447E">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价格（元）</w:t>
            </w:r>
          </w:p>
        </w:tc>
        <w:tc>
          <w:tcPr>
            <w:tcW w:w="1984" w:type="dxa"/>
            <w:vAlign w:val="center"/>
          </w:tcPr>
          <w:p w14:paraId="253B867D">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货物制造商名称</w:t>
            </w:r>
          </w:p>
        </w:tc>
        <w:tc>
          <w:tcPr>
            <w:tcW w:w="2983" w:type="dxa"/>
            <w:vAlign w:val="center"/>
          </w:tcPr>
          <w:p w14:paraId="6C5050E8">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政策功能编码</w:t>
            </w:r>
          </w:p>
        </w:tc>
      </w:tr>
      <w:tr w14:paraId="1BE0F1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exact"/>
        </w:trPr>
        <w:tc>
          <w:tcPr>
            <w:tcW w:w="10156" w:type="dxa"/>
            <w:gridSpan w:val="6"/>
            <w:vAlign w:val="center"/>
          </w:tcPr>
          <w:p w14:paraId="673C38A7">
            <w:pPr>
              <w:keepNext w:val="0"/>
              <w:keepLines w:val="0"/>
              <w:pageBreakBefore w:val="0"/>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sz w:val="24"/>
                <w:szCs w:val="24"/>
              </w:rPr>
            </w:pPr>
            <w:r>
              <w:rPr>
                <w:rFonts w:hint="eastAsia" w:ascii="宋体" w:hAnsi="宋体" w:eastAsia="宋体" w:cs="宋体"/>
                <w:b/>
                <w:sz w:val="24"/>
                <w:szCs w:val="24"/>
              </w:rPr>
              <w:t>节能产品</w:t>
            </w:r>
          </w:p>
        </w:tc>
      </w:tr>
      <w:tr w14:paraId="201F32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2" w:hRule="exact"/>
        </w:trPr>
        <w:tc>
          <w:tcPr>
            <w:tcW w:w="1078" w:type="dxa"/>
            <w:vAlign w:val="center"/>
          </w:tcPr>
          <w:p w14:paraId="08C67F04">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p>
        </w:tc>
        <w:tc>
          <w:tcPr>
            <w:tcW w:w="1559" w:type="dxa"/>
            <w:vAlign w:val="center"/>
          </w:tcPr>
          <w:p w14:paraId="14826F9A">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p>
        </w:tc>
        <w:tc>
          <w:tcPr>
            <w:tcW w:w="1276" w:type="dxa"/>
            <w:tcBorders>
              <w:right w:val="single" w:color="auto" w:sz="4" w:space="0"/>
            </w:tcBorders>
            <w:vAlign w:val="center"/>
          </w:tcPr>
          <w:p w14:paraId="0B925048">
            <w:pPr>
              <w:keepNext w:val="0"/>
              <w:keepLines w:val="0"/>
              <w:pageBreakBefore w:val="0"/>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sz w:val="24"/>
                <w:szCs w:val="24"/>
              </w:rPr>
            </w:pPr>
          </w:p>
        </w:tc>
        <w:tc>
          <w:tcPr>
            <w:tcW w:w="1276" w:type="dxa"/>
            <w:tcBorders>
              <w:left w:val="single" w:color="auto" w:sz="4" w:space="0"/>
            </w:tcBorders>
            <w:vAlign w:val="center"/>
          </w:tcPr>
          <w:p w14:paraId="5A38BE41">
            <w:pPr>
              <w:keepNext w:val="0"/>
              <w:keepLines w:val="0"/>
              <w:pageBreakBefore w:val="0"/>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sz w:val="24"/>
                <w:szCs w:val="24"/>
              </w:rPr>
            </w:pPr>
          </w:p>
        </w:tc>
        <w:tc>
          <w:tcPr>
            <w:tcW w:w="1984" w:type="dxa"/>
            <w:vAlign w:val="center"/>
          </w:tcPr>
          <w:p w14:paraId="25E99976">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p>
        </w:tc>
        <w:tc>
          <w:tcPr>
            <w:tcW w:w="2983" w:type="dxa"/>
          </w:tcPr>
          <w:p w14:paraId="47CB7080">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p>
        </w:tc>
      </w:tr>
      <w:tr w14:paraId="0F889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0BE0C776">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小计</w:t>
            </w:r>
          </w:p>
        </w:tc>
        <w:tc>
          <w:tcPr>
            <w:tcW w:w="1559" w:type="dxa"/>
            <w:vAlign w:val="center"/>
          </w:tcPr>
          <w:p w14:paraId="5DFD740E">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w:t>
            </w:r>
          </w:p>
        </w:tc>
        <w:tc>
          <w:tcPr>
            <w:tcW w:w="1276" w:type="dxa"/>
            <w:tcBorders>
              <w:right w:val="single" w:color="auto" w:sz="4" w:space="0"/>
            </w:tcBorders>
            <w:vAlign w:val="center"/>
          </w:tcPr>
          <w:p w14:paraId="33B7C184">
            <w:pPr>
              <w:keepNext w:val="0"/>
              <w:keepLines w:val="0"/>
              <w:pageBreakBefore w:val="0"/>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sz w:val="24"/>
                <w:szCs w:val="24"/>
              </w:rPr>
            </w:pPr>
          </w:p>
        </w:tc>
        <w:tc>
          <w:tcPr>
            <w:tcW w:w="1276" w:type="dxa"/>
            <w:tcBorders>
              <w:left w:val="single" w:color="auto" w:sz="4" w:space="0"/>
            </w:tcBorders>
            <w:vAlign w:val="center"/>
          </w:tcPr>
          <w:p w14:paraId="1827AA28">
            <w:pPr>
              <w:keepNext w:val="0"/>
              <w:keepLines w:val="0"/>
              <w:pageBreakBefore w:val="0"/>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sz w:val="24"/>
                <w:szCs w:val="24"/>
              </w:rPr>
            </w:pPr>
          </w:p>
        </w:tc>
        <w:tc>
          <w:tcPr>
            <w:tcW w:w="1984" w:type="dxa"/>
            <w:vAlign w:val="center"/>
          </w:tcPr>
          <w:p w14:paraId="2F57731C">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w:t>
            </w:r>
          </w:p>
        </w:tc>
        <w:tc>
          <w:tcPr>
            <w:tcW w:w="2983" w:type="dxa"/>
          </w:tcPr>
          <w:p w14:paraId="2E5C42C6">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w:t>
            </w:r>
          </w:p>
        </w:tc>
      </w:tr>
      <w:tr w14:paraId="3DCBBF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exact"/>
        </w:trPr>
        <w:tc>
          <w:tcPr>
            <w:tcW w:w="10156" w:type="dxa"/>
            <w:gridSpan w:val="6"/>
            <w:vAlign w:val="center"/>
          </w:tcPr>
          <w:p w14:paraId="47254F5A">
            <w:pPr>
              <w:keepNext w:val="0"/>
              <w:keepLines w:val="0"/>
              <w:pageBreakBefore w:val="0"/>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sz w:val="24"/>
                <w:szCs w:val="24"/>
              </w:rPr>
            </w:pPr>
            <w:r>
              <w:rPr>
                <w:rFonts w:hint="eastAsia" w:ascii="宋体" w:hAnsi="宋体" w:eastAsia="宋体" w:cs="宋体"/>
                <w:b/>
                <w:sz w:val="24"/>
                <w:szCs w:val="24"/>
              </w:rPr>
              <w:t>环境标志产品</w:t>
            </w:r>
          </w:p>
        </w:tc>
      </w:tr>
      <w:tr w14:paraId="5C317F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0BF9BAC3">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p>
        </w:tc>
        <w:tc>
          <w:tcPr>
            <w:tcW w:w="1559" w:type="dxa"/>
            <w:vAlign w:val="center"/>
          </w:tcPr>
          <w:p w14:paraId="3933D231">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p>
        </w:tc>
        <w:tc>
          <w:tcPr>
            <w:tcW w:w="1276" w:type="dxa"/>
            <w:tcBorders>
              <w:right w:val="single" w:color="auto" w:sz="4" w:space="0"/>
            </w:tcBorders>
            <w:vAlign w:val="center"/>
          </w:tcPr>
          <w:p w14:paraId="2CCF6A02">
            <w:pPr>
              <w:keepNext w:val="0"/>
              <w:keepLines w:val="0"/>
              <w:pageBreakBefore w:val="0"/>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sz w:val="24"/>
                <w:szCs w:val="24"/>
              </w:rPr>
            </w:pPr>
          </w:p>
        </w:tc>
        <w:tc>
          <w:tcPr>
            <w:tcW w:w="1276" w:type="dxa"/>
            <w:tcBorders>
              <w:left w:val="single" w:color="auto" w:sz="4" w:space="0"/>
            </w:tcBorders>
            <w:vAlign w:val="center"/>
          </w:tcPr>
          <w:p w14:paraId="5E5502D0">
            <w:pPr>
              <w:keepNext w:val="0"/>
              <w:keepLines w:val="0"/>
              <w:pageBreakBefore w:val="0"/>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sz w:val="24"/>
                <w:szCs w:val="24"/>
              </w:rPr>
            </w:pPr>
          </w:p>
        </w:tc>
        <w:tc>
          <w:tcPr>
            <w:tcW w:w="1984" w:type="dxa"/>
            <w:vAlign w:val="center"/>
          </w:tcPr>
          <w:p w14:paraId="2C639747">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p>
        </w:tc>
        <w:tc>
          <w:tcPr>
            <w:tcW w:w="2983" w:type="dxa"/>
          </w:tcPr>
          <w:p w14:paraId="250E5F84">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p>
        </w:tc>
      </w:tr>
      <w:tr w14:paraId="3B7716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1B3ACE5C">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小计</w:t>
            </w:r>
          </w:p>
        </w:tc>
        <w:tc>
          <w:tcPr>
            <w:tcW w:w="1559" w:type="dxa"/>
            <w:vAlign w:val="center"/>
          </w:tcPr>
          <w:p w14:paraId="3D515936">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w:t>
            </w:r>
          </w:p>
        </w:tc>
        <w:tc>
          <w:tcPr>
            <w:tcW w:w="1276" w:type="dxa"/>
            <w:tcBorders>
              <w:right w:val="single" w:color="auto" w:sz="4" w:space="0"/>
            </w:tcBorders>
            <w:vAlign w:val="center"/>
          </w:tcPr>
          <w:p w14:paraId="20937D0A">
            <w:pPr>
              <w:keepNext w:val="0"/>
              <w:keepLines w:val="0"/>
              <w:pageBreakBefore w:val="0"/>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sz w:val="24"/>
                <w:szCs w:val="24"/>
              </w:rPr>
            </w:pPr>
          </w:p>
        </w:tc>
        <w:tc>
          <w:tcPr>
            <w:tcW w:w="1276" w:type="dxa"/>
            <w:tcBorders>
              <w:left w:val="single" w:color="auto" w:sz="4" w:space="0"/>
            </w:tcBorders>
            <w:vAlign w:val="center"/>
          </w:tcPr>
          <w:p w14:paraId="76D7C52C">
            <w:pPr>
              <w:keepNext w:val="0"/>
              <w:keepLines w:val="0"/>
              <w:pageBreakBefore w:val="0"/>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sz w:val="24"/>
                <w:szCs w:val="24"/>
              </w:rPr>
            </w:pPr>
          </w:p>
        </w:tc>
        <w:tc>
          <w:tcPr>
            <w:tcW w:w="1984" w:type="dxa"/>
            <w:vAlign w:val="center"/>
          </w:tcPr>
          <w:p w14:paraId="44C1546C">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w:t>
            </w:r>
          </w:p>
        </w:tc>
        <w:tc>
          <w:tcPr>
            <w:tcW w:w="2983" w:type="dxa"/>
          </w:tcPr>
          <w:p w14:paraId="70FF6BED">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w:t>
            </w:r>
          </w:p>
        </w:tc>
      </w:tr>
      <w:tr w14:paraId="7A3D1C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7" w:hRule="exact"/>
        </w:trPr>
        <w:tc>
          <w:tcPr>
            <w:tcW w:w="10156" w:type="dxa"/>
            <w:gridSpan w:val="6"/>
            <w:vAlign w:val="center"/>
          </w:tcPr>
          <w:p w14:paraId="534873BE">
            <w:pPr>
              <w:keepNext w:val="0"/>
              <w:keepLines w:val="0"/>
              <w:pageBreakBefore w:val="0"/>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b/>
                <w:sz w:val="24"/>
                <w:szCs w:val="24"/>
              </w:rPr>
            </w:pPr>
            <w:r>
              <w:rPr>
                <w:rFonts w:hint="eastAsia" w:ascii="宋体" w:hAnsi="宋体" w:eastAsia="宋体" w:cs="宋体"/>
                <w:b/>
                <w:sz w:val="24"/>
                <w:szCs w:val="24"/>
              </w:rPr>
              <w:t>两型产品</w:t>
            </w:r>
          </w:p>
        </w:tc>
      </w:tr>
      <w:tr w14:paraId="2098ED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2934CEA0">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559" w:type="dxa"/>
            <w:vAlign w:val="center"/>
          </w:tcPr>
          <w:p w14:paraId="63188242">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276" w:type="dxa"/>
            <w:tcBorders>
              <w:right w:val="single" w:color="auto" w:sz="4" w:space="0"/>
            </w:tcBorders>
            <w:vAlign w:val="center"/>
          </w:tcPr>
          <w:p w14:paraId="295F3277">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276" w:type="dxa"/>
            <w:tcBorders>
              <w:left w:val="single" w:color="auto" w:sz="4" w:space="0"/>
            </w:tcBorders>
            <w:vAlign w:val="center"/>
          </w:tcPr>
          <w:p w14:paraId="691AA05A">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984" w:type="dxa"/>
            <w:vAlign w:val="center"/>
          </w:tcPr>
          <w:p w14:paraId="0FC42B2C">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2983" w:type="dxa"/>
          </w:tcPr>
          <w:p w14:paraId="6EC6286A">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r>
      <w:tr w14:paraId="00FEC3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3949B4A3">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小计</w:t>
            </w:r>
          </w:p>
        </w:tc>
        <w:tc>
          <w:tcPr>
            <w:tcW w:w="1559" w:type="dxa"/>
            <w:vAlign w:val="center"/>
          </w:tcPr>
          <w:p w14:paraId="7A0DC358">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276" w:type="dxa"/>
            <w:tcBorders>
              <w:right w:val="single" w:color="auto" w:sz="4" w:space="0"/>
            </w:tcBorders>
            <w:vAlign w:val="center"/>
          </w:tcPr>
          <w:p w14:paraId="3E35B425">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276" w:type="dxa"/>
            <w:tcBorders>
              <w:left w:val="single" w:color="auto" w:sz="4" w:space="0"/>
            </w:tcBorders>
            <w:vAlign w:val="center"/>
          </w:tcPr>
          <w:p w14:paraId="222FE30C">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sz w:val="24"/>
                <w:szCs w:val="24"/>
              </w:rPr>
            </w:pPr>
          </w:p>
        </w:tc>
        <w:tc>
          <w:tcPr>
            <w:tcW w:w="1984" w:type="dxa"/>
            <w:vAlign w:val="center"/>
          </w:tcPr>
          <w:p w14:paraId="3F01BEF3">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2983" w:type="dxa"/>
          </w:tcPr>
          <w:p w14:paraId="29840851">
            <w:pPr>
              <w:keepNext w:val="0"/>
              <w:keepLines w:val="0"/>
              <w:pageBreakBefore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r>
    </w:tbl>
    <w:p w14:paraId="4C7ABDC4">
      <w:pPr>
        <w:keepNext w:val="0"/>
        <w:keepLines w:val="0"/>
        <w:pageBreakBefore w:val="0"/>
        <w:kinsoku/>
        <w:wordWrap/>
        <w:overflowPunct/>
        <w:topLinePunct w:val="0"/>
        <w:autoSpaceDE/>
        <w:autoSpaceDN/>
        <w:bidi w:val="0"/>
        <w:adjustRightInd w:val="0"/>
        <w:snapToGrid w:val="0"/>
        <w:spacing w:beforeAutospacing="0" w:afterAutospacing="0" w:line="5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说明：</w:t>
      </w:r>
      <w:r>
        <w:rPr>
          <w:rFonts w:hint="eastAsia" w:ascii="宋体" w:hAnsi="宋体" w:eastAsia="宋体" w:cs="宋体"/>
          <w:bCs/>
          <w:sz w:val="24"/>
          <w:szCs w:val="24"/>
        </w:rPr>
        <w:t>1、</w:t>
      </w:r>
      <w:r>
        <w:rPr>
          <w:rFonts w:hint="eastAsia" w:ascii="宋体" w:hAnsi="宋体" w:eastAsia="宋体" w:cs="宋体"/>
          <w:sz w:val="24"/>
          <w:szCs w:val="24"/>
        </w:rPr>
        <w:t>本表用于计算政府采购优先采购产品（节能产品或环境标志产品或两型产品）的政府采购政策价格扣除。</w:t>
      </w:r>
    </w:p>
    <w:p w14:paraId="11D81719">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720" w:firstLineChars="300"/>
        <w:jc w:val="left"/>
        <w:textAlignment w:val="auto"/>
        <w:rPr>
          <w:rFonts w:hint="eastAsia" w:ascii="宋体" w:hAnsi="宋体" w:eastAsia="宋体" w:cs="宋体"/>
          <w:sz w:val="24"/>
          <w:szCs w:val="24"/>
        </w:rPr>
      </w:pPr>
      <w:r>
        <w:rPr>
          <w:rFonts w:hint="eastAsia" w:ascii="宋体" w:hAnsi="宋体" w:eastAsia="宋体" w:cs="宋体"/>
          <w:sz w:val="24"/>
          <w:szCs w:val="24"/>
        </w:rPr>
        <w:t>2、栏目4“价格”为综合单价，包含货物所有隐含的内容，如运输费、保险费、管理费和利润等。</w:t>
      </w:r>
    </w:p>
    <w:p w14:paraId="38BAD4AC">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720" w:firstLineChars="300"/>
        <w:jc w:val="left"/>
        <w:textAlignment w:val="auto"/>
        <w:rPr>
          <w:rFonts w:hint="eastAsia" w:ascii="宋体" w:hAnsi="宋体" w:eastAsia="宋体" w:cs="宋体"/>
          <w:sz w:val="24"/>
          <w:szCs w:val="24"/>
        </w:rPr>
      </w:pPr>
      <w:r>
        <w:rPr>
          <w:rFonts w:hint="eastAsia" w:ascii="宋体" w:hAnsi="宋体" w:eastAsia="宋体" w:cs="宋体"/>
          <w:sz w:val="24"/>
          <w:szCs w:val="24"/>
        </w:rPr>
        <w:t>3、栏目6“政策功能编码”是指货物的中国环境标志认证证书编号、中国节能标志认证证书号、两型产品编号（货物同时属于节能产品、环境标志产品、两型产品的，只须填写一种）。</w:t>
      </w:r>
    </w:p>
    <w:p w14:paraId="2A0FD37C">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sz w:val="24"/>
          <w:szCs w:val="24"/>
          <w:u w:val="single"/>
        </w:rPr>
      </w:pPr>
      <w:r>
        <w:rPr>
          <w:rFonts w:hint="eastAsia" w:ascii="宋体" w:hAnsi="宋体" w:eastAsia="宋体" w:cs="宋体"/>
          <w:sz w:val="24"/>
          <w:szCs w:val="24"/>
        </w:rPr>
        <w:t>供应商名称（盖单位公章）：</w:t>
      </w:r>
    </w:p>
    <w:p w14:paraId="6FAB2DC9">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或其委托代理人（签字或印章）：</w:t>
      </w:r>
    </w:p>
    <w:p w14:paraId="16C05297">
      <w:pPr>
        <w:keepNext w:val="0"/>
        <w:keepLines w:val="0"/>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日期：    年   月   日</w:t>
      </w:r>
    </w:p>
    <w:p w14:paraId="2EC0F224">
      <w:pPr>
        <w:pStyle w:val="33"/>
        <w:keepNext w:val="0"/>
        <w:keepLines w:val="0"/>
        <w:pageBreakBefore w:val="0"/>
        <w:kinsoku/>
        <w:wordWrap/>
        <w:overflowPunct/>
        <w:topLinePunct w:val="0"/>
        <w:bidi w:val="0"/>
        <w:spacing w:beforeAutospacing="0" w:afterAutospacing="0" w:line="500" w:lineRule="exact"/>
        <w:textAlignment w:val="auto"/>
        <w:rPr>
          <w:rFonts w:hint="eastAsia" w:ascii="宋体" w:hAnsi="宋体" w:eastAsia="宋体" w:cs="宋体"/>
          <w:sz w:val="24"/>
          <w:szCs w:val="24"/>
        </w:rPr>
      </w:pPr>
    </w:p>
    <w:bookmarkEnd w:id="79"/>
    <w:p w14:paraId="0E876CA4">
      <w:pPr>
        <w:pStyle w:val="2"/>
        <w:pageBreakBefore w:val="0"/>
        <w:kinsoku/>
        <w:wordWrap/>
        <w:overflowPunct/>
        <w:bidi w:val="0"/>
        <w:spacing w:beforeAutospacing="0" w:afterAutospacing="0" w:line="500" w:lineRule="exact"/>
        <w:jc w:val="center"/>
        <w:textAlignment w:val="auto"/>
        <w:rPr>
          <w:rFonts w:hint="eastAsia" w:ascii="宋体" w:hAnsi="宋体" w:eastAsia="宋体" w:cs="宋体"/>
          <w:sz w:val="28"/>
          <w:szCs w:val="28"/>
        </w:rPr>
      </w:pPr>
      <w:bookmarkStart w:id="95" w:name="_Toc15463"/>
      <w:bookmarkStart w:id="96" w:name="_Toc18359"/>
      <w:bookmarkStart w:id="97" w:name="_Toc17657"/>
      <w:r>
        <w:rPr>
          <w:rFonts w:hint="eastAsia" w:ascii="宋体" w:hAnsi="宋体" w:cs="宋体"/>
          <w:sz w:val="28"/>
          <w:szCs w:val="28"/>
          <w:lang w:val="en-US" w:eastAsia="zh-CN"/>
        </w:rPr>
        <w:t>七</w:t>
      </w:r>
      <w:r>
        <w:rPr>
          <w:rFonts w:hint="eastAsia" w:ascii="宋体" w:hAnsi="宋体" w:eastAsia="宋体" w:cs="宋体"/>
          <w:sz w:val="28"/>
          <w:szCs w:val="28"/>
        </w:rPr>
        <w:t>、报价一览表及报价文件</w:t>
      </w:r>
      <w:bookmarkEnd w:id="95"/>
      <w:bookmarkEnd w:id="96"/>
      <w:bookmarkEnd w:id="97"/>
    </w:p>
    <w:p w14:paraId="1EF16115">
      <w:pPr>
        <w:pStyle w:val="4"/>
        <w:pageBreakBefore w:val="0"/>
        <w:kinsoku/>
        <w:wordWrap/>
        <w:overflowPunct/>
        <w:bidi w:val="0"/>
        <w:spacing w:before="0" w:beforeAutospacing="0" w:after="0" w:afterAutospacing="0" w:line="500" w:lineRule="exact"/>
        <w:jc w:val="left"/>
        <w:textAlignment w:val="auto"/>
        <w:rPr>
          <w:rFonts w:hint="eastAsia" w:ascii="宋体" w:hAnsi="宋体" w:eastAsia="宋体" w:cs="宋体"/>
          <w:b/>
          <w:sz w:val="28"/>
          <w:szCs w:val="28"/>
        </w:rPr>
      </w:pPr>
      <w:bookmarkStart w:id="98" w:name="_Toc12687"/>
      <w:bookmarkStart w:id="99" w:name="_Toc12462"/>
      <w:r>
        <w:rPr>
          <w:rFonts w:hint="eastAsia" w:ascii="宋体" w:hAnsi="宋体" w:eastAsia="宋体" w:cs="宋体"/>
          <w:sz w:val="24"/>
          <w:szCs w:val="24"/>
        </w:rPr>
        <w:t>附件</w:t>
      </w:r>
      <w:r>
        <w:rPr>
          <w:rFonts w:hint="default" w:ascii="宋体" w:hAnsi="宋体" w:cs="宋体"/>
          <w:sz w:val="24"/>
          <w:szCs w:val="24"/>
          <w:lang w:val="en-US"/>
        </w:rPr>
        <w:t>6</w:t>
      </w:r>
      <w:r>
        <w:rPr>
          <w:rFonts w:hint="eastAsia" w:ascii="宋体" w:hAnsi="宋体" w:eastAsia="宋体" w:cs="宋体"/>
          <w:sz w:val="24"/>
          <w:szCs w:val="24"/>
        </w:rPr>
        <w:t xml:space="preserve">-1 </w:t>
      </w:r>
      <w:bookmarkEnd w:id="98"/>
      <w:bookmarkEnd w:id="99"/>
      <w:r>
        <w:rPr>
          <w:rFonts w:hint="eastAsia" w:ascii="宋体" w:hAnsi="宋体" w:cs="宋体"/>
          <w:sz w:val="24"/>
          <w:szCs w:val="24"/>
          <w:lang w:val="en-US" w:eastAsia="zh-CN"/>
        </w:rPr>
        <w:t xml:space="preserve">                          </w:t>
      </w:r>
      <w:r>
        <w:rPr>
          <w:rFonts w:hint="eastAsia" w:ascii="宋体" w:hAnsi="宋体" w:eastAsia="宋体" w:cs="宋体"/>
          <w:b/>
          <w:sz w:val="28"/>
          <w:szCs w:val="28"/>
        </w:rPr>
        <w:t>报价表</w:t>
      </w:r>
    </w:p>
    <w:p w14:paraId="360F79A7">
      <w:pPr>
        <w:pStyle w:val="43"/>
        <w:jc w:val="center"/>
        <w:rPr>
          <w:rFonts w:hint="default" w:eastAsia="宋体"/>
          <w:b/>
          <w:bCs w:val="0"/>
          <w:lang w:val="en-US" w:eastAsia="zh-CN"/>
        </w:rPr>
      </w:pPr>
      <w:r>
        <w:rPr>
          <w:rFonts w:hint="eastAsia"/>
          <w:b/>
          <w:bCs w:val="0"/>
          <w:lang w:val="en-US" w:eastAsia="zh-CN"/>
        </w:rPr>
        <w:t>(采用承诺制，格式自拟)</w:t>
      </w:r>
    </w:p>
    <w:p w14:paraId="1FE2B5A7">
      <w:pPr>
        <w:pageBreakBefore w:val="0"/>
        <w:kinsoku/>
        <w:wordWrap/>
        <w:overflowPunct/>
        <w:bidi w:val="0"/>
        <w:adjustRightInd w:val="0"/>
        <w:snapToGrid w:val="0"/>
        <w:spacing w:beforeAutospacing="0" w:afterAutospacing="0" w:line="500" w:lineRule="exact"/>
        <w:ind w:left="-88" w:leftChars="-42"/>
        <w:jc w:val="center"/>
        <w:textAlignment w:val="auto"/>
        <w:rPr>
          <w:rFonts w:hint="eastAsia" w:ascii="宋体" w:hAnsi="宋体" w:eastAsia="宋体" w:cs="宋体"/>
          <w:color w:val="000000"/>
          <w:sz w:val="28"/>
          <w:szCs w:val="28"/>
        </w:rPr>
      </w:pPr>
    </w:p>
    <w:p w14:paraId="22E6ED45">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政府采购计划编号：                 </w:t>
      </w:r>
      <w:r>
        <w:rPr>
          <w:rFonts w:hint="eastAsia" w:ascii="宋体" w:hAnsi="宋体" w:cs="宋体"/>
          <w:sz w:val="24"/>
          <w:szCs w:val="24"/>
          <w:lang w:val="en-US" w:eastAsia="zh-CN"/>
        </w:rPr>
        <w:t xml:space="preserve"> </w:t>
      </w:r>
      <w:r>
        <w:rPr>
          <w:rFonts w:hint="eastAsia" w:ascii="宋体" w:hAnsi="宋体" w:eastAsia="宋体" w:cs="宋体"/>
          <w:sz w:val="24"/>
          <w:szCs w:val="24"/>
        </w:rPr>
        <w:t xml:space="preserve"> 项目名称：</w:t>
      </w:r>
    </w:p>
    <w:p w14:paraId="2B3552AE">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b/>
          <w:sz w:val="24"/>
          <w:szCs w:val="24"/>
        </w:rPr>
      </w:pPr>
      <w:r>
        <w:rPr>
          <w:rFonts w:hint="eastAsia" w:ascii="宋体" w:hAnsi="宋体" w:eastAsia="宋体" w:cs="宋体"/>
          <w:sz w:val="24"/>
          <w:szCs w:val="24"/>
        </w:rPr>
        <w:t>包号：                               包名称：</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37E004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731B6DF8">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报价</w:t>
            </w:r>
          </w:p>
        </w:tc>
        <w:tc>
          <w:tcPr>
            <w:tcW w:w="3119" w:type="dxa"/>
            <w:vAlign w:val="center"/>
          </w:tcPr>
          <w:p w14:paraId="7095A1DA">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其他内容</w:t>
            </w:r>
          </w:p>
        </w:tc>
      </w:tr>
      <w:tr w14:paraId="43C5DE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88" w:hRule="atLeast"/>
        </w:trPr>
        <w:tc>
          <w:tcPr>
            <w:tcW w:w="5670" w:type="dxa"/>
            <w:vAlign w:val="center"/>
          </w:tcPr>
          <w:p w14:paraId="5C5D7EE6">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rPr>
              <w:t>小写金额：（人民币元）</w:t>
            </w:r>
          </w:p>
          <w:p w14:paraId="18B5071C">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u w:val="single"/>
              </w:rPr>
            </w:pP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rPr>
              <w:t>大写金额：（人民币元）</w:t>
            </w:r>
          </w:p>
          <w:p w14:paraId="0D5F312C">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（大写金额与小写金额不一致时，以大写金额为准）</w:t>
            </w:r>
          </w:p>
        </w:tc>
        <w:tc>
          <w:tcPr>
            <w:tcW w:w="3119" w:type="dxa"/>
            <w:vAlign w:val="center"/>
          </w:tcPr>
          <w:p w14:paraId="5160E248">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p>
        </w:tc>
      </w:tr>
    </w:tbl>
    <w:p w14:paraId="442F5E34">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b/>
          <w:sz w:val="24"/>
          <w:szCs w:val="24"/>
        </w:rPr>
        <w:t>备注：</w:t>
      </w:r>
      <w:r>
        <w:rPr>
          <w:rFonts w:hint="eastAsia" w:ascii="宋体" w:hAnsi="宋体" w:eastAsia="宋体" w:cs="宋体"/>
          <w:sz w:val="24"/>
          <w:szCs w:val="24"/>
        </w:rPr>
        <w:t>（1）本表须按包填写，一个“包号”一份。</w:t>
      </w:r>
    </w:p>
    <w:p w14:paraId="5C851F6A">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4897C6B9">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6A0ABF68">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327CBB31">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color w:val="FF0000"/>
          <w:sz w:val="24"/>
          <w:szCs w:val="24"/>
        </w:rPr>
      </w:pPr>
    </w:p>
    <w:p w14:paraId="4B77425B">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供应商名称（盖单位公章）：</w:t>
      </w:r>
    </w:p>
    <w:p w14:paraId="3049A6C9">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lang w:val="en-US" w:eastAsia="zh-CN"/>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或其授权的代理人（签字或印章）：</w:t>
      </w:r>
    </w:p>
    <w:p w14:paraId="5E2908E9">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日期：   年   月   日</w:t>
      </w:r>
    </w:p>
    <w:p w14:paraId="3306A207">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p>
    <w:p w14:paraId="5BAE4702">
      <w:pPr>
        <w:pStyle w:val="2"/>
        <w:pageBreakBefore w:val="0"/>
        <w:kinsoku/>
        <w:wordWrap/>
        <w:overflowPunct/>
        <w:bidi w:val="0"/>
        <w:spacing w:beforeAutospacing="0" w:afterAutospacing="0" w:line="500" w:lineRule="exact"/>
        <w:textAlignment w:val="auto"/>
        <w:outlineLvl w:val="9"/>
        <w:rPr>
          <w:rFonts w:hint="eastAsia" w:ascii="宋体" w:hAnsi="宋体" w:eastAsia="宋体" w:cs="宋体"/>
          <w:sz w:val="24"/>
          <w:szCs w:val="24"/>
        </w:rPr>
      </w:pPr>
    </w:p>
    <w:p w14:paraId="0795DEB8">
      <w:pPr>
        <w:pageBreakBefore w:val="0"/>
        <w:kinsoku/>
        <w:wordWrap/>
        <w:overflowPunct/>
        <w:bidi w:val="0"/>
        <w:spacing w:beforeAutospacing="0" w:afterAutospacing="0" w:line="500" w:lineRule="exact"/>
        <w:textAlignment w:val="auto"/>
        <w:rPr>
          <w:rFonts w:hint="eastAsia" w:ascii="宋体" w:hAnsi="宋体" w:eastAsia="宋体" w:cs="宋体"/>
          <w:sz w:val="24"/>
          <w:szCs w:val="24"/>
        </w:rPr>
      </w:pPr>
    </w:p>
    <w:p w14:paraId="081D7B3E">
      <w:pPr>
        <w:pStyle w:val="4"/>
        <w:pageBreakBefore w:val="0"/>
        <w:kinsoku/>
        <w:wordWrap/>
        <w:overflowPunct/>
        <w:bidi w:val="0"/>
        <w:adjustRightInd w:val="0"/>
        <w:snapToGrid w:val="0"/>
        <w:spacing w:before="0" w:beforeAutospacing="0" w:after="0" w:afterAutospacing="0" w:line="500" w:lineRule="exact"/>
        <w:textAlignment w:val="auto"/>
        <w:rPr>
          <w:rFonts w:hint="eastAsia" w:ascii="宋体" w:hAnsi="宋体" w:eastAsia="宋体" w:cs="宋体"/>
          <w:sz w:val="24"/>
          <w:szCs w:val="24"/>
        </w:rPr>
      </w:pPr>
      <w:bookmarkStart w:id="100" w:name="_Toc27340"/>
      <w:bookmarkStart w:id="101" w:name="_Toc840"/>
    </w:p>
    <w:p w14:paraId="2ED4563B">
      <w:pPr>
        <w:pageBreakBefore w:val="0"/>
        <w:kinsoku/>
        <w:wordWrap/>
        <w:overflowPunct/>
        <w:bidi w:val="0"/>
        <w:spacing w:line="500" w:lineRule="exact"/>
        <w:textAlignment w:val="auto"/>
        <w:rPr>
          <w:rFonts w:hint="eastAsia"/>
        </w:rPr>
      </w:pPr>
    </w:p>
    <w:p w14:paraId="09CE0CF2">
      <w:pPr>
        <w:pStyle w:val="4"/>
        <w:pageBreakBefore w:val="0"/>
        <w:kinsoku/>
        <w:wordWrap/>
        <w:overflowPunct/>
        <w:bidi w:val="0"/>
        <w:adjustRightInd w:val="0"/>
        <w:snapToGrid w:val="0"/>
        <w:spacing w:before="0" w:beforeAutospacing="0" w:after="0" w:afterAutospacing="0" w:line="500" w:lineRule="exact"/>
        <w:textAlignment w:val="auto"/>
        <w:rPr>
          <w:rFonts w:hint="eastAsia" w:ascii="宋体" w:hAnsi="宋体" w:eastAsia="宋体" w:cs="宋体"/>
          <w:sz w:val="24"/>
          <w:szCs w:val="24"/>
        </w:rPr>
      </w:pPr>
    </w:p>
    <w:p w14:paraId="618702C1">
      <w:pPr>
        <w:rPr>
          <w:rFonts w:hint="eastAsia"/>
        </w:rPr>
      </w:pPr>
    </w:p>
    <w:p w14:paraId="31A06224">
      <w:pPr>
        <w:pStyle w:val="4"/>
        <w:pageBreakBefore w:val="0"/>
        <w:kinsoku/>
        <w:wordWrap/>
        <w:overflowPunct/>
        <w:bidi w:val="0"/>
        <w:adjustRightInd w:val="0"/>
        <w:snapToGrid w:val="0"/>
        <w:spacing w:before="0" w:beforeAutospacing="0" w:after="0" w:afterAutospacing="0" w:line="500" w:lineRule="exact"/>
        <w:textAlignment w:val="auto"/>
        <w:rPr>
          <w:rFonts w:hint="eastAsia" w:ascii="宋体" w:hAnsi="宋体" w:eastAsia="宋体" w:cs="宋体"/>
          <w:b/>
          <w:spacing w:val="-2"/>
          <w:kern w:val="0"/>
          <w:position w:val="-3"/>
          <w:sz w:val="24"/>
          <w:szCs w:val="24"/>
        </w:rPr>
      </w:pPr>
      <w:r>
        <w:rPr>
          <w:rFonts w:hint="eastAsia" w:ascii="宋体" w:hAnsi="宋体" w:eastAsia="宋体" w:cs="宋体"/>
          <w:sz w:val="24"/>
          <w:szCs w:val="24"/>
        </w:rPr>
        <w:t>附件</w:t>
      </w:r>
      <w:r>
        <w:rPr>
          <w:rFonts w:hint="default" w:ascii="宋体" w:hAnsi="宋体" w:cs="宋体"/>
          <w:sz w:val="24"/>
          <w:szCs w:val="24"/>
          <w:lang w:val="en-US"/>
        </w:rPr>
        <w:t>6</w:t>
      </w:r>
      <w:r>
        <w:rPr>
          <w:rFonts w:hint="eastAsia" w:ascii="宋体" w:hAnsi="宋体" w:eastAsia="宋体" w:cs="宋体"/>
          <w:sz w:val="24"/>
          <w:szCs w:val="24"/>
        </w:rPr>
        <w:t>-2</w:t>
      </w:r>
      <w:bookmarkEnd w:id="100"/>
      <w:bookmarkEnd w:id="101"/>
    </w:p>
    <w:p w14:paraId="09E29530">
      <w:pPr>
        <w:pageBreakBefore w:val="0"/>
        <w:kinsoku/>
        <w:wordWrap/>
        <w:overflowPunct/>
        <w:bidi w:val="0"/>
        <w:adjustRightInd w:val="0"/>
        <w:snapToGrid w:val="0"/>
        <w:spacing w:beforeAutospacing="0" w:afterAutospacing="0" w:line="500" w:lineRule="exact"/>
        <w:jc w:val="center"/>
        <w:textAlignment w:val="auto"/>
        <w:rPr>
          <w:rFonts w:hint="eastAsia" w:ascii="宋体" w:hAnsi="宋体" w:eastAsia="宋体" w:cs="宋体"/>
          <w:b/>
          <w:kern w:val="0"/>
          <w:position w:val="-3"/>
          <w:sz w:val="28"/>
          <w:szCs w:val="28"/>
        </w:rPr>
      </w:pPr>
      <w:r>
        <w:rPr>
          <w:rFonts w:hint="eastAsia" w:ascii="宋体" w:hAnsi="宋体" w:eastAsia="宋体" w:cs="宋体"/>
          <w:b/>
          <w:spacing w:val="-2"/>
          <w:kern w:val="0"/>
          <w:position w:val="-3"/>
          <w:sz w:val="28"/>
          <w:szCs w:val="28"/>
        </w:rPr>
        <w:t>分</w:t>
      </w:r>
      <w:r>
        <w:rPr>
          <w:rFonts w:hint="eastAsia" w:ascii="宋体" w:hAnsi="宋体" w:eastAsia="宋体" w:cs="宋体"/>
          <w:b/>
          <w:kern w:val="0"/>
          <w:position w:val="-3"/>
          <w:sz w:val="28"/>
          <w:szCs w:val="28"/>
        </w:rPr>
        <w:t>项</w:t>
      </w:r>
      <w:r>
        <w:rPr>
          <w:rFonts w:hint="eastAsia" w:ascii="宋体" w:hAnsi="宋体" w:eastAsia="宋体" w:cs="宋体"/>
          <w:b/>
          <w:spacing w:val="-2"/>
          <w:kern w:val="0"/>
          <w:position w:val="-3"/>
          <w:sz w:val="28"/>
          <w:szCs w:val="28"/>
        </w:rPr>
        <w:t>报</w:t>
      </w:r>
      <w:r>
        <w:rPr>
          <w:rFonts w:hint="eastAsia" w:ascii="宋体" w:hAnsi="宋体" w:eastAsia="宋体" w:cs="宋体"/>
          <w:b/>
          <w:kern w:val="0"/>
          <w:position w:val="-3"/>
          <w:sz w:val="28"/>
          <w:szCs w:val="28"/>
        </w:rPr>
        <w:t>价明细表</w:t>
      </w:r>
    </w:p>
    <w:p w14:paraId="442575DE">
      <w:pPr>
        <w:pageBreakBefore w:val="0"/>
        <w:kinsoku/>
        <w:wordWrap/>
        <w:overflowPunct/>
        <w:bidi w:val="0"/>
        <w:adjustRightInd w:val="0"/>
        <w:snapToGrid w:val="0"/>
        <w:spacing w:beforeAutospacing="0" w:afterAutospacing="0" w:line="500" w:lineRule="exact"/>
        <w:jc w:val="center"/>
        <w:textAlignment w:val="auto"/>
        <w:rPr>
          <w:rFonts w:hint="default" w:ascii="宋体" w:hAnsi="宋体" w:eastAsia="宋体" w:cs="宋体"/>
          <w:b/>
          <w:kern w:val="0"/>
          <w:position w:val="-3"/>
          <w:sz w:val="28"/>
          <w:szCs w:val="28"/>
          <w:lang w:val="en-US" w:eastAsia="zh-CN"/>
        </w:rPr>
      </w:pPr>
      <w:r>
        <w:rPr>
          <w:rFonts w:hint="eastAsia" w:ascii="宋体" w:hAnsi="宋体" w:cs="宋体"/>
          <w:b/>
          <w:kern w:val="0"/>
          <w:position w:val="-3"/>
          <w:sz w:val="28"/>
          <w:szCs w:val="28"/>
          <w:lang w:val="en-US" w:eastAsia="zh-CN"/>
        </w:rPr>
        <w:t>(本项目不适用)</w:t>
      </w:r>
    </w:p>
    <w:p w14:paraId="2865089C">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政府采购计划编号：                       项目名称：</w:t>
      </w:r>
    </w:p>
    <w:p w14:paraId="3C3B5FF0">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包号：                     </w:t>
      </w:r>
      <w:r>
        <w:rPr>
          <w:rFonts w:hint="eastAsia" w:ascii="宋体" w:hAnsi="宋体" w:cs="宋体"/>
          <w:sz w:val="24"/>
          <w:szCs w:val="24"/>
          <w:lang w:val="en-US" w:eastAsia="zh-CN"/>
        </w:rPr>
        <w:t xml:space="preserve">             </w:t>
      </w:r>
      <w:r>
        <w:rPr>
          <w:rFonts w:hint="eastAsia" w:ascii="宋体" w:hAnsi="宋体" w:eastAsia="宋体" w:cs="宋体"/>
          <w:sz w:val="24"/>
          <w:szCs w:val="24"/>
        </w:rPr>
        <w:t xml:space="preserve"> 包名称：</w:t>
      </w:r>
    </w:p>
    <w:tbl>
      <w:tblPr>
        <w:tblStyle w:val="45"/>
        <w:tblW w:w="9342" w:type="dxa"/>
        <w:tblInd w:w="0" w:type="dxa"/>
        <w:tblLayout w:type="fixed"/>
        <w:tblCellMar>
          <w:top w:w="0" w:type="dxa"/>
          <w:left w:w="0" w:type="dxa"/>
          <w:bottom w:w="0" w:type="dxa"/>
          <w:right w:w="0" w:type="dxa"/>
        </w:tblCellMar>
      </w:tblPr>
      <w:tblGrid>
        <w:gridCol w:w="333"/>
        <w:gridCol w:w="1383"/>
        <w:gridCol w:w="2126"/>
        <w:gridCol w:w="1396"/>
        <w:gridCol w:w="1159"/>
        <w:gridCol w:w="1036"/>
        <w:gridCol w:w="1037"/>
        <w:gridCol w:w="872"/>
      </w:tblGrid>
      <w:tr w14:paraId="1E6BD126">
        <w:tblPrEx>
          <w:tblCellMar>
            <w:top w:w="0" w:type="dxa"/>
            <w:left w:w="0" w:type="dxa"/>
            <w:bottom w:w="0" w:type="dxa"/>
            <w:right w:w="0" w:type="dxa"/>
          </w:tblCellMar>
        </w:tblPrEx>
        <w:trPr>
          <w:trHeight w:val="550" w:hRule="exact"/>
        </w:trPr>
        <w:tc>
          <w:tcPr>
            <w:tcW w:w="1716" w:type="dxa"/>
            <w:gridSpan w:val="2"/>
            <w:vMerge w:val="restart"/>
            <w:tcBorders>
              <w:top w:val="double" w:color="auto" w:sz="4" w:space="0"/>
              <w:left w:val="double" w:color="auto" w:sz="4" w:space="0"/>
              <w:right w:val="single" w:color="auto" w:sz="6" w:space="0"/>
            </w:tcBorders>
            <w:vAlign w:val="center"/>
          </w:tcPr>
          <w:p w14:paraId="0E27327B">
            <w:pPr>
              <w:pageBreakBefore w:val="0"/>
              <w:kinsoku/>
              <w:wordWrap/>
              <w:overflowPunct/>
              <w:autoSpaceDE w:val="0"/>
              <w:autoSpaceDN w:val="0"/>
              <w:bidi w:val="0"/>
              <w:adjustRightInd w:val="0"/>
              <w:snapToGrid w:val="0"/>
              <w:spacing w:beforeAutospacing="0" w:afterAutospacing="0" w:line="500" w:lineRule="exact"/>
              <w:ind w:right="-20"/>
              <w:jc w:val="center"/>
              <w:textAlignment w:val="auto"/>
              <w:rPr>
                <w:rFonts w:hint="eastAsia" w:ascii="宋体" w:hAnsi="宋体" w:eastAsia="宋体" w:cs="宋体"/>
                <w:kern w:val="0"/>
                <w:position w:val="-1"/>
                <w:sz w:val="24"/>
                <w:szCs w:val="24"/>
              </w:rPr>
            </w:pPr>
            <w:r>
              <w:rPr>
                <w:rFonts w:hint="eastAsia" w:ascii="宋体" w:hAnsi="宋体" w:eastAsia="宋体" w:cs="宋体"/>
                <w:kern w:val="0"/>
                <w:position w:val="-1"/>
                <w:sz w:val="24"/>
                <w:szCs w:val="24"/>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4736EA62">
            <w:pPr>
              <w:pageBreakBefore w:val="0"/>
              <w:kinsoku/>
              <w:wordWrap/>
              <w:overflowPunct/>
              <w:autoSpaceDE w:val="0"/>
              <w:autoSpaceDN w:val="0"/>
              <w:bidi w:val="0"/>
              <w:adjustRightInd w:val="0"/>
              <w:snapToGrid w:val="0"/>
              <w:spacing w:beforeAutospacing="0" w:afterAutospacing="0" w:line="500" w:lineRule="exact"/>
              <w:ind w:right="-20"/>
              <w:jc w:val="center"/>
              <w:textAlignment w:val="auto"/>
              <w:rPr>
                <w:rFonts w:hint="eastAsia" w:ascii="宋体" w:hAnsi="宋体" w:eastAsia="宋体" w:cs="宋体"/>
                <w:sz w:val="24"/>
                <w:szCs w:val="24"/>
              </w:rPr>
            </w:pPr>
            <w:r>
              <w:rPr>
                <w:rFonts w:hint="eastAsia" w:ascii="宋体" w:hAnsi="宋体" w:eastAsia="宋体" w:cs="宋体"/>
                <w:sz w:val="24"/>
                <w:szCs w:val="24"/>
              </w:rPr>
              <w:t>规格型号</w:t>
            </w:r>
          </w:p>
          <w:p w14:paraId="73F2A487">
            <w:pPr>
              <w:pageBreakBefore w:val="0"/>
              <w:kinsoku/>
              <w:wordWrap/>
              <w:overflowPunct/>
              <w:autoSpaceDE w:val="0"/>
              <w:autoSpaceDN w:val="0"/>
              <w:bidi w:val="0"/>
              <w:adjustRightInd w:val="0"/>
              <w:snapToGrid w:val="0"/>
              <w:spacing w:beforeAutospacing="0" w:afterAutospacing="0" w:line="500" w:lineRule="exact"/>
              <w:ind w:right="-20"/>
              <w:jc w:val="center"/>
              <w:textAlignment w:val="auto"/>
              <w:rPr>
                <w:rFonts w:hint="eastAsia" w:ascii="宋体" w:hAnsi="宋体" w:eastAsia="宋体" w:cs="宋体"/>
                <w:sz w:val="24"/>
                <w:szCs w:val="24"/>
              </w:rPr>
            </w:pPr>
            <w:r>
              <w:rPr>
                <w:rFonts w:hint="eastAsia" w:ascii="宋体" w:hAnsi="宋体" w:eastAsia="宋体" w:cs="宋体"/>
                <w:sz w:val="24"/>
                <w:szCs w:val="24"/>
              </w:rPr>
              <w:t>（或项目特征描述）</w:t>
            </w:r>
          </w:p>
        </w:tc>
        <w:tc>
          <w:tcPr>
            <w:tcW w:w="1396" w:type="dxa"/>
            <w:vMerge w:val="restart"/>
            <w:tcBorders>
              <w:top w:val="double" w:color="auto" w:sz="4" w:space="0"/>
              <w:left w:val="single" w:color="auto" w:sz="4" w:space="0"/>
              <w:bottom w:val="single" w:color="auto" w:sz="6" w:space="0"/>
              <w:right w:val="single" w:color="auto" w:sz="6" w:space="0"/>
            </w:tcBorders>
            <w:vAlign w:val="center"/>
          </w:tcPr>
          <w:p w14:paraId="36F53161">
            <w:pPr>
              <w:pageBreakBefore w:val="0"/>
              <w:kinsoku/>
              <w:wordWrap/>
              <w:overflowPunct/>
              <w:autoSpaceDE w:val="0"/>
              <w:autoSpaceDN w:val="0"/>
              <w:bidi w:val="0"/>
              <w:adjustRightInd w:val="0"/>
              <w:snapToGrid w:val="0"/>
              <w:spacing w:beforeAutospacing="0" w:afterAutospacing="0" w:line="500" w:lineRule="exact"/>
              <w:ind w:right="-20"/>
              <w:jc w:val="center"/>
              <w:textAlignment w:val="auto"/>
              <w:rPr>
                <w:rFonts w:hint="eastAsia" w:ascii="宋体" w:hAnsi="宋体" w:eastAsia="宋体" w:cs="宋体"/>
                <w:sz w:val="24"/>
                <w:szCs w:val="24"/>
              </w:rPr>
            </w:pPr>
            <w:r>
              <w:rPr>
                <w:rFonts w:hint="eastAsia" w:ascii="宋体" w:hAnsi="宋体" w:eastAsia="宋体" w:cs="宋体"/>
                <w:sz w:val="24"/>
                <w:szCs w:val="24"/>
              </w:rPr>
              <w:t>品牌/产地</w:t>
            </w:r>
          </w:p>
        </w:tc>
        <w:tc>
          <w:tcPr>
            <w:tcW w:w="1159" w:type="dxa"/>
            <w:vMerge w:val="restart"/>
            <w:tcBorders>
              <w:top w:val="double" w:color="auto" w:sz="4" w:space="0"/>
              <w:left w:val="single" w:color="auto" w:sz="6" w:space="0"/>
              <w:right w:val="single" w:color="auto" w:sz="4" w:space="0"/>
            </w:tcBorders>
            <w:vAlign w:val="center"/>
          </w:tcPr>
          <w:p w14:paraId="25DD658B">
            <w:pPr>
              <w:pageBreakBefore w:val="0"/>
              <w:kinsoku/>
              <w:wordWrap/>
              <w:overflowPunct/>
              <w:autoSpaceDE w:val="0"/>
              <w:autoSpaceDN w:val="0"/>
              <w:bidi w:val="0"/>
              <w:adjustRightInd w:val="0"/>
              <w:snapToGrid w:val="0"/>
              <w:spacing w:beforeAutospacing="0" w:afterAutospacing="0" w:line="500" w:lineRule="exact"/>
              <w:ind w:right="-20"/>
              <w:jc w:val="center"/>
              <w:textAlignment w:val="auto"/>
              <w:rPr>
                <w:rFonts w:hint="eastAsia" w:ascii="宋体" w:hAnsi="宋体" w:eastAsia="宋体" w:cs="宋体"/>
                <w:kern w:val="0"/>
                <w:position w:val="-1"/>
                <w:sz w:val="24"/>
                <w:szCs w:val="24"/>
              </w:rPr>
            </w:pPr>
            <w:r>
              <w:rPr>
                <w:rFonts w:hint="eastAsia" w:ascii="宋体" w:hAnsi="宋体" w:eastAsia="宋体" w:cs="宋体"/>
                <w:kern w:val="0"/>
                <w:sz w:val="24"/>
                <w:szCs w:val="24"/>
              </w:rPr>
              <w:t>数量/单位</w:t>
            </w:r>
          </w:p>
        </w:tc>
        <w:tc>
          <w:tcPr>
            <w:tcW w:w="2073" w:type="dxa"/>
            <w:gridSpan w:val="2"/>
            <w:tcBorders>
              <w:top w:val="double" w:color="auto" w:sz="4" w:space="0"/>
              <w:left w:val="single" w:color="auto" w:sz="4" w:space="0"/>
              <w:bottom w:val="single" w:color="auto" w:sz="6" w:space="0"/>
              <w:right w:val="single" w:color="auto" w:sz="6" w:space="0"/>
            </w:tcBorders>
            <w:vAlign w:val="center"/>
          </w:tcPr>
          <w:p w14:paraId="6719DC47">
            <w:pPr>
              <w:pageBreakBefore w:val="0"/>
              <w:kinsoku/>
              <w:wordWrap/>
              <w:overflowPunct/>
              <w:autoSpaceDE w:val="0"/>
              <w:autoSpaceDN w:val="0"/>
              <w:bidi w:val="0"/>
              <w:adjustRightInd w:val="0"/>
              <w:snapToGrid w:val="0"/>
              <w:spacing w:beforeAutospacing="0" w:afterAutospacing="0" w:line="500" w:lineRule="exact"/>
              <w:ind w:right="-20"/>
              <w:jc w:val="center"/>
              <w:textAlignment w:val="auto"/>
              <w:rPr>
                <w:rFonts w:hint="eastAsia" w:ascii="宋体" w:hAnsi="宋体" w:eastAsia="宋体" w:cs="宋体"/>
                <w:kern w:val="0"/>
                <w:position w:val="-1"/>
                <w:sz w:val="24"/>
                <w:szCs w:val="24"/>
              </w:rPr>
            </w:pPr>
            <w:r>
              <w:rPr>
                <w:rFonts w:hint="eastAsia" w:ascii="宋体" w:hAnsi="宋体" w:eastAsia="宋体" w:cs="宋体"/>
                <w:kern w:val="0"/>
                <w:position w:val="-1"/>
                <w:sz w:val="24"/>
                <w:szCs w:val="24"/>
              </w:rPr>
              <w:t>金额（元）</w:t>
            </w:r>
          </w:p>
        </w:tc>
        <w:tc>
          <w:tcPr>
            <w:tcW w:w="872" w:type="dxa"/>
            <w:vMerge w:val="restart"/>
            <w:tcBorders>
              <w:top w:val="double" w:color="auto" w:sz="4" w:space="0"/>
              <w:left w:val="single" w:color="auto" w:sz="6" w:space="0"/>
              <w:bottom w:val="single" w:color="auto" w:sz="6" w:space="0"/>
              <w:right w:val="double" w:color="auto" w:sz="4" w:space="0"/>
            </w:tcBorders>
            <w:vAlign w:val="center"/>
          </w:tcPr>
          <w:p w14:paraId="066EA837">
            <w:pPr>
              <w:pageBreakBefore w:val="0"/>
              <w:kinsoku/>
              <w:wordWrap/>
              <w:overflowPunct/>
              <w:autoSpaceDE w:val="0"/>
              <w:autoSpaceDN w:val="0"/>
              <w:bidi w:val="0"/>
              <w:adjustRightInd w:val="0"/>
              <w:snapToGrid w:val="0"/>
              <w:spacing w:beforeAutospacing="0" w:afterAutospacing="0" w:line="500" w:lineRule="exact"/>
              <w:ind w:right="-20"/>
              <w:jc w:val="center"/>
              <w:textAlignment w:val="auto"/>
              <w:rPr>
                <w:rFonts w:hint="eastAsia" w:ascii="宋体" w:hAnsi="宋体" w:eastAsia="宋体" w:cs="宋体"/>
                <w:kern w:val="0"/>
                <w:position w:val="-1"/>
                <w:sz w:val="24"/>
                <w:szCs w:val="24"/>
              </w:rPr>
            </w:pPr>
            <w:r>
              <w:rPr>
                <w:rFonts w:hint="eastAsia" w:ascii="宋体" w:hAnsi="宋体" w:eastAsia="宋体" w:cs="宋体"/>
                <w:kern w:val="0"/>
                <w:position w:val="-1"/>
                <w:sz w:val="24"/>
                <w:szCs w:val="24"/>
              </w:rPr>
              <w:t>备注</w:t>
            </w:r>
          </w:p>
        </w:tc>
      </w:tr>
      <w:tr w14:paraId="1949A75B">
        <w:tblPrEx>
          <w:tblCellMar>
            <w:top w:w="0" w:type="dxa"/>
            <w:left w:w="0" w:type="dxa"/>
            <w:bottom w:w="0" w:type="dxa"/>
            <w:right w:w="0" w:type="dxa"/>
          </w:tblCellMar>
        </w:tblPrEx>
        <w:trPr>
          <w:trHeight w:val="805" w:hRule="exact"/>
        </w:trPr>
        <w:tc>
          <w:tcPr>
            <w:tcW w:w="1716" w:type="dxa"/>
            <w:gridSpan w:val="2"/>
            <w:vMerge w:val="continue"/>
            <w:tcBorders>
              <w:left w:val="double" w:color="auto" w:sz="4" w:space="0"/>
              <w:bottom w:val="single" w:color="auto" w:sz="6" w:space="0"/>
              <w:right w:val="single" w:color="auto" w:sz="6" w:space="0"/>
            </w:tcBorders>
          </w:tcPr>
          <w:p w14:paraId="50A6FEDE">
            <w:pPr>
              <w:pageBreakBefore w:val="0"/>
              <w:kinsoku/>
              <w:wordWrap/>
              <w:overflowPunct/>
              <w:autoSpaceDE w:val="0"/>
              <w:autoSpaceDN w:val="0"/>
              <w:bidi w:val="0"/>
              <w:adjustRightInd w:val="0"/>
              <w:snapToGrid w:val="0"/>
              <w:spacing w:beforeAutospacing="0" w:afterAutospacing="0" w:line="500" w:lineRule="exact"/>
              <w:ind w:left="352" w:right="-20"/>
              <w:jc w:val="left"/>
              <w:textAlignment w:val="auto"/>
              <w:rPr>
                <w:rFonts w:hint="eastAsia" w:ascii="宋体" w:hAnsi="宋体" w:eastAsia="宋体" w:cs="宋体"/>
                <w:kern w:val="0"/>
                <w:sz w:val="24"/>
                <w:szCs w:val="24"/>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75988CE0">
            <w:pPr>
              <w:pageBreakBefore w:val="0"/>
              <w:kinsoku/>
              <w:wordWrap/>
              <w:overflowPunct/>
              <w:autoSpaceDE w:val="0"/>
              <w:autoSpaceDN w:val="0"/>
              <w:bidi w:val="0"/>
              <w:adjustRightInd w:val="0"/>
              <w:snapToGrid w:val="0"/>
              <w:spacing w:beforeAutospacing="0" w:afterAutospacing="0" w:line="500" w:lineRule="exact"/>
              <w:ind w:right="-20"/>
              <w:jc w:val="center"/>
              <w:textAlignment w:val="auto"/>
              <w:rPr>
                <w:rFonts w:hint="eastAsia" w:ascii="宋体" w:hAnsi="宋体" w:eastAsia="宋体" w:cs="宋体"/>
                <w:kern w:val="0"/>
                <w:sz w:val="24"/>
                <w:szCs w:val="24"/>
              </w:rPr>
            </w:pPr>
          </w:p>
        </w:tc>
        <w:tc>
          <w:tcPr>
            <w:tcW w:w="1396" w:type="dxa"/>
            <w:vMerge w:val="continue"/>
            <w:tcBorders>
              <w:top w:val="single" w:color="auto" w:sz="6" w:space="0"/>
              <w:left w:val="single" w:color="auto" w:sz="4" w:space="0"/>
              <w:bottom w:val="single" w:color="auto" w:sz="6" w:space="0"/>
              <w:right w:val="single" w:color="auto" w:sz="6" w:space="0"/>
            </w:tcBorders>
            <w:vAlign w:val="center"/>
          </w:tcPr>
          <w:p w14:paraId="727C0986">
            <w:pPr>
              <w:pageBreakBefore w:val="0"/>
              <w:kinsoku/>
              <w:wordWrap/>
              <w:overflowPunct/>
              <w:autoSpaceDE w:val="0"/>
              <w:autoSpaceDN w:val="0"/>
              <w:bidi w:val="0"/>
              <w:adjustRightInd w:val="0"/>
              <w:snapToGrid w:val="0"/>
              <w:spacing w:beforeAutospacing="0" w:afterAutospacing="0" w:line="500" w:lineRule="exact"/>
              <w:ind w:right="-20"/>
              <w:jc w:val="center"/>
              <w:textAlignment w:val="auto"/>
              <w:rPr>
                <w:rFonts w:hint="eastAsia" w:ascii="宋体" w:hAnsi="宋体" w:eastAsia="宋体" w:cs="宋体"/>
                <w:kern w:val="0"/>
                <w:sz w:val="24"/>
                <w:szCs w:val="24"/>
              </w:rPr>
            </w:pPr>
          </w:p>
        </w:tc>
        <w:tc>
          <w:tcPr>
            <w:tcW w:w="1159" w:type="dxa"/>
            <w:vMerge w:val="continue"/>
            <w:tcBorders>
              <w:left w:val="single" w:color="auto" w:sz="6" w:space="0"/>
              <w:bottom w:val="single" w:color="auto" w:sz="6" w:space="0"/>
              <w:right w:val="single" w:color="auto" w:sz="4" w:space="0"/>
            </w:tcBorders>
            <w:vAlign w:val="center"/>
          </w:tcPr>
          <w:p w14:paraId="7B9F976E">
            <w:pPr>
              <w:pageBreakBefore w:val="0"/>
              <w:kinsoku/>
              <w:wordWrap/>
              <w:overflowPunct/>
              <w:autoSpaceDE w:val="0"/>
              <w:autoSpaceDN w:val="0"/>
              <w:bidi w:val="0"/>
              <w:adjustRightInd w:val="0"/>
              <w:snapToGrid w:val="0"/>
              <w:spacing w:beforeAutospacing="0" w:afterAutospacing="0" w:line="500" w:lineRule="exact"/>
              <w:ind w:right="-20"/>
              <w:jc w:val="center"/>
              <w:textAlignment w:val="auto"/>
              <w:rPr>
                <w:rFonts w:hint="eastAsia" w:ascii="宋体" w:hAnsi="宋体" w:eastAsia="宋体" w:cs="宋体"/>
                <w:kern w:val="0"/>
                <w:sz w:val="24"/>
                <w:szCs w:val="24"/>
              </w:rPr>
            </w:pPr>
          </w:p>
        </w:tc>
        <w:tc>
          <w:tcPr>
            <w:tcW w:w="1036" w:type="dxa"/>
            <w:tcBorders>
              <w:top w:val="single" w:color="auto" w:sz="6" w:space="0"/>
              <w:left w:val="single" w:color="auto" w:sz="4" w:space="0"/>
              <w:bottom w:val="single" w:color="auto" w:sz="6" w:space="0"/>
              <w:right w:val="single" w:color="auto" w:sz="4" w:space="0"/>
            </w:tcBorders>
            <w:vAlign w:val="center"/>
          </w:tcPr>
          <w:p w14:paraId="3782ECAE">
            <w:pPr>
              <w:pageBreakBefore w:val="0"/>
              <w:kinsoku/>
              <w:wordWrap/>
              <w:overflowPunct/>
              <w:autoSpaceDE w:val="0"/>
              <w:autoSpaceDN w:val="0"/>
              <w:bidi w:val="0"/>
              <w:adjustRightInd w:val="0"/>
              <w:snapToGrid w:val="0"/>
              <w:spacing w:beforeAutospacing="0" w:afterAutospacing="0" w:line="500" w:lineRule="exact"/>
              <w:ind w:right="-20"/>
              <w:jc w:val="center"/>
              <w:textAlignment w:val="auto"/>
              <w:rPr>
                <w:rFonts w:hint="eastAsia" w:ascii="宋体" w:hAnsi="宋体" w:eastAsia="宋体" w:cs="宋体"/>
                <w:kern w:val="0"/>
                <w:sz w:val="24"/>
                <w:szCs w:val="24"/>
              </w:rPr>
            </w:pPr>
            <w:r>
              <w:rPr>
                <w:rFonts w:hint="eastAsia" w:ascii="宋体" w:hAnsi="宋体" w:eastAsia="宋体" w:cs="宋体"/>
                <w:kern w:val="0"/>
                <w:position w:val="-1"/>
                <w:sz w:val="24"/>
                <w:szCs w:val="24"/>
              </w:rPr>
              <w:t>单价</w:t>
            </w:r>
          </w:p>
        </w:tc>
        <w:tc>
          <w:tcPr>
            <w:tcW w:w="1037" w:type="dxa"/>
            <w:tcBorders>
              <w:top w:val="single" w:color="auto" w:sz="6" w:space="0"/>
              <w:left w:val="single" w:color="auto" w:sz="4" w:space="0"/>
              <w:bottom w:val="single" w:color="auto" w:sz="6" w:space="0"/>
              <w:right w:val="single" w:color="auto" w:sz="6" w:space="0"/>
            </w:tcBorders>
            <w:vAlign w:val="center"/>
          </w:tcPr>
          <w:p w14:paraId="3C737627">
            <w:pPr>
              <w:pageBreakBefore w:val="0"/>
              <w:kinsoku/>
              <w:wordWrap/>
              <w:overflowPunct/>
              <w:autoSpaceDE w:val="0"/>
              <w:autoSpaceDN w:val="0"/>
              <w:bidi w:val="0"/>
              <w:adjustRightInd w:val="0"/>
              <w:snapToGrid w:val="0"/>
              <w:spacing w:beforeAutospacing="0" w:afterAutospacing="0" w:line="500" w:lineRule="exact"/>
              <w:ind w:left="70" w:right="-2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小计</w:t>
            </w:r>
          </w:p>
        </w:tc>
        <w:tc>
          <w:tcPr>
            <w:tcW w:w="872" w:type="dxa"/>
            <w:vMerge w:val="continue"/>
            <w:tcBorders>
              <w:top w:val="single" w:color="auto" w:sz="6" w:space="0"/>
              <w:left w:val="single" w:color="auto" w:sz="6" w:space="0"/>
              <w:bottom w:val="single" w:color="auto" w:sz="6" w:space="0"/>
              <w:right w:val="double" w:color="auto" w:sz="4" w:space="0"/>
            </w:tcBorders>
          </w:tcPr>
          <w:p w14:paraId="5B406039">
            <w:pPr>
              <w:pageBreakBefore w:val="0"/>
              <w:kinsoku/>
              <w:wordWrap/>
              <w:overflowPunct/>
              <w:autoSpaceDE w:val="0"/>
              <w:autoSpaceDN w:val="0"/>
              <w:bidi w:val="0"/>
              <w:adjustRightInd w:val="0"/>
              <w:snapToGrid w:val="0"/>
              <w:spacing w:beforeAutospacing="0" w:afterAutospacing="0" w:line="500" w:lineRule="exact"/>
              <w:ind w:left="422" w:right="-20"/>
              <w:jc w:val="left"/>
              <w:textAlignment w:val="auto"/>
              <w:rPr>
                <w:rFonts w:hint="eastAsia" w:ascii="宋体" w:hAnsi="宋体" w:eastAsia="宋体" w:cs="宋体"/>
                <w:kern w:val="0"/>
                <w:sz w:val="24"/>
                <w:szCs w:val="24"/>
              </w:rPr>
            </w:pPr>
          </w:p>
        </w:tc>
      </w:tr>
      <w:tr w14:paraId="371EDE54">
        <w:tblPrEx>
          <w:tblCellMar>
            <w:top w:w="0" w:type="dxa"/>
            <w:left w:w="0" w:type="dxa"/>
            <w:bottom w:w="0" w:type="dxa"/>
            <w:right w:w="0" w:type="dxa"/>
          </w:tblCellMar>
        </w:tblPrEx>
        <w:trPr>
          <w:trHeight w:val="493" w:hRule="exact"/>
        </w:trPr>
        <w:tc>
          <w:tcPr>
            <w:tcW w:w="333" w:type="dxa"/>
            <w:tcBorders>
              <w:top w:val="single" w:color="auto" w:sz="6" w:space="0"/>
              <w:left w:val="double" w:color="auto" w:sz="4" w:space="0"/>
              <w:bottom w:val="single" w:color="auto" w:sz="6" w:space="0"/>
              <w:right w:val="single" w:color="auto" w:sz="6" w:space="0"/>
            </w:tcBorders>
            <w:vAlign w:val="center"/>
          </w:tcPr>
          <w:p w14:paraId="3271F17E">
            <w:pPr>
              <w:pageBreakBefore w:val="0"/>
              <w:kinsoku/>
              <w:wordWrap/>
              <w:overflow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383" w:type="dxa"/>
            <w:tcBorders>
              <w:top w:val="single" w:color="auto" w:sz="6" w:space="0"/>
              <w:left w:val="single" w:color="auto" w:sz="6" w:space="0"/>
              <w:bottom w:val="single" w:color="auto" w:sz="6" w:space="0"/>
              <w:right w:val="single" w:color="auto" w:sz="6" w:space="0"/>
            </w:tcBorders>
            <w:vAlign w:val="center"/>
          </w:tcPr>
          <w:p w14:paraId="2027A6D4">
            <w:pPr>
              <w:pageBreakBefore w:val="0"/>
              <w:kinsoku/>
              <w:wordWrap/>
              <w:overflowPunct/>
              <w:autoSpaceDE w:val="0"/>
              <w:autoSpaceDN w:val="0"/>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p>
        </w:tc>
        <w:tc>
          <w:tcPr>
            <w:tcW w:w="2126" w:type="dxa"/>
            <w:tcBorders>
              <w:top w:val="single" w:color="auto" w:sz="6" w:space="0"/>
              <w:left w:val="single" w:color="auto" w:sz="6" w:space="0"/>
              <w:bottom w:val="single" w:color="auto" w:sz="6" w:space="0"/>
              <w:right w:val="single" w:color="auto" w:sz="4" w:space="0"/>
            </w:tcBorders>
          </w:tcPr>
          <w:p w14:paraId="1C2E30C5">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396" w:type="dxa"/>
            <w:tcBorders>
              <w:top w:val="single" w:color="auto" w:sz="6" w:space="0"/>
              <w:left w:val="single" w:color="auto" w:sz="4" w:space="0"/>
              <w:bottom w:val="single" w:color="auto" w:sz="6" w:space="0"/>
              <w:right w:val="single" w:color="auto" w:sz="6" w:space="0"/>
            </w:tcBorders>
          </w:tcPr>
          <w:p w14:paraId="61A1B290">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159" w:type="dxa"/>
            <w:tcBorders>
              <w:top w:val="single" w:color="auto" w:sz="6" w:space="0"/>
              <w:left w:val="single" w:color="auto" w:sz="6" w:space="0"/>
              <w:bottom w:val="single" w:color="auto" w:sz="6" w:space="0"/>
              <w:right w:val="single" w:color="auto" w:sz="4" w:space="0"/>
            </w:tcBorders>
          </w:tcPr>
          <w:p w14:paraId="71BD673A">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036" w:type="dxa"/>
            <w:tcBorders>
              <w:top w:val="single" w:color="auto" w:sz="6" w:space="0"/>
              <w:left w:val="single" w:color="auto" w:sz="6" w:space="0"/>
              <w:bottom w:val="single" w:color="auto" w:sz="6" w:space="0"/>
              <w:right w:val="single" w:color="auto" w:sz="6" w:space="0"/>
            </w:tcBorders>
          </w:tcPr>
          <w:p w14:paraId="323D3C66">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037" w:type="dxa"/>
            <w:tcBorders>
              <w:top w:val="single" w:color="auto" w:sz="6" w:space="0"/>
              <w:left w:val="single" w:color="auto" w:sz="6" w:space="0"/>
              <w:bottom w:val="single" w:color="auto" w:sz="6" w:space="0"/>
              <w:right w:val="single" w:color="auto" w:sz="6" w:space="0"/>
            </w:tcBorders>
          </w:tcPr>
          <w:p w14:paraId="4CB4454D">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872" w:type="dxa"/>
            <w:tcBorders>
              <w:top w:val="single" w:color="auto" w:sz="6" w:space="0"/>
              <w:left w:val="single" w:color="auto" w:sz="6" w:space="0"/>
              <w:bottom w:val="single" w:color="auto" w:sz="6" w:space="0"/>
              <w:right w:val="double" w:color="auto" w:sz="4" w:space="0"/>
            </w:tcBorders>
          </w:tcPr>
          <w:p w14:paraId="2204E34E">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r>
      <w:tr w14:paraId="4A9DA617">
        <w:tblPrEx>
          <w:tblCellMar>
            <w:top w:w="0" w:type="dxa"/>
            <w:left w:w="0" w:type="dxa"/>
            <w:bottom w:w="0" w:type="dxa"/>
            <w:right w:w="0" w:type="dxa"/>
          </w:tblCellMar>
        </w:tblPrEx>
        <w:trPr>
          <w:trHeight w:val="548" w:hRule="exact"/>
        </w:trPr>
        <w:tc>
          <w:tcPr>
            <w:tcW w:w="333" w:type="dxa"/>
            <w:tcBorders>
              <w:top w:val="single" w:color="auto" w:sz="6" w:space="0"/>
              <w:left w:val="double" w:color="auto" w:sz="4" w:space="0"/>
              <w:bottom w:val="single" w:color="auto" w:sz="6" w:space="0"/>
              <w:right w:val="single" w:color="auto" w:sz="6" w:space="0"/>
            </w:tcBorders>
            <w:vAlign w:val="center"/>
          </w:tcPr>
          <w:p w14:paraId="7E51C5B2">
            <w:pPr>
              <w:pageBreakBefore w:val="0"/>
              <w:kinsoku/>
              <w:wordWrap/>
              <w:overflow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383" w:type="dxa"/>
            <w:tcBorders>
              <w:top w:val="single" w:color="auto" w:sz="6" w:space="0"/>
              <w:left w:val="single" w:color="auto" w:sz="6" w:space="0"/>
              <w:bottom w:val="single" w:color="auto" w:sz="6" w:space="0"/>
              <w:right w:val="single" w:color="auto" w:sz="6" w:space="0"/>
            </w:tcBorders>
            <w:vAlign w:val="center"/>
          </w:tcPr>
          <w:p w14:paraId="77A89B5A">
            <w:pPr>
              <w:pageBreakBefore w:val="0"/>
              <w:kinsoku/>
              <w:wordWrap/>
              <w:overflowPunct/>
              <w:autoSpaceDE w:val="0"/>
              <w:autoSpaceDN w:val="0"/>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p>
        </w:tc>
        <w:tc>
          <w:tcPr>
            <w:tcW w:w="2126" w:type="dxa"/>
            <w:tcBorders>
              <w:top w:val="single" w:color="auto" w:sz="6" w:space="0"/>
              <w:left w:val="single" w:color="auto" w:sz="6" w:space="0"/>
              <w:bottom w:val="single" w:color="auto" w:sz="6" w:space="0"/>
              <w:right w:val="single" w:color="auto" w:sz="4" w:space="0"/>
            </w:tcBorders>
          </w:tcPr>
          <w:p w14:paraId="679B74E9">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396" w:type="dxa"/>
            <w:tcBorders>
              <w:top w:val="single" w:color="auto" w:sz="6" w:space="0"/>
              <w:left w:val="single" w:color="auto" w:sz="4" w:space="0"/>
              <w:bottom w:val="single" w:color="auto" w:sz="6" w:space="0"/>
              <w:right w:val="single" w:color="auto" w:sz="6" w:space="0"/>
            </w:tcBorders>
          </w:tcPr>
          <w:p w14:paraId="4AE6BAF2">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159" w:type="dxa"/>
            <w:tcBorders>
              <w:top w:val="single" w:color="auto" w:sz="6" w:space="0"/>
              <w:left w:val="single" w:color="auto" w:sz="6" w:space="0"/>
              <w:bottom w:val="single" w:color="auto" w:sz="6" w:space="0"/>
              <w:right w:val="single" w:color="auto" w:sz="4" w:space="0"/>
            </w:tcBorders>
          </w:tcPr>
          <w:p w14:paraId="2E9FE362">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036" w:type="dxa"/>
            <w:tcBorders>
              <w:top w:val="single" w:color="auto" w:sz="6" w:space="0"/>
              <w:left w:val="single" w:color="auto" w:sz="6" w:space="0"/>
              <w:bottom w:val="single" w:color="auto" w:sz="6" w:space="0"/>
              <w:right w:val="single" w:color="auto" w:sz="6" w:space="0"/>
            </w:tcBorders>
          </w:tcPr>
          <w:p w14:paraId="7D62D7A3">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037" w:type="dxa"/>
            <w:tcBorders>
              <w:top w:val="single" w:color="auto" w:sz="6" w:space="0"/>
              <w:left w:val="single" w:color="auto" w:sz="6" w:space="0"/>
              <w:bottom w:val="single" w:color="auto" w:sz="6" w:space="0"/>
              <w:right w:val="single" w:color="auto" w:sz="6" w:space="0"/>
            </w:tcBorders>
          </w:tcPr>
          <w:p w14:paraId="0AEF502C">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872" w:type="dxa"/>
            <w:tcBorders>
              <w:top w:val="single" w:color="auto" w:sz="6" w:space="0"/>
              <w:left w:val="single" w:color="auto" w:sz="6" w:space="0"/>
              <w:bottom w:val="single" w:color="auto" w:sz="6" w:space="0"/>
              <w:right w:val="double" w:color="auto" w:sz="4" w:space="0"/>
            </w:tcBorders>
          </w:tcPr>
          <w:p w14:paraId="0DE72FBB">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r>
      <w:tr w14:paraId="12A28F83">
        <w:tblPrEx>
          <w:tblCellMar>
            <w:top w:w="0" w:type="dxa"/>
            <w:left w:w="0" w:type="dxa"/>
            <w:bottom w:w="0" w:type="dxa"/>
            <w:right w:w="0" w:type="dxa"/>
          </w:tblCellMar>
        </w:tblPrEx>
        <w:trPr>
          <w:trHeight w:val="494" w:hRule="exact"/>
        </w:trPr>
        <w:tc>
          <w:tcPr>
            <w:tcW w:w="333" w:type="dxa"/>
            <w:tcBorders>
              <w:top w:val="single" w:color="auto" w:sz="6" w:space="0"/>
              <w:left w:val="double" w:color="auto" w:sz="4" w:space="0"/>
              <w:bottom w:val="single" w:color="auto" w:sz="6" w:space="0"/>
              <w:right w:val="single" w:color="auto" w:sz="6" w:space="0"/>
            </w:tcBorders>
            <w:vAlign w:val="center"/>
          </w:tcPr>
          <w:p w14:paraId="27730348">
            <w:pPr>
              <w:pageBreakBefore w:val="0"/>
              <w:kinsoku/>
              <w:wordWrap/>
              <w:overflow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383" w:type="dxa"/>
            <w:tcBorders>
              <w:top w:val="single" w:color="auto" w:sz="6" w:space="0"/>
              <w:left w:val="single" w:color="auto" w:sz="6" w:space="0"/>
              <w:bottom w:val="single" w:color="auto" w:sz="6" w:space="0"/>
              <w:right w:val="single" w:color="auto" w:sz="6" w:space="0"/>
            </w:tcBorders>
            <w:vAlign w:val="center"/>
          </w:tcPr>
          <w:p w14:paraId="13D72E9D">
            <w:pPr>
              <w:pageBreakBefore w:val="0"/>
              <w:kinsoku/>
              <w:wordWrap/>
              <w:overflowPunct/>
              <w:autoSpaceDE w:val="0"/>
              <w:autoSpaceDN w:val="0"/>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p>
        </w:tc>
        <w:tc>
          <w:tcPr>
            <w:tcW w:w="2126" w:type="dxa"/>
            <w:tcBorders>
              <w:top w:val="single" w:color="auto" w:sz="6" w:space="0"/>
              <w:left w:val="single" w:color="auto" w:sz="6" w:space="0"/>
              <w:bottom w:val="single" w:color="auto" w:sz="6" w:space="0"/>
              <w:right w:val="single" w:color="auto" w:sz="4" w:space="0"/>
            </w:tcBorders>
          </w:tcPr>
          <w:p w14:paraId="61AD799C">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396" w:type="dxa"/>
            <w:tcBorders>
              <w:top w:val="single" w:color="auto" w:sz="6" w:space="0"/>
              <w:left w:val="single" w:color="auto" w:sz="4" w:space="0"/>
              <w:bottom w:val="single" w:color="auto" w:sz="6" w:space="0"/>
              <w:right w:val="single" w:color="auto" w:sz="6" w:space="0"/>
            </w:tcBorders>
          </w:tcPr>
          <w:p w14:paraId="2C956CCD">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159" w:type="dxa"/>
            <w:tcBorders>
              <w:top w:val="single" w:color="auto" w:sz="6" w:space="0"/>
              <w:left w:val="single" w:color="auto" w:sz="6" w:space="0"/>
              <w:bottom w:val="single" w:color="auto" w:sz="6" w:space="0"/>
              <w:right w:val="single" w:color="auto" w:sz="4" w:space="0"/>
            </w:tcBorders>
          </w:tcPr>
          <w:p w14:paraId="3BB4BCA3">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036" w:type="dxa"/>
            <w:tcBorders>
              <w:top w:val="single" w:color="auto" w:sz="6" w:space="0"/>
              <w:left w:val="single" w:color="auto" w:sz="6" w:space="0"/>
              <w:bottom w:val="single" w:color="auto" w:sz="6" w:space="0"/>
              <w:right w:val="single" w:color="auto" w:sz="6" w:space="0"/>
            </w:tcBorders>
          </w:tcPr>
          <w:p w14:paraId="42F2E869">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037" w:type="dxa"/>
            <w:tcBorders>
              <w:top w:val="single" w:color="auto" w:sz="6" w:space="0"/>
              <w:left w:val="single" w:color="auto" w:sz="6" w:space="0"/>
              <w:bottom w:val="single" w:color="auto" w:sz="6" w:space="0"/>
              <w:right w:val="single" w:color="auto" w:sz="6" w:space="0"/>
            </w:tcBorders>
          </w:tcPr>
          <w:p w14:paraId="4E5AB22D">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872" w:type="dxa"/>
            <w:tcBorders>
              <w:top w:val="single" w:color="auto" w:sz="6" w:space="0"/>
              <w:left w:val="single" w:color="auto" w:sz="6" w:space="0"/>
              <w:bottom w:val="single" w:color="auto" w:sz="6" w:space="0"/>
              <w:right w:val="double" w:color="auto" w:sz="4" w:space="0"/>
            </w:tcBorders>
          </w:tcPr>
          <w:p w14:paraId="1115A379">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r>
      <w:tr w14:paraId="2DBA1952">
        <w:tblPrEx>
          <w:tblCellMar>
            <w:top w:w="0" w:type="dxa"/>
            <w:left w:w="0" w:type="dxa"/>
            <w:bottom w:w="0" w:type="dxa"/>
            <w:right w:w="0" w:type="dxa"/>
          </w:tblCellMar>
        </w:tblPrEx>
        <w:trPr>
          <w:trHeight w:val="575" w:hRule="exact"/>
        </w:trPr>
        <w:tc>
          <w:tcPr>
            <w:tcW w:w="333" w:type="dxa"/>
            <w:tcBorders>
              <w:top w:val="single" w:color="auto" w:sz="6" w:space="0"/>
              <w:left w:val="double" w:color="auto" w:sz="4" w:space="0"/>
              <w:bottom w:val="single" w:color="auto" w:sz="6" w:space="0"/>
              <w:right w:val="single" w:color="auto" w:sz="6" w:space="0"/>
            </w:tcBorders>
            <w:vAlign w:val="center"/>
          </w:tcPr>
          <w:p w14:paraId="7A713755">
            <w:pPr>
              <w:pageBreakBefore w:val="0"/>
              <w:kinsoku/>
              <w:wordWrap/>
              <w:overflow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1383" w:type="dxa"/>
            <w:tcBorders>
              <w:top w:val="single" w:color="auto" w:sz="6" w:space="0"/>
              <w:left w:val="single" w:color="auto" w:sz="6" w:space="0"/>
              <w:bottom w:val="single" w:color="auto" w:sz="6" w:space="0"/>
              <w:right w:val="single" w:color="auto" w:sz="6" w:space="0"/>
            </w:tcBorders>
            <w:vAlign w:val="center"/>
          </w:tcPr>
          <w:p w14:paraId="03DD931D">
            <w:pPr>
              <w:pageBreakBefore w:val="0"/>
              <w:kinsoku/>
              <w:wordWrap/>
              <w:overflowPunct/>
              <w:autoSpaceDE w:val="0"/>
              <w:autoSpaceDN w:val="0"/>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p>
        </w:tc>
        <w:tc>
          <w:tcPr>
            <w:tcW w:w="2126" w:type="dxa"/>
            <w:tcBorders>
              <w:top w:val="single" w:color="auto" w:sz="6" w:space="0"/>
              <w:left w:val="single" w:color="auto" w:sz="6" w:space="0"/>
              <w:bottom w:val="single" w:color="auto" w:sz="6" w:space="0"/>
              <w:right w:val="single" w:color="auto" w:sz="4" w:space="0"/>
            </w:tcBorders>
          </w:tcPr>
          <w:p w14:paraId="0D7E3993">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396" w:type="dxa"/>
            <w:tcBorders>
              <w:top w:val="single" w:color="auto" w:sz="6" w:space="0"/>
              <w:left w:val="single" w:color="auto" w:sz="4" w:space="0"/>
              <w:bottom w:val="single" w:color="auto" w:sz="6" w:space="0"/>
              <w:right w:val="single" w:color="auto" w:sz="6" w:space="0"/>
            </w:tcBorders>
          </w:tcPr>
          <w:p w14:paraId="2A2924C8">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159" w:type="dxa"/>
            <w:tcBorders>
              <w:top w:val="single" w:color="auto" w:sz="6" w:space="0"/>
              <w:left w:val="single" w:color="auto" w:sz="6" w:space="0"/>
              <w:bottom w:val="single" w:color="auto" w:sz="6" w:space="0"/>
              <w:right w:val="single" w:color="auto" w:sz="4" w:space="0"/>
            </w:tcBorders>
          </w:tcPr>
          <w:p w14:paraId="283062B5">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036" w:type="dxa"/>
            <w:tcBorders>
              <w:top w:val="single" w:color="auto" w:sz="6" w:space="0"/>
              <w:left w:val="single" w:color="auto" w:sz="4" w:space="0"/>
              <w:bottom w:val="single" w:color="auto" w:sz="6" w:space="0"/>
              <w:right w:val="single" w:color="auto" w:sz="6" w:space="0"/>
            </w:tcBorders>
          </w:tcPr>
          <w:p w14:paraId="35973064">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037" w:type="dxa"/>
            <w:tcBorders>
              <w:top w:val="single" w:color="auto" w:sz="6" w:space="0"/>
              <w:left w:val="single" w:color="auto" w:sz="6" w:space="0"/>
              <w:bottom w:val="single" w:color="auto" w:sz="6" w:space="0"/>
              <w:right w:val="single" w:color="auto" w:sz="6" w:space="0"/>
            </w:tcBorders>
          </w:tcPr>
          <w:p w14:paraId="35836267">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872" w:type="dxa"/>
            <w:tcBorders>
              <w:top w:val="single" w:color="auto" w:sz="6" w:space="0"/>
              <w:left w:val="single" w:color="auto" w:sz="6" w:space="0"/>
              <w:bottom w:val="single" w:color="auto" w:sz="6" w:space="0"/>
              <w:right w:val="double" w:color="auto" w:sz="4" w:space="0"/>
            </w:tcBorders>
          </w:tcPr>
          <w:p w14:paraId="62D42EE8">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r>
      <w:tr w14:paraId="4214F95D">
        <w:tblPrEx>
          <w:tblCellMar>
            <w:top w:w="0" w:type="dxa"/>
            <w:left w:w="0" w:type="dxa"/>
            <w:bottom w:w="0" w:type="dxa"/>
            <w:right w:w="0" w:type="dxa"/>
          </w:tblCellMar>
        </w:tblPrEx>
        <w:trPr>
          <w:trHeight w:val="494" w:hRule="exact"/>
        </w:trPr>
        <w:tc>
          <w:tcPr>
            <w:tcW w:w="333" w:type="dxa"/>
            <w:tcBorders>
              <w:top w:val="single" w:color="auto" w:sz="6" w:space="0"/>
              <w:left w:val="double" w:color="auto" w:sz="4" w:space="0"/>
              <w:bottom w:val="single" w:color="auto" w:sz="6" w:space="0"/>
              <w:right w:val="single" w:color="auto" w:sz="6" w:space="0"/>
            </w:tcBorders>
            <w:vAlign w:val="center"/>
          </w:tcPr>
          <w:p w14:paraId="4CE6993A">
            <w:pPr>
              <w:pageBreakBefore w:val="0"/>
              <w:kinsoku/>
              <w:wordWrap/>
              <w:overflow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1383" w:type="dxa"/>
            <w:tcBorders>
              <w:top w:val="single" w:color="auto" w:sz="6" w:space="0"/>
              <w:left w:val="single" w:color="auto" w:sz="6" w:space="0"/>
              <w:bottom w:val="single" w:color="auto" w:sz="6" w:space="0"/>
              <w:right w:val="single" w:color="auto" w:sz="6" w:space="0"/>
            </w:tcBorders>
            <w:vAlign w:val="center"/>
          </w:tcPr>
          <w:p w14:paraId="0E942509">
            <w:pPr>
              <w:pageBreakBefore w:val="0"/>
              <w:kinsoku/>
              <w:wordWrap/>
              <w:overflowPunct/>
              <w:autoSpaceDE w:val="0"/>
              <w:autoSpaceDN w:val="0"/>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p>
        </w:tc>
        <w:tc>
          <w:tcPr>
            <w:tcW w:w="2126" w:type="dxa"/>
            <w:tcBorders>
              <w:top w:val="single" w:color="auto" w:sz="6" w:space="0"/>
              <w:left w:val="single" w:color="auto" w:sz="6" w:space="0"/>
              <w:bottom w:val="single" w:color="auto" w:sz="6" w:space="0"/>
              <w:right w:val="single" w:color="auto" w:sz="4" w:space="0"/>
            </w:tcBorders>
          </w:tcPr>
          <w:p w14:paraId="597FBCE7">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396" w:type="dxa"/>
            <w:tcBorders>
              <w:top w:val="single" w:color="auto" w:sz="6" w:space="0"/>
              <w:left w:val="single" w:color="auto" w:sz="4" w:space="0"/>
              <w:bottom w:val="single" w:color="auto" w:sz="6" w:space="0"/>
              <w:right w:val="single" w:color="auto" w:sz="6" w:space="0"/>
            </w:tcBorders>
          </w:tcPr>
          <w:p w14:paraId="322D666D">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159" w:type="dxa"/>
            <w:tcBorders>
              <w:top w:val="single" w:color="auto" w:sz="6" w:space="0"/>
              <w:left w:val="single" w:color="auto" w:sz="6" w:space="0"/>
              <w:bottom w:val="single" w:color="auto" w:sz="6" w:space="0"/>
              <w:right w:val="single" w:color="auto" w:sz="4" w:space="0"/>
            </w:tcBorders>
          </w:tcPr>
          <w:p w14:paraId="62A3B194">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036" w:type="dxa"/>
            <w:tcBorders>
              <w:top w:val="single" w:color="auto" w:sz="6" w:space="0"/>
              <w:left w:val="single" w:color="auto" w:sz="4" w:space="0"/>
              <w:bottom w:val="single" w:color="auto" w:sz="6" w:space="0"/>
              <w:right w:val="single" w:color="auto" w:sz="6" w:space="0"/>
            </w:tcBorders>
          </w:tcPr>
          <w:p w14:paraId="321CE046">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037" w:type="dxa"/>
            <w:tcBorders>
              <w:top w:val="single" w:color="auto" w:sz="6" w:space="0"/>
              <w:left w:val="single" w:color="auto" w:sz="6" w:space="0"/>
              <w:bottom w:val="single" w:color="auto" w:sz="6" w:space="0"/>
              <w:right w:val="single" w:color="auto" w:sz="6" w:space="0"/>
            </w:tcBorders>
          </w:tcPr>
          <w:p w14:paraId="35E061C5">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872" w:type="dxa"/>
            <w:tcBorders>
              <w:top w:val="single" w:color="auto" w:sz="6" w:space="0"/>
              <w:left w:val="single" w:color="auto" w:sz="6" w:space="0"/>
              <w:bottom w:val="single" w:color="auto" w:sz="6" w:space="0"/>
              <w:right w:val="double" w:color="auto" w:sz="4" w:space="0"/>
            </w:tcBorders>
          </w:tcPr>
          <w:p w14:paraId="70912950">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r>
      <w:tr w14:paraId="2B78F371">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0FA361C">
            <w:pPr>
              <w:pageBreakBefore w:val="0"/>
              <w:kinsoku/>
              <w:wordWrap/>
              <w:overflowPunct/>
              <w:bidi w:val="0"/>
              <w:spacing w:beforeAutospacing="0" w:afterAutospacing="0"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383" w:type="dxa"/>
            <w:tcBorders>
              <w:top w:val="single" w:color="auto" w:sz="6" w:space="0"/>
              <w:left w:val="single" w:color="auto" w:sz="6" w:space="0"/>
              <w:bottom w:val="single" w:color="auto" w:sz="6" w:space="0"/>
              <w:right w:val="single" w:color="auto" w:sz="6" w:space="0"/>
            </w:tcBorders>
          </w:tcPr>
          <w:p w14:paraId="0A6C7F41">
            <w:pPr>
              <w:pageBreakBefore w:val="0"/>
              <w:kinsoku/>
              <w:wordWrap/>
              <w:overflowPunct/>
              <w:autoSpaceDE w:val="0"/>
              <w:autoSpaceDN w:val="0"/>
              <w:bidi w:val="0"/>
              <w:adjustRightInd w:val="0"/>
              <w:snapToGrid w:val="0"/>
              <w:spacing w:beforeAutospacing="0" w:afterAutospacing="0" w:line="500" w:lineRule="exact"/>
              <w:ind w:left="527" w:right="507"/>
              <w:jc w:val="center"/>
              <w:textAlignment w:val="auto"/>
              <w:rPr>
                <w:rFonts w:hint="eastAsia" w:ascii="宋体" w:hAnsi="宋体" w:eastAsia="宋体" w:cs="宋体"/>
                <w:kern w:val="0"/>
                <w:sz w:val="24"/>
                <w:szCs w:val="24"/>
              </w:rPr>
            </w:pPr>
          </w:p>
        </w:tc>
        <w:tc>
          <w:tcPr>
            <w:tcW w:w="2126" w:type="dxa"/>
            <w:tcBorders>
              <w:top w:val="single" w:color="auto" w:sz="6" w:space="0"/>
              <w:left w:val="single" w:color="auto" w:sz="6" w:space="0"/>
              <w:bottom w:val="single" w:color="auto" w:sz="6" w:space="0"/>
              <w:right w:val="single" w:color="auto" w:sz="4" w:space="0"/>
            </w:tcBorders>
          </w:tcPr>
          <w:p w14:paraId="1DC696A9">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396" w:type="dxa"/>
            <w:tcBorders>
              <w:top w:val="single" w:color="auto" w:sz="6" w:space="0"/>
              <w:left w:val="single" w:color="auto" w:sz="4" w:space="0"/>
              <w:bottom w:val="single" w:color="auto" w:sz="6" w:space="0"/>
              <w:right w:val="single" w:color="auto" w:sz="6" w:space="0"/>
            </w:tcBorders>
          </w:tcPr>
          <w:p w14:paraId="62312E0D">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159" w:type="dxa"/>
            <w:tcBorders>
              <w:top w:val="single" w:color="auto" w:sz="6" w:space="0"/>
              <w:left w:val="single" w:color="auto" w:sz="6" w:space="0"/>
              <w:bottom w:val="single" w:color="auto" w:sz="6" w:space="0"/>
              <w:right w:val="single" w:color="auto" w:sz="4" w:space="0"/>
            </w:tcBorders>
          </w:tcPr>
          <w:p w14:paraId="2C40BB25">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036" w:type="dxa"/>
            <w:tcBorders>
              <w:top w:val="single" w:color="auto" w:sz="6" w:space="0"/>
              <w:left w:val="single" w:color="auto" w:sz="4" w:space="0"/>
              <w:bottom w:val="single" w:color="auto" w:sz="6" w:space="0"/>
              <w:right w:val="single" w:color="auto" w:sz="6" w:space="0"/>
            </w:tcBorders>
          </w:tcPr>
          <w:p w14:paraId="382ABB8A">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1037" w:type="dxa"/>
            <w:tcBorders>
              <w:top w:val="single" w:color="auto" w:sz="6" w:space="0"/>
              <w:left w:val="single" w:color="auto" w:sz="6" w:space="0"/>
              <w:bottom w:val="single" w:color="auto" w:sz="6" w:space="0"/>
              <w:right w:val="single" w:color="auto" w:sz="6" w:space="0"/>
            </w:tcBorders>
          </w:tcPr>
          <w:p w14:paraId="4CB836D1">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872" w:type="dxa"/>
            <w:tcBorders>
              <w:top w:val="single" w:color="auto" w:sz="6" w:space="0"/>
              <w:left w:val="single" w:color="auto" w:sz="6" w:space="0"/>
              <w:bottom w:val="single" w:color="auto" w:sz="6" w:space="0"/>
              <w:right w:val="double" w:color="auto" w:sz="4" w:space="0"/>
            </w:tcBorders>
          </w:tcPr>
          <w:p w14:paraId="61DD3D5E">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r>
      <w:tr w14:paraId="0161F27C">
        <w:tblPrEx>
          <w:tblCellMar>
            <w:top w:w="0" w:type="dxa"/>
            <w:left w:w="0" w:type="dxa"/>
            <w:bottom w:w="0" w:type="dxa"/>
            <w:right w:w="0" w:type="dxa"/>
          </w:tblCellMar>
        </w:tblPrEx>
        <w:trPr>
          <w:trHeight w:val="625" w:hRule="exact"/>
        </w:trPr>
        <w:tc>
          <w:tcPr>
            <w:tcW w:w="7433" w:type="dxa"/>
            <w:gridSpan w:val="6"/>
            <w:tcBorders>
              <w:top w:val="single" w:color="auto" w:sz="6" w:space="0"/>
              <w:left w:val="double" w:color="auto" w:sz="4" w:space="0"/>
              <w:bottom w:val="double" w:color="auto" w:sz="4" w:space="0"/>
              <w:right w:val="single" w:color="auto" w:sz="6" w:space="0"/>
            </w:tcBorders>
            <w:vAlign w:val="center"/>
          </w:tcPr>
          <w:p w14:paraId="6129C650">
            <w:pPr>
              <w:pageBreakBefore w:val="0"/>
              <w:kinsoku/>
              <w:wordWrap/>
              <w:overflowPunct/>
              <w:autoSpaceDE w:val="0"/>
              <w:autoSpaceDN w:val="0"/>
              <w:bidi w:val="0"/>
              <w:adjustRightInd w:val="0"/>
              <w:snapToGrid w:val="0"/>
              <w:spacing w:beforeAutospacing="0" w:afterAutospacing="0" w:line="500" w:lineRule="exact"/>
              <w:jc w:val="center"/>
              <w:textAlignment w:val="auto"/>
              <w:rPr>
                <w:rFonts w:hint="eastAsia" w:ascii="宋体" w:hAnsi="宋体" w:eastAsia="宋体" w:cs="宋体"/>
                <w:kern w:val="0"/>
                <w:sz w:val="24"/>
                <w:szCs w:val="24"/>
              </w:rPr>
            </w:pPr>
            <w:r>
              <w:rPr>
                <w:rFonts w:hint="eastAsia" w:ascii="宋体" w:hAnsi="宋体" w:eastAsia="宋体" w:cs="宋体"/>
                <w:kern w:val="0"/>
                <w:position w:val="-1"/>
                <w:sz w:val="24"/>
                <w:szCs w:val="24"/>
              </w:rPr>
              <w:t>报价（元）：</w:t>
            </w:r>
          </w:p>
        </w:tc>
        <w:tc>
          <w:tcPr>
            <w:tcW w:w="1037" w:type="dxa"/>
            <w:tcBorders>
              <w:top w:val="single" w:color="auto" w:sz="6" w:space="0"/>
              <w:left w:val="single" w:color="auto" w:sz="6" w:space="0"/>
              <w:bottom w:val="double" w:color="auto" w:sz="4" w:space="0"/>
              <w:right w:val="single" w:color="auto" w:sz="6" w:space="0"/>
            </w:tcBorders>
          </w:tcPr>
          <w:p w14:paraId="0DB2D955">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c>
          <w:tcPr>
            <w:tcW w:w="872" w:type="dxa"/>
            <w:tcBorders>
              <w:top w:val="single" w:color="auto" w:sz="6" w:space="0"/>
              <w:left w:val="single" w:color="auto" w:sz="6" w:space="0"/>
              <w:bottom w:val="double" w:color="auto" w:sz="4" w:space="0"/>
              <w:right w:val="double" w:color="auto" w:sz="4" w:space="0"/>
            </w:tcBorders>
          </w:tcPr>
          <w:p w14:paraId="6765FFE9">
            <w:pPr>
              <w:pageBreakBefore w:val="0"/>
              <w:kinsoku/>
              <w:wordWrap/>
              <w:overflowPunct/>
              <w:autoSpaceDE w:val="0"/>
              <w:autoSpaceDN w:val="0"/>
              <w:bidi w:val="0"/>
              <w:adjustRightInd w:val="0"/>
              <w:snapToGrid w:val="0"/>
              <w:spacing w:beforeAutospacing="0" w:afterAutospacing="0" w:line="500" w:lineRule="exact"/>
              <w:jc w:val="left"/>
              <w:textAlignment w:val="auto"/>
              <w:rPr>
                <w:rFonts w:hint="eastAsia" w:ascii="宋体" w:hAnsi="宋体" w:eastAsia="宋体" w:cs="宋体"/>
                <w:kern w:val="0"/>
                <w:sz w:val="24"/>
                <w:szCs w:val="24"/>
              </w:rPr>
            </w:pPr>
          </w:p>
        </w:tc>
      </w:tr>
    </w:tbl>
    <w:p w14:paraId="3C3A1772">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备注：（1）</w:t>
      </w:r>
      <w:r>
        <w:rPr>
          <w:rFonts w:hint="eastAsia" w:ascii="宋体" w:hAnsi="宋体" w:eastAsia="宋体" w:cs="宋体"/>
          <w:b/>
          <w:sz w:val="24"/>
          <w:szCs w:val="24"/>
        </w:rPr>
        <w:t>本表应对应</w:t>
      </w:r>
      <w:r>
        <w:rPr>
          <w:rFonts w:hint="eastAsia" w:ascii="宋体" w:hAnsi="宋体" w:eastAsia="宋体" w:cs="宋体"/>
          <w:sz w:val="24"/>
          <w:szCs w:val="24"/>
        </w:rPr>
        <w:t>“</w:t>
      </w:r>
      <w:r>
        <w:rPr>
          <w:rFonts w:hint="eastAsia" w:ascii="宋体" w:hAnsi="宋体" w:eastAsia="宋体" w:cs="宋体"/>
          <w:b/>
          <w:sz w:val="24"/>
          <w:szCs w:val="24"/>
        </w:rPr>
        <w:t>报价表</w:t>
      </w:r>
      <w:r>
        <w:rPr>
          <w:rFonts w:hint="eastAsia" w:ascii="宋体" w:hAnsi="宋体" w:eastAsia="宋体" w:cs="宋体"/>
          <w:sz w:val="24"/>
          <w:szCs w:val="24"/>
        </w:rPr>
        <w:t>”</w:t>
      </w:r>
      <w:r>
        <w:rPr>
          <w:rFonts w:hint="eastAsia" w:ascii="宋体" w:hAnsi="宋体" w:eastAsia="宋体" w:cs="宋体"/>
          <w:b/>
          <w:sz w:val="24"/>
          <w:szCs w:val="24"/>
        </w:rPr>
        <w:t>，按包填写</w:t>
      </w:r>
      <w:r>
        <w:rPr>
          <w:rFonts w:hint="eastAsia" w:ascii="宋体" w:hAnsi="宋体" w:eastAsia="宋体" w:cs="宋体"/>
          <w:sz w:val="24"/>
          <w:szCs w:val="24"/>
        </w:rPr>
        <w:t>。供应商如果不提供分项报价明细表，其</w:t>
      </w:r>
      <w:r>
        <w:rPr>
          <w:rFonts w:hint="eastAsia" w:ascii="宋体" w:hAnsi="宋体" w:eastAsia="宋体" w:cs="宋体"/>
          <w:b/>
          <w:sz w:val="24"/>
          <w:szCs w:val="24"/>
        </w:rPr>
        <w:t>响应无效</w:t>
      </w:r>
      <w:r>
        <w:rPr>
          <w:rFonts w:hint="eastAsia" w:ascii="宋体" w:hAnsi="宋体" w:eastAsia="宋体" w:cs="宋体"/>
          <w:sz w:val="24"/>
          <w:szCs w:val="24"/>
        </w:rPr>
        <w:t>。</w:t>
      </w:r>
    </w:p>
    <w:p w14:paraId="00B77686">
      <w:pPr>
        <w:pageBreakBefore w:val="0"/>
        <w:kinsoku/>
        <w:wordWrap/>
        <w:overflowPunct/>
        <w:bidi w:val="0"/>
        <w:adjustRightInd w:val="0"/>
        <w:snapToGrid w:val="0"/>
        <w:spacing w:beforeAutospacing="0" w:afterAutospacing="0"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（2）不得填写“免费”或“赠与”，也不得进行“零”报价，否则</w:t>
      </w:r>
      <w:r>
        <w:rPr>
          <w:rFonts w:hint="eastAsia" w:ascii="宋体" w:hAnsi="宋体" w:eastAsia="宋体" w:cs="宋体"/>
          <w:b/>
          <w:sz w:val="24"/>
          <w:szCs w:val="24"/>
        </w:rPr>
        <w:t>响应无效</w:t>
      </w:r>
      <w:r>
        <w:rPr>
          <w:rFonts w:hint="eastAsia" w:ascii="宋体" w:hAnsi="宋体" w:eastAsia="宋体" w:cs="宋体"/>
          <w:sz w:val="24"/>
          <w:szCs w:val="24"/>
        </w:rPr>
        <w:t>。</w:t>
      </w:r>
    </w:p>
    <w:p w14:paraId="0B34CAD5">
      <w:pPr>
        <w:pStyle w:val="17"/>
        <w:pageBreakBefore w:val="0"/>
        <w:kinsoku/>
        <w:wordWrap/>
        <w:overflowPunct/>
        <w:bidi w:val="0"/>
        <w:spacing w:beforeAutospacing="0" w:after="0" w:afterAutospacing="0"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（3）本表可以根据项目实际情况编制。</w:t>
      </w:r>
    </w:p>
    <w:p w14:paraId="07AD2EBA">
      <w:pPr>
        <w:pageBreakBefore w:val="0"/>
        <w:kinsoku/>
        <w:wordWrap/>
        <w:overflowPunct/>
        <w:bidi w:val="0"/>
        <w:adjustRightInd w:val="0"/>
        <w:snapToGrid w:val="0"/>
        <w:spacing w:beforeAutospacing="0" w:afterAutospacing="0" w:line="500" w:lineRule="exact"/>
        <w:ind w:firstLine="482" w:firstLineChars="200"/>
        <w:textAlignment w:val="auto"/>
        <w:rPr>
          <w:rFonts w:hint="eastAsia" w:ascii="宋体" w:hAnsi="宋体" w:eastAsia="宋体" w:cs="宋体"/>
          <w:b/>
          <w:sz w:val="24"/>
          <w:szCs w:val="24"/>
        </w:rPr>
      </w:pPr>
    </w:p>
    <w:p w14:paraId="43F263D7">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u w:val="single"/>
        </w:rPr>
      </w:pPr>
      <w:r>
        <w:rPr>
          <w:rFonts w:hint="eastAsia" w:ascii="宋体" w:hAnsi="宋体" w:eastAsia="宋体" w:cs="宋体"/>
          <w:sz w:val="24"/>
          <w:szCs w:val="24"/>
        </w:rPr>
        <w:t>供应商名称（盖单位公章）：</w:t>
      </w:r>
    </w:p>
    <w:p w14:paraId="0881A562">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或其授权的代理人（签字或印章）：</w:t>
      </w:r>
    </w:p>
    <w:p w14:paraId="5A671741">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sz w:val="24"/>
          <w:szCs w:val="24"/>
        </w:rPr>
      </w:pPr>
      <w:r>
        <w:rPr>
          <w:rFonts w:hint="eastAsia" w:ascii="宋体" w:hAnsi="宋体" w:eastAsia="宋体" w:cs="宋体"/>
          <w:sz w:val="24"/>
          <w:szCs w:val="24"/>
        </w:rPr>
        <w:t>日期：   年   月   日</w:t>
      </w:r>
    </w:p>
    <w:p w14:paraId="0844AD1F">
      <w:pPr>
        <w:pStyle w:val="12"/>
        <w:pageBreakBefore w:val="0"/>
        <w:kinsoku/>
        <w:wordWrap/>
        <w:overflowPunct/>
        <w:bidi w:val="0"/>
        <w:spacing w:beforeAutospacing="0" w:afterAutospacing="0" w:line="500" w:lineRule="exact"/>
        <w:textAlignment w:val="auto"/>
        <w:rPr>
          <w:rFonts w:hint="eastAsia" w:ascii="宋体" w:hAnsi="宋体" w:eastAsia="宋体" w:cs="宋体"/>
          <w:sz w:val="24"/>
          <w:szCs w:val="24"/>
          <w:lang w:eastAsia="zh-CN"/>
        </w:rPr>
      </w:pPr>
    </w:p>
    <w:p w14:paraId="57BFAADD">
      <w:pPr>
        <w:pStyle w:val="2"/>
        <w:pageBreakBefore w:val="0"/>
        <w:kinsoku/>
        <w:wordWrap/>
        <w:overflowPunct/>
        <w:bidi w:val="0"/>
        <w:spacing w:beforeAutospacing="0" w:afterAutospacing="0" w:line="500" w:lineRule="exact"/>
        <w:jc w:val="center"/>
        <w:textAlignment w:val="auto"/>
        <w:rPr>
          <w:rFonts w:hint="eastAsia" w:ascii="宋体" w:hAnsi="宋体" w:cs="宋体"/>
          <w:sz w:val="28"/>
          <w:szCs w:val="28"/>
          <w:lang w:val="en-US" w:eastAsia="zh-CN"/>
        </w:rPr>
      </w:pPr>
      <w:bookmarkStart w:id="102" w:name="_Toc34637800"/>
      <w:bookmarkStart w:id="103" w:name="_Toc22201157"/>
      <w:bookmarkStart w:id="104" w:name="_Toc15375"/>
    </w:p>
    <w:p w14:paraId="2CDD8916">
      <w:pPr>
        <w:pStyle w:val="2"/>
        <w:pageBreakBefore w:val="0"/>
        <w:kinsoku/>
        <w:wordWrap/>
        <w:overflowPunct/>
        <w:bidi w:val="0"/>
        <w:spacing w:beforeAutospacing="0" w:afterAutospacing="0" w:line="500" w:lineRule="exact"/>
        <w:jc w:val="both"/>
        <w:textAlignment w:val="auto"/>
        <w:rPr>
          <w:rFonts w:hint="eastAsia" w:ascii="宋体" w:hAnsi="宋体" w:cs="宋体"/>
          <w:sz w:val="28"/>
          <w:szCs w:val="28"/>
          <w:lang w:val="en-US" w:eastAsia="zh-CN"/>
        </w:rPr>
      </w:pPr>
    </w:p>
    <w:p w14:paraId="574C87C9">
      <w:pPr>
        <w:rPr>
          <w:rFonts w:hint="eastAsia" w:ascii="宋体" w:hAnsi="宋体" w:cs="宋体"/>
          <w:sz w:val="28"/>
          <w:szCs w:val="28"/>
          <w:lang w:val="en-US" w:eastAsia="zh-CN"/>
        </w:rPr>
      </w:pPr>
    </w:p>
    <w:p w14:paraId="62E921E0">
      <w:pPr>
        <w:pStyle w:val="43"/>
        <w:rPr>
          <w:rFonts w:hint="eastAsia" w:ascii="宋体" w:hAnsi="宋体" w:cs="宋体"/>
          <w:sz w:val="28"/>
          <w:szCs w:val="28"/>
          <w:lang w:val="en-US" w:eastAsia="zh-CN"/>
        </w:rPr>
      </w:pPr>
    </w:p>
    <w:p w14:paraId="370AF9FD">
      <w:pPr>
        <w:pStyle w:val="43"/>
        <w:rPr>
          <w:rFonts w:hint="eastAsia" w:ascii="宋体" w:hAnsi="宋体" w:cs="宋体"/>
          <w:sz w:val="28"/>
          <w:szCs w:val="28"/>
          <w:lang w:val="en-US" w:eastAsia="zh-CN"/>
        </w:rPr>
      </w:pPr>
    </w:p>
    <w:p w14:paraId="3CCACC22">
      <w:pPr>
        <w:pStyle w:val="2"/>
        <w:pageBreakBefore w:val="0"/>
        <w:kinsoku/>
        <w:wordWrap/>
        <w:overflowPunct/>
        <w:bidi w:val="0"/>
        <w:spacing w:beforeAutospacing="0" w:afterAutospacing="0" w:line="500" w:lineRule="exact"/>
        <w:jc w:val="center"/>
        <w:textAlignment w:val="auto"/>
        <w:rPr>
          <w:rFonts w:hint="eastAsia" w:ascii="宋体" w:hAnsi="宋体" w:eastAsia="宋体" w:cs="宋体"/>
          <w:sz w:val="28"/>
          <w:szCs w:val="28"/>
        </w:rPr>
      </w:pPr>
      <w:r>
        <w:rPr>
          <w:rFonts w:hint="eastAsia" w:ascii="宋体" w:hAnsi="宋体" w:cs="宋体"/>
          <w:sz w:val="28"/>
          <w:szCs w:val="28"/>
          <w:lang w:val="en-US" w:eastAsia="zh-CN"/>
        </w:rPr>
        <w:t>八</w:t>
      </w:r>
      <w:r>
        <w:rPr>
          <w:rFonts w:hint="eastAsia" w:ascii="宋体" w:hAnsi="宋体" w:eastAsia="宋体" w:cs="宋体"/>
          <w:sz w:val="28"/>
          <w:szCs w:val="28"/>
        </w:rPr>
        <w:t>、</w:t>
      </w:r>
      <w:bookmarkEnd w:id="102"/>
      <w:bookmarkEnd w:id="103"/>
      <w:r>
        <w:rPr>
          <w:rFonts w:hint="eastAsia" w:ascii="宋体" w:hAnsi="宋体" w:eastAsia="宋体" w:cs="宋体"/>
          <w:sz w:val="28"/>
          <w:szCs w:val="28"/>
        </w:rPr>
        <w:t>供应商认为需要提供的其它资料</w:t>
      </w:r>
      <w:bookmarkEnd w:id="104"/>
    </w:p>
    <w:p w14:paraId="4831F979">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b/>
          <w:sz w:val="24"/>
          <w:szCs w:val="24"/>
        </w:rPr>
      </w:pPr>
    </w:p>
    <w:p w14:paraId="407B3DA7">
      <w:pPr>
        <w:pageBreakBefore w:val="0"/>
        <w:kinsoku/>
        <w:wordWrap/>
        <w:overflowPunct/>
        <w:bidi w:val="0"/>
        <w:adjustRightInd w:val="0"/>
        <w:snapToGrid w:val="0"/>
        <w:spacing w:beforeAutospacing="0" w:afterAutospacing="0" w:line="500" w:lineRule="exact"/>
        <w:textAlignment w:val="auto"/>
        <w:rPr>
          <w:rFonts w:hint="eastAsia" w:ascii="宋体" w:hAnsi="宋体" w:eastAsia="宋体" w:cs="宋体"/>
          <w:bCs/>
          <w:sz w:val="24"/>
          <w:szCs w:val="24"/>
        </w:rPr>
      </w:pPr>
      <w:r>
        <w:rPr>
          <w:rFonts w:hint="eastAsia" w:ascii="宋体" w:hAnsi="宋体" w:eastAsia="宋体" w:cs="宋体"/>
          <w:bCs/>
          <w:sz w:val="24"/>
          <w:szCs w:val="24"/>
        </w:rPr>
        <w:t>说明：提供磋商文件或评分标准需要提供的其他相关资料。</w:t>
      </w:r>
    </w:p>
    <w:p w14:paraId="31C494D5">
      <w:pPr>
        <w:pStyle w:val="2"/>
        <w:pageBreakBefore w:val="0"/>
        <w:kinsoku/>
        <w:wordWrap/>
        <w:overflowPunct/>
        <w:bidi w:val="0"/>
        <w:spacing w:beforeAutospacing="0" w:afterAutospacing="0" w:line="500" w:lineRule="exact"/>
        <w:jc w:val="center"/>
        <w:textAlignment w:val="auto"/>
        <w:rPr>
          <w:rFonts w:hint="eastAsia" w:ascii="宋体" w:hAnsi="宋体" w:eastAsia="宋体" w:cs="宋体"/>
          <w:sz w:val="24"/>
          <w:szCs w:val="24"/>
        </w:rPr>
      </w:pPr>
      <w:bookmarkStart w:id="105" w:name="_Toc21471"/>
      <w:bookmarkStart w:id="106" w:name="_Toc16598"/>
    </w:p>
    <w:p w14:paraId="3250EF06">
      <w:pPr>
        <w:pageBreakBefore w:val="0"/>
        <w:kinsoku/>
        <w:wordWrap/>
        <w:overflowPunct/>
        <w:bidi w:val="0"/>
        <w:spacing w:line="500" w:lineRule="exact"/>
        <w:textAlignment w:val="auto"/>
        <w:rPr>
          <w:rFonts w:hint="eastAsia" w:ascii="宋体" w:hAnsi="宋体" w:eastAsia="宋体" w:cs="宋体"/>
          <w:sz w:val="24"/>
          <w:szCs w:val="24"/>
        </w:rPr>
      </w:pPr>
    </w:p>
    <w:p w14:paraId="22E57151">
      <w:pPr>
        <w:pageBreakBefore w:val="0"/>
        <w:kinsoku/>
        <w:wordWrap/>
        <w:overflowPunct/>
        <w:bidi w:val="0"/>
        <w:spacing w:line="500" w:lineRule="exact"/>
        <w:textAlignment w:val="auto"/>
        <w:rPr>
          <w:rFonts w:hint="eastAsia" w:ascii="宋体" w:hAnsi="宋体" w:eastAsia="宋体" w:cs="宋体"/>
          <w:sz w:val="24"/>
          <w:szCs w:val="24"/>
        </w:rPr>
      </w:pPr>
    </w:p>
    <w:p w14:paraId="41E9D35C">
      <w:pPr>
        <w:pageBreakBefore w:val="0"/>
        <w:kinsoku/>
        <w:wordWrap/>
        <w:overflowPunct/>
        <w:bidi w:val="0"/>
        <w:spacing w:line="500" w:lineRule="exact"/>
        <w:textAlignment w:val="auto"/>
        <w:rPr>
          <w:rFonts w:hint="eastAsia" w:ascii="宋体" w:hAnsi="宋体" w:eastAsia="宋体" w:cs="宋体"/>
          <w:sz w:val="24"/>
          <w:szCs w:val="24"/>
        </w:rPr>
      </w:pPr>
    </w:p>
    <w:p w14:paraId="7747BF9B">
      <w:pPr>
        <w:pageBreakBefore w:val="0"/>
        <w:kinsoku/>
        <w:wordWrap/>
        <w:overflowPunct/>
        <w:bidi w:val="0"/>
        <w:spacing w:line="500" w:lineRule="exact"/>
        <w:textAlignment w:val="auto"/>
        <w:rPr>
          <w:rFonts w:hint="eastAsia" w:ascii="宋体" w:hAnsi="宋体" w:eastAsia="宋体" w:cs="宋体"/>
          <w:sz w:val="24"/>
          <w:szCs w:val="24"/>
        </w:rPr>
      </w:pPr>
    </w:p>
    <w:p w14:paraId="458C8047">
      <w:pPr>
        <w:pageBreakBefore w:val="0"/>
        <w:kinsoku/>
        <w:wordWrap/>
        <w:overflowPunct/>
        <w:bidi w:val="0"/>
        <w:spacing w:line="500" w:lineRule="exact"/>
        <w:textAlignment w:val="auto"/>
        <w:rPr>
          <w:rFonts w:hint="eastAsia" w:ascii="宋体" w:hAnsi="宋体" w:eastAsia="宋体" w:cs="宋体"/>
          <w:sz w:val="24"/>
          <w:szCs w:val="24"/>
        </w:rPr>
      </w:pPr>
    </w:p>
    <w:p w14:paraId="16359766">
      <w:pPr>
        <w:pageBreakBefore w:val="0"/>
        <w:kinsoku/>
        <w:wordWrap/>
        <w:overflowPunct/>
        <w:bidi w:val="0"/>
        <w:spacing w:line="500" w:lineRule="exact"/>
        <w:textAlignment w:val="auto"/>
        <w:rPr>
          <w:rFonts w:hint="eastAsia" w:ascii="宋体" w:hAnsi="宋体" w:eastAsia="宋体" w:cs="宋体"/>
          <w:sz w:val="24"/>
          <w:szCs w:val="24"/>
        </w:rPr>
      </w:pPr>
    </w:p>
    <w:p w14:paraId="4DEBA673">
      <w:pPr>
        <w:pageBreakBefore w:val="0"/>
        <w:kinsoku/>
        <w:wordWrap/>
        <w:overflowPunct/>
        <w:bidi w:val="0"/>
        <w:spacing w:line="500" w:lineRule="exact"/>
        <w:textAlignment w:val="auto"/>
        <w:rPr>
          <w:rFonts w:hint="eastAsia" w:ascii="宋体" w:hAnsi="宋体" w:eastAsia="宋体" w:cs="宋体"/>
          <w:sz w:val="24"/>
          <w:szCs w:val="24"/>
        </w:rPr>
      </w:pPr>
    </w:p>
    <w:p w14:paraId="05EE8BBC">
      <w:pPr>
        <w:pageBreakBefore w:val="0"/>
        <w:kinsoku/>
        <w:wordWrap/>
        <w:overflowPunct/>
        <w:bidi w:val="0"/>
        <w:spacing w:line="500" w:lineRule="exact"/>
        <w:textAlignment w:val="auto"/>
        <w:rPr>
          <w:rFonts w:hint="eastAsia" w:ascii="宋体" w:hAnsi="宋体" w:eastAsia="宋体" w:cs="宋体"/>
          <w:sz w:val="24"/>
          <w:szCs w:val="24"/>
        </w:rPr>
      </w:pPr>
    </w:p>
    <w:p w14:paraId="05D98E92">
      <w:pPr>
        <w:pageBreakBefore w:val="0"/>
        <w:kinsoku/>
        <w:wordWrap/>
        <w:overflowPunct/>
        <w:bidi w:val="0"/>
        <w:spacing w:line="500" w:lineRule="exact"/>
        <w:textAlignment w:val="auto"/>
        <w:rPr>
          <w:rFonts w:hint="eastAsia" w:ascii="宋体" w:hAnsi="宋体" w:eastAsia="宋体" w:cs="宋体"/>
          <w:sz w:val="24"/>
          <w:szCs w:val="24"/>
        </w:rPr>
      </w:pPr>
    </w:p>
    <w:p w14:paraId="0CD4A232">
      <w:pPr>
        <w:pageBreakBefore w:val="0"/>
        <w:kinsoku/>
        <w:wordWrap/>
        <w:overflowPunct/>
        <w:bidi w:val="0"/>
        <w:spacing w:line="500" w:lineRule="exact"/>
        <w:textAlignment w:val="auto"/>
        <w:rPr>
          <w:rFonts w:hint="eastAsia" w:ascii="宋体" w:hAnsi="宋体" w:eastAsia="宋体" w:cs="宋体"/>
          <w:sz w:val="24"/>
          <w:szCs w:val="24"/>
        </w:rPr>
      </w:pPr>
    </w:p>
    <w:p w14:paraId="7DA6EE8E">
      <w:pPr>
        <w:pageBreakBefore w:val="0"/>
        <w:kinsoku/>
        <w:wordWrap/>
        <w:overflowPunct/>
        <w:bidi w:val="0"/>
        <w:spacing w:line="500" w:lineRule="exact"/>
        <w:textAlignment w:val="auto"/>
        <w:rPr>
          <w:rFonts w:hint="eastAsia" w:ascii="宋体" w:hAnsi="宋体" w:eastAsia="宋体" w:cs="宋体"/>
          <w:sz w:val="24"/>
          <w:szCs w:val="24"/>
        </w:rPr>
      </w:pPr>
    </w:p>
    <w:p w14:paraId="600D5887">
      <w:pPr>
        <w:pageBreakBefore w:val="0"/>
        <w:kinsoku/>
        <w:wordWrap/>
        <w:overflowPunct/>
        <w:bidi w:val="0"/>
        <w:spacing w:line="500" w:lineRule="exact"/>
        <w:textAlignment w:val="auto"/>
        <w:rPr>
          <w:rFonts w:hint="eastAsia" w:ascii="宋体" w:hAnsi="宋体" w:eastAsia="宋体" w:cs="宋体"/>
          <w:sz w:val="24"/>
          <w:szCs w:val="24"/>
        </w:rPr>
      </w:pPr>
    </w:p>
    <w:p w14:paraId="2D1659D2">
      <w:pPr>
        <w:pageBreakBefore w:val="0"/>
        <w:kinsoku/>
        <w:wordWrap/>
        <w:overflowPunct/>
        <w:bidi w:val="0"/>
        <w:spacing w:line="500" w:lineRule="exact"/>
        <w:textAlignment w:val="auto"/>
        <w:rPr>
          <w:rFonts w:hint="eastAsia" w:ascii="宋体" w:hAnsi="宋体" w:eastAsia="宋体" w:cs="宋体"/>
          <w:sz w:val="24"/>
          <w:szCs w:val="24"/>
        </w:rPr>
      </w:pPr>
    </w:p>
    <w:p w14:paraId="0481078D">
      <w:pPr>
        <w:pageBreakBefore w:val="0"/>
        <w:kinsoku/>
        <w:wordWrap/>
        <w:overflowPunct/>
        <w:bidi w:val="0"/>
        <w:spacing w:line="500" w:lineRule="exact"/>
        <w:textAlignment w:val="auto"/>
        <w:rPr>
          <w:rFonts w:hint="eastAsia" w:ascii="宋体" w:hAnsi="宋体" w:eastAsia="宋体" w:cs="宋体"/>
          <w:sz w:val="24"/>
          <w:szCs w:val="24"/>
        </w:rPr>
      </w:pPr>
    </w:p>
    <w:p w14:paraId="2C48ABAD">
      <w:pPr>
        <w:pageBreakBefore w:val="0"/>
        <w:kinsoku/>
        <w:wordWrap/>
        <w:overflowPunct/>
        <w:bidi w:val="0"/>
        <w:spacing w:line="500" w:lineRule="exact"/>
        <w:textAlignment w:val="auto"/>
        <w:rPr>
          <w:rFonts w:hint="eastAsia" w:ascii="宋体" w:hAnsi="宋体" w:eastAsia="宋体" w:cs="宋体"/>
          <w:sz w:val="24"/>
          <w:szCs w:val="24"/>
        </w:rPr>
      </w:pPr>
    </w:p>
    <w:p w14:paraId="5C7697D5">
      <w:pPr>
        <w:pageBreakBefore w:val="0"/>
        <w:kinsoku/>
        <w:wordWrap/>
        <w:overflowPunct/>
        <w:bidi w:val="0"/>
        <w:spacing w:line="500" w:lineRule="exact"/>
        <w:textAlignment w:val="auto"/>
        <w:rPr>
          <w:rFonts w:hint="eastAsia" w:ascii="宋体" w:hAnsi="宋体" w:eastAsia="宋体" w:cs="宋体"/>
          <w:sz w:val="24"/>
          <w:szCs w:val="24"/>
        </w:rPr>
      </w:pPr>
    </w:p>
    <w:p w14:paraId="58885FF4">
      <w:pPr>
        <w:pageBreakBefore w:val="0"/>
        <w:kinsoku/>
        <w:wordWrap/>
        <w:overflowPunct/>
        <w:bidi w:val="0"/>
        <w:spacing w:line="500" w:lineRule="exact"/>
        <w:textAlignment w:val="auto"/>
        <w:rPr>
          <w:rFonts w:hint="eastAsia" w:ascii="宋体" w:hAnsi="宋体" w:eastAsia="宋体" w:cs="宋体"/>
          <w:sz w:val="24"/>
          <w:szCs w:val="24"/>
        </w:rPr>
      </w:pPr>
    </w:p>
    <w:p w14:paraId="74E3CFCC">
      <w:pPr>
        <w:pageBreakBefore w:val="0"/>
        <w:kinsoku/>
        <w:wordWrap/>
        <w:overflowPunct/>
        <w:bidi w:val="0"/>
        <w:spacing w:line="500" w:lineRule="exact"/>
        <w:textAlignment w:val="auto"/>
        <w:rPr>
          <w:rFonts w:hint="eastAsia" w:ascii="宋体" w:hAnsi="宋体" w:eastAsia="宋体" w:cs="宋体"/>
          <w:sz w:val="24"/>
          <w:szCs w:val="24"/>
        </w:rPr>
      </w:pPr>
    </w:p>
    <w:p w14:paraId="2E22D0E3">
      <w:pPr>
        <w:pageBreakBefore w:val="0"/>
        <w:kinsoku/>
        <w:wordWrap/>
        <w:overflowPunct/>
        <w:bidi w:val="0"/>
        <w:spacing w:line="500" w:lineRule="exact"/>
        <w:textAlignment w:val="auto"/>
        <w:rPr>
          <w:rFonts w:hint="eastAsia" w:ascii="宋体" w:hAnsi="宋体" w:eastAsia="宋体" w:cs="宋体"/>
          <w:sz w:val="24"/>
          <w:szCs w:val="24"/>
        </w:rPr>
      </w:pPr>
    </w:p>
    <w:p w14:paraId="2AB531A8">
      <w:pPr>
        <w:pageBreakBefore w:val="0"/>
        <w:kinsoku/>
        <w:wordWrap/>
        <w:overflowPunct/>
        <w:bidi w:val="0"/>
        <w:spacing w:line="500" w:lineRule="exact"/>
        <w:textAlignment w:val="auto"/>
        <w:rPr>
          <w:rFonts w:hint="eastAsia" w:ascii="宋体" w:hAnsi="宋体" w:eastAsia="宋体" w:cs="宋体"/>
          <w:sz w:val="24"/>
          <w:szCs w:val="24"/>
        </w:rPr>
      </w:pPr>
    </w:p>
    <w:p w14:paraId="3C97AD7C">
      <w:pPr>
        <w:pStyle w:val="2"/>
        <w:pageBreakBefore w:val="0"/>
        <w:kinsoku/>
        <w:wordWrap/>
        <w:overflowPunct/>
        <w:bidi w:val="0"/>
        <w:spacing w:line="500" w:lineRule="exact"/>
        <w:textAlignment w:val="auto"/>
        <w:rPr>
          <w:rFonts w:hint="eastAsia"/>
        </w:rPr>
      </w:pPr>
    </w:p>
    <w:bookmarkEnd w:id="105"/>
    <w:bookmarkEnd w:id="106"/>
    <w:p w14:paraId="54452073">
      <w:pPr>
        <w:rPr>
          <w:rFonts w:hint="eastAsia"/>
        </w:rPr>
      </w:pPr>
    </w:p>
    <w:sectPr>
      <w:pgSz w:w="11906" w:h="16838"/>
      <w:pgMar w:top="1134" w:right="1417" w:bottom="1134" w:left="141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Courier New"/>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8" w:usb3="00000000" w:csb0="000001F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方正小标宋简体">
    <w:altName w:val="黑体"/>
    <w:panose1 w:val="03000509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altName w:val="宋体"/>
    <w:panose1 w:val="02000500000000000000"/>
    <w:charset w:val="86"/>
    <w:family w:val="auto"/>
    <w:pitch w:val="default"/>
    <w:sig w:usb0="00000000" w:usb1="00000000"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2FA20">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DB132">
    <w:pPr>
      <w:pStyle w:val="29"/>
      <w:framePr w:wrap="around" w:vAnchor="text" w:hAnchor="margin" w:xAlign="right" w:y="1"/>
      <w:rPr>
        <w:rStyle w:val="49"/>
      </w:rPr>
    </w:pPr>
    <w:r>
      <w:fldChar w:fldCharType="begin"/>
    </w:r>
    <w:r>
      <w:rPr>
        <w:rStyle w:val="49"/>
      </w:rPr>
      <w:instrText xml:space="preserve">PAGE  </w:instrText>
    </w:r>
    <w:r>
      <w:fldChar w:fldCharType="end"/>
    </w:r>
  </w:p>
  <w:p w14:paraId="09632652">
    <w:pPr>
      <w:pStyle w:val="2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69DB6">
    <w:pPr>
      <w:widowControl w:val="0"/>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DF6AD">
    <w:pPr>
      <w:spacing w:line="14" w:lineRule="auto"/>
      <w:rPr>
        <w:rFonts w:ascii="Arial" w:hAnsi="Calibri"/>
        <w:sz w:val="2"/>
      </w:rPr>
    </w:pPr>
    <w:r>
      <w:rPr>
        <w:rFonts w:ascii="Calibri" w:hAnsi="Calibri"/>
        <w:sz w:val="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10287D">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t xml:space="preserve">第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页 共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NUMPAGES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76</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5810287D">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t xml:space="preserve">第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页 共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NUMPAGES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76</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9665F">
    <w:pPr>
      <w:keepNext w:val="0"/>
      <w:keepLines w:val="0"/>
      <w:widowControl w:val="0"/>
      <w:shd w:val="clear" w:color="auto" w:fill="auto"/>
      <w:bidi w:val="0"/>
      <w:spacing w:before="0" w:after="0" w:line="1" w:lineRule="exact"/>
      <w:ind w:left="0" w:right="0" w:firstLine="0"/>
      <w:jc w:val="left"/>
      <w:rPr>
        <w:rFonts w:eastAsia="Times New Roman"/>
        <w:color w:val="000000"/>
        <w:spacing w:val="0"/>
        <w:w w:val="100"/>
        <w:kern w:val="0"/>
        <w:position w:val="0"/>
        <w:sz w:val="24"/>
        <w:shd w:val="clear" w:color="auto" w:fill="auto"/>
        <w:lang w:eastAsia="en-US" w:bidi="en-US"/>
      </w:rPr>
    </w:pPr>
    <w:r>
      <w:rPr>
        <w:rFonts w:eastAsia="Times New Roman"/>
        <w:color w:val="000000"/>
        <w:spacing w:val="0"/>
        <w:w w:val="100"/>
        <w:kern w:val="0"/>
        <w:position w:val="0"/>
        <w:sz w:val="24"/>
        <w:shd w:val="clear" w:color="auto" w:fill="auto"/>
        <w:lang w:eastAsia="en-US" w:bidi="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B98CD72">
                          <w:pPr>
                            <w:keepNext w:val="0"/>
                            <w:keepLines w:val="0"/>
                            <w:widowControl w:val="0"/>
                            <w:shd w:val="clear" w:color="auto" w:fill="auto"/>
                            <w:bidi w:val="0"/>
                            <w:snapToGrid w:val="0"/>
                            <w:spacing w:before="0" w:after="0" w:line="240" w:lineRule="auto"/>
                            <w:ind w:left="0" w:right="0" w:firstLine="0"/>
                            <w:jc w:val="left"/>
                            <w:rPr>
                              <w:rFonts w:ascii="Times New Roman" w:hAnsi="Times New Roman" w:eastAsia="Times New Roman" w:cs="Times New Roman"/>
                              <w:color w:val="000000"/>
                              <w:spacing w:val="0"/>
                              <w:w w:val="100"/>
                              <w:position w:val="0"/>
                              <w:sz w:val="18"/>
                              <w:szCs w:val="24"/>
                              <w:shd w:val="clear" w:color="auto" w:fill="auto"/>
                              <w:lang w:val="en-US" w:eastAsia="en-US" w:bidi="en-US"/>
                            </w:rPr>
                          </w:pPr>
                          <w:r>
                            <w:rPr>
                              <w:rFonts w:ascii="Times New Roman" w:hAnsi="Times New Roman" w:eastAsia="Times New Roman" w:cs="Times New Roman"/>
                              <w:color w:val="000000"/>
                              <w:spacing w:val="0"/>
                              <w:w w:val="100"/>
                              <w:position w:val="0"/>
                              <w:sz w:val="18"/>
                              <w:szCs w:val="24"/>
                              <w:shd w:val="clear" w:color="auto" w:fill="auto"/>
                              <w:lang w:val="en-US" w:eastAsia="en-US" w:bidi="en-US"/>
                            </w:rPr>
                            <w:t xml:space="preserve">第 </w:t>
                          </w:r>
                          <w:r>
                            <w:rPr>
                              <w:rFonts w:ascii="Times New Roman" w:hAnsi="Times New Roman" w:eastAsia="Times New Roman" w:cs="Times New Roman"/>
                              <w:color w:val="000000"/>
                              <w:spacing w:val="0"/>
                              <w:w w:val="100"/>
                              <w:position w:val="0"/>
                              <w:sz w:val="18"/>
                              <w:szCs w:val="24"/>
                              <w:shd w:val="clear" w:color="auto" w:fill="auto"/>
                              <w:lang w:val="en-US" w:eastAsia="en-US" w:bidi="en-US"/>
                            </w:rPr>
                            <w:fldChar w:fldCharType="begin"/>
                          </w:r>
                          <w:r>
                            <w:rPr>
                              <w:rFonts w:ascii="Times New Roman" w:hAnsi="Times New Roman" w:eastAsia="Times New Roman" w:cs="Times New Roman"/>
                              <w:color w:val="000000"/>
                              <w:spacing w:val="0"/>
                              <w:w w:val="100"/>
                              <w:position w:val="0"/>
                              <w:sz w:val="18"/>
                              <w:szCs w:val="24"/>
                              <w:shd w:val="clear" w:color="auto" w:fill="auto"/>
                              <w:lang w:val="en-US" w:eastAsia="en-US" w:bidi="en-US"/>
                            </w:rPr>
                            <w:instrText xml:space="preserve"> PAGE  \* MERGEFORMAT </w:instrText>
                          </w:r>
                          <w:r>
                            <w:rPr>
                              <w:rFonts w:ascii="Times New Roman" w:hAnsi="Times New Roman" w:eastAsia="Times New Roman" w:cs="Times New Roman"/>
                              <w:color w:val="000000"/>
                              <w:spacing w:val="0"/>
                              <w:w w:val="100"/>
                              <w:position w:val="0"/>
                              <w:sz w:val="18"/>
                              <w:szCs w:val="24"/>
                              <w:shd w:val="clear" w:color="auto" w:fill="auto"/>
                              <w:lang w:val="en-US" w:eastAsia="en-US" w:bidi="en-US"/>
                            </w:rPr>
                            <w:fldChar w:fldCharType="separate"/>
                          </w:r>
                          <w:r>
                            <w:rPr>
                              <w:rFonts w:ascii="Times New Roman" w:hAnsi="Times New Roman" w:eastAsia="Times New Roman" w:cs="Times New Roman"/>
                              <w:color w:val="000000"/>
                              <w:spacing w:val="0"/>
                              <w:w w:val="100"/>
                              <w:position w:val="0"/>
                              <w:sz w:val="18"/>
                              <w:szCs w:val="24"/>
                              <w:shd w:val="clear" w:color="auto" w:fill="auto"/>
                              <w:lang w:val="en-US" w:eastAsia="en-US" w:bidi="en-US"/>
                            </w:rPr>
                            <w:t>1</w:t>
                          </w:r>
                          <w:r>
                            <w:rPr>
                              <w:rFonts w:ascii="Times New Roman" w:hAnsi="Times New Roman" w:eastAsia="Times New Roman" w:cs="Times New Roman"/>
                              <w:color w:val="000000"/>
                              <w:spacing w:val="0"/>
                              <w:w w:val="100"/>
                              <w:position w:val="0"/>
                              <w:sz w:val="18"/>
                              <w:szCs w:val="24"/>
                              <w:shd w:val="clear" w:color="auto" w:fill="auto"/>
                              <w:lang w:val="en-US" w:eastAsia="en-US" w:bidi="en-US"/>
                            </w:rPr>
                            <w:fldChar w:fldCharType="end"/>
                          </w:r>
                          <w:r>
                            <w:rPr>
                              <w:rFonts w:ascii="Times New Roman" w:hAnsi="Times New Roman" w:eastAsia="Times New Roman" w:cs="Times New Roman"/>
                              <w:color w:val="000000"/>
                              <w:spacing w:val="0"/>
                              <w:w w:val="100"/>
                              <w:position w:val="0"/>
                              <w:sz w:val="18"/>
                              <w:szCs w:val="24"/>
                              <w:shd w:val="clear" w:color="auto" w:fill="auto"/>
                              <w:lang w:val="en-US" w:eastAsia="en-US" w:bidi="en-US"/>
                            </w:rPr>
                            <w:t xml:space="preserve"> 页 共 </w:t>
                          </w:r>
                          <w:r>
                            <w:rPr>
                              <w:rFonts w:ascii="Times New Roman" w:hAnsi="Times New Roman" w:eastAsia="Times New Roman" w:cs="Times New Roman"/>
                              <w:color w:val="000000"/>
                              <w:spacing w:val="0"/>
                              <w:w w:val="100"/>
                              <w:position w:val="0"/>
                              <w:sz w:val="18"/>
                              <w:szCs w:val="24"/>
                              <w:shd w:val="clear" w:color="auto" w:fill="auto"/>
                              <w:lang w:val="en-US" w:eastAsia="en-US" w:bidi="en-US"/>
                            </w:rPr>
                            <w:fldChar w:fldCharType="begin"/>
                          </w:r>
                          <w:r>
                            <w:rPr>
                              <w:rFonts w:ascii="Times New Roman" w:hAnsi="Times New Roman" w:eastAsia="Times New Roman" w:cs="Times New Roman"/>
                              <w:color w:val="000000"/>
                              <w:spacing w:val="0"/>
                              <w:w w:val="100"/>
                              <w:position w:val="0"/>
                              <w:sz w:val="18"/>
                              <w:szCs w:val="24"/>
                              <w:shd w:val="clear" w:color="auto" w:fill="auto"/>
                              <w:lang w:val="en-US" w:eastAsia="en-US" w:bidi="en-US"/>
                            </w:rPr>
                            <w:instrText xml:space="preserve"> NUMPAGES  \* MERGEFORMAT </w:instrText>
                          </w:r>
                          <w:r>
                            <w:rPr>
                              <w:rFonts w:ascii="Times New Roman" w:hAnsi="Times New Roman" w:eastAsia="Times New Roman" w:cs="Times New Roman"/>
                              <w:color w:val="000000"/>
                              <w:spacing w:val="0"/>
                              <w:w w:val="100"/>
                              <w:position w:val="0"/>
                              <w:sz w:val="18"/>
                              <w:szCs w:val="24"/>
                              <w:shd w:val="clear" w:color="auto" w:fill="auto"/>
                              <w:lang w:val="en-US" w:eastAsia="en-US" w:bidi="en-US"/>
                            </w:rPr>
                            <w:fldChar w:fldCharType="separate"/>
                          </w:r>
                          <w:r>
                            <w:rPr>
                              <w:rFonts w:ascii="Times New Roman" w:hAnsi="Times New Roman" w:eastAsia="Times New Roman" w:cs="Times New Roman"/>
                              <w:color w:val="000000"/>
                              <w:spacing w:val="0"/>
                              <w:w w:val="100"/>
                              <w:position w:val="0"/>
                              <w:sz w:val="18"/>
                              <w:szCs w:val="24"/>
                              <w:shd w:val="clear" w:color="auto" w:fill="auto"/>
                              <w:lang w:val="en-US" w:eastAsia="en-US" w:bidi="en-US"/>
                            </w:rPr>
                            <w:t>120</w:t>
                          </w:r>
                          <w:r>
                            <w:rPr>
                              <w:rFonts w:ascii="Times New Roman" w:hAnsi="Times New Roman" w:eastAsia="Times New Roman" w:cs="Times New Roman"/>
                              <w:color w:val="000000"/>
                              <w:spacing w:val="0"/>
                              <w:w w:val="100"/>
                              <w:position w:val="0"/>
                              <w:sz w:val="18"/>
                              <w:szCs w:val="24"/>
                              <w:shd w:val="clear" w:color="auto" w:fill="auto"/>
                              <w:lang w:val="en-US" w:eastAsia="en-US" w:bidi="en-US"/>
                            </w:rPr>
                            <w:fldChar w:fldCharType="end"/>
                          </w:r>
                          <w:r>
                            <w:rPr>
                              <w:rFonts w:ascii="Times New Roman" w:hAnsi="Times New Roman" w:eastAsia="Times New Roman" w:cs="Times New Roman"/>
                              <w:color w:val="000000"/>
                              <w:spacing w:val="0"/>
                              <w:w w:val="100"/>
                              <w:position w:val="0"/>
                              <w:sz w:val="18"/>
                              <w:szCs w:val="24"/>
                              <w:shd w:val="clear" w:color="auto" w:fill="auto"/>
                              <w:lang w:val="en-US" w:eastAsia="en-US" w:bidi="en-US"/>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fill on="f" focussize="0,0"/>
              <v:stroke on="f" weight="0.5pt"/>
              <v:imagedata o:title=""/>
              <o:lock v:ext="edit" aspectratio="f"/>
              <v:textbox inset="0mm,0mm,0mm,0mm" style="mso-fit-shape-to-text:t;">
                <w:txbxContent>
                  <w:p w14:paraId="5B98CD72">
                    <w:pPr>
                      <w:keepNext w:val="0"/>
                      <w:keepLines w:val="0"/>
                      <w:widowControl w:val="0"/>
                      <w:shd w:val="clear" w:color="auto" w:fill="auto"/>
                      <w:bidi w:val="0"/>
                      <w:snapToGrid w:val="0"/>
                      <w:spacing w:before="0" w:after="0" w:line="240" w:lineRule="auto"/>
                      <w:ind w:left="0" w:right="0" w:firstLine="0"/>
                      <w:jc w:val="left"/>
                      <w:rPr>
                        <w:rFonts w:ascii="Times New Roman" w:hAnsi="Times New Roman" w:eastAsia="Times New Roman" w:cs="Times New Roman"/>
                        <w:color w:val="000000"/>
                        <w:spacing w:val="0"/>
                        <w:w w:val="100"/>
                        <w:position w:val="0"/>
                        <w:sz w:val="18"/>
                        <w:szCs w:val="24"/>
                        <w:shd w:val="clear" w:color="auto" w:fill="auto"/>
                        <w:lang w:val="en-US" w:eastAsia="en-US" w:bidi="en-US"/>
                      </w:rPr>
                    </w:pPr>
                    <w:r>
                      <w:rPr>
                        <w:rFonts w:ascii="Times New Roman" w:hAnsi="Times New Roman" w:eastAsia="Times New Roman" w:cs="Times New Roman"/>
                        <w:color w:val="000000"/>
                        <w:spacing w:val="0"/>
                        <w:w w:val="100"/>
                        <w:position w:val="0"/>
                        <w:sz w:val="18"/>
                        <w:szCs w:val="24"/>
                        <w:shd w:val="clear" w:color="auto" w:fill="auto"/>
                        <w:lang w:val="en-US" w:eastAsia="en-US" w:bidi="en-US"/>
                      </w:rPr>
                      <w:t xml:space="preserve">第 </w:t>
                    </w:r>
                    <w:r>
                      <w:rPr>
                        <w:rFonts w:ascii="Times New Roman" w:hAnsi="Times New Roman" w:eastAsia="Times New Roman" w:cs="Times New Roman"/>
                        <w:color w:val="000000"/>
                        <w:spacing w:val="0"/>
                        <w:w w:val="100"/>
                        <w:position w:val="0"/>
                        <w:sz w:val="18"/>
                        <w:szCs w:val="24"/>
                        <w:shd w:val="clear" w:color="auto" w:fill="auto"/>
                        <w:lang w:val="en-US" w:eastAsia="en-US" w:bidi="en-US"/>
                      </w:rPr>
                      <w:fldChar w:fldCharType="begin"/>
                    </w:r>
                    <w:r>
                      <w:rPr>
                        <w:rFonts w:ascii="Times New Roman" w:hAnsi="Times New Roman" w:eastAsia="Times New Roman" w:cs="Times New Roman"/>
                        <w:color w:val="000000"/>
                        <w:spacing w:val="0"/>
                        <w:w w:val="100"/>
                        <w:position w:val="0"/>
                        <w:sz w:val="18"/>
                        <w:szCs w:val="24"/>
                        <w:shd w:val="clear" w:color="auto" w:fill="auto"/>
                        <w:lang w:val="en-US" w:eastAsia="en-US" w:bidi="en-US"/>
                      </w:rPr>
                      <w:instrText xml:space="preserve"> PAGE  \* MERGEFORMAT </w:instrText>
                    </w:r>
                    <w:r>
                      <w:rPr>
                        <w:rFonts w:ascii="Times New Roman" w:hAnsi="Times New Roman" w:eastAsia="Times New Roman" w:cs="Times New Roman"/>
                        <w:color w:val="000000"/>
                        <w:spacing w:val="0"/>
                        <w:w w:val="100"/>
                        <w:position w:val="0"/>
                        <w:sz w:val="18"/>
                        <w:szCs w:val="24"/>
                        <w:shd w:val="clear" w:color="auto" w:fill="auto"/>
                        <w:lang w:val="en-US" w:eastAsia="en-US" w:bidi="en-US"/>
                      </w:rPr>
                      <w:fldChar w:fldCharType="separate"/>
                    </w:r>
                    <w:r>
                      <w:rPr>
                        <w:rFonts w:ascii="Times New Roman" w:hAnsi="Times New Roman" w:eastAsia="Times New Roman" w:cs="Times New Roman"/>
                        <w:color w:val="000000"/>
                        <w:spacing w:val="0"/>
                        <w:w w:val="100"/>
                        <w:position w:val="0"/>
                        <w:sz w:val="18"/>
                        <w:szCs w:val="24"/>
                        <w:shd w:val="clear" w:color="auto" w:fill="auto"/>
                        <w:lang w:val="en-US" w:eastAsia="en-US" w:bidi="en-US"/>
                      </w:rPr>
                      <w:t>1</w:t>
                    </w:r>
                    <w:r>
                      <w:rPr>
                        <w:rFonts w:ascii="Times New Roman" w:hAnsi="Times New Roman" w:eastAsia="Times New Roman" w:cs="Times New Roman"/>
                        <w:color w:val="000000"/>
                        <w:spacing w:val="0"/>
                        <w:w w:val="100"/>
                        <w:position w:val="0"/>
                        <w:sz w:val="18"/>
                        <w:szCs w:val="24"/>
                        <w:shd w:val="clear" w:color="auto" w:fill="auto"/>
                        <w:lang w:val="en-US" w:eastAsia="en-US" w:bidi="en-US"/>
                      </w:rPr>
                      <w:fldChar w:fldCharType="end"/>
                    </w:r>
                    <w:r>
                      <w:rPr>
                        <w:rFonts w:ascii="Times New Roman" w:hAnsi="Times New Roman" w:eastAsia="Times New Roman" w:cs="Times New Roman"/>
                        <w:color w:val="000000"/>
                        <w:spacing w:val="0"/>
                        <w:w w:val="100"/>
                        <w:position w:val="0"/>
                        <w:sz w:val="18"/>
                        <w:szCs w:val="24"/>
                        <w:shd w:val="clear" w:color="auto" w:fill="auto"/>
                        <w:lang w:val="en-US" w:eastAsia="en-US" w:bidi="en-US"/>
                      </w:rPr>
                      <w:t xml:space="preserve"> 页 共 </w:t>
                    </w:r>
                    <w:r>
                      <w:rPr>
                        <w:rFonts w:ascii="Times New Roman" w:hAnsi="Times New Roman" w:eastAsia="Times New Roman" w:cs="Times New Roman"/>
                        <w:color w:val="000000"/>
                        <w:spacing w:val="0"/>
                        <w:w w:val="100"/>
                        <w:position w:val="0"/>
                        <w:sz w:val="18"/>
                        <w:szCs w:val="24"/>
                        <w:shd w:val="clear" w:color="auto" w:fill="auto"/>
                        <w:lang w:val="en-US" w:eastAsia="en-US" w:bidi="en-US"/>
                      </w:rPr>
                      <w:fldChar w:fldCharType="begin"/>
                    </w:r>
                    <w:r>
                      <w:rPr>
                        <w:rFonts w:ascii="Times New Roman" w:hAnsi="Times New Roman" w:eastAsia="Times New Roman" w:cs="Times New Roman"/>
                        <w:color w:val="000000"/>
                        <w:spacing w:val="0"/>
                        <w:w w:val="100"/>
                        <w:position w:val="0"/>
                        <w:sz w:val="18"/>
                        <w:szCs w:val="24"/>
                        <w:shd w:val="clear" w:color="auto" w:fill="auto"/>
                        <w:lang w:val="en-US" w:eastAsia="en-US" w:bidi="en-US"/>
                      </w:rPr>
                      <w:instrText xml:space="preserve"> NUMPAGES  \* MERGEFORMAT </w:instrText>
                    </w:r>
                    <w:r>
                      <w:rPr>
                        <w:rFonts w:ascii="Times New Roman" w:hAnsi="Times New Roman" w:eastAsia="Times New Roman" w:cs="Times New Roman"/>
                        <w:color w:val="000000"/>
                        <w:spacing w:val="0"/>
                        <w:w w:val="100"/>
                        <w:position w:val="0"/>
                        <w:sz w:val="18"/>
                        <w:szCs w:val="24"/>
                        <w:shd w:val="clear" w:color="auto" w:fill="auto"/>
                        <w:lang w:val="en-US" w:eastAsia="en-US" w:bidi="en-US"/>
                      </w:rPr>
                      <w:fldChar w:fldCharType="separate"/>
                    </w:r>
                    <w:r>
                      <w:rPr>
                        <w:rFonts w:ascii="Times New Roman" w:hAnsi="Times New Roman" w:eastAsia="Times New Roman" w:cs="Times New Roman"/>
                        <w:color w:val="000000"/>
                        <w:spacing w:val="0"/>
                        <w:w w:val="100"/>
                        <w:position w:val="0"/>
                        <w:sz w:val="18"/>
                        <w:szCs w:val="24"/>
                        <w:shd w:val="clear" w:color="auto" w:fill="auto"/>
                        <w:lang w:val="en-US" w:eastAsia="en-US" w:bidi="en-US"/>
                      </w:rPr>
                      <w:t>120</w:t>
                    </w:r>
                    <w:r>
                      <w:rPr>
                        <w:rFonts w:ascii="Times New Roman" w:hAnsi="Times New Roman" w:eastAsia="Times New Roman" w:cs="Times New Roman"/>
                        <w:color w:val="000000"/>
                        <w:spacing w:val="0"/>
                        <w:w w:val="100"/>
                        <w:position w:val="0"/>
                        <w:sz w:val="18"/>
                        <w:szCs w:val="24"/>
                        <w:shd w:val="clear" w:color="auto" w:fill="auto"/>
                        <w:lang w:val="en-US" w:eastAsia="en-US" w:bidi="en-US"/>
                      </w:rPr>
                      <w:fldChar w:fldCharType="end"/>
                    </w:r>
                    <w:r>
                      <w:rPr>
                        <w:rFonts w:ascii="Times New Roman" w:hAnsi="Times New Roman" w:eastAsia="Times New Roman" w:cs="Times New Roman"/>
                        <w:color w:val="000000"/>
                        <w:spacing w:val="0"/>
                        <w:w w:val="100"/>
                        <w:position w:val="0"/>
                        <w:sz w:val="18"/>
                        <w:szCs w:val="24"/>
                        <w:shd w:val="clear" w:color="auto" w:fill="auto"/>
                        <w:lang w:val="en-US" w:eastAsia="en-US" w:bidi="en-US"/>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FC162">
    <w:pPr>
      <w:keepNext w:val="0"/>
      <w:keepLines w:val="0"/>
      <w:widowControl w:val="0"/>
      <w:shd w:val="clear" w:color="auto" w:fill="auto"/>
      <w:tabs>
        <w:tab w:val="center" w:pos="4153"/>
        <w:tab w:val="right" w:pos="8306"/>
      </w:tabs>
      <w:bidi w:val="0"/>
      <w:snapToGrid w:val="0"/>
      <w:spacing w:before="0" w:after="0" w:line="240" w:lineRule="auto"/>
      <w:ind w:left="0" w:right="0" w:firstLine="0"/>
      <w:jc w:val="left"/>
      <w:rPr>
        <w:rFonts w:ascii="Calibri" w:hAnsi="Calibri" w:eastAsia="宋体" w:cs="Times New Roman"/>
        <w:color w:val="000000"/>
        <w:spacing w:val="0"/>
        <w:w w:val="100"/>
        <w:kern w:val="2"/>
        <w:position w:val="0"/>
        <w:sz w:val="18"/>
        <w:szCs w:val="24"/>
        <w:shd w:val="clear" w:color="auto" w:fill="auto"/>
        <w:lang w:val="en-US" w:eastAsia="zh-CN" w:bidi="ar-SA"/>
      </w:rPr>
    </w:pPr>
    <w:r>
      <w:rPr>
        <w:rFonts w:ascii="Calibri" w:hAnsi="Calibri" w:eastAsia="宋体" w:cs="Times New Roman"/>
        <w:color w:val="000000"/>
        <w:spacing w:val="0"/>
        <w:w w:val="100"/>
        <w:kern w:val="2"/>
        <w:position w:val="0"/>
        <w:sz w:val="18"/>
        <w:szCs w:val="24"/>
        <w:shd w:val="clear" w:color="auto" w:fill="auto"/>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39FFA3">
                          <w:pPr>
                            <w:keepNext w:val="0"/>
                            <w:keepLines w:val="0"/>
                            <w:widowControl w:val="0"/>
                            <w:shd w:val="clear" w:color="auto" w:fill="auto"/>
                            <w:tabs>
                              <w:tab w:val="center" w:pos="4153"/>
                              <w:tab w:val="right" w:pos="8306"/>
                            </w:tabs>
                            <w:bidi w:val="0"/>
                            <w:snapToGrid w:val="0"/>
                            <w:spacing w:before="0" w:after="0" w:line="240" w:lineRule="auto"/>
                            <w:ind w:left="0" w:right="0" w:firstLine="0"/>
                            <w:jc w:val="left"/>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pPr>
                          <w:r>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t xml:space="preserve">— </w:t>
                          </w:r>
                          <w:r>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fldChar w:fldCharType="begin"/>
                          </w:r>
                          <w:r>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instrText xml:space="preserve"> PAGE  \* MERGEFORMAT </w:instrText>
                          </w:r>
                          <w:r>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fldChar w:fldCharType="separate"/>
                          </w:r>
                          <w:r>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t>1</w:t>
                          </w:r>
                          <w:r>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fldChar w:fldCharType="end"/>
                          </w:r>
                          <w:r>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1C39FFA3">
                    <w:pPr>
                      <w:keepNext w:val="0"/>
                      <w:keepLines w:val="0"/>
                      <w:widowControl w:val="0"/>
                      <w:shd w:val="clear" w:color="auto" w:fill="auto"/>
                      <w:tabs>
                        <w:tab w:val="center" w:pos="4153"/>
                        <w:tab w:val="right" w:pos="8306"/>
                      </w:tabs>
                      <w:bidi w:val="0"/>
                      <w:snapToGrid w:val="0"/>
                      <w:spacing w:before="0" w:after="0" w:line="240" w:lineRule="auto"/>
                      <w:ind w:left="0" w:right="0" w:firstLine="0"/>
                      <w:jc w:val="left"/>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pPr>
                    <w:r>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t xml:space="preserve">— </w:t>
                    </w:r>
                    <w:r>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fldChar w:fldCharType="begin"/>
                    </w:r>
                    <w:r>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instrText xml:space="preserve"> PAGE  \* MERGEFORMAT </w:instrText>
                    </w:r>
                    <w:r>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fldChar w:fldCharType="separate"/>
                    </w:r>
                    <w:r>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t>1</w:t>
                    </w:r>
                    <w:r>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fldChar w:fldCharType="end"/>
                    </w:r>
                    <w:r>
                      <w:rPr>
                        <w:rFonts w:hint="default" w:ascii="Times New Roman" w:hAnsi="Times New Roman" w:eastAsia="宋体" w:cs="Times New Roman"/>
                        <w:color w:val="000000"/>
                        <w:spacing w:val="0"/>
                        <w:w w:val="100"/>
                        <w:kern w:val="2"/>
                        <w:position w:val="0"/>
                        <w:sz w:val="28"/>
                        <w:szCs w:val="28"/>
                        <w:shd w:val="clear" w:color="auto" w:fill="auto"/>
                        <w:lang w:val="en-US" w:eastAsia="zh-CN" w:bidi="ar-S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FE1DD">
    <w:pPr>
      <w:pStyle w:val="29"/>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4C9B34">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94C9B34">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67885">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587E7">
    <w:pPr>
      <w:keepNext w:val="0"/>
      <w:keepLines w:val="0"/>
      <w:widowControl w:val="0"/>
      <w:shd w:val="clear" w:color="auto" w:fill="auto"/>
      <w:bidi w:val="0"/>
      <w:spacing w:before="0" w:after="0" w:line="240" w:lineRule="auto"/>
      <w:ind w:left="0" w:right="0" w:firstLine="0"/>
      <w:jc w:val="left"/>
      <w:rPr>
        <w:rFonts w:eastAsia="Times New Roman"/>
        <w:color w:val="000000"/>
        <w:spacing w:val="0"/>
        <w:w w:val="100"/>
        <w:kern w:val="0"/>
        <w:position w:val="0"/>
        <w:sz w:val="24"/>
        <w:shd w:val="clear" w:color="auto" w:fill="auto"/>
        <w:lang w:eastAsia="en-US" w:bidi="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2EB76">
    <w:pPr>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F34AA8"/>
    <w:multiLevelType w:val="singleLevel"/>
    <w:tmpl w:val="A4F34AA8"/>
    <w:lvl w:ilvl="0" w:tentative="0">
      <w:start w:val="3"/>
      <w:numFmt w:val="chineseCounting"/>
      <w:suff w:val="nothing"/>
      <w:lvlText w:val="（%1）"/>
      <w:lvlJc w:val="left"/>
      <w:rPr>
        <w:rFonts w:hint="eastAsia"/>
      </w:rPr>
    </w:lvl>
  </w:abstractNum>
  <w:abstractNum w:abstractNumId="1">
    <w:nsid w:val="ADB10ED2"/>
    <w:multiLevelType w:val="singleLevel"/>
    <w:tmpl w:val="ADB10ED2"/>
    <w:lvl w:ilvl="0" w:tentative="0">
      <w:start w:val="2"/>
      <w:numFmt w:val="decimal"/>
      <w:suff w:val="nothing"/>
      <w:lvlText w:val="%1、"/>
      <w:lvlJc w:val="left"/>
    </w:lvl>
  </w:abstractNum>
  <w:abstractNum w:abstractNumId="2">
    <w:nsid w:val="D3E2B84D"/>
    <w:multiLevelType w:val="singleLevel"/>
    <w:tmpl w:val="D3E2B84D"/>
    <w:lvl w:ilvl="0" w:tentative="0">
      <w:start w:val="1"/>
      <w:numFmt w:val="decimal"/>
      <w:suff w:val="nothing"/>
      <w:lvlText w:val="%1、"/>
      <w:lvlJc w:val="left"/>
    </w:lvl>
  </w:abstractNum>
  <w:abstractNum w:abstractNumId="3">
    <w:nsid w:val="DB235B77"/>
    <w:multiLevelType w:val="singleLevel"/>
    <w:tmpl w:val="DB235B77"/>
    <w:lvl w:ilvl="0" w:tentative="0">
      <w:start w:val="1"/>
      <w:numFmt w:val="decimal"/>
      <w:suff w:val="nothing"/>
      <w:lvlText w:val="%1、"/>
      <w:lvlJc w:val="left"/>
    </w:lvl>
  </w:abstractNum>
  <w:abstractNum w:abstractNumId="4">
    <w:nsid w:val="F63D520D"/>
    <w:multiLevelType w:val="singleLevel"/>
    <w:tmpl w:val="F63D520D"/>
    <w:lvl w:ilvl="0" w:tentative="0">
      <w:start w:val="1"/>
      <w:numFmt w:val="chineseCounting"/>
      <w:suff w:val="nothing"/>
      <w:lvlText w:val="（%1）"/>
      <w:lvlJc w:val="left"/>
      <w:rPr>
        <w:rFonts w:hint="eastAsia"/>
      </w:rPr>
    </w:lvl>
  </w:abstractNum>
  <w:abstractNum w:abstractNumId="5">
    <w:nsid w:val="08AD5877"/>
    <w:multiLevelType w:val="singleLevel"/>
    <w:tmpl w:val="08AD5877"/>
    <w:lvl w:ilvl="0" w:tentative="0">
      <w:start w:val="1"/>
      <w:numFmt w:val="decimal"/>
      <w:suff w:val="nothing"/>
      <w:lvlText w:val="（%1）"/>
      <w:lvlJc w:val="left"/>
    </w:lvl>
  </w:abstractNum>
  <w:abstractNum w:abstractNumId="6">
    <w:nsid w:val="2510263C"/>
    <w:multiLevelType w:val="singleLevel"/>
    <w:tmpl w:val="2510263C"/>
    <w:lvl w:ilvl="0" w:tentative="0">
      <w:start w:val="5"/>
      <w:numFmt w:val="chineseCounting"/>
      <w:suff w:val="space"/>
      <w:lvlText w:val="第%1章"/>
      <w:lvlJc w:val="left"/>
      <w:rPr>
        <w:rFonts w:hint="eastAsia"/>
      </w:rPr>
    </w:lvl>
  </w:abstractNum>
  <w:abstractNum w:abstractNumId="7">
    <w:nsid w:val="608C7B27"/>
    <w:multiLevelType w:val="singleLevel"/>
    <w:tmpl w:val="608C7B27"/>
    <w:lvl w:ilvl="0" w:tentative="0">
      <w:start w:val="3"/>
      <w:numFmt w:val="chineseCounting"/>
      <w:suff w:val="space"/>
      <w:lvlText w:val="%1、"/>
      <w:lvlJc w:val="left"/>
      <w:rPr>
        <w:rFonts w:hint="eastAsia"/>
      </w:rPr>
    </w:lvl>
  </w:abstractNum>
  <w:num w:numId="1">
    <w:abstractNumId w:val="2"/>
  </w:num>
  <w:num w:numId="2">
    <w:abstractNumId w:val="5"/>
  </w:num>
  <w:num w:numId="3">
    <w:abstractNumId w:val="6"/>
  </w:num>
  <w:num w:numId="4">
    <w:abstractNumId w:val="7"/>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84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0OGIzNDgyMTc0MTRhZGU5YWU3MGQ3YmVmOGQyMTgifQ=="/>
  </w:docVars>
  <w:rsids>
    <w:rsidRoot w:val="00496D5A"/>
    <w:rsid w:val="00004910"/>
    <w:rsid w:val="00004D9C"/>
    <w:rsid w:val="000156E2"/>
    <w:rsid w:val="000174BB"/>
    <w:rsid w:val="00024344"/>
    <w:rsid w:val="00025986"/>
    <w:rsid w:val="00026B4C"/>
    <w:rsid w:val="00026FD7"/>
    <w:rsid w:val="00027406"/>
    <w:rsid w:val="0002779F"/>
    <w:rsid w:val="000278A4"/>
    <w:rsid w:val="00027D5B"/>
    <w:rsid w:val="000313EC"/>
    <w:rsid w:val="0003171E"/>
    <w:rsid w:val="00034641"/>
    <w:rsid w:val="00037E98"/>
    <w:rsid w:val="0004046D"/>
    <w:rsid w:val="00040D86"/>
    <w:rsid w:val="0004117C"/>
    <w:rsid w:val="00042EFF"/>
    <w:rsid w:val="000441C7"/>
    <w:rsid w:val="00051E2A"/>
    <w:rsid w:val="0005210F"/>
    <w:rsid w:val="00053DE3"/>
    <w:rsid w:val="00055B6F"/>
    <w:rsid w:val="00057D5E"/>
    <w:rsid w:val="000640EC"/>
    <w:rsid w:val="000641A5"/>
    <w:rsid w:val="00066359"/>
    <w:rsid w:val="000675A0"/>
    <w:rsid w:val="0007329F"/>
    <w:rsid w:val="00073CC1"/>
    <w:rsid w:val="00074E9F"/>
    <w:rsid w:val="000751C7"/>
    <w:rsid w:val="00081632"/>
    <w:rsid w:val="000818D8"/>
    <w:rsid w:val="00081FA6"/>
    <w:rsid w:val="00082ADA"/>
    <w:rsid w:val="00086A97"/>
    <w:rsid w:val="00092FF7"/>
    <w:rsid w:val="000952E7"/>
    <w:rsid w:val="00095980"/>
    <w:rsid w:val="000975BE"/>
    <w:rsid w:val="000A21A6"/>
    <w:rsid w:val="000A2941"/>
    <w:rsid w:val="000A3E58"/>
    <w:rsid w:val="000A604E"/>
    <w:rsid w:val="000B0615"/>
    <w:rsid w:val="000B0CC2"/>
    <w:rsid w:val="000B1082"/>
    <w:rsid w:val="000B422C"/>
    <w:rsid w:val="000B6963"/>
    <w:rsid w:val="000B6D12"/>
    <w:rsid w:val="000B7140"/>
    <w:rsid w:val="000C2B71"/>
    <w:rsid w:val="000C3661"/>
    <w:rsid w:val="000C5109"/>
    <w:rsid w:val="000C5B1A"/>
    <w:rsid w:val="000C5BDA"/>
    <w:rsid w:val="000D5CFA"/>
    <w:rsid w:val="000E0192"/>
    <w:rsid w:val="000E0524"/>
    <w:rsid w:val="000E07BA"/>
    <w:rsid w:val="000E1E33"/>
    <w:rsid w:val="000E2ED6"/>
    <w:rsid w:val="000E3163"/>
    <w:rsid w:val="000E430C"/>
    <w:rsid w:val="000E6BCC"/>
    <w:rsid w:val="000E73B2"/>
    <w:rsid w:val="000F23B9"/>
    <w:rsid w:val="000F3ACE"/>
    <w:rsid w:val="000F49B4"/>
    <w:rsid w:val="00100878"/>
    <w:rsid w:val="00106CB3"/>
    <w:rsid w:val="0010717F"/>
    <w:rsid w:val="00107232"/>
    <w:rsid w:val="001102F8"/>
    <w:rsid w:val="001148B0"/>
    <w:rsid w:val="0011494C"/>
    <w:rsid w:val="001232B7"/>
    <w:rsid w:val="0012412B"/>
    <w:rsid w:val="00124993"/>
    <w:rsid w:val="00124F0E"/>
    <w:rsid w:val="001256EF"/>
    <w:rsid w:val="00126A86"/>
    <w:rsid w:val="00127819"/>
    <w:rsid w:val="001324C6"/>
    <w:rsid w:val="001344E3"/>
    <w:rsid w:val="00135562"/>
    <w:rsid w:val="001364C1"/>
    <w:rsid w:val="001416D5"/>
    <w:rsid w:val="00141ED4"/>
    <w:rsid w:val="00145D25"/>
    <w:rsid w:val="00147E27"/>
    <w:rsid w:val="00154ED0"/>
    <w:rsid w:val="00156AE6"/>
    <w:rsid w:val="00157807"/>
    <w:rsid w:val="00160437"/>
    <w:rsid w:val="00164C1A"/>
    <w:rsid w:val="001652A3"/>
    <w:rsid w:val="00166B3C"/>
    <w:rsid w:val="00167D4D"/>
    <w:rsid w:val="00167E36"/>
    <w:rsid w:val="0017108F"/>
    <w:rsid w:val="00172007"/>
    <w:rsid w:val="00172683"/>
    <w:rsid w:val="00172AC1"/>
    <w:rsid w:val="00174093"/>
    <w:rsid w:val="00174AD2"/>
    <w:rsid w:val="0017639C"/>
    <w:rsid w:val="0018131C"/>
    <w:rsid w:val="001820B1"/>
    <w:rsid w:val="0018787D"/>
    <w:rsid w:val="00190F87"/>
    <w:rsid w:val="00192E5D"/>
    <w:rsid w:val="00194E27"/>
    <w:rsid w:val="00197DB3"/>
    <w:rsid w:val="001A0051"/>
    <w:rsid w:val="001A27C7"/>
    <w:rsid w:val="001A46F7"/>
    <w:rsid w:val="001A4DCA"/>
    <w:rsid w:val="001A4FB4"/>
    <w:rsid w:val="001A55E6"/>
    <w:rsid w:val="001B229F"/>
    <w:rsid w:val="001B3457"/>
    <w:rsid w:val="001B3F2E"/>
    <w:rsid w:val="001B56C9"/>
    <w:rsid w:val="001B6E2A"/>
    <w:rsid w:val="001B7F3D"/>
    <w:rsid w:val="001C2CE3"/>
    <w:rsid w:val="001C30E6"/>
    <w:rsid w:val="001C598A"/>
    <w:rsid w:val="001C6863"/>
    <w:rsid w:val="001C7DB0"/>
    <w:rsid w:val="001C7EEC"/>
    <w:rsid w:val="001D1504"/>
    <w:rsid w:val="001D23F4"/>
    <w:rsid w:val="001D26EC"/>
    <w:rsid w:val="001D3D2C"/>
    <w:rsid w:val="001D4843"/>
    <w:rsid w:val="001D6192"/>
    <w:rsid w:val="001D6257"/>
    <w:rsid w:val="001E0AF2"/>
    <w:rsid w:val="001F04C6"/>
    <w:rsid w:val="001F08AB"/>
    <w:rsid w:val="001F3061"/>
    <w:rsid w:val="001F5C61"/>
    <w:rsid w:val="00200EA4"/>
    <w:rsid w:val="002037B4"/>
    <w:rsid w:val="002037DB"/>
    <w:rsid w:val="00205190"/>
    <w:rsid w:val="00206968"/>
    <w:rsid w:val="00206FCE"/>
    <w:rsid w:val="00206FDD"/>
    <w:rsid w:val="00207162"/>
    <w:rsid w:val="00210195"/>
    <w:rsid w:val="00211C0E"/>
    <w:rsid w:val="002131F5"/>
    <w:rsid w:val="0021675C"/>
    <w:rsid w:val="00221741"/>
    <w:rsid w:val="00222004"/>
    <w:rsid w:val="002223E0"/>
    <w:rsid w:val="00223AAF"/>
    <w:rsid w:val="00225071"/>
    <w:rsid w:val="00226977"/>
    <w:rsid w:val="002270C6"/>
    <w:rsid w:val="0023455F"/>
    <w:rsid w:val="00234E98"/>
    <w:rsid w:val="002355BB"/>
    <w:rsid w:val="0024067C"/>
    <w:rsid w:val="00241DDD"/>
    <w:rsid w:val="00242EFF"/>
    <w:rsid w:val="00243709"/>
    <w:rsid w:val="00244030"/>
    <w:rsid w:val="00245A92"/>
    <w:rsid w:val="002502DD"/>
    <w:rsid w:val="00253572"/>
    <w:rsid w:val="00264B15"/>
    <w:rsid w:val="00266E91"/>
    <w:rsid w:val="00272591"/>
    <w:rsid w:val="00274BFB"/>
    <w:rsid w:val="00281394"/>
    <w:rsid w:val="00281493"/>
    <w:rsid w:val="00284B65"/>
    <w:rsid w:val="00285665"/>
    <w:rsid w:val="002859F6"/>
    <w:rsid w:val="002877A3"/>
    <w:rsid w:val="0029022C"/>
    <w:rsid w:val="00290F35"/>
    <w:rsid w:val="002914EE"/>
    <w:rsid w:val="00291C33"/>
    <w:rsid w:val="00292E37"/>
    <w:rsid w:val="002942E2"/>
    <w:rsid w:val="00294E91"/>
    <w:rsid w:val="00295E49"/>
    <w:rsid w:val="002964C2"/>
    <w:rsid w:val="00296978"/>
    <w:rsid w:val="002A03CB"/>
    <w:rsid w:val="002A09EF"/>
    <w:rsid w:val="002A37AE"/>
    <w:rsid w:val="002A41F5"/>
    <w:rsid w:val="002A6632"/>
    <w:rsid w:val="002A6CB7"/>
    <w:rsid w:val="002A6ED0"/>
    <w:rsid w:val="002A727C"/>
    <w:rsid w:val="002A7F8B"/>
    <w:rsid w:val="002B01EF"/>
    <w:rsid w:val="002B1BD2"/>
    <w:rsid w:val="002B4521"/>
    <w:rsid w:val="002B5F66"/>
    <w:rsid w:val="002B7325"/>
    <w:rsid w:val="002C1312"/>
    <w:rsid w:val="002C31AD"/>
    <w:rsid w:val="002C6B21"/>
    <w:rsid w:val="002D48C5"/>
    <w:rsid w:val="002D52CA"/>
    <w:rsid w:val="002D54FC"/>
    <w:rsid w:val="002E0FF6"/>
    <w:rsid w:val="002E2AB7"/>
    <w:rsid w:val="002E2BB7"/>
    <w:rsid w:val="002E356B"/>
    <w:rsid w:val="002E46A0"/>
    <w:rsid w:val="002E476F"/>
    <w:rsid w:val="002E4FA1"/>
    <w:rsid w:val="002E6042"/>
    <w:rsid w:val="002E7BA9"/>
    <w:rsid w:val="002F0EFC"/>
    <w:rsid w:val="002F42D5"/>
    <w:rsid w:val="002F4BE1"/>
    <w:rsid w:val="00301A9C"/>
    <w:rsid w:val="00301B5A"/>
    <w:rsid w:val="0030463C"/>
    <w:rsid w:val="003072D6"/>
    <w:rsid w:val="0030772C"/>
    <w:rsid w:val="003079D9"/>
    <w:rsid w:val="00311078"/>
    <w:rsid w:val="003136E5"/>
    <w:rsid w:val="00313BC8"/>
    <w:rsid w:val="0031417B"/>
    <w:rsid w:val="0031522D"/>
    <w:rsid w:val="00317CD3"/>
    <w:rsid w:val="00321C75"/>
    <w:rsid w:val="003271AA"/>
    <w:rsid w:val="003303DC"/>
    <w:rsid w:val="00330EF1"/>
    <w:rsid w:val="00330F3A"/>
    <w:rsid w:val="003313A8"/>
    <w:rsid w:val="003317FC"/>
    <w:rsid w:val="00331A2E"/>
    <w:rsid w:val="003324B9"/>
    <w:rsid w:val="00332937"/>
    <w:rsid w:val="00332AE5"/>
    <w:rsid w:val="003333D7"/>
    <w:rsid w:val="00333943"/>
    <w:rsid w:val="00335363"/>
    <w:rsid w:val="00336FDD"/>
    <w:rsid w:val="00340105"/>
    <w:rsid w:val="00340651"/>
    <w:rsid w:val="003412D4"/>
    <w:rsid w:val="00342089"/>
    <w:rsid w:val="0034572F"/>
    <w:rsid w:val="00346874"/>
    <w:rsid w:val="003469E4"/>
    <w:rsid w:val="00347E1D"/>
    <w:rsid w:val="0035131B"/>
    <w:rsid w:val="0035270C"/>
    <w:rsid w:val="0035331E"/>
    <w:rsid w:val="003603F7"/>
    <w:rsid w:val="003610D2"/>
    <w:rsid w:val="003639F6"/>
    <w:rsid w:val="00364E2F"/>
    <w:rsid w:val="0037058A"/>
    <w:rsid w:val="00374E53"/>
    <w:rsid w:val="00376191"/>
    <w:rsid w:val="003767FE"/>
    <w:rsid w:val="00380B4B"/>
    <w:rsid w:val="00384D67"/>
    <w:rsid w:val="00385757"/>
    <w:rsid w:val="00385C80"/>
    <w:rsid w:val="003914B4"/>
    <w:rsid w:val="00391A73"/>
    <w:rsid w:val="00391B1B"/>
    <w:rsid w:val="00392EC8"/>
    <w:rsid w:val="003939FB"/>
    <w:rsid w:val="00393A33"/>
    <w:rsid w:val="00394475"/>
    <w:rsid w:val="003948FD"/>
    <w:rsid w:val="00397891"/>
    <w:rsid w:val="003A2C10"/>
    <w:rsid w:val="003A5D05"/>
    <w:rsid w:val="003A6117"/>
    <w:rsid w:val="003A7283"/>
    <w:rsid w:val="003A7606"/>
    <w:rsid w:val="003B0AFE"/>
    <w:rsid w:val="003B1744"/>
    <w:rsid w:val="003B6A76"/>
    <w:rsid w:val="003B780B"/>
    <w:rsid w:val="003B7C57"/>
    <w:rsid w:val="003C3A5C"/>
    <w:rsid w:val="003C3EAB"/>
    <w:rsid w:val="003C443D"/>
    <w:rsid w:val="003C6100"/>
    <w:rsid w:val="003C7959"/>
    <w:rsid w:val="003D1521"/>
    <w:rsid w:val="003D1BB8"/>
    <w:rsid w:val="003D2C7D"/>
    <w:rsid w:val="003D482E"/>
    <w:rsid w:val="003D4A33"/>
    <w:rsid w:val="003E045C"/>
    <w:rsid w:val="003E18E1"/>
    <w:rsid w:val="003E1EFA"/>
    <w:rsid w:val="003E1F17"/>
    <w:rsid w:val="003E7B33"/>
    <w:rsid w:val="003F0905"/>
    <w:rsid w:val="003F41CA"/>
    <w:rsid w:val="003F472F"/>
    <w:rsid w:val="003F4843"/>
    <w:rsid w:val="003F48D8"/>
    <w:rsid w:val="003F4E1C"/>
    <w:rsid w:val="003F5A26"/>
    <w:rsid w:val="003F6A20"/>
    <w:rsid w:val="003F7D02"/>
    <w:rsid w:val="00410033"/>
    <w:rsid w:val="004110A0"/>
    <w:rsid w:val="0041158C"/>
    <w:rsid w:val="004117F0"/>
    <w:rsid w:val="00411C9F"/>
    <w:rsid w:val="0041239F"/>
    <w:rsid w:val="00420134"/>
    <w:rsid w:val="00422D5D"/>
    <w:rsid w:val="00425CD4"/>
    <w:rsid w:val="004277B1"/>
    <w:rsid w:val="00430191"/>
    <w:rsid w:val="00430D7E"/>
    <w:rsid w:val="00431136"/>
    <w:rsid w:val="0043143A"/>
    <w:rsid w:val="00431725"/>
    <w:rsid w:val="0043236C"/>
    <w:rsid w:val="00432850"/>
    <w:rsid w:val="00433740"/>
    <w:rsid w:val="004409B2"/>
    <w:rsid w:val="00441209"/>
    <w:rsid w:val="0044649F"/>
    <w:rsid w:val="00446A77"/>
    <w:rsid w:val="00453914"/>
    <w:rsid w:val="004645E0"/>
    <w:rsid w:val="00466B83"/>
    <w:rsid w:val="00476CBA"/>
    <w:rsid w:val="004771FC"/>
    <w:rsid w:val="0048054F"/>
    <w:rsid w:val="004836CC"/>
    <w:rsid w:val="004839B9"/>
    <w:rsid w:val="00483D0A"/>
    <w:rsid w:val="00485D13"/>
    <w:rsid w:val="0048677F"/>
    <w:rsid w:val="00486ECD"/>
    <w:rsid w:val="0049160B"/>
    <w:rsid w:val="00492DE5"/>
    <w:rsid w:val="0049529F"/>
    <w:rsid w:val="00496D5A"/>
    <w:rsid w:val="004A014B"/>
    <w:rsid w:val="004A0502"/>
    <w:rsid w:val="004A3083"/>
    <w:rsid w:val="004A5608"/>
    <w:rsid w:val="004A7B3D"/>
    <w:rsid w:val="004B00B6"/>
    <w:rsid w:val="004B3381"/>
    <w:rsid w:val="004B3440"/>
    <w:rsid w:val="004B6795"/>
    <w:rsid w:val="004B7380"/>
    <w:rsid w:val="004C3F73"/>
    <w:rsid w:val="004C59C3"/>
    <w:rsid w:val="004D1DC5"/>
    <w:rsid w:val="004D221B"/>
    <w:rsid w:val="004D5361"/>
    <w:rsid w:val="004E0C4D"/>
    <w:rsid w:val="004E4DA9"/>
    <w:rsid w:val="004F3ABF"/>
    <w:rsid w:val="004F46DF"/>
    <w:rsid w:val="005008A8"/>
    <w:rsid w:val="00500A15"/>
    <w:rsid w:val="00504192"/>
    <w:rsid w:val="00504385"/>
    <w:rsid w:val="00514B7F"/>
    <w:rsid w:val="00515059"/>
    <w:rsid w:val="00515CCD"/>
    <w:rsid w:val="00522A24"/>
    <w:rsid w:val="00524C69"/>
    <w:rsid w:val="0052705B"/>
    <w:rsid w:val="00530025"/>
    <w:rsid w:val="005314F5"/>
    <w:rsid w:val="005325DA"/>
    <w:rsid w:val="005327B1"/>
    <w:rsid w:val="00537AFB"/>
    <w:rsid w:val="005408B1"/>
    <w:rsid w:val="00540E2E"/>
    <w:rsid w:val="005436AA"/>
    <w:rsid w:val="00546417"/>
    <w:rsid w:val="00550DB2"/>
    <w:rsid w:val="00553640"/>
    <w:rsid w:val="00554044"/>
    <w:rsid w:val="00554C89"/>
    <w:rsid w:val="00557D69"/>
    <w:rsid w:val="0056199A"/>
    <w:rsid w:val="00563F1D"/>
    <w:rsid w:val="00566B4D"/>
    <w:rsid w:val="00566D91"/>
    <w:rsid w:val="00566DDF"/>
    <w:rsid w:val="0057005E"/>
    <w:rsid w:val="00571295"/>
    <w:rsid w:val="00575F19"/>
    <w:rsid w:val="005770AD"/>
    <w:rsid w:val="005770DF"/>
    <w:rsid w:val="005810E8"/>
    <w:rsid w:val="00582329"/>
    <w:rsid w:val="00583097"/>
    <w:rsid w:val="00586507"/>
    <w:rsid w:val="0058665D"/>
    <w:rsid w:val="00590148"/>
    <w:rsid w:val="00590B0A"/>
    <w:rsid w:val="005928B1"/>
    <w:rsid w:val="00596362"/>
    <w:rsid w:val="00596543"/>
    <w:rsid w:val="00596918"/>
    <w:rsid w:val="00597DC1"/>
    <w:rsid w:val="005A1937"/>
    <w:rsid w:val="005A22A2"/>
    <w:rsid w:val="005A2A0F"/>
    <w:rsid w:val="005A3897"/>
    <w:rsid w:val="005A4F14"/>
    <w:rsid w:val="005A5D55"/>
    <w:rsid w:val="005A776C"/>
    <w:rsid w:val="005B1A4E"/>
    <w:rsid w:val="005B38E7"/>
    <w:rsid w:val="005B6E25"/>
    <w:rsid w:val="005C02DC"/>
    <w:rsid w:val="005C1B6B"/>
    <w:rsid w:val="005C23A1"/>
    <w:rsid w:val="005C3211"/>
    <w:rsid w:val="005C4447"/>
    <w:rsid w:val="005D3DAD"/>
    <w:rsid w:val="005D3F38"/>
    <w:rsid w:val="005D6DFD"/>
    <w:rsid w:val="005D7ECA"/>
    <w:rsid w:val="005E0F8E"/>
    <w:rsid w:val="005E423C"/>
    <w:rsid w:val="005E5151"/>
    <w:rsid w:val="005E576F"/>
    <w:rsid w:val="005E5F80"/>
    <w:rsid w:val="005F23F3"/>
    <w:rsid w:val="005F5575"/>
    <w:rsid w:val="005F7CB3"/>
    <w:rsid w:val="006001E3"/>
    <w:rsid w:val="00601F43"/>
    <w:rsid w:val="00602315"/>
    <w:rsid w:val="00604017"/>
    <w:rsid w:val="00605148"/>
    <w:rsid w:val="00605A59"/>
    <w:rsid w:val="00610E84"/>
    <w:rsid w:val="006112A0"/>
    <w:rsid w:val="00612E59"/>
    <w:rsid w:val="00615D25"/>
    <w:rsid w:val="00617A2D"/>
    <w:rsid w:val="00617C76"/>
    <w:rsid w:val="00620809"/>
    <w:rsid w:val="0062189E"/>
    <w:rsid w:val="00621D98"/>
    <w:rsid w:val="00621E4F"/>
    <w:rsid w:val="006223F4"/>
    <w:rsid w:val="006246A7"/>
    <w:rsid w:val="0063170F"/>
    <w:rsid w:val="0063189C"/>
    <w:rsid w:val="006328FF"/>
    <w:rsid w:val="00633421"/>
    <w:rsid w:val="00635631"/>
    <w:rsid w:val="0063686A"/>
    <w:rsid w:val="00636A24"/>
    <w:rsid w:val="00637793"/>
    <w:rsid w:val="0064250B"/>
    <w:rsid w:val="00647CE6"/>
    <w:rsid w:val="0065091A"/>
    <w:rsid w:val="00650AFD"/>
    <w:rsid w:val="0065196E"/>
    <w:rsid w:val="0065450D"/>
    <w:rsid w:val="00654F84"/>
    <w:rsid w:val="006564CF"/>
    <w:rsid w:val="00657A60"/>
    <w:rsid w:val="00657D26"/>
    <w:rsid w:val="0066056C"/>
    <w:rsid w:val="00660C14"/>
    <w:rsid w:val="006627D5"/>
    <w:rsid w:val="00664A28"/>
    <w:rsid w:val="006658F1"/>
    <w:rsid w:val="006668D2"/>
    <w:rsid w:val="00672528"/>
    <w:rsid w:val="00672F09"/>
    <w:rsid w:val="00673609"/>
    <w:rsid w:val="00673AC8"/>
    <w:rsid w:val="00673F35"/>
    <w:rsid w:val="00674214"/>
    <w:rsid w:val="006751BE"/>
    <w:rsid w:val="00677930"/>
    <w:rsid w:val="00681D86"/>
    <w:rsid w:val="00682EB1"/>
    <w:rsid w:val="00687880"/>
    <w:rsid w:val="00687C90"/>
    <w:rsid w:val="006931C3"/>
    <w:rsid w:val="00693615"/>
    <w:rsid w:val="00693CB4"/>
    <w:rsid w:val="00695533"/>
    <w:rsid w:val="006956F6"/>
    <w:rsid w:val="006A1012"/>
    <w:rsid w:val="006A1FCD"/>
    <w:rsid w:val="006A4845"/>
    <w:rsid w:val="006A4B81"/>
    <w:rsid w:val="006A61F3"/>
    <w:rsid w:val="006B0A67"/>
    <w:rsid w:val="006B0CD7"/>
    <w:rsid w:val="006B1413"/>
    <w:rsid w:val="006B1A48"/>
    <w:rsid w:val="006B3BEA"/>
    <w:rsid w:val="006B3D63"/>
    <w:rsid w:val="006B70C9"/>
    <w:rsid w:val="006C1E31"/>
    <w:rsid w:val="006C5BCC"/>
    <w:rsid w:val="006C5D5D"/>
    <w:rsid w:val="006C6843"/>
    <w:rsid w:val="006C6DB0"/>
    <w:rsid w:val="006D1534"/>
    <w:rsid w:val="006D2B6F"/>
    <w:rsid w:val="006D3DE4"/>
    <w:rsid w:val="006D7616"/>
    <w:rsid w:val="006E785D"/>
    <w:rsid w:val="006F095F"/>
    <w:rsid w:val="006F1452"/>
    <w:rsid w:val="006F1753"/>
    <w:rsid w:val="006F4F56"/>
    <w:rsid w:val="006F6654"/>
    <w:rsid w:val="006F6843"/>
    <w:rsid w:val="006F77EB"/>
    <w:rsid w:val="00700689"/>
    <w:rsid w:val="00701E1A"/>
    <w:rsid w:val="00705812"/>
    <w:rsid w:val="00710F38"/>
    <w:rsid w:val="0071152D"/>
    <w:rsid w:val="00711A1B"/>
    <w:rsid w:val="0071222D"/>
    <w:rsid w:val="007130D9"/>
    <w:rsid w:val="00713EB7"/>
    <w:rsid w:val="007145A9"/>
    <w:rsid w:val="007145DE"/>
    <w:rsid w:val="00715886"/>
    <w:rsid w:val="0072365F"/>
    <w:rsid w:val="00725169"/>
    <w:rsid w:val="00725B82"/>
    <w:rsid w:val="00725E98"/>
    <w:rsid w:val="00734A51"/>
    <w:rsid w:val="007352B2"/>
    <w:rsid w:val="00740461"/>
    <w:rsid w:val="007410F1"/>
    <w:rsid w:val="00741768"/>
    <w:rsid w:val="00742C68"/>
    <w:rsid w:val="0074301E"/>
    <w:rsid w:val="00745F3E"/>
    <w:rsid w:val="0075074F"/>
    <w:rsid w:val="007515FC"/>
    <w:rsid w:val="00752992"/>
    <w:rsid w:val="00754BFA"/>
    <w:rsid w:val="00754D46"/>
    <w:rsid w:val="00755F70"/>
    <w:rsid w:val="007575C8"/>
    <w:rsid w:val="007576C6"/>
    <w:rsid w:val="007605CC"/>
    <w:rsid w:val="00763F0D"/>
    <w:rsid w:val="00764B9D"/>
    <w:rsid w:val="00765A1D"/>
    <w:rsid w:val="00767A67"/>
    <w:rsid w:val="0077024A"/>
    <w:rsid w:val="007708C1"/>
    <w:rsid w:val="00771233"/>
    <w:rsid w:val="007749B5"/>
    <w:rsid w:val="00774BAE"/>
    <w:rsid w:val="00776B96"/>
    <w:rsid w:val="00782C5C"/>
    <w:rsid w:val="00784A68"/>
    <w:rsid w:val="00784FC1"/>
    <w:rsid w:val="007856CC"/>
    <w:rsid w:val="00786EE8"/>
    <w:rsid w:val="00793F05"/>
    <w:rsid w:val="007940D5"/>
    <w:rsid w:val="00794207"/>
    <w:rsid w:val="007970D6"/>
    <w:rsid w:val="007A2780"/>
    <w:rsid w:val="007A49E7"/>
    <w:rsid w:val="007A6607"/>
    <w:rsid w:val="007A780F"/>
    <w:rsid w:val="007A79B0"/>
    <w:rsid w:val="007B073E"/>
    <w:rsid w:val="007B0B37"/>
    <w:rsid w:val="007B1C30"/>
    <w:rsid w:val="007B486C"/>
    <w:rsid w:val="007C01D7"/>
    <w:rsid w:val="007C0604"/>
    <w:rsid w:val="007C0A60"/>
    <w:rsid w:val="007C0A90"/>
    <w:rsid w:val="007C4FA6"/>
    <w:rsid w:val="007C504D"/>
    <w:rsid w:val="007D6AEC"/>
    <w:rsid w:val="007E397C"/>
    <w:rsid w:val="007E5C36"/>
    <w:rsid w:val="007E6442"/>
    <w:rsid w:val="007E6D0C"/>
    <w:rsid w:val="007E72DD"/>
    <w:rsid w:val="007F34A8"/>
    <w:rsid w:val="007F3E7F"/>
    <w:rsid w:val="007F769F"/>
    <w:rsid w:val="00800C3F"/>
    <w:rsid w:val="00801BA0"/>
    <w:rsid w:val="00803821"/>
    <w:rsid w:val="00803C70"/>
    <w:rsid w:val="00805DF3"/>
    <w:rsid w:val="00805FC3"/>
    <w:rsid w:val="00807CE3"/>
    <w:rsid w:val="008109A2"/>
    <w:rsid w:val="00812DE3"/>
    <w:rsid w:val="00813276"/>
    <w:rsid w:val="00813292"/>
    <w:rsid w:val="00814515"/>
    <w:rsid w:val="008166A9"/>
    <w:rsid w:val="00817C22"/>
    <w:rsid w:val="00817E03"/>
    <w:rsid w:val="0082073A"/>
    <w:rsid w:val="00820B50"/>
    <w:rsid w:val="008262E8"/>
    <w:rsid w:val="00827AFF"/>
    <w:rsid w:val="008305E7"/>
    <w:rsid w:val="00833F9F"/>
    <w:rsid w:val="008358F5"/>
    <w:rsid w:val="00837FE6"/>
    <w:rsid w:val="00842ACB"/>
    <w:rsid w:val="00843606"/>
    <w:rsid w:val="00845000"/>
    <w:rsid w:val="00845C9E"/>
    <w:rsid w:val="008472DC"/>
    <w:rsid w:val="008556B9"/>
    <w:rsid w:val="008572CB"/>
    <w:rsid w:val="00860747"/>
    <w:rsid w:val="00861C90"/>
    <w:rsid w:val="00862398"/>
    <w:rsid w:val="008632AC"/>
    <w:rsid w:val="00863AAE"/>
    <w:rsid w:val="00866FB8"/>
    <w:rsid w:val="008708E7"/>
    <w:rsid w:val="00870E11"/>
    <w:rsid w:val="008717C0"/>
    <w:rsid w:val="00880173"/>
    <w:rsid w:val="008827A6"/>
    <w:rsid w:val="00882FDE"/>
    <w:rsid w:val="008842E6"/>
    <w:rsid w:val="008901DB"/>
    <w:rsid w:val="008930E0"/>
    <w:rsid w:val="00893F57"/>
    <w:rsid w:val="008942E9"/>
    <w:rsid w:val="00894431"/>
    <w:rsid w:val="00895459"/>
    <w:rsid w:val="00895B16"/>
    <w:rsid w:val="00897135"/>
    <w:rsid w:val="008A04F2"/>
    <w:rsid w:val="008A0700"/>
    <w:rsid w:val="008A393D"/>
    <w:rsid w:val="008A4DF5"/>
    <w:rsid w:val="008A7CC6"/>
    <w:rsid w:val="008B3E66"/>
    <w:rsid w:val="008B531F"/>
    <w:rsid w:val="008B6DC9"/>
    <w:rsid w:val="008C1283"/>
    <w:rsid w:val="008C2FB4"/>
    <w:rsid w:val="008C4BAB"/>
    <w:rsid w:val="008C53E1"/>
    <w:rsid w:val="008C594B"/>
    <w:rsid w:val="008D0766"/>
    <w:rsid w:val="008E08B8"/>
    <w:rsid w:val="008E0FD8"/>
    <w:rsid w:val="008E33DE"/>
    <w:rsid w:val="008F07F0"/>
    <w:rsid w:val="008F0AD3"/>
    <w:rsid w:val="008F3196"/>
    <w:rsid w:val="008F3E86"/>
    <w:rsid w:val="008F4153"/>
    <w:rsid w:val="008F5541"/>
    <w:rsid w:val="008F588B"/>
    <w:rsid w:val="008F5C4E"/>
    <w:rsid w:val="008F7BF5"/>
    <w:rsid w:val="00900710"/>
    <w:rsid w:val="00902444"/>
    <w:rsid w:val="0090343F"/>
    <w:rsid w:val="00905608"/>
    <w:rsid w:val="00907DBD"/>
    <w:rsid w:val="00907F19"/>
    <w:rsid w:val="009115DA"/>
    <w:rsid w:val="009121D4"/>
    <w:rsid w:val="009147C0"/>
    <w:rsid w:val="00914B0C"/>
    <w:rsid w:val="00920F1D"/>
    <w:rsid w:val="009214D1"/>
    <w:rsid w:val="00924A61"/>
    <w:rsid w:val="00927AE0"/>
    <w:rsid w:val="0093317A"/>
    <w:rsid w:val="00935D10"/>
    <w:rsid w:val="009371FE"/>
    <w:rsid w:val="00937C86"/>
    <w:rsid w:val="0094454C"/>
    <w:rsid w:val="00944C7E"/>
    <w:rsid w:val="00945FD8"/>
    <w:rsid w:val="009523FD"/>
    <w:rsid w:val="009532D2"/>
    <w:rsid w:val="00955E56"/>
    <w:rsid w:val="009562F0"/>
    <w:rsid w:val="00956410"/>
    <w:rsid w:val="00956526"/>
    <w:rsid w:val="00956A8A"/>
    <w:rsid w:val="00957320"/>
    <w:rsid w:val="00960193"/>
    <w:rsid w:val="00960855"/>
    <w:rsid w:val="0096472C"/>
    <w:rsid w:val="00967D18"/>
    <w:rsid w:val="00976258"/>
    <w:rsid w:val="00981256"/>
    <w:rsid w:val="009849AF"/>
    <w:rsid w:val="00984D12"/>
    <w:rsid w:val="009864CB"/>
    <w:rsid w:val="009874F9"/>
    <w:rsid w:val="009914BD"/>
    <w:rsid w:val="0099249C"/>
    <w:rsid w:val="0099340D"/>
    <w:rsid w:val="009A13E7"/>
    <w:rsid w:val="009A4043"/>
    <w:rsid w:val="009A5828"/>
    <w:rsid w:val="009A590C"/>
    <w:rsid w:val="009A5BF8"/>
    <w:rsid w:val="009A751B"/>
    <w:rsid w:val="009A757B"/>
    <w:rsid w:val="009A7AF1"/>
    <w:rsid w:val="009B1053"/>
    <w:rsid w:val="009B1107"/>
    <w:rsid w:val="009B129A"/>
    <w:rsid w:val="009B4D48"/>
    <w:rsid w:val="009B630B"/>
    <w:rsid w:val="009C0915"/>
    <w:rsid w:val="009C0EF2"/>
    <w:rsid w:val="009C1C6C"/>
    <w:rsid w:val="009C23DE"/>
    <w:rsid w:val="009C2C09"/>
    <w:rsid w:val="009C50E0"/>
    <w:rsid w:val="009D52D1"/>
    <w:rsid w:val="009D6336"/>
    <w:rsid w:val="009E37FD"/>
    <w:rsid w:val="009E3981"/>
    <w:rsid w:val="009E51AA"/>
    <w:rsid w:val="009E6580"/>
    <w:rsid w:val="009F2A1B"/>
    <w:rsid w:val="009F2B85"/>
    <w:rsid w:val="009F3049"/>
    <w:rsid w:val="009F4723"/>
    <w:rsid w:val="009F520C"/>
    <w:rsid w:val="009F588C"/>
    <w:rsid w:val="009F6488"/>
    <w:rsid w:val="009F64B9"/>
    <w:rsid w:val="00A00C2D"/>
    <w:rsid w:val="00A0113A"/>
    <w:rsid w:val="00A01853"/>
    <w:rsid w:val="00A0246C"/>
    <w:rsid w:val="00A026F0"/>
    <w:rsid w:val="00A106C7"/>
    <w:rsid w:val="00A125C0"/>
    <w:rsid w:val="00A15093"/>
    <w:rsid w:val="00A15E8D"/>
    <w:rsid w:val="00A16084"/>
    <w:rsid w:val="00A23A01"/>
    <w:rsid w:val="00A27516"/>
    <w:rsid w:val="00A27EAB"/>
    <w:rsid w:val="00A30DE9"/>
    <w:rsid w:val="00A3133D"/>
    <w:rsid w:val="00A316DA"/>
    <w:rsid w:val="00A31B4B"/>
    <w:rsid w:val="00A32237"/>
    <w:rsid w:val="00A332E1"/>
    <w:rsid w:val="00A3527B"/>
    <w:rsid w:val="00A375C1"/>
    <w:rsid w:val="00A40014"/>
    <w:rsid w:val="00A40BEF"/>
    <w:rsid w:val="00A40CB1"/>
    <w:rsid w:val="00A42E55"/>
    <w:rsid w:val="00A45ACC"/>
    <w:rsid w:val="00A4677E"/>
    <w:rsid w:val="00A47F15"/>
    <w:rsid w:val="00A5329F"/>
    <w:rsid w:val="00A54265"/>
    <w:rsid w:val="00A61A73"/>
    <w:rsid w:val="00A62BE8"/>
    <w:rsid w:val="00A64DD9"/>
    <w:rsid w:val="00A656EE"/>
    <w:rsid w:val="00A657B2"/>
    <w:rsid w:val="00A67780"/>
    <w:rsid w:val="00A73333"/>
    <w:rsid w:val="00A74A2F"/>
    <w:rsid w:val="00A77FE5"/>
    <w:rsid w:val="00A82CB4"/>
    <w:rsid w:val="00A84589"/>
    <w:rsid w:val="00A84EB2"/>
    <w:rsid w:val="00A86393"/>
    <w:rsid w:val="00A91454"/>
    <w:rsid w:val="00A92BCD"/>
    <w:rsid w:val="00A931D3"/>
    <w:rsid w:val="00A951A3"/>
    <w:rsid w:val="00A952D4"/>
    <w:rsid w:val="00A955FE"/>
    <w:rsid w:val="00A97BF2"/>
    <w:rsid w:val="00AA01F7"/>
    <w:rsid w:val="00AA07B5"/>
    <w:rsid w:val="00AA1061"/>
    <w:rsid w:val="00AA232A"/>
    <w:rsid w:val="00AA3B30"/>
    <w:rsid w:val="00AA5262"/>
    <w:rsid w:val="00AA5C6A"/>
    <w:rsid w:val="00AA75A2"/>
    <w:rsid w:val="00AB10B3"/>
    <w:rsid w:val="00AB22F3"/>
    <w:rsid w:val="00AB2C4F"/>
    <w:rsid w:val="00AB2D4D"/>
    <w:rsid w:val="00AB2F13"/>
    <w:rsid w:val="00AB60C1"/>
    <w:rsid w:val="00AB6907"/>
    <w:rsid w:val="00AB7D38"/>
    <w:rsid w:val="00AC06D6"/>
    <w:rsid w:val="00AC3E7C"/>
    <w:rsid w:val="00AC47FC"/>
    <w:rsid w:val="00AC51F1"/>
    <w:rsid w:val="00AC542B"/>
    <w:rsid w:val="00AC7D43"/>
    <w:rsid w:val="00AC7D59"/>
    <w:rsid w:val="00AD0E2F"/>
    <w:rsid w:val="00AE137E"/>
    <w:rsid w:val="00AE5495"/>
    <w:rsid w:val="00AE77E6"/>
    <w:rsid w:val="00AE7FA6"/>
    <w:rsid w:val="00AF3843"/>
    <w:rsid w:val="00AF41CC"/>
    <w:rsid w:val="00AF4888"/>
    <w:rsid w:val="00AF77E6"/>
    <w:rsid w:val="00B033E2"/>
    <w:rsid w:val="00B10E7A"/>
    <w:rsid w:val="00B11E3E"/>
    <w:rsid w:val="00B14F14"/>
    <w:rsid w:val="00B14F32"/>
    <w:rsid w:val="00B15AA9"/>
    <w:rsid w:val="00B15ACE"/>
    <w:rsid w:val="00B1747F"/>
    <w:rsid w:val="00B17CED"/>
    <w:rsid w:val="00B20827"/>
    <w:rsid w:val="00B2517F"/>
    <w:rsid w:val="00B26699"/>
    <w:rsid w:val="00B26B9C"/>
    <w:rsid w:val="00B273FE"/>
    <w:rsid w:val="00B3052D"/>
    <w:rsid w:val="00B308C9"/>
    <w:rsid w:val="00B30C84"/>
    <w:rsid w:val="00B3336F"/>
    <w:rsid w:val="00B34456"/>
    <w:rsid w:val="00B3478A"/>
    <w:rsid w:val="00B369DC"/>
    <w:rsid w:val="00B36DA1"/>
    <w:rsid w:val="00B40087"/>
    <w:rsid w:val="00B428A4"/>
    <w:rsid w:val="00B527DB"/>
    <w:rsid w:val="00B556BC"/>
    <w:rsid w:val="00B57BDF"/>
    <w:rsid w:val="00B62A26"/>
    <w:rsid w:val="00B63832"/>
    <w:rsid w:val="00B728A0"/>
    <w:rsid w:val="00B774D3"/>
    <w:rsid w:val="00B812C2"/>
    <w:rsid w:val="00B82290"/>
    <w:rsid w:val="00B82498"/>
    <w:rsid w:val="00B83302"/>
    <w:rsid w:val="00B841F8"/>
    <w:rsid w:val="00B8771D"/>
    <w:rsid w:val="00B91745"/>
    <w:rsid w:val="00B93134"/>
    <w:rsid w:val="00B96364"/>
    <w:rsid w:val="00BA0304"/>
    <w:rsid w:val="00BA120A"/>
    <w:rsid w:val="00BA4F58"/>
    <w:rsid w:val="00BB1202"/>
    <w:rsid w:val="00BB19E8"/>
    <w:rsid w:val="00BB3D55"/>
    <w:rsid w:val="00BB403C"/>
    <w:rsid w:val="00BB4140"/>
    <w:rsid w:val="00BB4701"/>
    <w:rsid w:val="00BB75B7"/>
    <w:rsid w:val="00BB76DB"/>
    <w:rsid w:val="00BC0183"/>
    <w:rsid w:val="00BC14ED"/>
    <w:rsid w:val="00BC21EC"/>
    <w:rsid w:val="00BC3CA9"/>
    <w:rsid w:val="00BC3DE2"/>
    <w:rsid w:val="00BC55C8"/>
    <w:rsid w:val="00BC55F7"/>
    <w:rsid w:val="00BC6FB5"/>
    <w:rsid w:val="00BD120D"/>
    <w:rsid w:val="00BD4483"/>
    <w:rsid w:val="00BD4AA2"/>
    <w:rsid w:val="00BD4E66"/>
    <w:rsid w:val="00BD6233"/>
    <w:rsid w:val="00BD79AE"/>
    <w:rsid w:val="00BE2D5E"/>
    <w:rsid w:val="00BE3370"/>
    <w:rsid w:val="00BE3D6A"/>
    <w:rsid w:val="00BE6F2A"/>
    <w:rsid w:val="00BE7979"/>
    <w:rsid w:val="00BF0204"/>
    <w:rsid w:val="00BF1B4A"/>
    <w:rsid w:val="00BF2EA9"/>
    <w:rsid w:val="00C0044D"/>
    <w:rsid w:val="00C060F5"/>
    <w:rsid w:val="00C06B81"/>
    <w:rsid w:val="00C1377A"/>
    <w:rsid w:val="00C13B20"/>
    <w:rsid w:val="00C15122"/>
    <w:rsid w:val="00C15F9A"/>
    <w:rsid w:val="00C16547"/>
    <w:rsid w:val="00C1687A"/>
    <w:rsid w:val="00C16C3F"/>
    <w:rsid w:val="00C17171"/>
    <w:rsid w:val="00C21AFB"/>
    <w:rsid w:val="00C2392D"/>
    <w:rsid w:val="00C25F04"/>
    <w:rsid w:val="00C25F7B"/>
    <w:rsid w:val="00C260B7"/>
    <w:rsid w:val="00C312A7"/>
    <w:rsid w:val="00C35225"/>
    <w:rsid w:val="00C3737C"/>
    <w:rsid w:val="00C41F91"/>
    <w:rsid w:val="00C42477"/>
    <w:rsid w:val="00C449B8"/>
    <w:rsid w:val="00C50288"/>
    <w:rsid w:val="00C522DF"/>
    <w:rsid w:val="00C54D7A"/>
    <w:rsid w:val="00C56C51"/>
    <w:rsid w:val="00C5796D"/>
    <w:rsid w:val="00C57C3C"/>
    <w:rsid w:val="00C60973"/>
    <w:rsid w:val="00C60D80"/>
    <w:rsid w:val="00C61250"/>
    <w:rsid w:val="00C62431"/>
    <w:rsid w:val="00C65AB6"/>
    <w:rsid w:val="00C65B62"/>
    <w:rsid w:val="00C66295"/>
    <w:rsid w:val="00C70ED2"/>
    <w:rsid w:val="00C72149"/>
    <w:rsid w:val="00C75185"/>
    <w:rsid w:val="00C7679B"/>
    <w:rsid w:val="00C778B3"/>
    <w:rsid w:val="00C80E2F"/>
    <w:rsid w:val="00C81ABB"/>
    <w:rsid w:val="00C82F2C"/>
    <w:rsid w:val="00C852BE"/>
    <w:rsid w:val="00C870D2"/>
    <w:rsid w:val="00C90E16"/>
    <w:rsid w:val="00C93E9B"/>
    <w:rsid w:val="00C94119"/>
    <w:rsid w:val="00C94653"/>
    <w:rsid w:val="00C95214"/>
    <w:rsid w:val="00CA1109"/>
    <w:rsid w:val="00CA2E8C"/>
    <w:rsid w:val="00CA41FC"/>
    <w:rsid w:val="00CA4502"/>
    <w:rsid w:val="00CA455D"/>
    <w:rsid w:val="00CA46B8"/>
    <w:rsid w:val="00CA53FB"/>
    <w:rsid w:val="00CB002A"/>
    <w:rsid w:val="00CB46B9"/>
    <w:rsid w:val="00CB4AD1"/>
    <w:rsid w:val="00CC0823"/>
    <w:rsid w:val="00CC248F"/>
    <w:rsid w:val="00CC315C"/>
    <w:rsid w:val="00CC3BE6"/>
    <w:rsid w:val="00CC4D47"/>
    <w:rsid w:val="00CC5684"/>
    <w:rsid w:val="00CD0E59"/>
    <w:rsid w:val="00CD2865"/>
    <w:rsid w:val="00CD6AB1"/>
    <w:rsid w:val="00CE14C1"/>
    <w:rsid w:val="00CE1AE9"/>
    <w:rsid w:val="00CE6379"/>
    <w:rsid w:val="00CE6BA1"/>
    <w:rsid w:val="00CF349B"/>
    <w:rsid w:val="00CF6AD7"/>
    <w:rsid w:val="00D013F6"/>
    <w:rsid w:val="00D01C2F"/>
    <w:rsid w:val="00D05F96"/>
    <w:rsid w:val="00D06BB5"/>
    <w:rsid w:val="00D07CF8"/>
    <w:rsid w:val="00D13454"/>
    <w:rsid w:val="00D15F05"/>
    <w:rsid w:val="00D16B9B"/>
    <w:rsid w:val="00D17415"/>
    <w:rsid w:val="00D208D1"/>
    <w:rsid w:val="00D20C9D"/>
    <w:rsid w:val="00D20F37"/>
    <w:rsid w:val="00D2186E"/>
    <w:rsid w:val="00D23CD8"/>
    <w:rsid w:val="00D24208"/>
    <w:rsid w:val="00D25042"/>
    <w:rsid w:val="00D27D53"/>
    <w:rsid w:val="00D301E5"/>
    <w:rsid w:val="00D30778"/>
    <w:rsid w:val="00D31846"/>
    <w:rsid w:val="00D31D04"/>
    <w:rsid w:val="00D3432B"/>
    <w:rsid w:val="00D352E7"/>
    <w:rsid w:val="00D363F3"/>
    <w:rsid w:val="00D4038E"/>
    <w:rsid w:val="00D4196A"/>
    <w:rsid w:val="00D47185"/>
    <w:rsid w:val="00D47FC4"/>
    <w:rsid w:val="00D500C2"/>
    <w:rsid w:val="00D501B5"/>
    <w:rsid w:val="00D54B1D"/>
    <w:rsid w:val="00D57AE7"/>
    <w:rsid w:val="00D61D43"/>
    <w:rsid w:val="00D624F7"/>
    <w:rsid w:val="00D63A2C"/>
    <w:rsid w:val="00D64D31"/>
    <w:rsid w:val="00D65F4C"/>
    <w:rsid w:val="00D6602D"/>
    <w:rsid w:val="00D660DE"/>
    <w:rsid w:val="00D67805"/>
    <w:rsid w:val="00D72DDF"/>
    <w:rsid w:val="00D734A0"/>
    <w:rsid w:val="00D7394E"/>
    <w:rsid w:val="00D739BE"/>
    <w:rsid w:val="00D75F6F"/>
    <w:rsid w:val="00D8155D"/>
    <w:rsid w:val="00D81E99"/>
    <w:rsid w:val="00D87130"/>
    <w:rsid w:val="00D87EB3"/>
    <w:rsid w:val="00D90BFB"/>
    <w:rsid w:val="00D96BA5"/>
    <w:rsid w:val="00D96E85"/>
    <w:rsid w:val="00D97374"/>
    <w:rsid w:val="00D97F47"/>
    <w:rsid w:val="00D97FB8"/>
    <w:rsid w:val="00DA107D"/>
    <w:rsid w:val="00DA25BA"/>
    <w:rsid w:val="00DA35FC"/>
    <w:rsid w:val="00DA5406"/>
    <w:rsid w:val="00DA5ED4"/>
    <w:rsid w:val="00DA615E"/>
    <w:rsid w:val="00DA7929"/>
    <w:rsid w:val="00DB4FC9"/>
    <w:rsid w:val="00DB591E"/>
    <w:rsid w:val="00DB6063"/>
    <w:rsid w:val="00DB737D"/>
    <w:rsid w:val="00DC35CA"/>
    <w:rsid w:val="00DC3616"/>
    <w:rsid w:val="00DC3754"/>
    <w:rsid w:val="00DC4295"/>
    <w:rsid w:val="00DC448F"/>
    <w:rsid w:val="00DC461C"/>
    <w:rsid w:val="00DC5D3F"/>
    <w:rsid w:val="00DC612D"/>
    <w:rsid w:val="00DD07D9"/>
    <w:rsid w:val="00DD2ACC"/>
    <w:rsid w:val="00DD347A"/>
    <w:rsid w:val="00DD517E"/>
    <w:rsid w:val="00DD534A"/>
    <w:rsid w:val="00DD71E2"/>
    <w:rsid w:val="00DD7982"/>
    <w:rsid w:val="00DE2A57"/>
    <w:rsid w:val="00DE3DE8"/>
    <w:rsid w:val="00DE6EAA"/>
    <w:rsid w:val="00DE70C9"/>
    <w:rsid w:val="00DF1A93"/>
    <w:rsid w:val="00DF2E82"/>
    <w:rsid w:val="00DF6442"/>
    <w:rsid w:val="00DF6932"/>
    <w:rsid w:val="00DF6DB2"/>
    <w:rsid w:val="00E01D63"/>
    <w:rsid w:val="00E02820"/>
    <w:rsid w:val="00E03285"/>
    <w:rsid w:val="00E05F1C"/>
    <w:rsid w:val="00E07B6F"/>
    <w:rsid w:val="00E10987"/>
    <w:rsid w:val="00E11B41"/>
    <w:rsid w:val="00E14A26"/>
    <w:rsid w:val="00E15F46"/>
    <w:rsid w:val="00E1699C"/>
    <w:rsid w:val="00E237A4"/>
    <w:rsid w:val="00E2441B"/>
    <w:rsid w:val="00E25A4D"/>
    <w:rsid w:val="00E266D6"/>
    <w:rsid w:val="00E301BA"/>
    <w:rsid w:val="00E3047D"/>
    <w:rsid w:val="00E30E6B"/>
    <w:rsid w:val="00E312CE"/>
    <w:rsid w:val="00E31BCB"/>
    <w:rsid w:val="00E32C7C"/>
    <w:rsid w:val="00E33411"/>
    <w:rsid w:val="00E3428B"/>
    <w:rsid w:val="00E3704D"/>
    <w:rsid w:val="00E407B4"/>
    <w:rsid w:val="00E408B8"/>
    <w:rsid w:val="00E429CE"/>
    <w:rsid w:val="00E431A9"/>
    <w:rsid w:val="00E43751"/>
    <w:rsid w:val="00E4489A"/>
    <w:rsid w:val="00E4608F"/>
    <w:rsid w:val="00E46FE9"/>
    <w:rsid w:val="00E501F5"/>
    <w:rsid w:val="00E50550"/>
    <w:rsid w:val="00E51D92"/>
    <w:rsid w:val="00E6289C"/>
    <w:rsid w:val="00E62BD9"/>
    <w:rsid w:val="00E708DD"/>
    <w:rsid w:val="00E71D13"/>
    <w:rsid w:val="00E75528"/>
    <w:rsid w:val="00E80736"/>
    <w:rsid w:val="00E831A5"/>
    <w:rsid w:val="00E86443"/>
    <w:rsid w:val="00E86E30"/>
    <w:rsid w:val="00E8777E"/>
    <w:rsid w:val="00E91712"/>
    <w:rsid w:val="00E95E80"/>
    <w:rsid w:val="00E969E9"/>
    <w:rsid w:val="00EA1A5D"/>
    <w:rsid w:val="00EA3271"/>
    <w:rsid w:val="00EA364B"/>
    <w:rsid w:val="00EA3A50"/>
    <w:rsid w:val="00EA4743"/>
    <w:rsid w:val="00EA4B40"/>
    <w:rsid w:val="00EA5F90"/>
    <w:rsid w:val="00EA694E"/>
    <w:rsid w:val="00EA7928"/>
    <w:rsid w:val="00EB27C8"/>
    <w:rsid w:val="00EB2D44"/>
    <w:rsid w:val="00EB560E"/>
    <w:rsid w:val="00EB6998"/>
    <w:rsid w:val="00EB6A3C"/>
    <w:rsid w:val="00EC1767"/>
    <w:rsid w:val="00EC57FD"/>
    <w:rsid w:val="00EC73E2"/>
    <w:rsid w:val="00ED0F8F"/>
    <w:rsid w:val="00ED293C"/>
    <w:rsid w:val="00ED3E23"/>
    <w:rsid w:val="00ED448E"/>
    <w:rsid w:val="00ED4997"/>
    <w:rsid w:val="00ED7D09"/>
    <w:rsid w:val="00EE04A0"/>
    <w:rsid w:val="00EE1CAC"/>
    <w:rsid w:val="00EE48CF"/>
    <w:rsid w:val="00EE5FF0"/>
    <w:rsid w:val="00EE6864"/>
    <w:rsid w:val="00EF0DCF"/>
    <w:rsid w:val="00EF13C8"/>
    <w:rsid w:val="00EF3179"/>
    <w:rsid w:val="00EF4328"/>
    <w:rsid w:val="00F0049B"/>
    <w:rsid w:val="00F008A6"/>
    <w:rsid w:val="00F076A2"/>
    <w:rsid w:val="00F077F6"/>
    <w:rsid w:val="00F07BE5"/>
    <w:rsid w:val="00F10E7E"/>
    <w:rsid w:val="00F11A54"/>
    <w:rsid w:val="00F12723"/>
    <w:rsid w:val="00F14274"/>
    <w:rsid w:val="00F146A1"/>
    <w:rsid w:val="00F156A1"/>
    <w:rsid w:val="00F2096E"/>
    <w:rsid w:val="00F20AF0"/>
    <w:rsid w:val="00F22952"/>
    <w:rsid w:val="00F22CF7"/>
    <w:rsid w:val="00F24C96"/>
    <w:rsid w:val="00F25A2A"/>
    <w:rsid w:val="00F27705"/>
    <w:rsid w:val="00F27C91"/>
    <w:rsid w:val="00F27E37"/>
    <w:rsid w:val="00F3135A"/>
    <w:rsid w:val="00F32D01"/>
    <w:rsid w:val="00F35C32"/>
    <w:rsid w:val="00F40707"/>
    <w:rsid w:val="00F4072F"/>
    <w:rsid w:val="00F4114D"/>
    <w:rsid w:val="00F4215A"/>
    <w:rsid w:val="00F44263"/>
    <w:rsid w:val="00F4565C"/>
    <w:rsid w:val="00F4629B"/>
    <w:rsid w:val="00F47AF1"/>
    <w:rsid w:val="00F52E4A"/>
    <w:rsid w:val="00F54338"/>
    <w:rsid w:val="00F54A47"/>
    <w:rsid w:val="00F55F07"/>
    <w:rsid w:val="00F57737"/>
    <w:rsid w:val="00F57B52"/>
    <w:rsid w:val="00F620DD"/>
    <w:rsid w:val="00F646F1"/>
    <w:rsid w:val="00F64E2B"/>
    <w:rsid w:val="00F70AAC"/>
    <w:rsid w:val="00F71C06"/>
    <w:rsid w:val="00F724DF"/>
    <w:rsid w:val="00F735A7"/>
    <w:rsid w:val="00F75F80"/>
    <w:rsid w:val="00F8336A"/>
    <w:rsid w:val="00F85688"/>
    <w:rsid w:val="00F857EE"/>
    <w:rsid w:val="00F85BAB"/>
    <w:rsid w:val="00F863AA"/>
    <w:rsid w:val="00F901DE"/>
    <w:rsid w:val="00F902AA"/>
    <w:rsid w:val="00F91DD7"/>
    <w:rsid w:val="00F942F9"/>
    <w:rsid w:val="00F94ABC"/>
    <w:rsid w:val="00FA1877"/>
    <w:rsid w:val="00FA35F3"/>
    <w:rsid w:val="00FA588D"/>
    <w:rsid w:val="00FA58BB"/>
    <w:rsid w:val="00FB03DE"/>
    <w:rsid w:val="00FB3A4E"/>
    <w:rsid w:val="00FB42A6"/>
    <w:rsid w:val="00FB747D"/>
    <w:rsid w:val="00FB7B9F"/>
    <w:rsid w:val="00FC2693"/>
    <w:rsid w:val="00FC5B2B"/>
    <w:rsid w:val="00FC6B39"/>
    <w:rsid w:val="00FC7B15"/>
    <w:rsid w:val="00FD04F4"/>
    <w:rsid w:val="00FD7F79"/>
    <w:rsid w:val="00FE05AD"/>
    <w:rsid w:val="00FE0768"/>
    <w:rsid w:val="00FE15C4"/>
    <w:rsid w:val="00FE1CF8"/>
    <w:rsid w:val="00FE2A2C"/>
    <w:rsid w:val="00FE397A"/>
    <w:rsid w:val="00FE63EA"/>
    <w:rsid w:val="00FE7F23"/>
    <w:rsid w:val="00FF0E59"/>
    <w:rsid w:val="00FF1911"/>
    <w:rsid w:val="00FF56B6"/>
    <w:rsid w:val="010B5914"/>
    <w:rsid w:val="011113CE"/>
    <w:rsid w:val="01476FA4"/>
    <w:rsid w:val="017212D1"/>
    <w:rsid w:val="01913736"/>
    <w:rsid w:val="0194115F"/>
    <w:rsid w:val="01AA787F"/>
    <w:rsid w:val="01D8002B"/>
    <w:rsid w:val="01DA355B"/>
    <w:rsid w:val="01FB6BA1"/>
    <w:rsid w:val="0217214C"/>
    <w:rsid w:val="02463AD7"/>
    <w:rsid w:val="02BE1699"/>
    <w:rsid w:val="02DD01B5"/>
    <w:rsid w:val="034E2E05"/>
    <w:rsid w:val="03544AB5"/>
    <w:rsid w:val="03A13A79"/>
    <w:rsid w:val="03CC78CA"/>
    <w:rsid w:val="03E756B4"/>
    <w:rsid w:val="03F23F23"/>
    <w:rsid w:val="040244A7"/>
    <w:rsid w:val="04124D5C"/>
    <w:rsid w:val="043C709E"/>
    <w:rsid w:val="044F7B69"/>
    <w:rsid w:val="04B85A9A"/>
    <w:rsid w:val="04D845D1"/>
    <w:rsid w:val="04F55F26"/>
    <w:rsid w:val="050D5D8D"/>
    <w:rsid w:val="052D1E49"/>
    <w:rsid w:val="057A70DE"/>
    <w:rsid w:val="05BD5529"/>
    <w:rsid w:val="06B51FC5"/>
    <w:rsid w:val="06F17D3E"/>
    <w:rsid w:val="06F22EC4"/>
    <w:rsid w:val="07082E0E"/>
    <w:rsid w:val="07591F95"/>
    <w:rsid w:val="075C1358"/>
    <w:rsid w:val="07727E45"/>
    <w:rsid w:val="07C2738B"/>
    <w:rsid w:val="07C61EE0"/>
    <w:rsid w:val="07CB7373"/>
    <w:rsid w:val="086317B8"/>
    <w:rsid w:val="086434E9"/>
    <w:rsid w:val="0923454C"/>
    <w:rsid w:val="095A7E37"/>
    <w:rsid w:val="096C5AE4"/>
    <w:rsid w:val="09AB6480"/>
    <w:rsid w:val="09B13F4A"/>
    <w:rsid w:val="09E12000"/>
    <w:rsid w:val="09E86447"/>
    <w:rsid w:val="0A0F1191"/>
    <w:rsid w:val="0A3D74FF"/>
    <w:rsid w:val="0A4F0768"/>
    <w:rsid w:val="0A7B0223"/>
    <w:rsid w:val="0A7E499C"/>
    <w:rsid w:val="0B426DB4"/>
    <w:rsid w:val="0B45390A"/>
    <w:rsid w:val="0B7A7CDE"/>
    <w:rsid w:val="0BBC1C87"/>
    <w:rsid w:val="0BBC3634"/>
    <w:rsid w:val="0C1B06A1"/>
    <w:rsid w:val="0C1F5A14"/>
    <w:rsid w:val="0C3A341D"/>
    <w:rsid w:val="0C4C45B8"/>
    <w:rsid w:val="0CEE29B9"/>
    <w:rsid w:val="0D364856"/>
    <w:rsid w:val="0D507D7B"/>
    <w:rsid w:val="0D5D4981"/>
    <w:rsid w:val="0D611CA1"/>
    <w:rsid w:val="0DAA7D84"/>
    <w:rsid w:val="0DF36163"/>
    <w:rsid w:val="0E26538E"/>
    <w:rsid w:val="0E807321"/>
    <w:rsid w:val="0EF1320A"/>
    <w:rsid w:val="0F911180"/>
    <w:rsid w:val="0FA00727"/>
    <w:rsid w:val="0FDC0147"/>
    <w:rsid w:val="0FE82598"/>
    <w:rsid w:val="0FFE4BA4"/>
    <w:rsid w:val="109835DA"/>
    <w:rsid w:val="10A91537"/>
    <w:rsid w:val="10E77965"/>
    <w:rsid w:val="11211956"/>
    <w:rsid w:val="11426015"/>
    <w:rsid w:val="11C92528"/>
    <w:rsid w:val="11D2599F"/>
    <w:rsid w:val="121F34E2"/>
    <w:rsid w:val="123B54F1"/>
    <w:rsid w:val="127375D2"/>
    <w:rsid w:val="130B4CC3"/>
    <w:rsid w:val="131814D4"/>
    <w:rsid w:val="13360FD8"/>
    <w:rsid w:val="134B03A7"/>
    <w:rsid w:val="13775FA7"/>
    <w:rsid w:val="13C34D75"/>
    <w:rsid w:val="14A02EB8"/>
    <w:rsid w:val="14F06F12"/>
    <w:rsid w:val="153B6C8F"/>
    <w:rsid w:val="15547FA0"/>
    <w:rsid w:val="156F0F38"/>
    <w:rsid w:val="158E2EDA"/>
    <w:rsid w:val="15904D74"/>
    <w:rsid w:val="15B9571C"/>
    <w:rsid w:val="161A67DD"/>
    <w:rsid w:val="16290DEF"/>
    <w:rsid w:val="16475521"/>
    <w:rsid w:val="16E2161B"/>
    <w:rsid w:val="171A3427"/>
    <w:rsid w:val="175F2C44"/>
    <w:rsid w:val="176D6FFD"/>
    <w:rsid w:val="178957A2"/>
    <w:rsid w:val="17B207A3"/>
    <w:rsid w:val="180C44C7"/>
    <w:rsid w:val="18587420"/>
    <w:rsid w:val="18917D71"/>
    <w:rsid w:val="18AB19CE"/>
    <w:rsid w:val="18D84F48"/>
    <w:rsid w:val="18E33380"/>
    <w:rsid w:val="1973454E"/>
    <w:rsid w:val="19AD119D"/>
    <w:rsid w:val="19AD130E"/>
    <w:rsid w:val="19C15BA9"/>
    <w:rsid w:val="1A73524C"/>
    <w:rsid w:val="1A823AB7"/>
    <w:rsid w:val="1ADE7D7F"/>
    <w:rsid w:val="1B770D14"/>
    <w:rsid w:val="1B8B4C52"/>
    <w:rsid w:val="1B94183D"/>
    <w:rsid w:val="1BC2369A"/>
    <w:rsid w:val="1C48379E"/>
    <w:rsid w:val="1C4F72A1"/>
    <w:rsid w:val="1CAB6309"/>
    <w:rsid w:val="1CB76E5B"/>
    <w:rsid w:val="1CC40A30"/>
    <w:rsid w:val="1CC9758F"/>
    <w:rsid w:val="1CE84B15"/>
    <w:rsid w:val="1D4A28D1"/>
    <w:rsid w:val="1D5502DF"/>
    <w:rsid w:val="1D6151D1"/>
    <w:rsid w:val="1D627B6A"/>
    <w:rsid w:val="1E0A4603"/>
    <w:rsid w:val="1E6C2664"/>
    <w:rsid w:val="1E7C3527"/>
    <w:rsid w:val="1EFA0C33"/>
    <w:rsid w:val="1F007AD0"/>
    <w:rsid w:val="1F010612"/>
    <w:rsid w:val="1F2B0C7F"/>
    <w:rsid w:val="1F3125FA"/>
    <w:rsid w:val="1F330311"/>
    <w:rsid w:val="1F5F1ADC"/>
    <w:rsid w:val="1F6F0E31"/>
    <w:rsid w:val="1F8831F0"/>
    <w:rsid w:val="1FF233C0"/>
    <w:rsid w:val="2005481B"/>
    <w:rsid w:val="20147CD6"/>
    <w:rsid w:val="20A40F06"/>
    <w:rsid w:val="20A762A1"/>
    <w:rsid w:val="20FD6715"/>
    <w:rsid w:val="21B75B09"/>
    <w:rsid w:val="21D57269"/>
    <w:rsid w:val="22011DB2"/>
    <w:rsid w:val="225D4C0F"/>
    <w:rsid w:val="22C270A9"/>
    <w:rsid w:val="22D96878"/>
    <w:rsid w:val="23471176"/>
    <w:rsid w:val="239A5EF9"/>
    <w:rsid w:val="23A16901"/>
    <w:rsid w:val="23D9451A"/>
    <w:rsid w:val="23FA664A"/>
    <w:rsid w:val="24010713"/>
    <w:rsid w:val="24214802"/>
    <w:rsid w:val="24440601"/>
    <w:rsid w:val="244F74FA"/>
    <w:rsid w:val="245D586A"/>
    <w:rsid w:val="249A5E1E"/>
    <w:rsid w:val="249C2473"/>
    <w:rsid w:val="25152665"/>
    <w:rsid w:val="25220ED0"/>
    <w:rsid w:val="25245D2F"/>
    <w:rsid w:val="255A0D63"/>
    <w:rsid w:val="255E62D0"/>
    <w:rsid w:val="25CA07AE"/>
    <w:rsid w:val="25DF2533"/>
    <w:rsid w:val="26464BFB"/>
    <w:rsid w:val="2656143B"/>
    <w:rsid w:val="265D5A27"/>
    <w:rsid w:val="26823543"/>
    <w:rsid w:val="26B76351"/>
    <w:rsid w:val="26ED0BB9"/>
    <w:rsid w:val="27626097"/>
    <w:rsid w:val="27787DB4"/>
    <w:rsid w:val="278035C5"/>
    <w:rsid w:val="27D20176"/>
    <w:rsid w:val="27F36434"/>
    <w:rsid w:val="28125C90"/>
    <w:rsid w:val="284B4D7E"/>
    <w:rsid w:val="28931BC7"/>
    <w:rsid w:val="289A44C4"/>
    <w:rsid w:val="29FF548B"/>
    <w:rsid w:val="2A156674"/>
    <w:rsid w:val="2A216B8D"/>
    <w:rsid w:val="2A3A60CC"/>
    <w:rsid w:val="2A4D1342"/>
    <w:rsid w:val="2A706B58"/>
    <w:rsid w:val="2ABD1758"/>
    <w:rsid w:val="2B31664E"/>
    <w:rsid w:val="2B361ADE"/>
    <w:rsid w:val="2B3E36A8"/>
    <w:rsid w:val="2BB068C1"/>
    <w:rsid w:val="2BD7199F"/>
    <w:rsid w:val="2BDD5215"/>
    <w:rsid w:val="2BF107B6"/>
    <w:rsid w:val="2C1A6D44"/>
    <w:rsid w:val="2C3738AF"/>
    <w:rsid w:val="2C724EE5"/>
    <w:rsid w:val="2C781057"/>
    <w:rsid w:val="2C9C2EFB"/>
    <w:rsid w:val="2CA63468"/>
    <w:rsid w:val="2CA865BB"/>
    <w:rsid w:val="2CB42BF3"/>
    <w:rsid w:val="2D2F6794"/>
    <w:rsid w:val="2D6335FC"/>
    <w:rsid w:val="2D6E05AB"/>
    <w:rsid w:val="2DA45BDA"/>
    <w:rsid w:val="2DE33950"/>
    <w:rsid w:val="2ECD34FD"/>
    <w:rsid w:val="2EE90BBE"/>
    <w:rsid w:val="2F1B631B"/>
    <w:rsid w:val="2FB84D61"/>
    <w:rsid w:val="2FBB40CA"/>
    <w:rsid w:val="2FED45AC"/>
    <w:rsid w:val="2FEE2E77"/>
    <w:rsid w:val="304036F8"/>
    <w:rsid w:val="305461BA"/>
    <w:rsid w:val="3071206C"/>
    <w:rsid w:val="307A1A45"/>
    <w:rsid w:val="307E6FA0"/>
    <w:rsid w:val="30A43B14"/>
    <w:rsid w:val="30C40996"/>
    <w:rsid w:val="30C8791F"/>
    <w:rsid w:val="31450835"/>
    <w:rsid w:val="315C7D63"/>
    <w:rsid w:val="31661C8E"/>
    <w:rsid w:val="31767BA7"/>
    <w:rsid w:val="31C62437"/>
    <w:rsid w:val="31F066FA"/>
    <w:rsid w:val="3288565A"/>
    <w:rsid w:val="344A02CC"/>
    <w:rsid w:val="34F6341D"/>
    <w:rsid w:val="35093FA1"/>
    <w:rsid w:val="350E27CF"/>
    <w:rsid w:val="356D3881"/>
    <w:rsid w:val="35BD6179"/>
    <w:rsid w:val="360208F0"/>
    <w:rsid w:val="37407C94"/>
    <w:rsid w:val="37595EBE"/>
    <w:rsid w:val="377723CA"/>
    <w:rsid w:val="3780665E"/>
    <w:rsid w:val="37842CEF"/>
    <w:rsid w:val="380C4974"/>
    <w:rsid w:val="380E366D"/>
    <w:rsid w:val="382D2531"/>
    <w:rsid w:val="3870288F"/>
    <w:rsid w:val="38DE3D58"/>
    <w:rsid w:val="38E515D4"/>
    <w:rsid w:val="391066AF"/>
    <w:rsid w:val="393D5126"/>
    <w:rsid w:val="39813224"/>
    <w:rsid w:val="39AC5441"/>
    <w:rsid w:val="39CB62D3"/>
    <w:rsid w:val="3A0108F2"/>
    <w:rsid w:val="3A3345E1"/>
    <w:rsid w:val="3A8C3A44"/>
    <w:rsid w:val="3ACA0FDF"/>
    <w:rsid w:val="3B007FCA"/>
    <w:rsid w:val="3B22539A"/>
    <w:rsid w:val="3B3957D9"/>
    <w:rsid w:val="3B6F5E7D"/>
    <w:rsid w:val="3BC214DA"/>
    <w:rsid w:val="3BCC28DB"/>
    <w:rsid w:val="3BD118A4"/>
    <w:rsid w:val="3BF82BB2"/>
    <w:rsid w:val="3C654D94"/>
    <w:rsid w:val="3C6A640D"/>
    <w:rsid w:val="3C8B0054"/>
    <w:rsid w:val="3CC16014"/>
    <w:rsid w:val="3D497137"/>
    <w:rsid w:val="3DD11515"/>
    <w:rsid w:val="3DD31485"/>
    <w:rsid w:val="3E1C0B21"/>
    <w:rsid w:val="3E5A053D"/>
    <w:rsid w:val="3EA14F72"/>
    <w:rsid w:val="3ED07E25"/>
    <w:rsid w:val="3EDE5EB3"/>
    <w:rsid w:val="3F7208C8"/>
    <w:rsid w:val="3F795B22"/>
    <w:rsid w:val="405608AE"/>
    <w:rsid w:val="409D65A7"/>
    <w:rsid w:val="40A03AED"/>
    <w:rsid w:val="4101634F"/>
    <w:rsid w:val="415E191B"/>
    <w:rsid w:val="4167224E"/>
    <w:rsid w:val="4194385F"/>
    <w:rsid w:val="41B67B2E"/>
    <w:rsid w:val="420C02A3"/>
    <w:rsid w:val="42310009"/>
    <w:rsid w:val="428D1F35"/>
    <w:rsid w:val="42DD2708"/>
    <w:rsid w:val="4362369A"/>
    <w:rsid w:val="43EA489A"/>
    <w:rsid w:val="43F115C2"/>
    <w:rsid w:val="43F4669E"/>
    <w:rsid w:val="44024A62"/>
    <w:rsid w:val="440B631D"/>
    <w:rsid w:val="442E241F"/>
    <w:rsid w:val="445018B5"/>
    <w:rsid w:val="44AF3975"/>
    <w:rsid w:val="44B6035B"/>
    <w:rsid w:val="44BD6C56"/>
    <w:rsid w:val="44CC6637"/>
    <w:rsid w:val="44F27911"/>
    <w:rsid w:val="451356C8"/>
    <w:rsid w:val="45186FE2"/>
    <w:rsid w:val="453443A8"/>
    <w:rsid w:val="457317A7"/>
    <w:rsid w:val="458064A3"/>
    <w:rsid w:val="459E01BF"/>
    <w:rsid w:val="45DD342F"/>
    <w:rsid w:val="45E252AA"/>
    <w:rsid w:val="45E371DF"/>
    <w:rsid w:val="45F01FF2"/>
    <w:rsid w:val="462322F5"/>
    <w:rsid w:val="46352A4D"/>
    <w:rsid w:val="46356023"/>
    <w:rsid w:val="465814AE"/>
    <w:rsid w:val="46CC1EE0"/>
    <w:rsid w:val="479D64E3"/>
    <w:rsid w:val="480A3BC3"/>
    <w:rsid w:val="48635F2B"/>
    <w:rsid w:val="48B24E91"/>
    <w:rsid w:val="48D27151"/>
    <w:rsid w:val="49191BB5"/>
    <w:rsid w:val="495F496C"/>
    <w:rsid w:val="49653000"/>
    <w:rsid w:val="496C2E2D"/>
    <w:rsid w:val="49D81FCF"/>
    <w:rsid w:val="4A454D05"/>
    <w:rsid w:val="4A5F0997"/>
    <w:rsid w:val="4A6A484E"/>
    <w:rsid w:val="4A8E0448"/>
    <w:rsid w:val="4A9E499E"/>
    <w:rsid w:val="4AF71C4F"/>
    <w:rsid w:val="4B1811F6"/>
    <w:rsid w:val="4B2E5C4D"/>
    <w:rsid w:val="4B840D02"/>
    <w:rsid w:val="4C0956F4"/>
    <w:rsid w:val="4C2D0FF8"/>
    <w:rsid w:val="4C675076"/>
    <w:rsid w:val="4CC65566"/>
    <w:rsid w:val="4CE806A9"/>
    <w:rsid w:val="4CF23EC0"/>
    <w:rsid w:val="4D877A0E"/>
    <w:rsid w:val="4E323A21"/>
    <w:rsid w:val="4E3521DE"/>
    <w:rsid w:val="4E6173FE"/>
    <w:rsid w:val="4E707330"/>
    <w:rsid w:val="4EAC593D"/>
    <w:rsid w:val="4EF41E0C"/>
    <w:rsid w:val="4EFC214C"/>
    <w:rsid w:val="4F0135E1"/>
    <w:rsid w:val="4F9737A6"/>
    <w:rsid w:val="4FAD5E6C"/>
    <w:rsid w:val="4FBC5601"/>
    <w:rsid w:val="500666D7"/>
    <w:rsid w:val="506011E7"/>
    <w:rsid w:val="5075380B"/>
    <w:rsid w:val="507C7544"/>
    <w:rsid w:val="50876FF4"/>
    <w:rsid w:val="50C97480"/>
    <w:rsid w:val="50DB5ADC"/>
    <w:rsid w:val="513D1E32"/>
    <w:rsid w:val="515A2639"/>
    <w:rsid w:val="51836AFA"/>
    <w:rsid w:val="51CB0266"/>
    <w:rsid w:val="5281652C"/>
    <w:rsid w:val="528417A3"/>
    <w:rsid w:val="53571364"/>
    <w:rsid w:val="538675F5"/>
    <w:rsid w:val="539B1471"/>
    <w:rsid w:val="53A02CD0"/>
    <w:rsid w:val="53CB55FB"/>
    <w:rsid w:val="53D645F0"/>
    <w:rsid w:val="548201DE"/>
    <w:rsid w:val="5494551E"/>
    <w:rsid w:val="54C12F7A"/>
    <w:rsid w:val="54CC472D"/>
    <w:rsid w:val="55896279"/>
    <w:rsid w:val="55AD5EB8"/>
    <w:rsid w:val="55DC3B9C"/>
    <w:rsid w:val="55EB15BE"/>
    <w:rsid w:val="55FA2FDA"/>
    <w:rsid w:val="568713A8"/>
    <w:rsid w:val="56C22460"/>
    <w:rsid w:val="570B2105"/>
    <w:rsid w:val="572E0C5F"/>
    <w:rsid w:val="57505B05"/>
    <w:rsid w:val="57820555"/>
    <w:rsid w:val="57A319BA"/>
    <w:rsid w:val="57B5427D"/>
    <w:rsid w:val="57C93625"/>
    <w:rsid w:val="57C97C9E"/>
    <w:rsid w:val="57E24C8E"/>
    <w:rsid w:val="57F745B6"/>
    <w:rsid w:val="585C7780"/>
    <w:rsid w:val="5898259E"/>
    <w:rsid w:val="589F3D15"/>
    <w:rsid w:val="58BE150F"/>
    <w:rsid w:val="594361FE"/>
    <w:rsid w:val="59A94476"/>
    <w:rsid w:val="59D26DB4"/>
    <w:rsid w:val="5A4E2067"/>
    <w:rsid w:val="5A7E0EB8"/>
    <w:rsid w:val="5A876E45"/>
    <w:rsid w:val="5AD40482"/>
    <w:rsid w:val="5AD51EC2"/>
    <w:rsid w:val="5B282666"/>
    <w:rsid w:val="5B607D9D"/>
    <w:rsid w:val="5B744B41"/>
    <w:rsid w:val="5BA34B21"/>
    <w:rsid w:val="5BB27E54"/>
    <w:rsid w:val="5BD14F77"/>
    <w:rsid w:val="5BD552A8"/>
    <w:rsid w:val="5BEB0723"/>
    <w:rsid w:val="5C211FA2"/>
    <w:rsid w:val="5C9A6350"/>
    <w:rsid w:val="5CB1061B"/>
    <w:rsid w:val="5D3057AC"/>
    <w:rsid w:val="5D6355DD"/>
    <w:rsid w:val="5D8B7407"/>
    <w:rsid w:val="5D936553"/>
    <w:rsid w:val="5DCB5978"/>
    <w:rsid w:val="5DF74C50"/>
    <w:rsid w:val="5E2C69CB"/>
    <w:rsid w:val="5E406E33"/>
    <w:rsid w:val="5EE96AA6"/>
    <w:rsid w:val="5F0048C9"/>
    <w:rsid w:val="5F096D46"/>
    <w:rsid w:val="5F2074B5"/>
    <w:rsid w:val="5F592DCA"/>
    <w:rsid w:val="5F7808F7"/>
    <w:rsid w:val="5F7C2BF3"/>
    <w:rsid w:val="5FAF44B7"/>
    <w:rsid w:val="60390898"/>
    <w:rsid w:val="606C7A32"/>
    <w:rsid w:val="60E611F8"/>
    <w:rsid w:val="612E61D2"/>
    <w:rsid w:val="616031B0"/>
    <w:rsid w:val="61712CAD"/>
    <w:rsid w:val="61C0703C"/>
    <w:rsid w:val="61C178A0"/>
    <w:rsid w:val="61C84ED0"/>
    <w:rsid w:val="620F6859"/>
    <w:rsid w:val="62301F93"/>
    <w:rsid w:val="62B5613D"/>
    <w:rsid w:val="630D684C"/>
    <w:rsid w:val="63117EF0"/>
    <w:rsid w:val="63127ABF"/>
    <w:rsid w:val="634D53DD"/>
    <w:rsid w:val="63846A41"/>
    <w:rsid w:val="6391600F"/>
    <w:rsid w:val="63B11315"/>
    <w:rsid w:val="63BB41F5"/>
    <w:rsid w:val="641A4BD9"/>
    <w:rsid w:val="64667D1F"/>
    <w:rsid w:val="647832F8"/>
    <w:rsid w:val="648E2204"/>
    <w:rsid w:val="64F40E15"/>
    <w:rsid w:val="64F867E6"/>
    <w:rsid w:val="65224368"/>
    <w:rsid w:val="652251C9"/>
    <w:rsid w:val="656963D8"/>
    <w:rsid w:val="65847E71"/>
    <w:rsid w:val="65A404B1"/>
    <w:rsid w:val="65B2491B"/>
    <w:rsid w:val="663069E1"/>
    <w:rsid w:val="664B4DEB"/>
    <w:rsid w:val="66DF7D40"/>
    <w:rsid w:val="66EA3B20"/>
    <w:rsid w:val="66F02395"/>
    <w:rsid w:val="67216041"/>
    <w:rsid w:val="673646FA"/>
    <w:rsid w:val="675B30C9"/>
    <w:rsid w:val="67637F07"/>
    <w:rsid w:val="67B965C6"/>
    <w:rsid w:val="67C63B62"/>
    <w:rsid w:val="6886316F"/>
    <w:rsid w:val="68F00E5F"/>
    <w:rsid w:val="68FD3429"/>
    <w:rsid w:val="69095375"/>
    <w:rsid w:val="691C6B76"/>
    <w:rsid w:val="695128B6"/>
    <w:rsid w:val="6961288F"/>
    <w:rsid w:val="69863E36"/>
    <w:rsid w:val="69A3089A"/>
    <w:rsid w:val="69B14E42"/>
    <w:rsid w:val="69B24D9C"/>
    <w:rsid w:val="6A0D3374"/>
    <w:rsid w:val="6A1F740D"/>
    <w:rsid w:val="6A2D7A9D"/>
    <w:rsid w:val="6A394A96"/>
    <w:rsid w:val="6A75555B"/>
    <w:rsid w:val="6AA5232C"/>
    <w:rsid w:val="6AAC1BBA"/>
    <w:rsid w:val="6AC47848"/>
    <w:rsid w:val="6B6B2042"/>
    <w:rsid w:val="6B866DC6"/>
    <w:rsid w:val="6BAC1B42"/>
    <w:rsid w:val="6BBF5CB1"/>
    <w:rsid w:val="6BD236A6"/>
    <w:rsid w:val="6C7C4E8F"/>
    <w:rsid w:val="6CB55001"/>
    <w:rsid w:val="6CEC6EE1"/>
    <w:rsid w:val="6D122AAF"/>
    <w:rsid w:val="6D224B42"/>
    <w:rsid w:val="6D8E0554"/>
    <w:rsid w:val="6DDD2AC7"/>
    <w:rsid w:val="6DE259B5"/>
    <w:rsid w:val="6E092E05"/>
    <w:rsid w:val="6E595884"/>
    <w:rsid w:val="6E904086"/>
    <w:rsid w:val="6EA4532F"/>
    <w:rsid w:val="6F6C52FB"/>
    <w:rsid w:val="6F737572"/>
    <w:rsid w:val="6F8447D2"/>
    <w:rsid w:val="6F860CEF"/>
    <w:rsid w:val="6FD61FAF"/>
    <w:rsid w:val="6FEE790C"/>
    <w:rsid w:val="70313C65"/>
    <w:rsid w:val="703211D1"/>
    <w:rsid w:val="71B1027A"/>
    <w:rsid w:val="720504BD"/>
    <w:rsid w:val="72201A48"/>
    <w:rsid w:val="72C06890"/>
    <w:rsid w:val="72F63BF3"/>
    <w:rsid w:val="731F2B50"/>
    <w:rsid w:val="73535171"/>
    <w:rsid w:val="73560FCF"/>
    <w:rsid w:val="738532A5"/>
    <w:rsid w:val="73CC2569"/>
    <w:rsid w:val="74367780"/>
    <w:rsid w:val="7477667A"/>
    <w:rsid w:val="74982C13"/>
    <w:rsid w:val="75E0673A"/>
    <w:rsid w:val="75EA10A1"/>
    <w:rsid w:val="75FC7346"/>
    <w:rsid w:val="760B1E0B"/>
    <w:rsid w:val="761957F0"/>
    <w:rsid w:val="761C3700"/>
    <w:rsid w:val="76DF7AF8"/>
    <w:rsid w:val="77093980"/>
    <w:rsid w:val="77186B71"/>
    <w:rsid w:val="77540DAC"/>
    <w:rsid w:val="77B85105"/>
    <w:rsid w:val="77E040BF"/>
    <w:rsid w:val="78007E23"/>
    <w:rsid w:val="782C1F43"/>
    <w:rsid w:val="782D6723"/>
    <w:rsid w:val="78425692"/>
    <w:rsid w:val="78645170"/>
    <w:rsid w:val="78703C40"/>
    <w:rsid w:val="78CF0E86"/>
    <w:rsid w:val="78E14443"/>
    <w:rsid w:val="78FB3985"/>
    <w:rsid w:val="791354B0"/>
    <w:rsid w:val="79143BE1"/>
    <w:rsid w:val="79293DC2"/>
    <w:rsid w:val="793124C3"/>
    <w:rsid w:val="793920D0"/>
    <w:rsid w:val="794463A4"/>
    <w:rsid w:val="79967E3A"/>
    <w:rsid w:val="79D10832"/>
    <w:rsid w:val="79EC76BB"/>
    <w:rsid w:val="79FD4EAF"/>
    <w:rsid w:val="7A282909"/>
    <w:rsid w:val="7A5943C4"/>
    <w:rsid w:val="7A663AE6"/>
    <w:rsid w:val="7A776CC4"/>
    <w:rsid w:val="7AA172C4"/>
    <w:rsid w:val="7AEE1AD2"/>
    <w:rsid w:val="7B350C7C"/>
    <w:rsid w:val="7B407B3F"/>
    <w:rsid w:val="7B412FE0"/>
    <w:rsid w:val="7B4D6074"/>
    <w:rsid w:val="7B9E746A"/>
    <w:rsid w:val="7BC03058"/>
    <w:rsid w:val="7BC548DA"/>
    <w:rsid w:val="7C561AEF"/>
    <w:rsid w:val="7CA15525"/>
    <w:rsid w:val="7CB50FBC"/>
    <w:rsid w:val="7CDD1DE6"/>
    <w:rsid w:val="7D1C5AEE"/>
    <w:rsid w:val="7D3E252F"/>
    <w:rsid w:val="7D6957C7"/>
    <w:rsid w:val="7D710A6D"/>
    <w:rsid w:val="7DDA6855"/>
    <w:rsid w:val="7E1020AC"/>
    <w:rsid w:val="7E293E41"/>
    <w:rsid w:val="7E7A4891"/>
    <w:rsid w:val="7EAA1B7D"/>
    <w:rsid w:val="7F73392A"/>
    <w:rsid w:val="7F9F26D5"/>
    <w:rsid w:val="7FA16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autoRedefine/>
    <w:qFormat/>
    <w:uiPriority w:val="0"/>
    <w:pPr>
      <w:keepNext/>
      <w:jc w:val="center"/>
      <w:outlineLvl w:val="0"/>
    </w:pPr>
    <w:rPr>
      <w:b/>
      <w:bCs/>
      <w:sz w:val="24"/>
      <w:szCs w:val="20"/>
    </w:rPr>
  </w:style>
  <w:style w:type="paragraph" w:styleId="2">
    <w:name w:val="heading 2"/>
    <w:basedOn w:val="1"/>
    <w:next w:val="1"/>
    <w:link w:val="68"/>
    <w:autoRedefine/>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9"/>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70"/>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1"/>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2"/>
    <w:autoRedefine/>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3"/>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4"/>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5"/>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7">
    <w:name w:val="Default Paragraph Font"/>
    <w:autoRedefine/>
    <w:semiHidden/>
    <w:unhideWhenUsed/>
    <w:qFormat/>
    <w:uiPriority w:val="1"/>
  </w:style>
  <w:style w:type="table" w:default="1" w:styleId="45">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autoRedefine/>
    <w:qFormat/>
    <w:uiPriority w:val="0"/>
    <w:pPr>
      <w:widowControl/>
      <w:ind w:firstLine="420"/>
      <w:jc w:val="left"/>
    </w:pPr>
    <w:rPr>
      <w:kern w:val="0"/>
      <w:sz w:val="20"/>
      <w:szCs w:val="20"/>
    </w:rPr>
  </w:style>
  <w:style w:type="paragraph" w:styleId="13">
    <w:name w:val="Document Map"/>
    <w:basedOn w:val="1"/>
    <w:autoRedefine/>
    <w:semiHidden/>
    <w:qFormat/>
    <w:uiPriority w:val="0"/>
    <w:pPr>
      <w:shd w:val="clear" w:color="auto" w:fill="000080"/>
    </w:pPr>
  </w:style>
  <w:style w:type="paragraph" w:styleId="14">
    <w:name w:val="annotation text"/>
    <w:basedOn w:val="1"/>
    <w:link w:val="76"/>
    <w:autoRedefine/>
    <w:semiHidden/>
    <w:qFormat/>
    <w:uiPriority w:val="0"/>
    <w:pPr>
      <w:jc w:val="left"/>
    </w:pPr>
  </w:style>
  <w:style w:type="paragraph" w:styleId="15">
    <w:name w:val="Salutation"/>
    <w:basedOn w:val="1"/>
    <w:next w:val="1"/>
    <w:autoRedefine/>
    <w:qFormat/>
    <w:uiPriority w:val="0"/>
    <w:rPr>
      <w:rFonts w:ascii="仿宋_GB2312" w:eastAsia="仿宋_GB2312"/>
      <w:sz w:val="24"/>
    </w:rPr>
  </w:style>
  <w:style w:type="paragraph" w:styleId="16">
    <w:name w:val="Body Text 3"/>
    <w:basedOn w:val="1"/>
    <w:autoRedefine/>
    <w:qFormat/>
    <w:uiPriority w:val="0"/>
    <w:pPr>
      <w:autoSpaceDE w:val="0"/>
      <w:autoSpaceDN w:val="0"/>
      <w:adjustRightInd w:val="0"/>
      <w:spacing w:line="410" w:lineRule="atLeast"/>
      <w:jc w:val="left"/>
    </w:pPr>
    <w:rPr>
      <w:rFonts w:ascii="宋体"/>
      <w:color w:val="000000"/>
      <w:kern w:val="0"/>
      <w:sz w:val="24"/>
      <w:szCs w:val="20"/>
    </w:rPr>
  </w:style>
  <w:style w:type="paragraph" w:styleId="17">
    <w:name w:val="Body Text"/>
    <w:basedOn w:val="1"/>
    <w:next w:val="1"/>
    <w:autoRedefine/>
    <w:qFormat/>
    <w:uiPriority w:val="0"/>
    <w:pPr>
      <w:spacing w:after="120"/>
    </w:pPr>
  </w:style>
  <w:style w:type="paragraph" w:styleId="18">
    <w:name w:val="Body Text Indent"/>
    <w:basedOn w:val="1"/>
    <w:next w:val="19"/>
    <w:link w:val="77"/>
    <w:autoRedefine/>
    <w:qFormat/>
    <w:uiPriority w:val="0"/>
    <w:pPr>
      <w:spacing w:after="120"/>
      <w:ind w:left="420" w:leftChars="200"/>
    </w:pPr>
  </w:style>
  <w:style w:type="paragraph" w:styleId="19">
    <w:name w:val="annotation subject"/>
    <w:basedOn w:val="14"/>
    <w:next w:val="1"/>
    <w:link w:val="78"/>
    <w:autoRedefine/>
    <w:qFormat/>
    <w:uiPriority w:val="0"/>
    <w:rPr>
      <w:b/>
      <w:bCs/>
    </w:rPr>
  </w:style>
  <w:style w:type="paragraph" w:styleId="20">
    <w:name w:val="Block Text"/>
    <w:basedOn w:val="1"/>
    <w:next w:val="1"/>
    <w:autoRedefine/>
    <w:qFormat/>
    <w:uiPriority w:val="0"/>
    <w:pPr>
      <w:ind w:left="1171" w:right="91" w:hanging="1080"/>
    </w:pPr>
    <w:rPr>
      <w:rFonts w:eastAsia="楷体_GB2312"/>
      <w:szCs w:val="20"/>
    </w:rPr>
  </w:style>
  <w:style w:type="paragraph" w:styleId="21">
    <w:name w:val="index 4"/>
    <w:basedOn w:val="1"/>
    <w:next w:val="1"/>
    <w:autoRedefine/>
    <w:unhideWhenUsed/>
    <w:qFormat/>
    <w:uiPriority w:val="99"/>
    <w:pPr>
      <w:ind w:left="600" w:leftChars="600"/>
    </w:pPr>
  </w:style>
  <w:style w:type="paragraph" w:styleId="22">
    <w:name w:val="toc 5"/>
    <w:basedOn w:val="1"/>
    <w:next w:val="1"/>
    <w:autoRedefine/>
    <w:qFormat/>
    <w:uiPriority w:val="0"/>
    <w:pPr>
      <w:ind w:left="1680" w:leftChars="800"/>
    </w:pPr>
    <w:rPr>
      <w:rFonts w:ascii="Calibri" w:hAnsi="Calibri"/>
      <w:szCs w:val="22"/>
    </w:rPr>
  </w:style>
  <w:style w:type="paragraph" w:styleId="23">
    <w:name w:val="toc 3"/>
    <w:basedOn w:val="1"/>
    <w:next w:val="1"/>
    <w:autoRedefine/>
    <w:qFormat/>
    <w:uiPriority w:val="0"/>
    <w:pPr>
      <w:ind w:left="840" w:leftChars="400"/>
    </w:pPr>
  </w:style>
  <w:style w:type="paragraph" w:styleId="24">
    <w:name w:val="Plain Text"/>
    <w:basedOn w:val="1"/>
    <w:link w:val="79"/>
    <w:autoRedefine/>
    <w:qFormat/>
    <w:uiPriority w:val="0"/>
    <w:rPr>
      <w:rFonts w:ascii="宋体" w:hAnsi="Courier New" w:cs="Courier New"/>
      <w:szCs w:val="21"/>
    </w:rPr>
  </w:style>
  <w:style w:type="paragraph" w:styleId="25">
    <w:name w:val="toc 8"/>
    <w:basedOn w:val="1"/>
    <w:next w:val="1"/>
    <w:autoRedefine/>
    <w:qFormat/>
    <w:uiPriority w:val="0"/>
    <w:pPr>
      <w:ind w:left="2940" w:leftChars="1400"/>
    </w:pPr>
    <w:rPr>
      <w:rFonts w:ascii="Calibri" w:hAnsi="Calibri"/>
      <w:szCs w:val="22"/>
    </w:rPr>
  </w:style>
  <w:style w:type="paragraph" w:styleId="26">
    <w:name w:val="Date"/>
    <w:basedOn w:val="1"/>
    <w:next w:val="1"/>
    <w:link w:val="80"/>
    <w:autoRedefine/>
    <w:qFormat/>
    <w:uiPriority w:val="0"/>
    <w:rPr>
      <w:sz w:val="24"/>
      <w:szCs w:val="20"/>
    </w:rPr>
  </w:style>
  <w:style w:type="paragraph" w:styleId="27">
    <w:name w:val="Body Text Indent 2"/>
    <w:basedOn w:val="1"/>
    <w:autoRedefine/>
    <w:qFormat/>
    <w:uiPriority w:val="0"/>
    <w:pPr>
      <w:spacing w:after="120" w:line="480" w:lineRule="auto"/>
      <w:ind w:left="420" w:leftChars="200"/>
    </w:pPr>
  </w:style>
  <w:style w:type="paragraph" w:styleId="28">
    <w:name w:val="Balloon Text"/>
    <w:basedOn w:val="1"/>
    <w:link w:val="81"/>
    <w:autoRedefine/>
    <w:qFormat/>
    <w:uiPriority w:val="0"/>
    <w:rPr>
      <w:rFonts w:ascii="Calibri" w:hAnsi="Calibri"/>
      <w:sz w:val="18"/>
      <w:szCs w:val="18"/>
    </w:rPr>
  </w:style>
  <w:style w:type="paragraph" w:styleId="29">
    <w:name w:val="footer"/>
    <w:basedOn w:val="1"/>
    <w:link w:val="82"/>
    <w:autoRedefine/>
    <w:qFormat/>
    <w:uiPriority w:val="99"/>
    <w:pPr>
      <w:tabs>
        <w:tab w:val="center" w:pos="4153"/>
        <w:tab w:val="right" w:pos="8306"/>
      </w:tabs>
      <w:snapToGrid w:val="0"/>
      <w:jc w:val="left"/>
    </w:pPr>
    <w:rPr>
      <w:sz w:val="18"/>
      <w:szCs w:val="18"/>
    </w:rPr>
  </w:style>
  <w:style w:type="paragraph" w:styleId="30">
    <w:name w:val="header"/>
    <w:basedOn w:val="1"/>
    <w:link w:val="83"/>
    <w:autoRedefine/>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autoRedefine/>
    <w:qFormat/>
    <w:uiPriority w:val="39"/>
  </w:style>
  <w:style w:type="paragraph" w:styleId="32">
    <w:name w:val="toc 4"/>
    <w:basedOn w:val="1"/>
    <w:next w:val="1"/>
    <w:autoRedefine/>
    <w:qFormat/>
    <w:uiPriority w:val="0"/>
    <w:pPr>
      <w:ind w:left="1260" w:leftChars="600"/>
    </w:pPr>
  </w:style>
  <w:style w:type="paragraph" w:styleId="33">
    <w:name w:val="footnote text"/>
    <w:basedOn w:val="1"/>
    <w:link w:val="260"/>
    <w:autoRedefine/>
    <w:qFormat/>
    <w:uiPriority w:val="0"/>
    <w:pPr>
      <w:snapToGrid w:val="0"/>
      <w:jc w:val="left"/>
    </w:pPr>
    <w:rPr>
      <w:rFonts w:ascii="Arial" w:hAnsi="Arial"/>
      <w:spacing w:val="80"/>
      <w:sz w:val="40"/>
      <w:szCs w:val="20"/>
      <w:lang w:eastAsia="en-US"/>
    </w:rPr>
  </w:style>
  <w:style w:type="paragraph" w:styleId="34">
    <w:name w:val="toc 6"/>
    <w:basedOn w:val="1"/>
    <w:next w:val="1"/>
    <w:autoRedefine/>
    <w:qFormat/>
    <w:uiPriority w:val="0"/>
    <w:pPr>
      <w:ind w:left="2100" w:leftChars="1000"/>
    </w:pPr>
    <w:rPr>
      <w:rFonts w:ascii="Calibri" w:hAnsi="Calibri"/>
      <w:szCs w:val="22"/>
    </w:rPr>
  </w:style>
  <w:style w:type="paragraph" w:styleId="35">
    <w:name w:val="Body Text Indent 3"/>
    <w:basedOn w:val="1"/>
    <w:link w:val="84"/>
    <w:autoRedefine/>
    <w:qFormat/>
    <w:uiPriority w:val="0"/>
    <w:pPr>
      <w:spacing w:after="120"/>
      <w:ind w:left="420" w:leftChars="200"/>
    </w:pPr>
    <w:rPr>
      <w:sz w:val="16"/>
      <w:szCs w:val="16"/>
    </w:rPr>
  </w:style>
  <w:style w:type="paragraph" w:styleId="36">
    <w:name w:val="toc 2"/>
    <w:basedOn w:val="1"/>
    <w:next w:val="1"/>
    <w:autoRedefine/>
    <w:qFormat/>
    <w:uiPriority w:val="0"/>
    <w:pPr>
      <w:ind w:left="420" w:leftChars="200"/>
    </w:pPr>
  </w:style>
  <w:style w:type="paragraph" w:styleId="37">
    <w:name w:val="toc 9"/>
    <w:basedOn w:val="1"/>
    <w:next w:val="1"/>
    <w:autoRedefine/>
    <w:qFormat/>
    <w:uiPriority w:val="0"/>
    <w:pPr>
      <w:ind w:left="3360" w:leftChars="1600"/>
    </w:pPr>
    <w:rPr>
      <w:rFonts w:ascii="Calibri" w:hAnsi="Calibri"/>
      <w:szCs w:val="22"/>
    </w:rPr>
  </w:style>
  <w:style w:type="paragraph" w:styleId="38">
    <w:name w:val="Body Text 2"/>
    <w:basedOn w:val="1"/>
    <w:autoRedefine/>
    <w:qFormat/>
    <w:uiPriority w:val="0"/>
    <w:pPr>
      <w:spacing w:after="120" w:line="480" w:lineRule="auto"/>
    </w:pPr>
  </w:style>
  <w:style w:type="paragraph" w:styleId="39">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0">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autoRedefine/>
    <w:qFormat/>
    <w:uiPriority w:val="0"/>
    <w:pPr>
      <w:spacing w:line="220" w:lineRule="exact"/>
      <w:jc w:val="center"/>
    </w:pPr>
    <w:rPr>
      <w:rFonts w:ascii="仿宋_GB2312" w:eastAsia="仿宋_GB2312"/>
      <w:szCs w:val="20"/>
    </w:rPr>
  </w:style>
  <w:style w:type="paragraph" w:styleId="42">
    <w:name w:val="Title"/>
    <w:basedOn w:val="1"/>
    <w:next w:val="1"/>
    <w:autoRedefine/>
    <w:qFormat/>
    <w:uiPriority w:val="0"/>
    <w:pPr>
      <w:spacing w:before="240" w:after="60"/>
      <w:jc w:val="center"/>
      <w:outlineLvl w:val="0"/>
    </w:pPr>
    <w:rPr>
      <w:rFonts w:ascii="Cambria" w:hAnsi="Cambria"/>
      <w:b/>
      <w:sz w:val="32"/>
    </w:rPr>
  </w:style>
  <w:style w:type="paragraph" w:styleId="43">
    <w:name w:val="Body Text First Indent"/>
    <w:basedOn w:val="17"/>
    <w:autoRedefine/>
    <w:qFormat/>
    <w:uiPriority w:val="0"/>
    <w:pPr>
      <w:spacing w:line="360" w:lineRule="auto"/>
      <w:ind w:firstLine="309" w:firstLineChars="100"/>
      <w:outlineLvl w:val="0"/>
    </w:pPr>
    <w:rPr>
      <w:bCs/>
      <w:color w:val="000000"/>
      <w:kern w:val="28"/>
      <w:szCs w:val="21"/>
    </w:rPr>
  </w:style>
  <w:style w:type="paragraph" w:styleId="44">
    <w:name w:val="Body Text First Indent 2"/>
    <w:basedOn w:val="18"/>
    <w:next w:val="12"/>
    <w:autoRedefine/>
    <w:unhideWhenUsed/>
    <w:qFormat/>
    <w:uiPriority w:val="0"/>
    <w:pPr>
      <w:autoSpaceDE w:val="0"/>
      <w:autoSpaceDN w:val="0"/>
      <w:adjustRightInd w:val="0"/>
      <w:jc w:val="left"/>
    </w:pPr>
    <w:rPr>
      <w:kern w:val="0"/>
    </w:rPr>
  </w:style>
  <w:style w:type="table" w:styleId="46">
    <w:name w:val="Table Grid"/>
    <w:basedOn w:val="4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autoRedefine/>
    <w:qFormat/>
    <w:uiPriority w:val="0"/>
    <w:rPr>
      <w:b/>
      <w:bCs/>
    </w:rPr>
  </w:style>
  <w:style w:type="character" w:styleId="49">
    <w:name w:val="page number"/>
    <w:basedOn w:val="47"/>
    <w:autoRedefine/>
    <w:qFormat/>
    <w:uiPriority w:val="0"/>
  </w:style>
  <w:style w:type="character" w:styleId="50">
    <w:name w:val="FollowedHyperlink"/>
    <w:autoRedefine/>
    <w:qFormat/>
    <w:uiPriority w:val="0"/>
    <w:rPr>
      <w:color w:val="800080"/>
      <w:u w:val="single"/>
    </w:rPr>
  </w:style>
  <w:style w:type="character" w:styleId="51">
    <w:name w:val="Emphasis"/>
    <w:autoRedefine/>
    <w:qFormat/>
    <w:uiPriority w:val="0"/>
    <w:rPr>
      <w:rFonts w:ascii="Times New Roman" w:hAnsi="Times New Roman" w:eastAsia="宋体"/>
    </w:rPr>
  </w:style>
  <w:style w:type="character" w:styleId="52">
    <w:name w:val="HTML Definition"/>
    <w:autoRedefine/>
    <w:qFormat/>
    <w:uiPriority w:val="0"/>
    <w:rPr>
      <w:rFonts w:ascii="Times New Roman" w:hAnsi="Times New Roman" w:eastAsia="宋体"/>
    </w:rPr>
  </w:style>
  <w:style w:type="character" w:styleId="53">
    <w:name w:val="HTML Variable"/>
    <w:autoRedefine/>
    <w:qFormat/>
    <w:uiPriority w:val="0"/>
    <w:rPr>
      <w:rFonts w:ascii="Times New Roman" w:hAnsi="Times New Roman" w:eastAsia="宋体"/>
    </w:rPr>
  </w:style>
  <w:style w:type="character" w:styleId="54">
    <w:name w:val="Hyperlink"/>
    <w:autoRedefine/>
    <w:qFormat/>
    <w:uiPriority w:val="99"/>
    <w:rPr>
      <w:color w:val="136EC2"/>
      <w:u w:val="single"/>
    </w:rPr>
  </w:style>
  <w:style w:type="character" w:styleId="55">
    <w:name w:val="HTML Code"/>
    <w:autoRedefine/>
    <w:qFormat/>
    <w:uiPriority w:val="0"/>
    <w:rPr>
      <w:rFonts w:ascii="Courier New" w:hAnsi="Courier New" w:eastAsia="Courier New" w:cs="Courier New"/>
      <w:sz w:val="20"/>
    </w:rPr>
  </w:style>
  <w:style w:type="character" w:styleId="56">
    <w:name w:val="annotation reference"/>
    <w:autoRedefine/>
    <w:qFormat/>
    <w:uiPriority w:val="0"/>
    <w:rPr>
      <w:sz w:val="21"/>
      <w:szCs w:val="21"/>
    </w:rPr>
  </w:style>
  <w:style w:type="character" w:styleId="57">
    <w:name w:val="HTML Cite"/>
    <w:autoRedefine/>
    <w:qFormat/>
    <w:uiPriority w:val="0"/>
    <w:rPr>
      <w:rFonts w:ascii="Times New Roman" w:hAnsi="Times New Roman" w:eastAsia="宋体"/>
    </w:rPr>
  </w:style>
  <w:style w:type="character" w:styleId="58">
    <w:name w:val="HTML Keyboard"/>
    <w:autoRedefine/>
    <w:qFormat/>
    <w:uiPriority w:val="0"/>
    <w:rPr>
      <w:rFonts w:ascii="Courier New" w:hAnsi="Courier New" w:eastAsia="Courier New" w:cs="Courier New"/>
      <w:sz w:val="20"/>
    </w:rPr>
  </w:style>
  <w:style w:type="character" w:styleId="59">
    <w:name w:val="HTML Sample"/>
    <w:autoRedefine/>
    <w:qFormat/>
    <w:uiPriority w:val="0"/>
    <w:rPr>
      <w:rFonts w:ascii="Courier New" w:hAnsi="Courier New" w:eastAsia="Courier New" w:cs="Courier New"/>
    </w:rPr>
  </w:style>
  <w:style w:type="paragraph" w:customStyle="1" w:styleId="60">
    <w:name w:val="首行缩进"/>
    <w:basedOn w:val="1"/>
    <w:next w:val="32"/>
    <w:autoRedefine/>
    <w:qFormat/>
    <w:uiPriority w:val="0"/>
    <w:pPr>
      <w:ind w:firstLine="480" w:firstLineChars="200"/>
    </w:pPr>
    <w:rPr>
      <w:kern w:val="0"/>
      <w:szCs w:val="20"/>
      <w:lang w:val="zh-CN"/>
    </w:rPr>
  </w:style>
  <w:style w:type="paragraph" w:customStyle="1" w:styleId="61">
    <w:name w:val="Default"/>
    <w:next w:val="62"/>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62">
    <w:name w:val="目录 81"/>
    <w:basedOn w:val="1"/>
    <w:next w:val="1"/>
    <w:autoRedefine/>
    <w:qFormat/>
    <w:uiPriority w:val="0"/>
    <w:pPr>
      <w:ind w:left="2940"/>
    </w:pPr>
    <w:rPr>
      <w:rFonts w:ascii="Calibri"/>
    </w:rPr>
  </w:style>
  <w:style w:type="paragraph" w:customStyle="1" w:styleId="63">
    <w:name w:val="Body Text Indent 21"/>
    <w:basedOn w:val="1"/>
    <w:next w:val="30"/>
    <w:autoRedefine/>
    <w:qFormat/>
    <w:uiPriority w:val="0"/>
    <w:pPr>
      <w:widowControl/>
      <w:overflowPunct w:val="0"/>
      <w:autoSpaceDE w:val="0"/>
      <w:autoSpaceDN w:val="0"/>
      <w:adjustRightInd w:val="0"/>
      <w:spacing w:line="360" w:lineRule="auto"/>
      <w:ind w:firstLine="555"/>
      <w:textAlignment w:val="baseline"/>
    </w:pPr>
    <w:rPr>
      <w:rFonts w:ascii="宋体"/>
      <w:spacing w:val="12"/>
      <w:kern w:val="0"/>
      <w:sz w:val="24"/>
    </w:rPr>
  </w:style>
  <w:style w:type="paragraph" w:customStyle="1" w:styleId="64">
    <w:name w:val="列出段落1"/>
    <w:basedOn w:val="65"/>
    <w:autoRedefine/>
    <w:qFormat/>
    <w:uiPriority w:val="34"/>
    <w:pPr>
      <w:ind w:firstLine="420" w:firstLineChars="200"/>
    </w:pPr>
    <w:rPr>
      <w:rFonts w:ascii="Calibri" w:hAnsi="Calibri"/>
    </w:rPr>
  </w:style>
  <w:style w:type="paragraph" w:customStyle="1" w:styleId="65">
    <w:name w:val="正文_10_4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正文格式"/>
    <w:basedOn w:val="17"/>
    <w:next w:val="17"/>
    <w:autoRedefine/>
    <w:qFormat/>
    <w:uiPriority w:val="0"/>
    <w:pPr>
      <w:widowControl/>
      <w:adjustRightInd w:val="0"/>
      <w:snapToGrid w:val="0"/>
      <w:spacing w:line="400" w:lineRule="atLeast"/>
      <w:ind w:firstLine="482"/>
      <w:textAlignment w:val="baseline"/>
    </w:pPr>
    <w:rPr>
      <w:kern w:val="0"/>
      <w:sz w:val="24"/>
    </w:rPr>
  </w:style>
  <w:style w:type="character" w:customStyle="1" w:styleId="67">
    <w:name w:val="标题 1 Char1"/>
    <w:link w:val="3"/>
    <w:autoRedefine/>
    <w:qFormat/>
    <w:uiPriority w:val="0"/>
    <w:rPr>
      <w:rFonts w:eastAsia="宋体"/>
      <w:b/>
      <w:bCs/>
      <w:kern w:val="2"/>
      <w:sz w:val="24"/>
      <w:lang w:val="en-US" w:eastAsia="zh-CN" w:bidi="ar-SA"/>
    </w:rPr>
  </w:style>
  <w:style w:type="character" w:customStyle="1" w:styleId="68">
    <w:name w:val="标题 2 Char1"/>
    <w:link w:val="2"/>
    <w:autoRedefine/>
    <w:qFormat/>
    <w:uiPriority w:val="0"/>
    <w:rPr>
      <w:rFonts w:ascii="Arial" w:hAnsi="Arial" w:eastAsia="宋体"/>
      <w:b/>
      <w:bCs/>
      <w:kern w:val="2"/>
      <w:sz w:val="24"/>
      <w:szCs w:val="32"/>
      <w:lang w:val="en-US" w:eastAsia="zh-CN" w:bidi="ar-SA"/>
    </w:rPr>
  </w:style>
  <w:style w:type="character" w:customStyle="1" w:styleId="69">
    <w:name w:val="标题 3 Char1"/>
    <w:link w:val="4"/>
    <w:autoRedefine/>
    <w:qFormat/>
    <w:uiPriority w:val="0"/>
    <w:rPr>
      <w:rFonts w:eastAsia="宋体"/>
      <w:b/>
      <w:bCs/>
      <w:kern w:val="2"/>
      <w:sz w:val="32"/>
      <w:szCs w:val="32"/>
      <w:lang w:val="en-US" w:eastAsia="zh-CN" w:bidi="ar-SA"/>
    </w:rPr>
  </w:style>
  <w:style w:type="character" w:customStyle="1" w:styleId="70">
    <w:name w:val="标题 4 Char1"/>
    <w:link w:val="5"/>
    <w:autoRedefine/>
    <w:qFormat/>
    <w:uiPriority w:val="0"/>
    <w:rPr>
      <w:rFonts w:ascii="Arial" w:hAnsi="Arial" w:eastAsia="黑体"/>
      <w:b/>
      <w:bCs/>
      <w:kern w:val="2"/>
      <w:sz w:val="28"/>
      <w:szCs w:val="28"/>
      <w:lang w:val="en-US" w:eastAsia="zh-CN" w:bidi="ar-SA"/>
    </w:rPr>
  </w:style>
  <w:style w:type="character" w:customStyle="1" w:styleId="71">
    <w:name w:val="标题 5 Char1"/>
    <w:link w:val="6"/>
    <w:autoRedefine/>
    <w:qFormat/>
    <w:uiPriority w:val="0"/>
    <w:rPr>
      <w:rFonts w:eastAsia="宋体"/>
      <w:b/>
      <w:bCs/>
      <w:sz w:val="28"/>
      <w:szCs w:val="28"/>
      <w:lang w:val="en-US" w:eastAsia="zh-CN" w:bidi="ar-SA"/>
    </w:rPr>
  </w:style>
  <w:style w:type="character" w:customStyle="1" w:styleId="72">
    <w:name w:val="标题 6 Char1"/>
    <w:link w:val="7"/>
    <w:autoRedefine/>
    <w:qFormat/>
    <w:uiPriority w:val="0"/>
    <w:rPr>
      <w:rFonts w:ascii="Arial" w:hAnsi="Arial" w:eastAsia="黑体"/>
      <w:b/>
      <w:bCs/>
      <w:sz w:val="24"/>
      <w:szCs w:val="24"/>
      <w:lang w:val="en-US" w:eastAsia="zh-CN" w:bidi="ar-SA"/>
    </w:rPr>
  </w:style>
  <w:style w:type="character" w:customStyle="1" w:styleId="73">
    <w:name w:val="标题 7 Char1"/>
    <w:link w:val="8"/>
    <w:autoRedefine/>
    <w:qFormat/>
    <w:uiPriority w:val="0"/>
    <w:rPr>
      <w:rFonts w:eastAsia="宋体"/>
      <w:b/>
      <w:bCs/>
      <w:sz w:val="24"/>
      <w:szCs w:val="24"/>
      <w:lang w:val="en-US" w:eastAsia="zh-CN" w:bidi="ar-SA"/>
    </w:rPr>
  </w:style>
  <w:style w:type="character" w:customStyle="1" w:styleId="74">
    <w:name w:val="标题 8 Char1"/>
    <w:link w:val="9"/>
    <w:autoRedefine/>
    <w:qFormat/>
    <w:uiPriority w:val="0"/>
    <w:rPr>
      <w:rFonts w:ascii="Arial" w:hAnsi="Arial" w:eastAsia="黑体"/>
      <w:sz w:val="24"/>
      <w:szCs w:val="24"/>
      <w:lang w:val="en-US" w:eastAsia="zh-CN" w:bidi="ar-SA"/>
    </w:rPr>
  </w:style>
  <w:style w:type="character" w:customStyle="1" w:styleId="75">
    <w:name w:val="标题 9 Char1"/>
    <w:link w:val="10"/>
    <w:autoRedefine/>
    <w:qFormat/>
    <w:uiPriority w:val="0"/>
    <w:rPr>
      <w:rFonts w:ascii="Arial" w:hAnsi="Arial" w:eastAsia="黑体"/>
      <w:sz w:val="21"/>
      <w:szCs w:val="21"/>
      <w:lang w:val="en-US" w:eastAsia="zh-CN" w:bidi="ar-SA"/>
    </w:rPr>
  </w:style>
  <w:style w:type="character" w:customStyle="1" w:styleId="76">
    <w:name w:val="批注文字 Char1"/>
    <w:link w:val="14"/>
    <w:autoRedefine/>
    <w:qFormat/>
    <w:uiPriority w:val="0"/>
    <w:rPr>
      <w:rFonts w:eastAsia="宋体"/>
      <w:kern w:val="2"/>
      <w:sz w:val="21"/>
      <w:szCs w:val="24"/>
      <w:lang w:val="en-US" w:eastAsia="zh-CN" w:bidi="ar-SA"/>
    </w:rPr>
  </w:style>
  <w:style w:type="character" w:customStyle="1" w:styleId="77">
    <w:name w:val="正文文本缩进 Char"/>
    <w:link w:val="18"/>
    <w:autoRedefine/>
    <w:qFormat/>
    <w:uiPriority w:val="0"/>
    <w:rPr>
      <w:rFonts w:eastAsia="宋体"/>
      <w:kern w:val="2"/>
      <w:sz w:val="21"/>
      <w:szCs w:val="24"/>
      <w:lang w:val="en-US" w:eastAsia="zh-CN" w:bidi="ar-SA"/>
    </w:rPr>
  </w:style>
  <w:style w:type="character" w:customStyle="1" w:styleId="78">
    <w:name w:val="批注主题 Char1"/>
    <w:link w:val="19"/>
    <w:autoRedefine/>
    <w:qFormat/>
    <w:uiPriority w:val="0"/>
    <w:rPr>
      <w:rFonts w:eastAsia="宋体"/>
      <w:b/>
      <w:bCs/>
      <w:kern w:val="2"/>
      <w:sz w:val="21"/>
      <w:szCs w:val="24"/>
      <w:lang w:val="en-US" w:eastAsia="zh-CN" w:bidi="ar-SA"/>
    </w:rPr>
  </w:style>
  <w:style w:type="character" w:customStyle="1" w:styleId="79">
    <w:name w:val="纯文本 Char"/>
    <w:link w:val="24"/>
    <w:autoRedefine/>
    <w:qFormat/>
    <w:locked/>
    <w:uiPriority w:val="0"/>
    <w:rPr>
      <w:rFonts w:ascii="宋体" w:hAnsi="Courier New" w:eastAsia="宋体" w:cs="Courier New"/>
      <w:kern w:val="2"/>
      <w:sz w:val="21"/>
      <w:szCs w:val="21"/>
      <w:lang w:val="en-US" w:eastAsia="zh-CN" w:bidi="ar-SA"/>
    </w:rPr>
  </w:style>
  <w:style w:type="character" w:customStyle="1" w:styleId="80">
    <w:name w:val="日期 Char1"/>
    <w:link w:val="26"/>
    <w:autoRedefine/>
    <w:qFormat/>
    <w:uiPriority w:val="0"/>
    <w:rPr>
      <w:rFonts w:eastAsia="宋体"/>
      <w:kern w:val="2"/>
      <w:sz w:val="24"/>
      <w:lang w:val="en-US" w:eastAsia="zh-CN" w:bidi="ar-SA"/>
    </w:rPr>
  </w:style>
  <w:style w:type="character" w:customStyle="1" w:styleId="81">
    <w:name w:val="批注框文本 Char1"/>
    <w:link w:val="28"/>
    <w:autoRedefine/>
    <w:semiHidden/>
    <w:qFormat/>
    <w:locked/>
    <w:uiPriority w:val="0"/>
    <w:rPr>
      <w:rFonts w:ascii="Calibri" w:hAnsi="Calibri" w:eastAsia="宋体"/>
      <w:kern w:val="2"/>
      <w:sz w:val="18"/>
      <w:szCs w:val="18"/>
      <w:lang w:val="en-US" w:eastAsia="zh-CN" w:bidi="ar-SA"/>
    </w:rPr>
  </w:style>
  <w:style w:type="character" w:customStyle="1" w:styleId="82">
    <w:name w:val="页脚 Char1"/>
    <w:link w:val="29"/>
    <w:autoRedefine/>
    <w:qFormat/>
    <w:uiPriority w:val="0"/>
    <w:rPr>
      <w:rFonts w:eastAsia="宋体"/>
      <w:kern w:val="2"/>
      <w:sz w:val="18"/>
      <w:szCs w:val="18"/>
      <w:lang w:val="en-US" w:eastAsia="zh-CN" w:bidi="ar-SA"/>
    </w:rPr>
  </w:style>
  <w:style w:type="character" w:customStyle="1" w:styleId="83">
    <w:name w:val="页眉 Char1"/>
    <w:link w:val="30"/>
    <w:autoRedefine/>
    <w:qFormat/>
    <w:uiPriority w:val="0"/>
    <w:rPr>
      <w:rFonts w:ascii="Times New Roman" w:hAnsi="Times New Roman" w:eastAsia="宋体"/>
      <w:kern w:val="2"/>
      <w:sz w:val="18"/>
      <w:szCs w:val="18"/>
      <w:lang w:val="en-US" w:eastAsia="zh-CN" w:bidi="ar-SA"/>
    </w:rPr>
  </w:style>
  <w:style w:type="character" w:customStyle="1" w:styleId="84">
    <w:name w:val="正文文本缩进 3 Char1"/>
    <w:link w:val="35"/>
    <w:autoRedefine/>
    <w:qFormat/>
    <w:uiPriority w:val="0"/>
    <w:rPr>
      <w:rFonts w:eastAsia="宋体"/>
      <w:kern w:val="2"/>
      <w:sz w:val="16"/>
      <w:szCs w:val="16"/>
      <w:lang w:val="en-US" w:eastAsia="zh-CN" w:bidi="ar-SA"/>
    </w:rPr>
  </w:style>
  <w:style w:type="character" w:customStyle="1" w:styleId="85">
    <w:name w:val="Font Style104"/>
    <w:autoRedefine/>
    <w:unhideWhenUsed/>
    <w:qFormat/>
    <w:uiPriority w:val="0"/>
    <w:rPr>
      <w:rFonts w:hint="eastAsia" w:ascii="宋体" w:hAnsi="宋体" w:eastAsia="宋体"/>
      <w:spacing w:val="30"/>
      <w:sz w:val="18"/>
    </w:rPr>
  </w:style>
  <w:style w:type="character" w:customStyle="1" w:styleId="86">
    <w:name w:val="标题 1 Char"/>
    <w:autoRedefine/>
    <w:qFormat/>
    <w:uiPriority w:val="0"/>
    <w:rPr>
      <w:rFonts w:ascii="Cambria" w:hAnsi="Cambria"/>
      <w:b/>
      <w:bCs/>
      <w:kern w:val="32"/>
      <w:sz w:val="32"/>
      <w:szCs w:val="32"/>
    </w:rPr>
  </w:style>
  <w:style w:type="character" w:customStyle="1" w:styleId="87">
    <w:name w:val="polysemyexp"/>
    <w:autoRedefine/>
    <w:qFormat/>
    <w:uiPriority w:val="0"/>
    <w:rPr>
      <w:rFonts w:ascii="Times New Roman" w:hAnsi="Times New Roman" w:eastAsia="宋体"/>
      <w:color w:val="AAAAAA"/>
      <w:sz w:val="18"/>
      <w:szCs w:val="18"/>
    </w:rPr>
  </w:style>
  <w:style w:type="character" w:customStyle="1" w:styleId="88">
    <w:name w:val="批注主题 Char"/>
    <w:autoRedefine/>
    <w:qFormat/>
    <w:uiPriority w:val="0"/>
    <w:rPr>
      <w:b/>
      <w:bCs/>
      <w:kern w:val="2"/>
      <w:sz w:val="21"/>
      <w:szCs w:val="24"/>
    </w:rPr>
  </w:style>
  <w:style w:type="character" w:customStyle="1" w:styleId="89">
    <w:name w:val="bds_more6"/>
    <w:autoRedefine/>
    <w:qFormat/>
    <w:uiPriority w:val="0"/>
    <w:rPr>
      <w:rFonts w:hint="eastAsia" w:ascii="宋体" w:hAnsi="宋体" w:eastAsia="宋体" w:cs="宋体"/>
    </w:rPr>
  </w:style>
  <w:style w:type="character" w:customStyle="1" w:styleId="90">
    <w:name w:val="sidecatalog-dot"/>
    <w:autoRedefine/>
    <w:qFormat/>
    <w:uiPriority w:val="0"/>
    <w:rPr>
      <w:rFonts w:ascii="Times New Roman" w:hAnsi="Times New Roman" w:eastAsia="宋体"/>
    </w:rPr>
  </w:style>
  <w:style w:type="character" w:customStyle="1" w:styleId="91">
    <w:name w:val="p0 Char"/>
    <w:link w:val="92"/>
    <w:autoRedefine/>
    <w:qFormat/>
    <w:uiPriority w:val="0"/>
    <w:rPr>
      <w:rFonts w:eastAsia="宋体"/>
      <w:sz w:val="21"/>
      <w:szCs w:val="21"/>
      <w:lang w:val="en-US" w:eastAsia="zh-CN" w:bidi="ar-SA"/>
    </w:rPr>
  </w:style>
  <w:style w:type="paragraph" w:customStyle="1" w:styleId="92">
    <w:name w:val="p0"/>
    <w:basedOn w:val="1"/>
    <w:link w:val="91"/>
    <w:autoRedefine/>
    <w:qFormat/>
    <w:uiPriority w:val="0"/>
    <w:pPr>
      <w:widowControl/>
    </w:pPr>
    <w:rPr>
      <w:kern w:val="0"/>
      <w:szCs w:val="21"/>
    </w:rPr>
  </w:style>
  <w:style w:type="character" w:customStyle="1" w:styleId="93">
    <w:name w:val="Font Style117"/>
    <w:autoRedefine/>
    <w:unhideWhenUsed/>
    <w:qFormat/>
    <w:uiPriority w:val="0"/>
    <w:rPr>
      <w:rFonts w:hint="eastAsia" w:ascii="宋体" w:hAnsi="宋体" w:eastAsia="宋体"/>
      <w:spacing w:val="20"/>
      <w:sz w:val="24"/>
    </w:rPr>
  </w:style>
  <w:style w:type="character" w:customStyle="1" w:styleId="94">
    <w:name w:val="NormalCharacter"/>
    <w:autoRedefine/>
    <w:semiHidden/>
    <w:qFormat/>
    <w:uiPriority w:val="0"/>
    <w:rPr>
      <w:kern w:val="2"/>
      <w:sz w:val="21"/>
      <w:szCs w:val="24"/>
      <w:lang w:val="en-US" w:eastAsia="zh-CN" w:bidi="ar-SA"/>
    </w:rPr>
  </w:style>
  <w:style w:type="character" w:customStyle="1" w:styleId="95">
    <w:name w:val="批注文字 Char"/>
    <w:autoRedefine/>
    <w:qFormat/>
    <w:uiPriority w:val="0"/>
    <w:rPr>
      <w:kern w:val="2"/>
      <w:sz w:val="21"/>
      <w:szCs w:val="24"/>
    </w:rPr>
  </w:style>
  <w:style w:type="character" w:customStyle="1" w:styleId="96">
    <w:name w:val="Font Style115"/>
    <w:autoRedefine/>
    <w:unhideWhenUsed/>
    <w:qFormat/>
    <w:uiPriority w:val="0"/>
    <w:rPr>
      <w:rFonts w:hint="eastAsia" w:ascii="Times New Roman" w:hAnsi="Times New Roman" w:eastAsia="Times New Roman"/>
      <w:sz w:val="16"/>
    </w:rPr>
  </w:style>
  <w:style w:type="character" w:customStyle="1" w:styleId="97">
    <w:name w:val="bds_more7"/>
    <w:autoRedefine/>
    <w:qFormat/>
    <w:uiPriority w:val="0"/>
    <w:rPr>
      <w:rFonts w:ascii="Times New Roman" w:hAnsi="Times New Roman" w:eastAsia="宋体"/>
    </w:rPr>
  </w:style>
  <w:style w:type="character" w:customStyle="1" w:styleId="98">
    <w:name w:val="Font Style122"/>
    <w:autoRedefine/>
    <w:unhideWhenUsed/>
    <w:qFormat/>
    <w:uiPriority w:val="0"/>
    <w:rPr>
      <w:rFonts w:hint="eastAsia" w:ascii="宋体" w:hAnsi="宋体" w:eastAsia="宋体"/>
      <w:spacing w:val="20"/>
      <w:sz w:val="24"/>
    </w:rPr>
  </w:style>
  <w:style w:type="character" w:customStyle="1" w:styleId="99">
    <w:name w:val="content_1"/>
    <w:autoRedefine/>
    <w:qFormat/>
    <w:uiPriority w:val="0"/>
    <w:rPr>
      <w:sz w:val="19"/>
      <w:szCs w:val="19"/>
    </w:rPr>
  </w:style>
  <w:style w:type="character" w:customStyle="1" w:styleId="100">
    <w:name w:val="标题 2 Char"/>
    <w:autoRedefine/>
    <w:qFormat/>
    <w:uiPriority w:val="0"/>
    <w:rPr>
      <w:rFonts w:ascii="Cambria" w:hAnsi="Cambria" w:eastAsia="宋体" w:cs="Times New Roman"/>
      <w:b/>
      <w:bCs/>
      <w:kern w:val="2"/>
      <w:sz w:val="32"/>
      <w:szCs w:val="32"/>
    </w:rPr>
  </w:style>
  <w:style w:type="character" w:customStyle="1" w:styleId="101">
    <w:name w:val="标题 5 Char"/>
    <w:autoRedefine/>
    <w:qFormat/>
    <w:uiPriority w:val="0"/>
    <w:rPr>
      <w:b/>
      <w:bCs/>
      <w:kern w:val="2"/>
      <w:sz w:val="28"/>
      <w:szCs w:val="28"/>
    </w:rPr>
  </w:style>
  <w:style w:type="character" w:customStyle="1" w:styleId="102">
    <w:name w:val="Font Style86"/>
    <w:autoRedefine/>
    <w:unhideWhenUsed/>
    <w:qFormat/>
    <w:uiPriority w:val="0"/>
    <w:rPr>
      <w:rFonts w:hint="eastAsia" w:ascii="黑体" w:hAnsi="黑体" w:eastAsia="黑体"/>
      <w:spacing w:val="10"/>
      <w:sz w:val="30"/>
    </w:rPr>
  </w:style>
  <w:style w:type="character" w:customStyle="1" w:styleId="103">
    <w:name w:val="lemmatitleh12"/>
    <w:autoRedefine/>
    <w:qFormat/>
    <w:uiPriority w:val="0"/>
    <w:rPr>
      <w:rFonts w:ascii="Times New Roman" w:hAnsi="Times New Roman" w:eastAsia="宋体"/>
    </w:rPr>
  </w:style>
  <w:style w:type="character" w:customStyle="1" w:styleId="104">
    <w:name w:val="Char Char17"/>
    <w:autoRedefine/>
    <w:qFormat/>
    <w:uiPriority w:val="0"/>
    <w:rPr>
      <w:rFonts w:ascii="宋体" w:hAnsi="Times New Roman" w:eastAsia="宋体"/>
      <w:b/>
      <w:sz w:val="28"/>
      <w:lang w:val="en-US" w:eastAsia="zh-CN" w:bidi="ar-SA"/>
    </w:rPr>
  </w:style>
  <w:style w:type="character" w:customStyle="1" w:styleId="105">
    <w:name w:val="desc"/>
    <w:autoRedefine/>
    <w:qFormat/>
    <w:uiPriority w:val="0"/>
    <w:rPr>
      <w:rFonts w:ascii="Times New Roman" w:hAnsi="Times New Roman" w:eastAsia="宋体"/>
      <w:color w:val="000000"/>
      <w:sz w:val="18"/>
      <w:szCs w:val="18"/>
    </w:rPr>
  </w:style>
  <w:style w:type="character" w:customStyle="1" w:styleId="106">
    <w:name w:val="bds_more8"/>
    <w:autoRedefine/>
    <w:qFormat/>
    <w:uiPriority w:val="0"/>
    <w:rPr>
      <w:rFonts w:ascii="Times New Roman" w:hAnsi="Times New Roman" w:eastAsia="宋体"/>
    </w:rPr>
  </w:style>
  <w:style w:type="character" w:customStyle="1" w:styleId="107">
    <w:name w:val="Font Style126"/>
    <w:autoRedefine/>
    <w:unhideWhenUsed/>
    <w:qFormat/>
    <w:uiPriority w:val="0"/>
    <w:rPr>
      <w:rFonts w:hint="eastAsia" w:ascii="宋体" w:hAnsi="宋体" w:eastAsia="宋体"/>
      <w:b/>
      <w:spacing w:val="-30"/>
      <w:sz w:val="28"/>
    </w:rPr>
  </w:style>
  <w:style w:type="character" w:customStyle="1" w:styleId="108">
    <w:name w:val="标题 Char"/>
    <w:autoRedefine/>
    <w:qFormat/>
    <w:uiPriority w:val="0"/>
    <w:rPr>
      <w:rFonts w:ascii="Cambria" w:hAnsi="Cambria"/>
      <w:b/>
      <w:kern w:val="2"/>
      <w:sz w:val="32"/>
      <w:szCs w:val="24"/>
    </w:rPr>
  </w:style>
  <w:style w:type="character" w:customStyle="1" w:styleId="109">
    <w:name w:val="标题 3 Char"/>
    <w:autoRedefine/>
    <w:qFormat/>
    <w:uiPriority w:val="0"/>
    <w:rPr>
      <w:b/>
      <w:bCs/>
      <w:sz w:val="24"/>
      <w:szCs w:val="24"/>
    </w:rPr>
  </w:style>
  <w:style w:type="character" w:customStyle="1" w:styleId="110">
    <w:name w:val="Char Char15"/>
    <w:autoRedefine/>
    <w:qFormat/>
    <w:uiPriority w:val="0"/>
    <w:rPr>
      <w:b/>
      <w:bCs/>
      <w:sz w:val="24"/>
      <w:szCs w:val="24"/>
    </w:rPr>
  </w:style>
  <w:style w:type="character" w:customStyle="1" w:styleId="111">
    <w:name w:val="Font Style124"/>
    <w:autoRedefine/>
    <w:unhideWhenUsed/>
    <w:qFormat/>
    <w:uiPriority w:val="0"/>
    <w:rPr>
      <w:rFonts w:hint="eastAsia" w:ascii="宋体" w:hAnsi="宋体" w:eastAsia="宋体"/>
      <w:spacing w:val="30"/>
      <w:sz w:val="24"/>
    </w:rPr>
  </w:style>
  <w:style w:type="character" w:customStyle="1" w:styleId="112">
    <w:name w:val="Char Char14"/>
    <w:autoRedefine/>
    <w:qFormat/>
    <w:uiPriority w:val="0"/>
    <w:rPr>
      <w:rFonts w:ascii="Arial" w:hAnsi="Arial" w:eastAsia="黑体"/>
      <w:b/>
      <w:bCs/>
      <w:sz w:val="28"/>
      <w:szCs w:val="28"/>
      <w:lang w:val="en-US" w:eastAsia="zh-CN" w:bidi="ar-SA"/>
    </w:rPr>
  </w:style>
  <w:style w:type="character" w:customStyle="1" w:styleId="113">
    <w:name w:val="Font Style105"/>
    <w:autoRedefine/>
    <w:unhideWhenUsed/>
    <w:qFormat/>
    <w:uiPriority w:val="0"/>
    <w:rPr>
      <w:rFonts w:hint="eastAsia" w:ascii="Times New Roman" w:hAnsi="Times New Roman" w:eastAsia="Times New Roman"/>
      <w:w w:val="60"/>
      <w:sz w:val="26"/>
    </w:rPr>
  </w:style>
  <w:style w:type="character" w:customStyle="1" w:styleId="114">
    <w:name w:val="bds_nopic1"/>
    <w:autoRedefine/>
    <w:qFormat/>
    <w:uiPriority w:val="0"/>
    <w:rPr>
      <w:rFonts w:ascii="Times New Roman" w:hAnsi="Times New Roman" w:eastAsia="宋体"/>
    </w:rPr>
  </w:style>
  <w:style w:type="character" w:customStyle="1" w:styleId="115">
    <w:name w:val="sort"/>
    <w:autoRedefine/>
    <w:qFormat/>
    <w:uiPriority w:val="0"/>
    <w:rPr>
      <w:rFonts w:ascii="Times New Roman" w:hAnsi="Times New Roman" w:eastAsia="宋体"/>
      <w:color w:val="FFFFFF"/>
      <w:bdr w:val="single" w:color="auto" w:sz="24" w:space="0"/>
    </w:rPr>
  </w:style>
  <w:style w:type="character" w:customStyle="1" w:styleId="116">
    <w:name w:val="标题 7 Char"/>
    <w:autoRedefine/>
    <w:qFormat/>
    <w:uiPriority w:val="0"/>
    <w:rPr>
      <w:b/>
      <w:bCs/>
      <w:sz w:val="24"/>
      <w:szCs w:val="24"/>
    </w:rPr>
  </w:style>
  <w:style w:type="character" w:customStyle="1" w:styleId="117">
    <w:name w:val="标题 4 Char Char"/>
    <w:autoRedefine/>
    <w:qFormat/>
    <w:uiPriority w:val="0"/>
    <w:rPr>
      <w:rFonts w:ascii="Arial" w:hAnsi="Arial" w:eastAsia="宋体"/>
      <w:b/>
      <w:bCs/>
      <w:kern w:val="2"/>
      <w:sz w:val="21"/>
      <w:szCs w:val="28"/>
      <w:lang w:val="en-US" w:eastAsia="zh-CN" w:bidi="ar-SA"/>
    </w:rPr>
  </w:style>
  <w:style w:type="character" w:customStyle="1" w:styleId="118">
    <w:name w:val="Font Style134"/>
    <w:autoRedefine/>
    <w:unhideWhenUsed/>
    <w:qFormat/>
    <w:uiPriority w:val="0"/>
    <w:rPr>
      <w:rFonts w:hint="eastAsia" w:ascii="宋体" w:hAnsi="宋体" w:eastAsia="宋体"/>
      <w:spacing w:val="20"/>
      <w:sz w:val="22"/>
    </w:rPr>
  </w:style>
  <w:style w:type="character" w:customStyle="1" w:styleId="119">
    <w:name w:val="日期 Char"/>
    <w:autoRedefine/>
    <w:qFormat/>
    <w:uiPriority w:val="0"/>
    <w:rPr>
      <w:kern w:val="2"/>
      <w:sz w:val="21"/>
      <w:szCs w:val="24"/>
    </w:rPr>
  </w:style>
  <w:style w:type="character" w:customStyle="1" w:styleId="120">
    <w:name w:val="polysemyred"/>
    <w:autoRedefine/>
    <w:qFormat/>
    <w:uiPriority w:val="0"/>
    <w:rPr>
      <w:rFonts w:ascii="Times New Roman" w:hAnsi="Times New Roman" w:eastAsia="宋体"/>
      <w:color w:val="FF6666"/>
      <w:sz w:val="18"/>
      <w:szCs w:val="18"/>
    </w:rPr>
  </w:style>
  <w:style w:type="character" w:customStyle="1" w:styleId="121">
    <w:name w:val="Font Style123"/>
    <w:autoRedefine/>
    <w:unhideWhenUsed/>
    <w:qFormat/>
    <w:uiPriority w:val="0"/>
    <w:rPr>
      <w:rFonts w:hint="eastAsia" w:ascii="宋体" w:hAnsi="宋体" w:eastAsia="宋体"/>
      <w:b/>
      <w:sz w:val="32"/>
    </w:rPr>
  </w:style>
  <w:style w:type="character" w:customStyle="1" w:styleId="122">
    <w:name w:val="Char Char16"/>
    <w:autoRedefine/>
    <w:qFormat/>
    <w:uiPriority w:val="0"/>
    <w:rPr>
      <w:rFonts w:ascii="宋体" w:hAnsi="Times New Roman" w:eastAsia="宋体"/>
      <w:b/>
      <w:sz w:val="24"/>
      <w:lang w:val="en-US" w:eastAsia="zh-CN" w:bidi="ar-SA"/>
    </w:rPr>
  </w:style>
  <w:style w:type="character" w:customStyle="1" w:styleId="123">
    <w:name w:val="Font Style90"/>
    <w:autoRedefine/>
    <w:unhideWhenUsed/>
    <w:qFormat/>
    <w:uiPriority w:val="0"/>
    <w:rPr>
      <w:rFonts w:hint="eastAsia" w:ascii="宋体" w:hAnsi="宋体" w:eastAsia="宋体"/>
      <w:b/>
      <w:spacing w:val="-20"/>
      <w:sz w:val="40"/>
    </w:rPr>
  </w:style>
  <w:style w:type="character" w:customStyle="1" w:styleId="124">
    <w:name w:val="sort1"/>
    <w:autoRedefine/>
    <w:qFormat/>
    <w:uiPriority w:val="0"/>
    <w:rPr>
      <w:rFonts w:ascii="Times New Roman" w:hAnsi="Times New Roman" w:eastAsia="宋体"/>
    </w:rPr>
  </w:style>
  <w:style w:type="character" w:customStyle="1" w:styleId="125">
    <w:name w:val="Font Style131"/>
    <w:autoRedefine/>
    <w:unhideWhenUsed/>
    <w:qFormat/>
    <w:uiPriority w:val="0"/>
    <w:rPr>
      <w:rFonts w:hint="eastAsia" w:ascii="Times New Roman" w:hAnsi="Times New Roman" w:eastAsia="Times New Roman"/>
      <w:sz w:val="18"/>
    </w:rPr>
  </w:style>
  <w:style w:type="character" w:customStyle="1" w:styleId="126">
    <w:name w:val="Font Style127"/>
    <w:autoRedefine/>
    <w:unhideWhenUsed/>
    <w:qFormat/>
    <w:uiPriority w:val="0"/>
    <w:rPr>
      <w:rFonts w:hint="eastAsia" w:ascii="Times New Roman" w:hAnsi="Times New Roman" w:eastAsia="Times New Roman"/>
      <w:sz w:val="20"/>
    </w:rPr>
  </w:style>
  <w:style w:type="character" w:customStyle="1" w:styleId="127">
    <w:name w:val="bds_more10"/>
    <w:autoRedefine/>
    <w:qFormat/>
    <w:uiPriority w:val="0"/>
    <w:rPr>
      <w:rFonts w:ascii="Times New Roman" w:hAnsi="Times New Roman" w:eastAsia="宋体"/>
    </w:rPr>
  </w:style>
  <w:style w:type="character" w:customStyle="1" w:styleId="128">
    <w:name w:val="标题 9 Char"/>
    <w:autoRedefine/>
    <w:qFormat/>
    <w:uiPriority w:val="0"/>
    <w:rPr>
      <w:rFonts w:ascii="Arial" w:hAnsi="Arial" w:eastAsia="黑体"/>
      <w:sz w:val="21"/>
      <w:szCs w:val="21"/>
    </w:rPr>
  </w:style>
  <w:style w:type="character" w:customStyle="1" w:styleId="129">
    <w:name w:val="批注框文本 Char"/>
    <w:autoRedefine/>
    <w:qFormat/>
    <w:uiPriority w:val="0"/>
    <w:rPr>
      <w:kern w:val="2"/>
      <w:sz w:val="18"/>
      <w:szCs w:val="18"/>
    </w:rPr>
  </w:style>
  <w:style w:type="character" w:customStyle="1" w:styleId="130">
    <w:name w:val="标题 4 Char"/>
    <w:autoRedefine/>
    <w:qFormat/>
    <w:uiPriority w:val="0"/>
    <w:rPr>
      <w:rFonts w:ascii="Arial" w:hAnsi="Arial" w:eastAsia="宋体" w:cs="Times New Roman"/>
      <w:b/>
      <w:bCs/>
      <w:szCs w:val="28"/>
    </w:rPr>
  </w:style>
  <w:style w:type="character" w:customStyle="1" w:styleId="131">
    <w:name w:val="标题 8 Char"/>
    <w:autoRedefine/>
    <w:qFormat/>
    <w:uiPriority w:val="0"/>
    <w:rPr>
      <w:rFonts w:ascii="Arial" w:hAnsi="Arial" w:eastAsia="黑体"/>
      <w:sz w:val="24"/>
      <w:szCs w:val="24"/>
    </w:rPr>
  </w:style>
  <w:style w:type="character" w:customStyle="1" w:styleId="132">
    <w:name w:val="apple-converted-space"/>
    <w:basedOn w:val="47"/>
    <w:autoRedefine/>
    <w:qFormat/>
    <w:uiPriority w:val="0"/>
  </w:style>
  <w:style w:type="character" w:customStyle="1" w:styleId="133">
    <w:name w:val="15"/>
    <w:autoRedefine/>
    <w:qFormat/>
    <w:uiPriority w:val="0"/>
    <w:rPr>
      <w:rFonts w:hint="default" w:ascii="Times New Roman" w:hAnsi="Times New Roman" w:cs="Times New Roman"/>
      <w:color w:val="0563C1"/>
      <w:sz w:val="20"/>
      <w:szCs w:val="20"/>
      <w:u w:val="single"/>
    </w:rPr>
  </w:style>
  <w:style w:type="character" w:customStyle="1" w:styleId="134">
    <w:name w:val="Font Style128"/>
    <w:autoRedefine/>
    <w:unhideWhenUsed/>
    <w:qFormat/>
    <w:uiPriority w:val="0"/>
    <w:rPr>
      <w:rFonts w:hint="eastAsia" w:ascii="Times New Roman" w:hAnsi="Times New Roman" w:eastAsia="Times New Roman"/>
      <w:sz w:val="16"/>
    </w:rPr>
  </w:style>
  <w:style w:type="character" w:customStyle="1" w:styleId="135">
    <w:name w:val="纯文本 Char2"/>
    <w:autoRedefine/>
    <w:qFormat/>
    <w:uiPriority w:val="0"/>
    <w:rPr>
      <w:rFonts w:ascii="宋体" w:hAnsi="Courier New" w:eastAsia="宋体"/>
      <w:kern w:val="2"/>
      <w:sz w:val="21"/>
      <w:szCs w:val="21"/>
      <w:lang w:val="en-US" w:eastAsia="zh-CN" w:bidi="ar-SA"/>
    </w:rPr>
  </w:style>
  <w:style w:type="character" w:customStyle="1" w:styleId="136">
    <w:name w:val="Font Style116"/>
    <w:autoRedefine/>
    <w:unhideWhenUsed/>
    <w:qFormat/>
    <w:uiPriority w:val="0"/>
    <w:rPr>
      <w:rFonts w:hint="eastAsia" w:ascii="宋体" w:hAnsi="宋体" w:eastAsia="宋体"/>
      <w:spacing w:val="-20"/>
      <w:sz w:val="24"/>
    </w:rPr>
  </w:style>
  <w:style w:type="character" w:customStyle="1" w:styleId="137">
    <w:name w:val="Font Style94"/>
    <w:autoRedefine/>
    <w:unhideWhenUsed/>
    <w:qFormat/>
    <w:uiPriority w:val="0"/>
    <w:rPr>
      <w:rFonts w:hint="eastAsia" w:ascii="Times New Roman" w:hAnsi="Times New Roman" w:eastAsia="Times New Roman"/>
      <w:sz w:val="28"/>
    </w:rPr>
  </w:style>
  <w:style w:type="character" w:customStyle="1" w:styleId="138">
    <w:name w:val="页脚 Char"/>
    <w:autoRedefine/>
    <w:qFormat/>
    <w:uiPriority w:val="99"/>
    <w:rPr>
      <w:kern w:val="2"/>
      <w:sz w:val="18"/>
      <w:szCs w:val="18"/>
    </w:rPr>
  </w:style>
  <w:style w:type="character" w:customStyle="1" w:styleId="139">
    <w:name w:val="sidecatalog-index1"/>
    <w:autoRedefine/>
    <w:qFormat/>
    <w:uiPriority w:val="0"/>
    <w:rPr>
      <w:rFonts w:ascii="Arial" w:hAnsi="Arial" w:eastAsia="宋体" w:cs="Arial"/>
      <w:b/>
      <w:color w:val="999999"/>
      <w:sz w:val="21"/>
      <w:szCs w:val="21"/>
    </w:rPr>
  </w:style>
  <w:style w:type="character" w:customStyle="1" w:styleId="140">
    <w:name w:val="正文文本缩进 3 Char"/>
    <w:autoRedefine/>
    <w:qFormat/>
    <w:uiPriority w:val="0"/>
    <w:rPr>
      <w:rFonts w:ascii="宋体" w:hAnsi="MS Sans Serif"/>
      <w:color w:val="000000"/>
      <w:sz w:val="24"/>
    </w:rPr>
  </w:style>
  <w:style w:type="character" w:customStyle="1" w:styleId="141">
    <w:name w:val="标题 6 Char"/>
    <w:autoRedefine/>
    <w:qFormat/>
    <w:uiPriority w:val="0"/>
    <w:rPr>
      <w:rFonts w:ascii="Arial" w:hAnsi="Arial" w:eastAsia="黑体"/>
      <w:b/>
      <w:bCs/>
      <w:sz w:val="24"/>
      <w:szCs w:val="24"/>
    </w:rPr>
  </w:style>
  <w:style w:type="character" w:customStyle="1" w:styleId="142">
    <w:name w:val="bds_nopic"/>
    <w:autoRedefine/>
    <w:qFormat/>
    <w:uiPriority w:val="0"/>
    <w:rPr>
      <w:rFonts w:ascii="Times New Roman" w:hAnsi="Times New Roman" w:eastAsia="宋体"/>
    </w:rPr>
  </w:style>
  <w:style w:type="character" w:customStyle="1" w:styleId="143">
    <w:name w:val="Font Style119"/>
    <w:autoRedefine/>
    <w:unhideWhenUsed/>
    <w:qFormat/>
    <w:uiPriority w:val="0"/>
    <w:rPr>
      <w:rFonts w:hint="eastAsia" w:ascii="宋体" w:hAnsi="宋体" w:eastAsia="宋体"/>
      <w:sz w:val="24"/>
    </w:rPr>
  </w:style>
  <w:style w:type="character" w:customStyle="1" w:styleId="144">
    <w:name w:val="p0 Char Char"/>
    <w:autoRedefine/>
    <w:qFormat/>
    <w:uiPriority w:val="0"/>
    <w:rPr>
      <w:rFonts w:eastAsia="宋体"/>
      <w:kern w:val="2"/>
      <w:sz w:val="21"/>
      <w:szCs w:val="21"/>
      <w:lang w:val="en-US" w:eastAsia="zh-CN" w:bidi="ar-SA"/>
    </w:rPr>
  </w:style>
  <w:style w:type="character" w:customStyle="1" w:styleId="145">
    <w:name w:val="Font Style133"/>
    <w:autoRedefine/>
    <w:unhideWhenUsed/>
    <w:qFormat/>
    <w:uiPriority w:val="0"/>
    <w:rPr>
      <w:rFonts w:hint="eastAsia" w:ascii="宋体" w:hAnsi="宋体" w:eastAsia="宋体"/>
      <w:spacing w:val="30"/>
      <w:sz w:val="24"/>
    </w:rPr>
  </w:style>
  <w:style w:type="character" w:customStyle="1" w:styleId="146">
    <w:name w:val="Font Style125"/>
    <w:autoRedefine/>
    <w:unhideWhenUsed/>
    <w:qFormat/>
    <w:uiPriority w:val="0"/>
    <w:rPr>
      <w:rFonts w:hint="eastAsia" w:ascii="宋体" w:hAnsi="宋体" w:eastAsia="宋体"/>
      <w:b/>
      <w:sz w:val="26"/>
    </w:rPr>
  </w:style>
  <w:style w:type="character" w:customStyle="1" w:styleId="147">
    <w:name w:val="Char Char6"/>
    <w:autoRedefine/>
    <w:qFormat/>
    <w:uiPriority w:val="0"/>
    <w:rPr>
      <w:rFonts w:ascii="Arial" w:hAnsi="Arial" w:eastAsia="黑体"/>
      <w:sz w:val="24"/>
      <w:szCs w:val="24"/>
      <w:lang w:val="en-US" w:eastAsia="zh-CN" w:bidi="ar-SA"/>
    </w:rPr>
  </w:style>
  <w:style w:type="character" w:customStyle="1" w:styleId="148">
    <w:name w:val="bds_more9"/>
    <w:autoRedefine/>
    <w:qFormat/>
    <w:uiPriority w:val="0"/>
    <w:rPr>
      <w:rFonts w:ascii="Times New Roman" w:hAnsi="Times New Roman" w:eastAsia="宋体"/>
    </w:rPr>
  </w:style>
  <w:style w:type="character" w:customStyle="1" w:styleId="149">
    <w:name w:val="样式2 Char Char"/>
    <w:autoRedefine/>
    <w:qFormat/>
    <w:uiPriority w:val="0"/>
    <w:rPr>
      <w:rFonts w:eastAsia="宋体"/>
      <w:kern w:val="2"/>
      <w:sz w:val="18"/>
      <w:szCs w:val="18"/>
      <w:lang w:val="en-US" w:eastAsia="zh-CN" w:bidi="ar-SA"/>
    </w:rPr>
  </w:style>
  <w:style w:type="character" w:customStyle="1" w:styleId="150">
    <w:name w:val="morelink-item"/>
    <w:autoRedefine/>
    <w:qFormat/>
    <w:uiPriority w:val="0"/>
    <w:rPr>
      <w:rFonts w:ascii="Times New Roman" w:hAnsi="Times New Roman" w:eastAsia="宋体"/>
    </w:rPr>
  </w:style>
  <w:style w:type="character" w:customStyle="1" w:styleId="151">
    <w:name w:val="标题 Char1"/>
    <w:autoRedefine/>
    <w:qFormat/>
    <w:uiPriority w:val="0"/>
    <w:rPr>
      <w:rFonts w:ascii="Cambria" w:hAnsi="Cambria" w:eastAsia="宋体" w:cs="Times New Roman"/>
      <w:b/>
      <w:bCs/>
      <w:sz w:val="32"/>
      <w:szCs w:val="32"/>
    </w:rPr>
  </w:style>
  <w:style w:type="character" w:customStyle="1" w:styleId="152">
    <w:name w:val="plus"/>
    <w:autoRedefine/>
    <w:qFormat/>
    <w:uiPriority w:val="0"/>
    <w:rPr>
      <w:rFonts w:ascii="Times New Roman" w:hAnsi="Times New Roman" w:eastAsia="宋体"/>
      <w:b/>
      <w:vanish/>
      <w:color w:val="1F8DEF"/>
      <w:sz w:val="24"/>
      <w:szCs w:val="24"/>
    </w:rPr>
  </w:style>
  <w:style w:type="character" w:customStyle="1" w:styleId="153">
    <w:name w:val="bds_nopic2"/>
    <w:autoRedefine/>
    <w:qFormat/>
    <w:uiPriority w:val="0"/>
    <w:rPr>
      <w:rFonts w:ascii="Times New Roman" w:hAnsi="Times New Roman" w:eastAsia="宋体"/>
    </w:rPr>
  </w:style>
  <w:style w:type="character" w:customStyle="1" w:styleId="154">
    <w:name w:val="content"/>
    <w:autoRedefine/>
    <w:qFormat/>
    <w:uiPriority w:val="0"/>
    <w:rPr>
      <w:sz w:val="19"/>
      <w:szCs w:val="19"/>
    </w:rPr>
  </w:style>
  <w:style w:type="character" w:customStyle="1" w:styleId="155">
    <w:name w:val="sidecatalog-index2"/>
    <w:autoRedefine/>
    <w:qFormat/>
    <w:uiPriority w:val="0"/>
    <w:rPr>
      <w:rFonts w:ascii="Arail" w:hAnsi="Arail" w:eastAsia="Arail" w:cs="Arail"/>
      <w:color w:val="999999"/>
      <w:sz w:val="21"/>
      <w:szCs w:val="21"/>
    </w:rPr>
  </w:style>
  <w:style w:type="character" w:customStyle="1" w:styleId="156">
    <w:name w:val="批注文字 Char Char"/>
    <w:autoRedefine/>
    <w:qFormat/>
    <w:uiPriority w:val="0"/>
    <w:rPr>
      <w:kern w:val="2"/>
      <w:sz w:val="21"/>
      <w:szCs w:val="24"/>
      <w:lang w:bidi="ar-SA"/>
    </w:rPr>
  </w:style>
  <w:style w:type="character" w:customStyle="1" w:styleId="157">
    <w:name w:val="Font Style121"/>
    <w:autoRedefine/>
    <w:unhideWhenUsed/>
    <w:qFormat/>
    <w:uiPriority w:val="0"/>
    <w:rPr>
      <w:rFonts w:hint="eastAsia" w:ascii="宋体" w:hAnsi="宋体" w:eastAsia="宋体"/>
      <w:spacing w:val="-10"/>
      <w:sz w:val="30"/>
    </w:rPr>
  </w:style>
  <w:style w:type="character" w:customStyle="1" w:styleId="158">
    <w:name w:val="页眉 Char"/>
    <w:autoRedefine/>
    <w:qFormat/>
    <w:uiPriority w:val="0"/>
    <w:rPr>
      <w:kern w:val="2"/>
      <w:sz w:val="18"/>
      <w:szCs w:val="18"/>
    </w:rPr>
  </w:style>
  <w:style w:type="character" w:customStyle="1" w:styleId="159">
    <w:name w:val="sidecatalog-dot1"/>
    <w:autoRedefine/>
    <w:qFormat/>
    <w:uiPriority w:val="0"/>
    <w:rPr>
      <w:rFonts w:ascii="Times New Roman" w:hAnsi="Times New Roman" w:eastAsia="宋体"/>
    </w:rPr>
  </w:style>
  <w:style w:type="paragraph" w:customStyle="1" w:styleId="160">
    <w:name w:val="Style34"/>
    <w:basedOn w:val="1"/>
    <w:autoRedefine/>
    <w:unhideWhenUsed/>
    <w:qFormat/>
    <w:uiPriority w:val="0"/>
    <w:pPr>
      <w:spacing w:line="375" w:lineRule="exact"/>
    </w:pPr>
  </w:style>
  <w:style w:type="paragraph" w:customStyle="1" w:styleId="161">
    <w:name w:val="Style41"/>
    <w:basedOn w:val="1"/>
    <w:autoRedefine/>
    <w:unhideWhenUsed/>
    <w:qFormat/>
    <w:uiPriority w:val="0"/>
    <w:pPr>
      <w:spacing w:line="542" w:lineRule="exact"/>
      <w:ind w:firstLine="125"/>
    </w:pPr>
  </w:style>
  <w:style w:type="paragraph" w:customStyle="1" w:styleId="162">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163">
    <w:name w:val="默认段落字体 Para Char Char Char Char Char Char Char Char Char Char Char Char Char Char Char Char Char Char Char"/>
    <w:basedOn w:val="1"/>
    <w:autoRedefine/>
    <w:qFormat/>
    <w:uiPriority w:val="0"/>
  </w:style>
  <w:style w:type="paragraph" w:customStyle="1" w:styleId="164">
    <w:name w:val="Style67"/>
    <w:basedOn w:val="1"/>
    <w:autoRedefine/>
    <w:unhideWhenUsed/>
    <w:qFormat/>
    <w:uiPriority w:val="0"/>
    <w:pPr>
      <w:spacing w:line="566" w:lineRule="exact"/>
      <w:ind w:firstLine="552"/>
    </w:pPr>
  </w:style>
  <w:style w:type="paragraph" w:customStyle="1" w:styleId="165">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
    <w:name w:val="NO3"/>
    <w:basedOn w:val="1"/>
    <w:autoRedefine/>
    <w:qFormat/>
    <w:uiPriority w:val="0"/>
    <w:pPr>
      <w:tabs>
        <w:tab w:val="left" w:pos="907"/>
      </w:tabs>
      <w:spacing w:line="360" w:lineRule="auto"/>
    </w:pPr>
    <w:rPr>
      <w:rFonts w:ascii="宋体" w:hAnsi="宋体"/>
      <w:sz w:val="24"/>
    </w:rPr>
  </w:style>
  <w:style w:type="paragraph" w:customStyle="1" w:styleId="167">
    <w:name w:val="Style12"/>
    <w:basedOn w:val="1"/>
    <w:autoRedefine/>
    <w:unhideWhenUsed/>
    <w:qFormat/>
    <w:uiPriority w:val="0"/>
    <w:pPr>
      <w:spacing w:line="564" w:lineRule="exact"/>
      <w:ind w:hanging="115"/>
    </w:pPr>
  </w:style>
  <w:style w:type="paragraph" w:customStyle="1" w:styleId="168">
    <w:name w:val="Style36"/>
    <w:basedOn w:val="1"/>
    <w:autoRedefine/>
    <w:unhideWhenUsed/>
    <w:qFormat/>
    <w:uiPriority w:val="0"/>
  </w:style>
  <w:style w:type="paragraph" w:customStyle="1" w:styleId="169">
    <w:name w:val="Char1 Char Char Char Char Char Char Char Char Char"/>
    <w:basedOn w:val="1"/>
    <w:autoRedefine/>
    <w:qFormat/>
    <w:uiPriority w:val="0"/>
    <w:rPr>
      <w:szCs w:val="20"/>
    </w:rPr>
  </w:style>
  <w:style w:type="paragraph" w:customStyle="1" w:styleId="170">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71">
    <w:name w:val="Char"/>
    <w:basedOn w:val="1"/>
    <w:autoRedefine/>
    <w:qFormat/>
    <w:uiPriority w:val="0"/>
    <w:pPr>
      <w:tabs>
        <w:tab w:val="left" w:pos="360"/>
      </w:tabs>
      <w:ind w:left="360" w:hanging="360" w:hangingChars="200"/>
    </w:pPr>
    <w:rPr>
      <w:sz w:val="24"/>
    </w:rPr>
  </w:style>
  <w:style w:type="paragraph" w:customStyle="1" w:styleId="172">
    <w:name w:val="Style8"/>
    <w:basedOn w:val="1"/>
    <w:autoRedefine/>
    <w:unhideWhenUsed/>
    <w:qFormat/>
    <w:uiPriority w:val="0"/>
    <w:pPr>
      <w:spacing w:line="566" w:lineRule="exact"/>
      <w:jc w:val="center"/>
    </w:pPr>
  </w:style>
  <w:style w:type="paragraph" w:customStyle="1" w:styleId="173">
    <w:name w:val="文档正文"/>
    <w:basedOn w:val="1"/>
    <w:next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74">
    <w:name w:val="Style9"/>
    <w:basedOn w:val="1"/>
    <w:autoRedefine/>
    <w:unhideWhenUsed/>
    <w:qFormat/>
    <w:uiPriority w:val="0"/>
  </w:style>
  <w:style w:type="paragraph" w:customStyle="1" w:styleId="175">
    <w:name w:val="Style48"/>
    <w:basedOn w:val="1"/>
    <w:autoRedefine/>
    <w:unhideWhenUsed/>
    <w:qFormat/>
    <w:uiPriority w:val="0"/>
    <w:pPr>
      <w:spacing w:line="542" w:lineRule="exact"/>
      <w:jc w:val="right"/>
    </w:pPr>
  </w:style>
  <w:style w:type="paragraph" w:customStyle="1" w:styleId="176">
    <w:name w:val="Style70"/>
    <w:basedOn w:val="1"/>
    <w:autoRedefine/>
    <w:unhideWhenUsed/>
    <w:qFormat/>
    <w:uiPriority w:val="0"/>
    <w:pPr>
      <w:spacing w:line="549" w:lineRule="exact"/>
      <w:ind w:firstLine="686"/>
    </w:pPr>
  </w:style>
  <w:style w:type="paragraph" w:customStyle="1" w:styleId="177">
    <w:name w:val="Style24"/>
    <w:basedOn w:val="1"/>
    <w:autoRedefine/>
    <w:unhideWhenUsed/>
    <w:qFormat/>
    <w:uiPriority w:val="0"/>
  </w:style>
  <w:style w:type="paragraph" w:customStyle="1" w:styleId="178">
    <w:name w:val="样式 标题 2 + 宋体 五号 行距: 单倍行距"/>
    <w:basedOn w:val="2"/>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79">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0">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81">
    <w:name w:val="附录标识"/>
    <w:basedOn w:val="182"/>
    <w:autoRedefine/>
    <w:qFormat/>
    <w:uiPriority w:val="0"/>
    <w:pPr>
      <w:tabs>
        <w:tab w:val="left" w:pos="360"/>
        <w:tab w:val="left" w:pos="720"/>
        <w:tab w:val="left" w:pos="6405"/>
      </w:tabs>
      <w:spacing w:after="200"/>
    </w:pPr>
    <w:rPr>
      <w:sz w:val="21"/>
    </w:rPr>
  </w:style>
  <w:style w:type="paragraph" w:customStyle="1" w:styleId="182">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83">
    <w:name w:val="Style13"/>
    <w:basedOn w:val="1"/>
    <w:autoRedefine/>
    <w:unhideWhenUsed/>
    <w:qFormat/>
    <w:uiPriority w:val="0"/>
  </w:style>
  <w:style w:type="paragraph" w:customStyle="1" w:styleId="184">
    <w:name w:val="1"/>
    <w:basedOn w:val="1"/>
    <w:autoRedefine/>
    <w:qFormat/>
    <w:uiPriority w:val="0"/>
    <w:pPr>
      <w:spacing w:afterLines="50" w:line="360" w:lineRule="auto"/>
    </w:pPr>
    <w:rPr>
      <w:rFonts w:ascii="宋体" w:hAnsi="宋体"/>
      <w:b/>
      <w:sz w:val="30"/>
      <w:szCs w:val="21"/>
    </w:rPr>
  </w:style>
  <w:style w:type="paragraph" w:customStyle="1" w:styleId="185">
    <w:name w:val="_Style 39"/>
    <w:basedOn w:val="165"/>
    <w:autoRedefine/>
    <w:qFormat/>
    <w:uiPriority w:val="0"/>
  </w:style>
  <w:style w:type="paragraph" w:customStyle="1" w:styleId="186">
    <w:name w:val="Style4"/>
    <w:basedOn w:val="1"/>
    <w:autoRedefine/>
    <w:unhideWhenUsed/>
    <w:qFormat/>
    <w:uiPriority w:val="0"/>
  </w:style>
  <w:style w:type="paragraph" w:customStyle="1" w:styleId="187">
    <w:name w:val="p16"/>
    <w:basedOn w:val="1"/>
    <w:autoRedefine/>
    <w:qFormat/>
    <w:uiPriority w:val="0"/>
    <w:pPr>
      <w:widowControl/>
      <w:jc w:val="left"/>
    </w:pPr>
    <w:rPr>
      <w:kern w:val="0"/>
      <w:szCs w:val="21"/>
    </w:rPr>
  </w:style>
  <w:style w:type="paragraph" w:customStyle="1" w:styleId="188">
    <w:name w:val="Style11"/>
    <w:basedOn w:val="1"/>
    <w:autoRedefine/>
    <w:unhideWhenUsed/>
    <w:qFormat/>
    <w:uiPriority w:val="0"/>
    <w:pPr>
      <w:spacing w:line="559" w:lineRule="exact"/>
      <w:ind w:firstLine="590"/>
    </w:pPr>
  </w:style>
  <w:style w:type="paragraph" w:customStyle="1" w:styleId="189">
    <w:name w:val="Style21"/>
    <w:basedOn w:val="1"/>
    <w:autoRedefine/>
    <w:unhideWhenUsed/>
    <w:qFormat/>
    <w:uiPriority w:val="0"/>
    <w:pPr>
      <w:spacing w:line="566" w:lineRule="exact"/>
      <w:ind w:firstLine="682"/>
    </w:pPr>
  </w:style>
  <w:style w:type="paragraph" w:customStyle="1" w:styleId="190">
    <w:name w:val="Style23"/>
    <w:basedOn w:val="1"/>
    <w:autoRedefine/>
    <w:unhideWhenUsed/>
    <w:qFormat/>
    <w:uiPriority w:val="0"/>
  </w:style>
  <w:style w:type="paragraph" w:customStyle="1" w:styleId="191">
    <w:name w:val="Style16"/>
    <w:basedOn w:val="1"/>
    <w:autoRedefine/>
    <w:unhideWhenUsed/>
    <w:qFormat/>
    <w:uiPriority w:val="0"/>
    <w:pPr>
      <w:jc w:val="right"/>
    </w:pPr>
  </w:style>
  <w:style w:type="paragraph" w:customStyle="1" w:styleId="192">
    <w:name w:val="Style72"/>
    <w:basedOn w:val="1"/>
    <w:autoRedefine/>
    <w:unhideWhenUsed/>
    <w:qFormat/>
    <w:uiPriority w:val="0"/>
  </w:style>
  <w:style w:type="paragraph" w:customStyle="1" w:styleId="193">
    <w:name w:val="Style64"/>
    <w:basedOn w:val="1"/>
    <w:autoRedefine/>
    <w:unhideWhenUsed/>
    <w:qFormat/>
    <w:uiPriority w:val="0"/>
  </w:style>
  <w:style w:type="paragraph" w:customStyle="1" w:styleId="194">
    <w:name w:val="Style80"/>
    <w:basedOn w:val="1"/>
    <w:autoRedefine/>
    <w:unhideWhenUsed/>
    <w:qFormat/>
    <w:uiPriority w:val="0"/>
  </w:style>
  <w:style w:type="paragraph" w:customStyle="1" w:styleId="195">
    <w:name w:val="Style73"/>
    <w:basedOn w:val="1"/>
    <w:autoRedefine/>
    <w:unhideWhenUsed/>
    <w:qFormat/>
    <w:uiPriority w:val="0"/>
    <w:pPr>
      <w:spacing w:line="538" w:lineRule="exact"/>
      <w:ind w:firstLine="533"/>
    </w:pPr>
  </w:style>
  <w:style w:type="paragraph" w:customStyle="1" w:styleId="196">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197">
    <w:name w:val="Char Char1 Char Char Char Char Char1 Char Char Char Char"/>
    <w:basedOn w:val="13"/>
    <w:autoRedefine/>
    <w:qFormat/>
    <w:uiPriority w:val="0"/>
    <w:rPr>
      <w:rFonts w:ascii="Tahoma" w:hAnsi="Tahoma"/>
    </w:rPr>
  </w:style>
  <w:style w:type="paragraph" w:customStyle="1" w:styleId="198">
    <w:name w:val="Style42"/>
    <w:basedOn w:val="1"/>
    <w:autoRedefine/>
    <w:unhideWhenUsed/>
    <w:qFormat/>
    <w:uiPriority w:val="0"/>
    <w:pPr>
      <w:spacing w:line="542" w:lineRule="exact"/>
      <w:ind w:firstLine="547"/>
    </w:pPr>
  </w:style>
  <w:style w:type="paragraph" w:customStyle="1" w:styleId="199">
    <w:name w:val="Style15"/>
    <w:basedOn w:val="1"/>
    <w:autoRedefine/>
    <w:unhideWhenUsed/>
    <w:qFormat/>
    <w:uiPriority w:val="0"/>
    <w:pPr>
      <w:spacing w:line="557" w:lineRule="exact"/>
      <w:ind w:firstLine="672"/>
    </w:pPr>
  </w:style>
  <w:style w:type="paragraph" w:customStyle="1" w:styleId="200">
    <w:name w:val="Style81"/>
    <w:basedOn w:val="1"/>
    <w:autoRedefine/>
    <w:unhideWhenUsed/>
    <w:qFormat/>
    <w:uiPriority w:val="0"/>
    <w:pPr>
      <w:spacing w:line="547" w:lineRule="exact"/>
    </w:pPr>
  </w:style>
  <w:style w:type="paragraph" w:customStyle="1" w:styleId="201">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02">
    <w:name w:val="Style59"/>
    <w:basedOn w:val="1"/>
    <w:autoRedefine/>
    <w:unhideWhenUsed/>
    <w:qFormat/>
    <w:uiPriority w:val="0"/>
  </w:style>
  <w:style w:type="paragraph" w:customStyle="1" w:styleId="203">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04">
    <w:name w:val="Style5"/>
    <w:basedOn w:val="1"/>
    <w:autoRedefine/>
    <w:unhideWhenUsed/>
    <w:qFormat/>
    <w:uiPriority w:val="0"/>
  </w:style>
  <w:style w:type="paragraph" w:customStyle="1" w:styleId="205">
    <w:name w:val="Style10"/>
    <w:basedOn w:val="1"/>
    <w:autoRedefine/>
    <w:unhideWhenUsed/>
    <w:qFormat/>
    <w:uiPriority w:val="0"/>
    <w:pPr>
      <w:spacing w:line="538" w:lineRule="exact"/>
    </w:pPr>
  </w:style>
  <w:style w:type="paragraph" w:customStyle="1" w:styleId="206">
    <w:name w:val="标准文本"/>
    <w:basedOn w:val="1"/>
    <w:autoRedefine/>
    <w:qFormat/>
    <w:uiPriority w:val="0"/>
    <w:pPr>
      <w:spacing w:line="360" w:lineRule="auto"/>
      <w:ind w:firstLine="480" w:firstLineChars="200"/>
    </w:pPr>
  </w:style>
  <w:style w:type="paragraph" w:customStyle="1" w:styleId="207">
    <w:name w:val="Char1 Char Char Char"/>
    <w:basedOn w:val="1"/>
    <w:autoRedefine/>
    <w:qFormat/>
    <w:uiPriority w:val="0"/>
    <w:pPr>
      <w:widowControl/>
      <w:spacing w:after="160" w:line="240" w:lineRule="exact"/>
      <w:jc w:val="left"/>
    </w:pPr>
    <w:rPr>
      <w:kern w:val="0"/>
      <w:sz w:val="24"/>
      <w:szCs w:val="20"/>
    </w:rPr>
  </w:style>
  <w:style w:type="paragraph" w:customStyle="1" w:styleId="208">
    <w:name w:val="标题2"/>
    <w:basedOn w:val="42"/>
    <w:autoRedefine/>
    <w:qFormat/>
    <w:uiPriority w:val="0"/>
    <w:pPr>
      <w:spacing w:after="240"/>
      <w:jc w:val="left"/>
    </w:pPr>
    <w:rPr>
      <w:sz w:val="30"/>
    </w:rPr>
  </w:style>
  <w:style w:type="paragraph" w:customStyle="1" w:styleId="209">
    <w:name w:val="Style27"/>
    <w:basedOn w:val="1"/>
    <w:autoRedefine/>
    <w:unhideWhenUsed/>
    <w:qFormat/>
    <w:uiPriority w:val="0"/>
  </w:style>
  <w:style w:type="paragraph" w:customStyle="1" w:styleId="210">
    <w:name w:val="样式 标题 2 + Times New Roman 四号 非加粗 段前: 5 磅 段后: 0 磅 行距: 固定值 20..."/>
    <w:basedOn w:val="2"/>
    <w:autoRedefine/>
    <w:qFormat/>
    <w:uiPriority w:val="0"/>
    <w:pPr>
      <w:spacing w:before="100" w:line="400" w:lineRule="exact"/>
    </w:pPr>
    <w:rPr>
      <w:rFonts w:ascii="Times New Roman" w:hAnsi="Times New Roman" w:eastAsia="黑体"/>
      <w:b w:val="0"/>
      <w:bCs w:val="0"/>
      <w:sz w:val="28"/>
      <w:szCs w:val="20"/>
    </w:rPr>
  </w:style>
  <w:style w:type="paragraph" w:customStyle="1" w:styleId="211">
    <w:name w:val="Style78"/>
    <w:basedOn w:val="1"/>
    <w:autoRedefine/>
    <w:unhideWhenUsed/>
    <w:qFormat/>
    <w:uiPriority w:val="0"/>
  </w:style>
  <w:style w:type="paragraph" w:styleId="212">
    <w:name w:val="List Paragraph"/>
    <w:basedOn w:val="1"/>
    <w:autoRedefine/>
    <w:qFormat/>
    <w:uiPriority w:val="99"/>
    <w:pPr>
      <w:ind w:firstLine="420" w:firstLineChars="200"/>
    </w:pPr>
    <w:rPr>
      <w:rFonts w:ascii="Calibri" w:hAnsi="Calibri"/>
      <w:szCs w:val="22"/>
    </w:rPr>
  </w:style>
  <w:style w:type="paragraph" w:customStyle="1" w:styleId="213">
    <w:name w:val="Char Char1 Char Char Char"/>
    <w:basedOn w:val="1"/>
    <w:autoRedefine/>
    <w:qFormat/>
    <w:uiPriority w:val="0"/>
    <w:rPr>
      <w:kern w:val="0"/>
      <w:sz w:val="20"/>
      <w:szCs w:val="20"/>
    </w:rPr>
  </w:style>
  <w:style w:type="paragraph" w:customStyle="1" w:styleId="214">
    <w:name w:val="1 Char Char Char Char"/>
    <w:basedOn w:val="1"/>
    <w:autoRedefine/>
    <w:qFormat/>
    <w:uiPriority w:val="0"/>
  </w:style>
  <w:style w:type="paragraph" w:customStyle="1" w:styleId="215">
    <w:name w:val="Style77"/>
    <w:basedOn w:val="1"/>
    <w:autoRedefine/>
    <w:unhideWhenUsed/>
    <w:qFormat/>
    <w:uiPriority w:val="0"/>
  </w:style>
  <w:style w:type="paragraph" w:customStyle="1" w:styleId="216">
    <w:name w:val="Style29"/>
    <w:basedOn w:val="1"/>
    <w:autoRedefine/>
    <w:unhideWhenUsed/>
    <w:qFormat/>
    <w:uiPriority w:val="0"/>
    <w:pPr>
      <w:spacing w:line="547" w:lineRule="exact"/>
      <w:ind w:firstLine="547"/>
    </w:pPr>
  </w:style>
  <w:style w:type="paragraph" w:customStyle="1" w:styleId="217">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8">
    <w:name w:val="_Style 210"/>
    <w:autoRedefine/>
    <w:qFormat/>
    <w:uiPriority w:val="0"/>
    <w:rPr>
      <w:rFonts w:ascii="Times New Roman" w:hAnsi="Times New Roman" w:eastAsia="宋体" w:cs="Times New Roman"/>
      <w:kern w:val="2"/>
      <w:sz w:val="21"/>
      <w:szCs w:val="24"/>
      <w:lang w:val="en-US" w:eastAsia="zh-CN" w:bidi="ar-SA"/>
    </w:rPr>
  </w:style>
  <w:style w:type="paragraph" w:customStyle="1" w:styleId="219">
    <w:name w:val="Style74"/>
    <w:basedOn w:val="1"/>
    <w:autoRedefine/>
    <w:unhideWhenUsed/>
    <w:qFormat/>
    <w:uiPriority w:val="0"/>
    <w:pPr>
      <w:spacing w:line="437" w:lineRule="exact"/>
    </w:pPr>
  </w:style>
  <w:style w:type="paragraph" w:customStyle="1" w:styleId="220">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21">
    <w:name w:val="Style50"/>
    <w:basedOn w:val="1"/>
    <w:autoRedefine/>
    <w:unhideWhenUsed/>
    <w:qFormat/>
    <w:uiPriority w:val="0"/>
  </w:style>
  <w:style w:type="paragraph" w:customStyle="1" w:styleId="222">
    <w:name w:val="Style45"/>
    <w:basedOn w:val="1"/>
    <w:autoRedefine/>
    <w:unhideWhenUsed/>
    <w:qFormat/>
    <w:uiPriority w:val="0"/>
  </w:style>
  <w:style w:type="paragraph" w:customStyle="1" w:styleId="223">
    <w:name w:val="Char Char1 Char Char Char Char Char Char Char"/>
    <w:basedOn w:val="1"/>
    <w:autoRedefine/>
    <w:qFormat/>
    <w:uiPriority w:val="0"/>
    <w:pPr>
      <w:widowControl/>
      <w:spacing w:after="160" w:line="240" w:lineRule="exact"/>
      <w:jc w:val="left"/>
    </w:pPr>
  </w:style>
  <w:style w:type="paragraph" w:customStyle="1" w:styleId="224">
    <w:name w:val="Style76"/>
    <w:basedOn w:val="1"/>
    <w:autoRedefine/>
    <w:unhideWhenUsed/>
    <w:qFormat/>
    <w:uiPriority w:val="0"/>
  </w:style>
  <w:style w:type="paragraph" w:customStyle="1" w:styleId="225">
    <w:name w:val="Style54"/>
    <w:basedOn w:val="1"/>
    <w:autoRedefine/>
    <w:unhideWhenUsed/>
    <w:qFormat/>
    <w:uiPriority w:val="0"/>
  </w:style>
  <w:style w:type="paragraph" w:customStyle="1" w:styleId="226">
    <w:name w:val="Style68"/>
    <w:basedOn w:val="1"/>
    <w:autoRedefine/>
    <w:unhideWhenUsed/>
    <w:qFormat/>
    <w:uiPriority w:val="0"/>
    <w:pPr>
      <w:spacing w:line="547" w:lineRule="exact"/>
    </w:pPr>
  </w:style>
  <w:style w:type="paragraph" w:customStyle="1" w:styleId="227">
    <w:name w:val="标题 1 +"/>
    <w:basedOn w:val="3"/>
    <w:next w:val="1"/>
    <w:autoRedefine/>
    <w:qFormat/>
    <w:uiPriority w:val="0"/>
    <w:pPr>
      <w:keepLines/>
      <w:spacing w:line="600" w:lineRule="auto"/>
    </w:pPr>
    <w:rPr>
      <w:rFonts w:eastAsia="黑体"/>
      <w:kern w:val="0"/>
      <w:sz w:val="32"/>
      <w:szCs w:val="32"/>
    </w:rPr>
  </w:style>
  <w:style w:type="paragraph" w:customStyle="1" w:styleId="228">
    <w:name w:val="Style69"/>
    <w:basedOn w:val="1"/>
    <w:autoRedefine/>
    <w:unhideWhenUsed/>
    <w:qFormat/>
    <w:uiPriority w:val="0"/>
    <w:pPr>
      <w:spacing w:line="557" w:lineRule="exact"/>
      <w:ind w:firstLine="1666"/>
    </w:pPr>
  </w:style>
  <w:style w:type="paragraph" w:customStyle="1" w:styleId="229">
    <w:name w:val="样式1"/>
    <w:basedOn w:val="1"/>
    <w:autoRedefine/>
    <w:qFormat/>
    <w:uiPriority w:val="0"/>
    <w:pPr>
      <w:tabs>
        <w:tab w:val="left" w:pos="360"/>
      </w:tabs>
      <w:adjustRightInd w:val="0"/>
      <w:ind w:left="360" w:hanging="360"/>
      <w:textAlignment w:val="baseline"/>
    </w:pPr>
    <w:rPr>
      <w:rFonts w:ascii="宋体" w:hAnsi="宋体"/>
      <w:kern w:val="0"/>
      <w:szCs w:val="21"/>
    </w:rPr>
  </w:style>
  <w:style w:type="paragraph" w:customStyle="1" w:styleId="230">
    <w:name w:val="表格内容"/>
    <w:basedOn w:val="17"/>
    <w:autoRedefine/>
    <w:qFormat/>
    <w:uiPriority w:val="0"/>
    <w:pPr>
      <w:suppressLineNumbers/>
      <w:suppressAutoHyphens/>
      <w:jc w:val="left"/>
    </w:pPr>
    <w:rPr>
      <w:rFonts w:cs="Tahoma"/>
      <w:kern w:val="0"/>
      <w:sz w:val="24"/>
    </w:rPr>
  </w:style>
  <w:style w:type="paragraph" w:customStyle="1" w:styleId="231">
    <w:name w:val="Style61"/>
    <w:basedOn w:val="1"/>
    <w:autoRedefine/>
    <w:unhideWhenUsed/>
    <w:qFormat/>
    <w:uiPriority w:val="0"/>
  </w:style>
  <w:style w:type="paragraph" w:customStyle="1" w:styleId="232">
    <w:name w:val="Style26"/>
    <w:basedOn w:val="1"/>
    <w:autoRedefine/>
    <w:unhideWhenUsed/>
    <w:qFormat/>
    <w:uiPriority w:val="0"/>
  </w:style>
  <w:style w:type="paragraph" w:customStyle="1" w:styleId="233">
    <w:name w:val="Char1 Char Char Char 字元 Char Char 字元 Char 字元 Char1 Char Char Char"/>
    <w:basedOn w:val="1"/>
    <w:autoRedefine/>
    <w:qFormat/>
    <w:uiPriority w:val="0"/>
    <w:rPr>
      <w:szCs w:val="20"/>
    </w:rPr>
  </w:style>
  <w:style w:type="paragraph" w:customStyle="1" w:styleId="234">
    <w:name w:val="Style63"/>
    <w:basedOn w:val="1"/>
    <w:autoRedefine/>
    <w:unhideWhenUsed/>
    <w:qFormat/>
    <w:uiPriority w:val="0"/>
    <w:pPr>
      <w:spacing w:line="564" w:lineRule="exact"/>
      <w:ind w:firstLine="682"/>
    </w:pPr>
  </w:style>
  <w:style w:type="paragraph" w:customStyle="1" w:styleId="235">
    <w:name w:val="Style58"/>
    <w:basedOn w:val="1"/>
    <w:autoRedefine/>
    <w:unhideWhenUsed/>
    <w:qFormat/>
    <w:uiPriority w:val="0"/>
    <w:pPr>
      <w:spacing w:line="413" w:lineRule="exact"/>
    </w:pPr>
  </w:style>
  <w:style w:type="paragraph" w:customStyle="1" w:styleId="236">
    <w:name w:val="Style28"/>
    <w:basedOn w:val="1"/>
    <w:autoRedefine/>
    <w:unhideWhenUsed/>
    <w:qFormat/>
    <w:uiPriority w:val="0"/>
    <w:pPr>
      <w:spacing w:line="552" w:lineRule="exact"/>
      <w:ind w:firstLine="547"/>
    </w:pPr>
  </w:style>
  <w:style w:type="paragraph" w:customStyle="1" w:styleId="237">
    <w:name w:val="纯文本1"/>
    <w:basedOn w:val="1"/>
    <w:autoRedefine/>
    <w:qFormat/>
    <w:uiPriority w:val="0"/>
    <w:rPr>
      <w:rFonts w:hint="eastAsia" w:ascii="宋体" w:hAnsi="Courier New"/>
    </w:rPr>
  </w:style>
  <w:style w:type="paragraph" w:customStyle="1" w:styleId="238">
    <w:name w:val="Style56"/>
    <w:basedOn w:val="1"/>
    <w:autoRedefine/>
    <w:unhideWhenUsed/>
    <w:qFormat/>
    <w:uiPriority w:val="0"/>
  </w:style>
  <w:style w:type="paragraph" w:customStyle="1" w:styleId="239">
    <w:name w:val="Style65"/>
    <w:basedOn w:val="1"/>
    <w:autoRedefine/>
    <w:unhideWhenUsed/>
    <w:qFormat/>
    <w:uiPriority w:val="0"/>
  </w:style>
  <w:style w:type="paragraph" w:customStyle="1" w:styleId="240">
    <w:name w:val="List Paragraph1"/>
    <w:basedOn w:val="1"/>
    <w:autoRedefine/>
    <w:qFormat/>
    <w:uiPriority w:val="0"/>
    <w:pPr>
      <w:ind w:firstLine="420" w:firstLineChars="200"/>
    </w:pPr>
    <w:rPr>
      <w:rFonts w:ascii="Calibri" w:hAnsi="Calibri" w:cs="Calibri"/>
      <w:szCs w:val="21"/>
    </w:rPr>
  </w:style>
  <w:style w:type="paragraph" w:customStyle="1" w:styleId="241">
    <w:name w:val="Char Char Char"/>
    <w:basedOn w:val="1"/>
    <w:autoRedefine/>
    <w:qFormat/>
    <w:uiPriority w:val="0"/>
    <w:rPr>
      <w:rFonts w:ascii="宋体" w:hAnsi="宋体"/>
      <w:b/>
      <w:sz w:val="28"/>
      <w:szCs w:val="28"/>
    </w:rPr>
  </w:style>
  <w:style w:type="paragraph" w:customStyle="1" w:styleId="242">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43">
    <w:name w:val="_Style 2"/>
    <w:basedOn w:val="1"/>
    <w:autoRedefine/>
    <w:qFormat/>
    <w:uiPriority w:val="34"/>
    <w:pPr>
      <w:ind w:firstLine="420" w:firstLineChars="200"/>
    </w:pPr>
  </w:style>
  <w:style w:type="paragraph" w:customStyle="1" w:styleId="244">
    <w:name w:val="Style62"/>
    <w:basedOn w:val="1"/>
    <w:autoRedefine/>
    <w:unhideWhenUsed/>
    <w:qFormat/>
    <w:uiPriority w:val="0"/>
  </w:style>
  <w:style w:type="paragraph" w:customStyle="1" w:styleId="245">
    <w:name w:val="Style47"/>
    <w:basedOn w:val="1"/>
    <w:autoRedefine/>
    <w:unhideWhenUsed/>
    <w:qFormat/>
    <w:uiPriority w:val="0"/>
  </w:style>
  <w:style w:type="paragraph" w:customStyle="1" w:styleId="246">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47">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248">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9">
    <w:name w:val="标题3"/>
    <w:basedOn w:val="3"/>
    <w:autoRedefine/>
    <w:qFormat/>
    <w:uiPriority w:val="0"/>
    <w:pPr>
      <w:spacing w:beforeLines="50" w:afterLines="50" w:line="400" w:lineRule="exact"/>
      <w:jc w:val="both"/>
    </w:pPr>
    <w:rPr>
      <w:rFonts w:ascii="宋体" w:hAnsi="宋体"/>
      <w:kern w:val="32"/>
      <w:szCs w:val="32"/>
    </w:rPr>
  </w:style>
  <w:style w:type="paragraph" w:customStyle="1" w:styleId="250">
    <w:name w:val="Style60"/>
    <w:basedOn w:val="1"/>
    <w:autoRedefine/>
    <w:unhideWhenUsed/>
    <w:qFormat/>
    <w:uiPriority w:val="0"/>
    <w:pPr>
      <w:spacing w:line="566" w:lineRule="exact"/>
    </w:pPr>
  </w:style>
  <w:style w:type="paragraph" w:customStyle="1" w:styleId="251">
    <w:name w:val="Style52"/>
    <w:basedOn w:val="1"/>
    <w:autoRedefine/>
    <w:unhideWhenUsed/>
    <w:qFormat/>
    <w:uiPriority w:val="0"/>
    <w:pPr>
      <w:spacing w:line="682" w:lineRule="exact"/>
      <w:ind w:firstLine="557"/>
    </w:pPr>
  </w:style>
  <w:style w:type="paragraph" w:customStyle="1" w:styleId="252">
    <w:name w:val="Style53"/>
    <w:basedOn w:val="1"/>
    <w:autoRedefine/>
    <w:unhideWhenUsed/>
    <w:qFormat/>
    <w:uiPriority w:val="0"/>
    <w:pPr>
      <w:spacing w:line="533" w:lineRule="exact"/>
      <w:ind w:firstLine="581"/>
    </w:pPr>
  </w:style>
  <w:style w:type="paragraph" w:customStyle="1" w:styleId="253">
    <w:name w:val="Style44"/>
    <w:basedOn w:val="1"/>
    <w:autoRedefine/>
    <w:unhideWhenUsed/>
    <w:qFormat/>
    <w:uiPriority w:val="0"/>
  </w:style>
  <w:style w:type="paragraph" w:customStyle="1" w:styleId="254">
    <w:name w:val="Style46"/>
    <w:basedOn w:val="1"/>
    <w:autoRedefine/>
    <w:unhideWhenUsed/>
    <w:qFormat/>
    <w:uiPriority w:val="0"/>
    <w:pPr>
      <w:spacing w:line="672" w:lineRule="exact"/>
    </w:pPr>
  </w:style>
  <w:style w:type="paragraph" w:customStyle="1" w:styleId="255">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256">
    <w:name w:val="Style71"/>
    <w:basedOn w:val="1"/>
    <w:autoRedefine/>
    <w:unhideWhenUsed/>
    <w:qFormat/>
    <w:uiPriority w:val="0"/>
    <w:pPr>
      <w:spacing w:line="538" w:lineRule="exact"/>
      <w:ind w:firstLine="101"/>
    </w:pPr>
  </w:style>
  <w:style w:type="paragraph" w:customStyle="1" w:styleId="257">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258">
    <w:name w:val="WPSOffice手动目录 1"/>
    <w:autoRedefine/>
    <w:qFormat/>
    <w:uiPriority w:val="0"/>
    <w:rPr>
      <w:rFonts w:ascii="Times New Roman" w:hAnsi="Times New Roman" w:eastAsia="宋体" w:cs="Times New Roman"/>
      <w:lang w:val="en-US" w:eastAsia="zh-CN" w:bidi="ar-SA"/>
    </w:rPr>
  </w:style>
  <w:style w:type="paragraph" w:customStyle="1" w:styleId="259">
    <w:name w:val="Normal_8"/>
    <w:autoRedefine/>
    <w:qFormat/>
    <w:uiPriority w:val="0"/>
    <w:rPr>
      <w:rFonts w:ascii="Times New Roman" w:hAnsi="Times New Roman" w:eastAsia="Times New Roman" w:cs="Times New Roman"/>
      <w:sz w:val="24"/>
      <w:szCs w:val="24"/>
      <w:lang w:val="en-US" w:eastAsia="zh-CN" w:bidi="ar-SA"/>
    </w:rPr>
  </w:style>
  <w:style w:type="character" w:customStyle="1" w:styleId="260">
    <w:name w:val="脚注文本 Char"/>
    <w:basedOn w:val="47"/>
    <w:link w:val="33"/>
    <w:autoRedefine/>
    <w:qFormat/>
    <w:uiPriority w:val="0"/>
    <w:rPr>
      <w:rFonts w:ascii="Arial" w:hAnsi="Arial"/>
      <w:spacing w:val="80"/>
      <w:kern w:val="2"/>
      <w:sz w:val="40"/>
      <w:lang w:eastAsia="en-US"/>
    </w:rPr>
  </w:style>
  <w:style w:type="paragraph" w:customStyle="1" w:styleId="261">
    <w:name w:val="Table Paragraph"/>
    <w:basedOn w:val="1"/>
    <w:autoRedefine/>
    <w:qFormat/>
    <w:uiPriority w:val="0"/>
    <w:pPr>
      <w:autoSpaceDE w:val="0"/>
      <w:autoSpaceDN w:val="0"/>
      <w:jc w:val="left"/>
    </w:pPr>
    <w:rPr>
      <w:rFonts w:ascii="宋体" w:hAnsi="宋体" w:cs="宋体"/>
      <w:kern w:val="0"/>
      <w:sz w:val="22"/>
      <w:szCs w:val="22"/>
      <w:lang w:val="zh-CN" w:bidi="zh-CN"/>
    </w:rPr>
  </w:style>
  <w:style w:type="paragraph" w:customStyle="1" w:styleId="262">
    <w:name w:val="Body text|1"/>
    <w:basedOn w:val="1"/>
    <w:autoRedefine/>
    <w:qFormat/>
    <w:uiPriority w:val="0"/>
    <w:pPr>
      <w:spacing w:line="434" w:lineRule="auto"/>
      <w:ind w:firstLine="400"/>
    </w:pPr>
    <w:rPr>
      <w:rFonts w:ascii="宋体" w:hAnsi="宋体" w:cs="宋体"/>
      <w:sz w:val="22"/>
      <w:szCs w:val="22"/>
      <w:lang w:val="zh-TW" w:eastAsia="zh-TW" w:bidi="zh-TW"/>
    </w:rPr>
  </w:style>
  <w:style w:type="paragraph" w:customStyle="1" w:styleId="263">
    <w:name w:val="Heading #3|1"/>
    <w:basedOn w:val="1"/>
    <w:autoRedefine/>
    <w:qFormat/>
    <w:uiPriority w:val="0"/>
    <w:pPr>
      <w:spacing w:line="410" w:lineRule="exact"/>
      <w:ind w:firstLine="440"/>
      <w:outlineLvl w:val="2"/>
    </w:pPr>
    <w:rPr>
      <w:rFonts w:ascii="宋体" w:hAnsi="宋体" w:cs="宋体"/>
      <w:b/>
      <w:bCs/>
      <w:sz w:val="20"/>
      <w:szCs w:val="20"/>
      <w:lang w:val="zh-TW" w:eastAsia="zh-TW" w:bidi="zh-TW"/>
    </w:rPr>
  </w:style>
  <w:style w:type="paragraph" w:customStyle="1" w:styleId="264">
    <w:name w:val="Body text|5"/>
    <w:basedOn w:val="1"/>
    <w:autoRedefine/>
    <w:qFormat/>
    <w:uiPriority w:val="0"/>
    <w:pPr>
      <w:spacing w:after="360"/>
      <w:jc w:val="center"/>
    </w:pPr>
    <w:rPr>
      <w:rFonts w:ascii="宋体" w:hAnsi="宋体" w:cs="宋体"/>
      <w:b/>
      <w:bCs/>
      <w:sz w:val="36"/>
      <w:szCs w:val="36"/>
      <w:lang w:val="zh-TW" w:eastAsia="zh-TW" w:bidi="zh-TW"/>
    </w:rPr>
  </w:style>
  <w:style w:type="table" w:customStyle="1" w:styleId="265">
    <w:name w:val="Table Normal"/>
    <w:autoRedefine/>
    <w:semiHidden/>
    <w:unhideWhenUsed/>
    <w:qFormat/>
    <w:uiPriority w:val="0"/>
    <w:tblPr>
      <w:tblCellMar>
        <w:top w:w="0" w:type="dxa"/>
        <w:left w:w="0" w:type="dxa"/>
        <w:bottom w:w="0" w:type="dxa"/>
        <w:right w:w="0" w:type="dxa"/>
      </w:tblCellMar>
    </w:tblPr>
  </w:style>
  <w:style w:type="paragraph" w:customStyle="1" w:styleId="266">
    <w:name w:val="Other|1"/>
    <w:basedOn w:val="1"/>
    <w:autoRedefine/>
    <w:qFormat/>
    <w:uiPriority w:val="0"/>
    <w:pPr>
      <w:widowControl w:val="0"/>
      <w:shd w:val="clear" w:color="auto" w:fill="auto"/>
      <w:spacing w:after="160" w:line="408" w:lineRule="auto"/>
      <w:ind w:firstLine="280"/>
    </w:pPr>
    <w:rPr>
      <w:rFonts w:ascii="宋体" w:hAnsi="宋体" w:eastAsia="宋体" w:cs="宋体"/>
      <w:sz w:val="26"/>
      <w:szCs w:val="26"/>
      <w:u w:val="none"/>
      <w:shd w:val="clear" w:color="auto" w:fill="auto"/>
      <w:lang w:val="zh-TW" w:eastAsia="zh-TW" w:bidi="zh-TW"/>
    </w:rPr>
  </w:style>
  <w:style w:type="paragraph" w:customStyle="1" w:styleId="267">
    <w:name w:val="Normal_0_2"/>
    <w:basedOn w:val="1"/>
    <w:autoRedefine/>
    <w:qFormat/>
    <w:uiPriority w:val="0"/>
    <w:pPr>
      <w:widowControl/>
      <w:spacing w:line="360" w:lineRule="auto"/>
      <w:jc w:val="left"/>
    </w:pPr>
    <w:rPr>
      <w:rFonts w:eastAsia="Times New Roman"/>
      <w:kern w:val="0"/>
      <w:sz w:val="24"/>
    </w:rPr>
  </w:style>
  <w:style w:type="paragraph" w:customStyle="1" w:styleId="268">
    <w:name w:val="Heading #1|1"/>
    <w:basedOn w:val="1"/>
    <w:autoRedefine/>
    <w:qFormat/>
    <w:uiPriority w:val="0"/>
    <w:pPr>
      <w:widowControl w:val="0"/>
      <w:shd w:val="clear" w:color="auto" w:fill="auto"/>
      <w:spacing w:before="2040" w:after="1980"/>
      <w:jc w:val="center"/>
      <w:outlineLvl w:val="0"/>
    </w:pPr>
    <w:rPr>
      <w:rFonts w:ascii="宋体" w:hAnsi="宋体" w:eastAsia="宋体" w:cs="宋体"/>
      <w:sz w:val="48"/>
      <w:szCs w:val="48"/>
      <w:u w:val="none"/>
      <w:shd w:val="clear" w:color="auto" w:fill="auto"/>
      <w:lang w:val="zh-TW" w:eastAsia="zh-TW" w:bidi="zh-TW"/>
    </w:rPr>
  </w:style>
  <w:style w:type="paragraph" w:customStyle="1" w:styleId="269">
    <w:name w:val="表"/>
    <w:basedOn w:val="1"/>
    <w:next w:val="1"/>
    <w:qFormat/>
    <w:uiPriority w:val="7"/>
    <w:pPr>
      <w:jc w:val="center"/>
    </w:pPr>
    <w:rPr>
      <w:szCs w:val="21"/>
    </w:rPr>
  </w:style>
  <w:style w:type="paragraph" w:customStyle="1" w:styleId="270">
    <w:name w:val="Normal_1"/>
    <w:qFormat/>
    <w:uiPriority w:val="0"/>
    <w:rPr>
      <w:rFonts w:ascii="Times New Roman" w:hAnsi="Times New Roman" w:eastAsia="Times New Roman" w:cs="Times New Roman"/>
      <w:sz w:val="24"/>
      <w:szCs w:val="24"/>
      <w:lang w:val="en-US" w:eastAsia="zh-CN" w:bidi="ar-SA"/>
    </w:rPr>
  </w:style>
  <w:style w:type="paragraph" w:customStyle="1" w:styleId="271">
    <w:name w:val="表 靠左"/>
    <w:basedOn w:val="269"/>
    <w:qFormat/>
    <w:uiPriority w:val="0"/>
    <w:pPr>
      <w:jc w:val="left"/>
    </w:pPr>
  </w:style>
  <w:style w:type="paragraph" w:customStyle="1" w:styleId="272">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ABA32B-7AC6-4DD6-B841-15A35B0E3F74}">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92</Pages>
  <Words>7552</Words>
  <Characters>8214</Characters>
  <Lines>228</Lines>
  <Paragraphs>64</Paragraphs>
  <TotalTime>19</TotalTime>
  <ScaleCrop>false</ScaleCrop>
  <LinksUpToDate>false</LinksUpToDate>
  <CharactersWithSpaces>8481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2020-03-20T04:22:00Z</dcterms:created>
  <dc:creator>admin</dc:creator>
  <cp:lastModifiedBy>Administrator</cp:lastModifiedBy>
  <cp:lastPrinted>2026-08-25T03:56:00Z</cp:lastPrinted>
  <dcterms:modified xsi:type="dcterms:W3CDTF">2026-08-26T03:18:44Z</dcterms:modified>
  <dc:title>附件十一</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79F25D70FDBE4C27804A87E732377C56_13</vt:lpwstr>
  </property>
  <property fmtid="{D5CDD505-2E9C-101B-9397-08002B2CF9AE}" pid="4" name="KSOTemplateDocerSaveRecord">
    <vt:lpwstr>eyJoZGlkIjoiMTI0OGIzNDgyMTc0MTRhZGU5YWU3MGQ3YmVmOGQyMTgiLCJ1c2VySWQiOiIxMTczNjM5NTk2In0=</vt:lpwstr>
  </property>
</Properties>
</file>