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5573B">
      <w:pPr>
        <w:numPr>
          <w:ilvl w:val="0"/>
          <w:numId w:val="1"/>
        </w:numPr>
        <w:adjustRightInd w:val="0"/>
        <w:snapToGrid w:val="0"/>
        <w:spacing w:line="360" w:lineRule="auto"/>
        <w:jc w:val="center"/>
        <w:rPr>
          <w:rFonts w:hint="eastAsia" w:ascii="黑体" w:hAnsi="华文中宋" w:eastAsia="黑体"/>
          <w:b/>
          <w:sz w:val="32"/>
          <w:szCs w:val="32"/>
          <w:highlight w:val="none"/>
        </w:rPr>
      </w:pPr>
      <w:bookmarkStart w:id="0" w:name="_Toc20651235"/>
      <w:r>
        <w:rPr>
          <w:rFonts w:hint="eastAsia" w:ascii="黑体" w:hAnsi="华文中宋" w:eastAsia="黑体"/>
          <w:b/>
          <w:color w:val="000000"/>
          <w:kern w:val="2"/>
          <w:sz w:val="32"/>
          <w:szCs w:val="32"/>
          <w:highlight w:val="none"/>
          <w:lang w:val="en-US" w:eastAsia="zh-CN" w:bidi="ar-SA"/>
        </w:rPr>
        <w:t xml:space="preserve"> </w:t>
      </w:r>
      <w:r>
        <w:rPr>
          <w:rFonts w:hint="eastAsia" w:ascii="黑体" w:hAnsi="华文中宋" w:eastAsia="黑体"/>
          <w:b/>
          <w:sz w:val="32"/>
          <w:szCs w:val="32"/>
          <w:highlight w:val="none"/>
        </w:rPr>
        <w:t>采购需求</w:t>
      </w:r>
      <w:bookmarkEnd w:id="0"/>
    </w:p>
    <w:p w14:paraId="6A7E3C9C">
      <w:pPr>
        <w:adjustRightInd w:val="0"/>
        <w:snapToGrid w:val="0"/>
        <w:spacing w:line="360" w:lineRule="auto"/>
        <w:rPr>
          <w:rFonts w:hint="eastAsia" w:ascii="宋体" w:hAnsi="宋体" w:eastAsia="宋体" w:cs="宋体"/>
          <w:b/>
          <w:bCs/>
          <w:iCs/>
          <w:color w:val="000000"/>
          <w:kern w:val="0"/>
          <w:sz w:val="21"/>
          <w:szCs w:val="21"/>
          <w:highlight w:val="none"/>
          <w:lang w:val="en-US" w:eastAsia="zh-CN" w:bidi="ar-SA"/>
        </w:rPr>
      </w:pPr>
      <w:r>
        <w:rPr>
          <w:rFonts w:hint="eastAsia" w:ascii="宋体" w:hAnsi="宋体" w:eastAsia="宋体" w:cs="宋体"/>
          <w:b/>
          <w:bCs/>
          <w:iCs/>
          <w:color w:val="000000"/>
          <w:kern w:val="0"/>
          <w:sz w:val="21"/>
          <w:szCs w:val="21"/>
          <w:highlight w:val="none"/>
          <w:lang w:val="en-US" w:eastAsia="zh-CN" w:bidi="ar-SA"/>
        </w:rPr>
        <w:t>一、基本信息</w:t>
      </w:r>
    </w:p>
    <w:p w14:paraId="39697F70">
      <w:pPr>
        <w:adjustRightInd w:val="0"/>
        <w:snapToGrid w:val="0"/>
        <w:spacing w:line="360" w:lineRule="auto"/>
        <w:ind w:firstLine="420" w:firstLineChars="200"/>
        <w:rPr>
          <w:rFonts w:hint="eastAsia" w:ascii="宋体" w:hAnsi="宋体" w:eastAsia="宋体" w:cs="宋体"/>
          <w:iCs/>
          <w:color w:val="000000"/>
          <w:kern w:val="0"/>
          <w:sz w:val="21"/>
          <w:szCs w:val="21"/>
          <w:highlight w:val="none"/>
          <w:lang w:val="en-US" w:eastAsia="zh-CN" w:bidi="ar-SA"/>
        </w:rPr>
      </w:pPr>
      <w:r>
        <w:rPr>
          <w:rFonts w:hint="eastAsia" w:ascii="宋体" w:hAnsi="宋体" w:eastAsia="宋体" w:cs="宋体"/>
          <w:iCs/>
          <w:color w:val="000000"/>
          <w:kern w:val="0"/>
          <w:sz w:val="21"/>
          <w:szCs w:val="21"/>
          <w:highlight w:val="none"/>
          <w:lang w:val="en-US" w:eastAsia="zh-CN" w:bidi="ar-SA"/>
        </w:rPr>
        <w:t>采购项目名称：</w:t>
      </w:r>
      <w:r>
        <w:rPr>
          <w:rFonts w:hint="eastAsia" w:ascii="宋体" w:hAnsi="宋体" w:cs="宋体"/>
          <w:iCs/>
          <w:color w:val="000000"/>
          <w:kern w:val="0"/>
          <w:sz w:val="21"/>
          <w:szCs w:val="21"/>
          <w:highlight w:val="none"/>
          <w:lang w:val="en-US" w:eastAsia="zh-CN" w:bidi="ar-SA"/>
        </w:rPr>
        <w:t>岳阳市人民医院多参数心电监护仪、二氧化碳激光治疗仪、皮秒激光治疗机采购项目</w:t>
      </w:r>
    </w:p>
    <w:p w14:paraId="03BAA335">
      <w:pPr>
        <w:adjustRightInd w:val="0"/>
        <w:snapToGrid w:val="0"/>
        <w:spacing w:line="360" w:lineRule="auto"/>
        <w:ind w:firstLine="420" w:firstLineChars="200"/>
        <w:rPr>
          <w:rFonts w:hint="eastAsia" w:ascii="宋体" w:hAnsi="宋体" w:eastAsia="宋体" w:cs="宋体"/>
          <w:iCs/>
          <w:color w:val="000000"/>
          <w:kern w:val="0"/>
          <w:sz w:val="21"/>
          <w:szCs w:val="21"/>
          <w:highlight w:val="none"/>
          <w:lang w:val="en-US" w:eastAsia="zh-CN" w:bidi="ar-SA"/>
        </w:rPr>
      </w:pPr>
      <w:r>
        <w:rPr>
          <w:rFonts w:hint="eastAsia" w:ascii="宋体" w:hAnsi="宋体" w:eastAsia="宋体" w:cs="宋体"/>
          <w:iCs/>
          <w:color w:val="000000"/>
          <w:kern w:val="0"/>
          <w:sz w:val="21"/>
          <w:szCs w:val="21"/>
          <w:highlight w:val="none"/>
          <w:lang w:val="en-US" w:eastAsia="zh-CN" w:bidi="ar-SA"/>
        </w:rPr>
        <w:t>采购人：</w:t>
      </w:r>
      <w:r>
        <w:rPr>
          <w:rFonts w:hint="eastAsia" w:ascii="宋体" w:hAnsi="宋体" w:cs="宋体"/>
          <w:iCs/>
          <w:color w:val="000000"/>
          <w:kern w:val="0"/>
          <w:sz w:val="21"/>
          <w:szCs w:val="21"/>
          <w:highlight w:val="none"/>
          <w:lang w:val="en-US" w:eastAsia="zh-CN" w:bidi="ar-SA"/>
        </w:rPr>
        <w:t>岳阳市人民医院</w:t>
      </w:r>
    </w:p>
    <w:p w14:paraId="6433C080">
      <w:pPr>
        <w:adjustRightInd w:val="0"/>
        <w:snapToGrid w:val="0"/>
        <w:spacing w:line="360" w:lineRule="auto"/>
        <w:ind w:firstLine="420" w:firstLineChars="200"/>
        <w:rPr>
          <w:rFonts w:hint="eastAsia" w:ascii="宋体" w:hAnsi="宋体" w:eastAsia="宋体" w:cs="宋体"/>
          <w:iCs/>
          <w:color w:val="000000"/>
          <w:kern w:val="0"/>
          <w:sz w:val="21"/>
          <w:szCs w:val="21"/>
          <w:highlight w:val="none"/>
          <w:lang w:val="en-US" w:eastAsia="zh-CN" w:bidi="ar-SA"/>
        </w:rPr>
      </w:pPr>
      <w:r>
        <w:rPr>
          <w:rFonts w:hint="eastAsia" w:ascii="宋体" w:hAnsi="宋体" w:eastAsia="宋体" w:cs="宋体"/>
          <w:iCs/>
          <w:color w:val="000000"/>
          <w:kern w:val="0"/>
          <w:sz w:val="21"/>
          <w:szCs w:val="21"/>
          <w:highlight w:val="none"/>
          <w:lang w:val="en-US" w:eastAsia="zh-CN" w:bidi="ar-SA"/>
        </w:rPr>
        <w:t>预算金额：2890000.00元（其中包1：</w:t>
      </w:r>
      <w:r>
        <w:rPr>
          <w:rFonts w:hint="eastAsia" w:ascii="宋体" w:hAnsi="宋体" w:cs="宋体"/>
          <w:bCs/>
          <w:color w:val="000000"/>
          <w:sz w:val="21"/>
          <w:szCs w:val="21"/>
          <w:highlight w:val="none"/>
          <w:lang w:val="en-US" w:eastAsia="zh-CN"/>
        </w:rPr>
        <w:t>1100000</w:t>
      </w:r>
      <w:r>
        <w:rPr>
          <w:rFonts w:hint="eastAsia" w:ascii="宋体" w:hAnsi="宋体" w:eastAsia="宋体" w:cs="宋体"/>
          <w:iCs/>
          <w:color w:val="000000"/>
          <w:kern w:val="0"/>
          <w:sz w:val="21"/>
          <w:szCs w:val="21"/>
          <w:highlight w:val="none"/>
          <w:lang w:val="en-US" w:eastAsia="zh-CN" w:bidi="ar-SA"/>
        </w:rPr>
        <w:t>元、包2：950000元、包3：840000元）</w:t>
      </w:r>
    </w:p>
    <w:p w14:paraId="1506C160">
      <w:pPr>
        <w:adjustRightInd w:val="0"/>
        <w:snapToGrid w:val="0"/>
        <w:spacing w:line="360" w:lineRule="auto"/>
        <w:ind w:firstLine="550" w:firstLineChars="200"/>
        <w:rPr>
          <w:rFonts w:ascii="黑体" w:hAnsi="黑体" w:eastAsia="黑体" w:cs="黑体"/>
          <w:b/>
          <w:bCs/>
          <w:spacing w:val="-3"/>
          <w:sz w:val="28"/>
          <w:szCs w:val="28"/>
          <w:highlight w:val="none"/>
        </w:rPr>
      </w:pPr>
      <w:r>
        <w:rPr>
          <w:rFonts w:ascii="黑体" w:hAnsi="黑体" w:eastAsia="黑体" w:cs="黑体"/>
          <w:b/>
          <w:bCs/>
          <w:spacing w:val="-3"/>
          <w:sz w:val="28"/>
          <w:szCs w:val="28"/>
          <w:highlight w:val="none"/>
        </w:rPr>
        <w:br w:type="textWrapping"/>
      </w:r>
      <w:r>
        <w:rPr>
          <w:rFonts w:hint="eastAsia" w:ascii="黑体" w:hAnsi="黑体" w:eastAsia="黑体" w:cs="黑体"/>
          <w:b/>
          <w:bCs/>
          <w:spacing w:val="-3"/>
          <w:sz w:val="28"/>
          <w:szCs w:val="28"/>
          <w:highlight w:val="none"/>
          <w:lang w:val="en-US" w:eastAsia="zh-CN"/>
        </w:rPr>
        <w:t xml:space="preserve">                        </w:t>
      </w:r>
      <w:r>
        <w:rPr>
          <w:rFonts w:hint="eastAsia" w:ascii="黑体" w:hAnsi="黑体" w:eastAsia="黑体" w:cs="黑体"/>
          <w:b/>
          <w:bCs/>
          <w:spacing w:val="-3"/>
          <w:sz w:val="28"/>
          <w:szCs w:val="28"/>
          <w:highlight w:val="none"/>
        </w:rPr>
        <w:t xml:space="preserve">第一节 </w:t>
      </w:r>
      <w:r>
        <w:rPr>
          <w:rFonts w:ascii="黑体" w:hAnsi="黑体" w:eastAsia="黑体" w:cs="黑体"/>
          <w:b/>
          <w:bCs/>
          <w:spacing w:val="-3"/>
          <w:sz w:val="28"/>
          <w:szCs w:val="28"/>
          <w:highlight w:val="none"/>
        </w:rPr>
        <w:t>采购清单一览表</w:t>
      </w:r>
    </w:p>
    <w:tbl>
      <w:tblPr>
        <w:tblStyle w:val="6"/>
        <w:tblW w:w="9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3700"/>
        <w:gridCol w:w="917"/>
        <w:gridCol w:w="783"/>
        <w:gridCol w:w="1914"/>
        <w:gridCol w:w="920"/>
      </w:tblGrid>
      <w:tr w14:paraId="6F0D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786" w:type="dxa"/>
            <w:noWrap w:val="0"/>
            <w:vAlign w:val="top"/>
          </w:tcPr>
          <w:p w14:paraId="6E6CA0C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eastAsia="zh-CN"/>
              </w:rPr>
              <w:t>包号</w:t>
            </w:r>
          </w:p>
        </w:tc>
        <w:tc>
          <w:tcPr>
            <w:tcW w:w="3700" w:type="dxa"/>
            <w:noWrap w:val="0"/>
            <w:vAlign w:val="top"/>
          </w:tcPr>
          <w:p w14:paraId="1C5F0AB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val="en-US" w:eastAsia="zh-CN"/>
              </w:rPr>
              <w:t>包名称</w:t>
            </w:r>
          </w:p>
        </w:tc>
        <w:tc>
          <w:tcPr>
            <w:tcW w:w="917" w:type="dxa"/>
            <w:noWrap w:val="0"/>
            <w:vAlign w:val="top"/>
          </w:tcPr>
          <w:p w14:paraId="02B9DD2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eastAsia="zh-CN"/>
              </w:rPr>
              <w:t>数量</w:t>
            </w:r>
          </w:p>
        </w:tc>
        <w:tc>
          <w:tcPr>
            <w:tcW w:w="783" w:type="dxa"/>
            <w:noWrap w:val="0"/>
            <w:vAlign w:val="top"/>
          </w:tcPr>
          <w:p w14:paraId="3F2054F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eastAsia="zh-CN"/>
              </w:rPr>
              <w:t>单位</w:t>
            </w:r>
          </w:p>
        </w:tc>
        <w:tc>
          <w:tcPr>
            <w:tcW w:w="1914" w:type="dxa"/>
            <w:noWrap w:val="0"/>
            <w:vAlign w:val="top"/>
          </w:tcPr>
          <w:p w14:paraId="564A9D8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eastAsia="zh-CN"/>
              </w:rPr>
              <w:t>最高限价</w:t>
            </w:r>
          </w:p>
        </w:tc>
        <w:tc>
          <w:tcPr>
            <w:tcW w:w="920" w:type="dxa"/>
            <w:noWrap w:val="0"/>
            <w:vAlign w:val="top"/>
          </w:tcPr>
          <w:p w14:paraId="6D7DE97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sz w:val="21"/>
                <w:szCs w:val="21"/>
                <w:vertAlign w:val="baseline"/>
                <w:lang w:eastAsia="zh-CN"/>
              </w:rPr>
              <w:t>备注</w:t>
            </w:r>
          </w:p>
        </w:tc>
      </w:tr>
      <w:tr w14:paraId="4B31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86" w:type="dxa"/>
            <w:noWrap w:val="0"/>
            <w:vAlign w:val="center"/>
          </w:tcPr>
          <w:p w14:paraId="21A0E3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包1</w:t>
            </w:r>
          </w:p>
        </w:tc>
        <w:tc>
          <w:tcPr>
            <w:tcW w:w="3700" w:type="dxa"/>
            <w:shd w:val="clear" w:color="auto" w:fill="auto"/>
            <w:noWrap w:val="0"/>
            <w:vAlign w:val="center"/>
          </w:tcPr>
          <w:p w14:paraId="7A9E49A5">
            <w:pPr>
              <w:keepNext w:val="0"/>
              <w:keepLines w:val="0"/>
              <w:widowControl/>
              <w:suppressLineNumbers w:val="0"/>
              <w:jc w:val="center"/>
              <w:textAlignment w:val="center"/>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kern w:val="2"/>
                <w:sz w:val="21"/>
                <w:szCs w:val="21"/>
                <w:vertAlign w:val="baseline"/>
                <w:lang w:val="en-US" w:eastAsia="zh-CN" w:bidi="ar-SA"/>
              </w:rPr>
              <w:t>多参数心电监护仪</w:t>
            </w:r>
          </w:p>
        </w:tc>
        <w:tc>
          <w:tcPr>
            <w:tcW w:w="917" w:type="dxa"/>
            <w:shd w:val="clear" w:color="auto" w:fill="auto"/>
            <w:noWrap w:val="0"/>
            <w:vAlign w:val="top"/>
          </w:tcPr>
          <w:p w14:paraId="5FAE54F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12</w:t>
            </w:r>
          </w:p>
        </w:tc>
        <w:tc>
          <w:tcPr>
            <w:tcW w:w="783" w:type="dxa"/>
            <w:shd w:val="clear" w:color="auto" w:fill="auto"/>
            <w:noWrap w:val="0"/>
            <w:vAlign w:val="top"/>
          </w:tcPr>
          <w:p w14:paraId="62A22CF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vertAlign w:val="baseline"/>
                <w:lang w:eastAsia="zh-CN"/>
              </w:rPr>
              <w:t>台</w:t>
            </w:r>
          </w:p>
        </w:tc>
        <w:tc>
          <w:tcPr>
            <w:tcW w:w="1914" w:type="dxa"/>
            <w:shd w:val="clear" w:color="auto" w:fill="auto"/>
            <w:noWrap w:val="0"/>
            <w:vAlign w:val="top"/>
          </w:tcPr>
          <w:p w14:paraId="7BED606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kern w:val="2"/>
                <w:sz w:val="21"/>
                <w:szCs w:val="21"/>
                <w:vertAlign w:val="baseline"/>
                <w:lang w:val="en-US" w:eastAsia="zh-CN" w:bidi="ar-SA"/>
              </w:rPr>
            </w:pPr>
            <w:r>
              <w:rPr>
                <w:rFonts w:hint="eastAsia" w:ascii="宋体" w:hAnsi="宋体" w:cs="宋体"/>
                <w:bCs/>
                <w:color w:val="000000"/>
                <w:sz w:val="21"/>
                <w:szCs w:val="21"/>
                <w:highlight w:val="none"/>
                <w:lang w:val="en-US" w:eastAsia="zh-CN"/>
              </w:rPr>
              <w:t>1100000</w:t>
            </w:r>
            <w:r>
              <w:rPr>
                <w:rFonts w:hint="eastAsia" w:asciiTheme="minorEastAsia" w:hAnsiTheme="minorEastAsia" w:eastAsiaTheme="minorEastAsia" w:cstheme="minorEastAsia"/>
                <w:iCs/>
                <w:color w:val="000000"/>
                <w:kern w:val="0"/>
                <w:sz w:val="21"/>
                <w:szCs w:val="21"/>
                <w:highlight w:val="none"/>
                <w:lang w:val="en-US" w:eastAsia="zh-CN" w:bidi="ar-SA"/>
              </w:rPr>
              <w:t>元</w:t>
            </w:r>
          </w:p>
        </w:tc>
        <w:tc>
          <w:tcPr>
            <w:tcW w:w="920" w:type="dxa"/>
            <w:noWrap w:val="0"/>
            <w:vAlign w:val="top"/>
          </w:tcPr>
          <w:p w14:paraId="1077B4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08C8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86" w:type="dxa"/>
            <w:noWrap w:val="0"/>
            <w:vAlign w:val="center"/>
          </w:tcPr>
          <w:p w14:paraId="286D4179">
            <w:pPr>
              <w:keepNext w:val="0"/>
              <w:keepLines w:val="0"/>
              <w:widowControl/>
              <w:suppressLineNumbers w:val="0"/>
              <w:jc w:val="center"/>
              <w:textAlignment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i w:val="0"/>
                <w:iCs w:val="0"/>
                <w:color w:val="000000"/>
                <w:kern w:val="0"/>
                <w:sz w:val="21"/>
                <w:szCs w:val="21"/>
                <w:u w:val="none"/>
                <w:lang w:val="en-US" w:eastAsia="zh-CN" w:bidi="ar"/>
              </w:rPr>
              <w:t>包2</w:t>
            </w:r>
          </w:p>
        </w:tc>
        <w:tc>
          <w:tcPr>
            <w:tcW w:w="3700" w:type="dxa"/>
            <w:shd w:val="clear" w:color="auto" w:fill="auto"/>
            <w:noWrap w:val="0"/>
            <w:vAlign w:val="center"/>
          </w:tcPr>
          <w:p w14:paraId="1D6B59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二氧化碳激光治疗仪</w:t>
            </w:r>
          </w:p>
        </w:tc>
        <w:tc>
          <w:tcPr>
            <w:tcW w:w="917" w:type="dxa"/>
            <w:shd w:val="clear" w:color="auto" w:fill="auto"/>
            <w:noWrap w:val="0"/>
            <w:vAlign w:val="top"/>
          </w:tcPr>
          <w:p w14:paraId="50AB3C7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vertAlign w:val="baseline"/>
                <w:lang w:val="en-US" w:eastAsia="zh-CN"/>
              </w:rPr>
              <w:t>1</w:t>
            </w:r>
          </w:p>
        </w:tc>
        <w:tc>
          <w:tcPr>
            <w:tcW w:w="783" w:type="dxa"/>
            <w:shd w:val="clear" w:color="auto" w:fill="auto"/>
            <w:noWrap w:val="0"/>
            <w:vAlign w:val="top"/>
          </w:tcPr>
          <w:p w14:paraId="7FF87B9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sz w:val="21"/>
                <w:szCs w:val="21"/>
                <w:vertAlign w:val="baseline"/>
                <w:lang w:eastAsia="zh-CN"/>
              </w:rPr>
              <w:t>台</w:t>
            </w:r>
          </w:p>
        </w:tc>
        <w:tc>
          <w:tcPr>
            <w:tcW w:w="1914" w:type="dxa"/>
            <w:shd w:val="clear" w:color="auto" w:fill="auto"/>
            <w:noWrap w:val="0"/>
            <w:vAlign w:val="top"/>
          </w:tcPr>
          <w:p w14:paraId="15C26A7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kern w:val="2"/>
                <w:sz w:val="21"/>
                <w:szCs w:val="21"/>
                <w:vertAlign w:val="baseline"/>
                <w:lang w:val="en-US" w:eastAsia="zh-CN" w:bidi="ar-SA"/>
              </w:rPr>
            </w:pPr>
            <w:r>
              <w:rPr>
                <w:rFonts w:hint="eastAsia" w:asciiTheme="minorEastAsia" w:hAnsiTheme="minorEastAsia" w:eastAsiaTheme="minorEastAsia" w:cstheme="minorEastAsia"/>
                <w:iCs/>
                <w:color w:val="000000"/>
                <w:kern w:val="0"/>
                <w:sz w:val="21"/>
                <w:szCs w:val="21"/>
                <w:highlight w:val="none"/>
                <w:lang w:val="en-US" w:eastAsia="zh-CN" w:bidi="ar-SA"/>
              </w:rPr>
              <w:t>950000元</w:t>
            </w:r>
          </w:p>
        </w:tc>
        <w:tc>
          <w:tcPr>
            <w:tcW w:w="920" w:type="dxa"/>
            <w:noWrap w:val="0"/>
            <w:vAlign w:val="top"/>
          </w:tcPr>
          <w:p w14:paraId="3860B19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rPr>
            </w:pPr>
          </w:p>
        </w:tc>
      </w:tr>
      <w:tr w14:paraId="281B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86" w:type="dxa"/>
            <w:noWrap w:val="0"/>
            <w:vAlign w:val="center"/>
          </w:tcPr>
          <w:p w14:paraId="6C985B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包3</w:t>
            </w:r>
          </w:p>
        </w:tc>
        <w:tc>
          <w:tcPr>
            <w:tcW w:w="3700" w:type="dxa"/>
            <w:shd w:val="clear" w:color="auto" w:fill="auto"/>
            <w:noWrap w:val="0"/>
            <w:vAlign w:val="center"/>
          </w:tcPr>
          <w:p w14:paraId="1AA2FC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Cs/>
                <w:color w:val="000000"/>
                <w:kern w:val="0"/>
                <w:sz w:val="21"/>
                <w:szCs w:val="21"/>
                <w:highlight w:val="none"/>
                <w:lang w:val="en-US" w:eastAsia="zh-CN" w:bidi="ar-SA"/>
              </w:rPr>
              <w:t>皮秒激光治疗机</w:t>
            </w:r>
          </w:p>
        </w:tc>
        <w:tc>
          <w:tcPr>
            <w:tcW w:w="917" w:type="dxa"/>
            <w:shd w:val="clear" w:color="auto" w:fill="auto"/>
            <w:noWrap w:val="0"/>
            <w:vAlign w:val="center"/>
          </w:tcPr>
          <w:p w14:paraId="72B42A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783" w:type="dxa"/>
            <w:shd w:val="clear" w:color="auto" w:fill="auto"/>
            <w:noWrap w:val="0"/>
            <w:vAlign w:val="center"/>
          </w:tcPr>
          <w:p w14:paraId="62AB10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1914" w:type="dxa"/>
            <w:shd w:val="clear" w:color="auto" w:fill="auto"/>
            <w:noWrap w:val="0"/>
            <w:vAlign w:val="center"/>
          </w:tcPr>
          <w:p w14:paraId="34E9CD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Cs/>
                <w:color w:val="000000"/>
                <w:kern w:val="0"/>
                <w:sz w:val="21"/>
                <w:szCs w:val="21"/>
                <w:highlight w:val="none"/>
                <w:lang w:val="en-US" w:eastAsia="zh-CN" w:bidi="ar-SA"/>
              </w:rPr>
              <w:t>840000元</w:t>
            </w:r>
          </w:p>
        </w:tc>
        <w:tc>
          <w:tcPr>
            <w:tcW w:w="920" w:type="dxa"/>
            <w:noWrap w:val="0"/>
            <w:vAlign w:val="top"/>
          </w:tcPr>
          <w:p w14:paraId="337D2DD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Theme="minorEastAsia" w:hAnsiTheme="minorEastAsia" w:eastAsiaTheme="minorEastAsia" w:cstheme="minorEastAsia"/>
                <w:sz w:val="21"/>
                <w:szCs w:val="21"/>
                <w:vertAlign w:val="baseline"/>
              </w:rPr>
            </w:pPr>
          </w:p>
        </w:tc>
      </w:tr>
    </w:tbl>
    <w:p w14:paraId="1514F593">
      <w:pPr>
        <w:adjustRightInd w:val="0"/>
        <w:snapToGrid w:val="0"/>
        <w:spacing w:line="360" w:lineRule="auto"/>
        <w:ind w:firstLine="550" w:firstLineChars="200"/>
        <w:rPr>
          <w:rFonts w:ascii="黑体" w:hAnsi="黑体" w:eastAsia="黑体" w:cs="黑体"/>
          <w:b/>
          <w:bCs/>
          <w:spacing w:val="-3"/>
          <w:sz w:val="28"/>
          <w:szCs w:val="28"/>
          <w:highlight w:val="none"/>
        </w:rPr>
      </w:pPr>
    </w:p>
    <w:p w14:paraId="4BE3123D">
      <w:pPr>
        <w:adjustRightInd w:val="0"/>
        <w:snapToGrid w:val="0"/>
        <w:spacing w:line="360" w:lineRule="auto"/>
        <w:jc w:val="center"/>
        <w:rPr>
          <w:rFonts w:hint="eastAsia" w:ascii="黑体" w:hAnsi="黑体" w:eastAsia="黑体" w:cs="黑体"/>
          <w:b/>
          <w:bCs/>
          <w:spacing w:val="-3"/>
          <w:sz w:val="28"/>
          <w:szCs w:val="28"/>
          <w:highlight w:val="none"/>
          <w:lang w:val="en-US" w:eastAsia="zh-CN"/>
        </w:rPr>
      </w:pPr>
      <w:r>
        <w:rPr>
          <w:rFonts w:hint="eastAsia" w:ascii="黑体" w:hAnsi="黑体" w:eastAsia="黑体" w:cs="黑体"/>
          <w:b/>
          <w:bCs/>
          <w:spacing w:val="-3"/>
          <w:sz w:val="28"/>
          <w:szCs w:val="28"/>
          <w:highlight w:val="none"/>
          <w:lang w:val="en-US" w:eastAsia="zh-CN"/>
        </w:rPr>
        <w:t>包一：多参数心电监护仪</w:t>
      </w:r>
    </w:p>
    <w:p w14:paraId="40269C0D">
      <w:pPr>
        <w:adjustRightInd w:val="0"/>
        <w:snapToGrid w:val="0"/>
        <w:spacing w:line="360" w:lineRule="auto"/>
        <w:rPr>
          <w:rFonts w:hint="eastAsia" w:ascii="宋体" w:hAnsi="宋体" w:eastAsia="宋体" w:cs="宋体"/>
          <w:b/>
          <w:bCs/>
          <w:iCs/>
          <w:color w:val="000000"/>
          <w:kern w:val="0"/>
          <w:sz w:val="21"/>
          <w:szCs w:val="21"/>
          <w:highlight w:val="none"/>
          <w:lang w:val="en-US" w:eastAsia="zh-CN" w:bidi="ar-SA"/>
        </w:rPr>
      </w:pPr>
      <w:r>
        <w:rPr>
          <w:rFonts w:hint="eastAsia" w:ascii="宋体" w:hAnsi="宋体" w:eastAsia="宋体" w:cs="宋体"/>
          <w:b/>
          <w:bCs/>
          <w:iCs/>
          <w:color w:val="000000"/>
          <w:kern w:val="0"/>
          <w:sz w:val="21"/>
          <w:szCs w:val="21"/>
          <w:highlight w:val="none"/>
          <w:lang w:val="en-US" w:eastAsia="zh-CN" w:bidi="ar-SA"/>
        </w:rPr>
        <w:t>一、技术参数</w:t>
      </w:r>
    </w:p>
    <w:p w14:paraId="3D5FFF3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b/>
          <w:bCs/>
        </w:rPr>
      </w:pPr>
      <w:r>
        <w:rPr>
          <w:rFonts w:hint="eastAsia" w:ascii="宋体" w:hAnsi="宋体" w:eastAsia="宋体"/>
          <w:b/>
          <w:bCs/>
        </w:rPr>
        <w:t>监护仪结构</w:t>
      </w:r>
    </w:p>
    <w:p w14:paraId="78D488EB">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模块化插件式床边监护仪，主机、显示屏和插件槽一体化设计，主机模块插槽数≥</w:t>
      </w:r>
      <w:r>
        <w:rPr>
          <w:rFonts w:ascii="宋体" w:hAnsi="宋体" w:eastAsia="宋体"/>
        </w:rPr>
        <w:t>4个</w:t>
      </w:r>
    </w:p>
    <w:p w14:paraId="13E17AD5">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w:t>
      </w:r>
      <w:r>
        <w:rPr>
          <w:rFonts w:ascii="宋体" w:hAnsi="宋体" w:eastAsia="宋体"/>
        </w:rPr>
        <w:t>15英寸彩色电容触摸屏，高分辨率≥1920×1080像素，≥10通道显示，显示屏亮度自动调节，屏幕支持手势滑动操作，支持穿戴医用防护手套操作</w:t>
      </w:r>
    </w:p>
    <w:p w14:paraId="161BCE9F">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配置</w:t>
      </w:r>
      <w:r>
        <w:rPr>
          <w:rFonts w:ascii="宋体" w:hAnsi="宋体" w:eastAsia="宋体"/>
        </w:rPr>
        <w:t>USB接口，支持遥控器等USB设备，提供说明书证明材料</w:t>
      </w:r>
    </w:p>
    <w:p w14:paraId="36DDBA44">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监护仪清洁消毒维护支持的消毒剂≥35种，在厂家手册中清晰列举消毒剂的种类</w:t>
      </w:r>
    </w:p>
    <w:p w14:paraId="00E829A0">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监护仪支持内置NFC功能，提供说明书证明材料</w:t>
      </w:r>
    </w:p>
    <w:p w14:paraId="246AFA82">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hint="default" w:ascii="宋体" w:hAnsi="宋体" w:eastAsia="宋体"/>
          <w:lang w:val="en-US"/>
        </w:rPr>
      </w:pPr>
      <w:r>
        <w:rPr>
          <w:rFonts w:hint="eastAsia" w:ascii="Times New Roman" w:hAnsi="Times New Roman" w:eastAsia="宋体" w:cs="Times New Roman"/>
          <w:color w:val="000000"/>
          <w:szCs w:val="21"/>
          <w:highlight w:val="none"/>
        </w:rPr>
        <w:t>▲</w:t>
      </w:r>
      <w:r>
        <w:rPr>
          <w:rFonts w:hint="eastAsia" w:ascii="宋体" w:hAnsi="宋体" w:eastAsia="宋体"/>
          <w:lang w:val="en-US" w:eastAsia="zh-CN"/>
        </w:rPr>
        <w:t>支持语音智能控制，可以实现</w:t>
      </w:r>
      <w:r>
        <w:rPr>
          <w:rFonts w:hint="eastAsia" w:ascii="宋体" w:hAnsi="宋体" w:eastAsia="宋体"/>
        </w:rPr>
        <w:t>监护仪的基础操作，都可通过语音唤醒一键完成，</w:t>
      </w:r>
      <w:r>
        <w:rPr>
          <w:rFonts w:hint="eastAsia" w:ascii="宋体" w:hAnsi="宋体" w:eastAsia="宋体"/>
          <w:lang w:val="en-US" w:eastAsia="zh-CN"/>
        </w:rPr>
        <w:t>提高监测效率</w:t>
      </w:r>
    </w:p>
    <w:p w14:paraId="3A2AF9E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lang w:val="en-US" w:eastAsia="zh-CN"/>
        </w:rPr>
      </w:pPr>
    </w:p>
    <w:p w14:paraId="2BD179C6">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b/>
          <w:bCs/>
        </w:rPr>
      </w:pPr>
      <w:r>
        <w:rPr>
          <w:rFonts w:hint="eastAsia" w:ascii="宋体" w:hAnsi="宋体" w:eastAsia="宋体"/>
          <w:b/>
          <w:bCs/>
        </w:rPr>
        <w:t>监测参数：</w:t>
      </w:r>
    </w:p>
    <w:p w14:paraId="69024FF0">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基本功能模块支持心电，呼吸，心率，无创血压，血氧饱和度，脉搏，双通道体温和双通道有创血压的同时监测</w:t>
      </w:r>
    </w:p>
    <w:p w14:paraId="760343A1">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基本功能模块</w:t>
      </w:r>
      <w:r>
        <w:rPr>
          <w:rFonts w:hint="eastAsia" w:ascii="宋体" w:hAnsi="宋体" w:eastAsia="宋体"/>
          <w:lang w:val="en-US" w:eastAsia="zh-CN"/>
        </w:rPr>
        <w:t>支持</w:t>
      </w:r>
      <w:r>
        <w:rPr>
          <w:rFonts w:hint="eastAsia" w:ascii="宋体" w:hAnsi="宋体" w:eastAsia="宋体"/>
        </w:rPr>
        <w:t>与</w:t>
      </w:r>
      <w:r>
        <w:rPr>
          <w:rFonts w:ascii="宋体" w:hAnsi="宋体" w:eastAsia="宋体"/>
        </w:rPr>
        <w:t>监护仪有线或无线通讯，无线通讯时，也支持实时参数监测功能，内置锂电池供电≥4小时，通过1.5米（6个面）抗跌落测试</w:t>
      </w:r>
    </w:p>
    <w:p w14:paraId="3C548400">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Times New Roman" w:hAnsi="Times New Roman" w:eastAsia="宋体" w:cs="Times New Roman"/>
          <w:color w:val="000000"/>
          <w:szCs w:val="21"/>
          <w:highlight w:val="none"/>
        </w:rPr>
        <w:t>▲</w:t>
      </w:r>
      <w:r>
        <w:rPr>
          <w:rFonts w:hint="eastAsia" w:ascii="宋体" w:hAnsi="宋体" w:eastAsia="宋体"/>
          <w:lang w:val="en-US" w:eastAsia="zh-CN"/>
        </w:rPr>
        <w:t>标配转运监护仪</w:t>
      </w:r>
      <w:r>
        <w:rPr>
          <w:rFonts w:hint="eastAsia" w:ascii="宋体" w:hAnsi="宋体" w:eastAsia="宋体"/>
        </w:rPr>
        <w:t>，</w:t>
      </w:r>
      <w:r>
        <w:rPr>
          <w:rFonts w:hint="eastAsia" w:ascii="宋体" w:hAnsi="宋体" w:eastAsia="宋体"/>
          <w:lang w:val="en-US" w:eastAsia="zh-CN"/>
        </w:rPr>
        <w:t>可</w:t>
      </w:r>
      <w:r>
        <w:rPr>
          <w:rFonts w:hint="eastAsia" w:ascii="宋体" w:hAnsi="宋体" w:eastAsia="宋体"/>
        </w:rPr>
        <w:t>插入监护仪模块插槽</w:t>
      </w:r>
      <w:r>
        <w:rPr>
          <w:rFonts w:hint="eastAsia" w:ascii="宋体" w:hAnsi="宋体" w:eastAsia="宋体"/>
          <w:lang w:eastAsia="zh-CN"/>
        </w:rPr>
        <w:t>（</w:t>
      </w:r>
      <w:r>
        <w:rPr>
          <w:rFonts w:hint="eastAsia" w:ascii="宋体" w:hAnsi="宋体" w:eastAsia="宋体"/>
          <w:lang w:val="en-US" w:eastAsia="zh-CN"/>
        </w:rPr>
        <w:t>非指定插槽）</w:t>
      </w:r>
      <w:r>
        <w:rPr>
          <w:rFonts w:hint="eastAsia" w:ascii="宋体" w:hAnsi="宋体" w:eastAsia="宋体"/>
        </w:rPr>
        <w:t>作为主机模块，具有独立操作显示屏，屏幕尺寸≥</w:t>
      </w:r>
      <w:r>
        <w:rPr>
          <w:rFonts w:ascii="宋体" w:hAnsi="宋体" w:eastAsia="宋体"/>
        </w:rPr>
        <w:t>5.5英寸，内置锂电池供电≥4小时，无风扇设计</w:t>
      </w:r>
    </w:p>
    <w:p w14:paraId="33DD0158">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支持房室传导阻滞心律失常分析</w:t>
      </w:r>
    </w:p>
    <w:p w14:paraId="0F42614F">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支持HRV（心率变异性）分析，可在监护仪上查看R-R 间期(ms)、SDNN(ms)、SDANN（ms)、SDNNIndex(ms)、Triangle Index、rMSSD(ms)、pNN50(%)、TP、VLF、LF、HF、LF/HF 比值、Lfnu、HFnu 等参数信息需提供产品界面</w:t>
      </w:r>
    </w:p>
    <w:p w14:paraId="4C9C1897">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Times New Roman" w:hAnsi="Times New Roman" w:eastAsia="宋体" w:cs="Times New Roman"/>
          <w:color w:val="000000"/>
          <w:szCs w:val="21"/>
          <w:highlight w:val="none"/>
        </w:rPr>
        <w:t>▲</w:t>
      </w:r>
      <w:r>
        <w:rPr>
          <w:rFonts w:hint="eastAsia" w:ascii="宋体" w:hAnsi="宋体" w:eastAsia="宋体"/>
        </w:rPr>
        <w:t>支持室上性心动过速和SVCs/min等室上性心律失常分析，提供产品说明书证明材料</w:t>
      </w:r>
    </w:p>
    <w:p w14:paraId="7EC5E1FB">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NIBP支持快速测量，典型测量时间≤15秒</w:t>
      </w:r>
    </w:p>
    <w:p w14:paraId="0D8E784E">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配置指套式血氧探头，支持浸泡清洁与消毒，防水等级IPX7</w:t>
      </w:r>
    </w:p>
    <w:p w14:paraId="17324976">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支持双通道有创压</w:t>
      </w:r>
      <w:r>
        <w:rPr>
          <w:rFonts w:ascii="宋体" w:hAnsi="宋体" w:eastAsia="宋体"/>
        </w:rPr>
        <w:t>IBP监测，支持</w:t>
      </w:r>
      <w:r>
        <w:rPr>
          <w:rFonts w:hint="eastAsia" w:ascii="宋体" w:hAnsi="宋体" w:eastAsia="宋体"/>
        </w:rPr>
        <w:t>选配</w:t>
      </w:r>
      <w:r>
        <w:rPr>
          <w:rFonts w:ascii="宋体" w:hAnsi="宋体" w:eastAsia="宋体"/>
        </w:rPr>
        <w:t>多达8通道有创压监测</w:t>
      </w:r>
    </w:p>
    <w:p w14:paraId="49626FCD">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有创压适用于成人，小儿和新生儿，有创压测量范围：</w:t>
      </w:r>
      <w:r>
        <w:rPr>
          <w:rFonts w:ascii="宋体" w:hAnsi="宋体" w:eastAsia="宋体"/>
        </w:rPr>
        <w:t>-50～370mmHg</w:t>
      </w:r>
    </w:p>
    <w:p w14:paraId="3C704BC8">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支持多达</w:t>
      </w:r>
      <w:r>
        <w:rPr>
          <w:rFonts w:ascii="宋体" w:hAnsi="宋体" w:eastAsia="宋体"/>
        </w:rPr>
        <w:t>6道IBP波形叠加显示，满足临床对比查看和节约显示空间的需求</w:t>
      </w:r>
    </w:p>
    <w:p w14:paraId="15BF06CD">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有创压支持</w:t>
      </w:r>
      <w:r>
        <w:rPr>
          <w:rFonts w:ascii="宋体" w:hAnsi="宋体" w:eastAsia="宋体"/>
        </w:rPr>
        <w:t>SPV(收缩压变异性），IAP（腹内压）, APP（腹内灌注压）监测</w:t>
      </w:r>
    </w:p>
    <w:p w14:paraId="1C397D14">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lang w:val="en-US" w:eastAsia="zh-CN"/>
        </w:rPr>
        <w:t>▲</w:t>
      </w:r>
      <w:r>
        <w:rPr>
          <w:rFonts w:hint="eastAsia" w:ascii="宋体" w:hAnsi="宋体"/>
          <w:lang w:val="en-US" w:eastAsia="zh-CN"/>
        </w:rPr>
        <w:t>可选配</w:t>
      </w:r>
      <w:r>
        <w:rPr>
          <w:rFonts w:ascii="宋体" w:hAnsi="宋体" w:eastAsia="宋体"/>
        </w:rPr>
        <w:t>旁流EtCO2监测模块，旁流EtCO2监测模块支持升级顺磁氧监测技术进行氧气监测，水槽要求易用快速更换</w:t>
      </w:r>
    </w:p>
    <w:p w14:paraId="30C70687">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lang w:val="en-US" w:eastAsia="zh-CN"/>
        </w:rPr>
        <w:t>▲可升级</w:t>
      </w:r>
      <w:r>
        <w:rPr>
          <w:rFonts w:ascii="宋体" w:hAnsi="宋体" w:eastAsia="宋体"/>
          <w:szCs w:val="21"/>
        </w:rPr>
        <w:t>PiCCO监测模块</w:t>
      </w:r>
      <w:r>
        <w:rPr>
          <w:rFonts w:hint="eastAsia" w:ascii="宋体" w:hAnsi="宋体" w:eastAsia="宋体"/>
          <w:szCs w:val="21"/>
        </w:rPr>
        <w:t>非单机</w:t>
      </w:r>
      <w:r>
        <w:rPr>
          <w:rFonts w:ascii="宋体" w:hAnsi="宋体" w:eastAsia="宋体"/>
          <w:szCs w:val="21"/>
        </w:rPr>
        <w:t>，</w:t>
      </w:r>
      <w:r>
        <w:rPr>
          <w:rFonts w:hint="eastAsia" w:ascii="宋体" w:hAnsi="宋体" w:eastAsia="宋体"/>
          <w:szCs w:val="21"/>
        </w:rPr>
        <w:t>且模块可用于招标主体机型，</w:t>
      </w:r>
      <w:r>
        <w:rPr>
          <w:rFonts w:ascii="宋体" w:hAnsi="宋体" w:eastAsia="宋体"/>
          <w:szCs w:val="21"/>
        </w:rPr>
        <w:t>非无创电阻抗法，具有更好的监测准确性，实现CCO连续心排量、SVV每搏变异量等血液动力学监测参数，直观观察病人的变化情况</w:t>
      </w:r>
      <w:r>
        <w:rPr>
          <w:rFonts w:hint="eastAsia" w:ascii="宋体" w:hAnsi="宋体" w:eastAsia="宋体"/>
          <w:szCs w:val="21"/>
        </w:rPr>
        <w:t>。提供产品注册证证明</w:t>
      </w:r>
    </w:p>
    <w:p w14:paraId="5F8B938A">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可选配rSO2模块实现脑部血氧饱和度监测，适用于成人、小儿，最多支持四通道的 rSO2 测量</w:t>
      </w:r>
    </w:p>
    <w:p w14:paraId="374FD0A4">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lang w:val="en-US" w:eastAsia="zh-CN"/>
        </w:rPr>
        <w:t>支持语音控制监护仪，术中读出</w:t>
      </w:r>
    </w:p>
    <w:p w14:paraId="5EAD7F93">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rPr>
      </w:pPr>
    </w:p>
    <w:p w14:paraId="2D83EC36">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rPr>
      </w:pPr>
      <w:r>
        <w:rPr>
          <w:rFonts w:hint="eastAsia" w:ascii="宋体" w:hAnsi="宋体" w:eastAsia="宋体"/>
        </w:rPr>
        <w:t>系统功能：</w:t>
      </w:r>
    </w:p>
    <w:p w14:paraId="71728063">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具有特殊报警音，当监护仪在病人发生致命性参数报警时，发出特殊的报警音进行提示病人处于危急状态</w:t>
      </w:r>
    </w:p>
    <w:p w14:paraId="3298E874">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具备多参融合</w:t>
      </w:r>
      <w:r>
        <w:rPr>
          <w:rFonts w:ascii="宋体" w:hAnsi="宋体" w:eastAsia="宋体"/>
        </w:rPr>
        <w:t>CrozFusion功能，可根据同源的血氧和有创压信号纠正ECG分析结果，避免由于干扰引起的误报警</w:t>
      </w:r>
    </w:p>
    <w:p w14:paraId="3CCC875B">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可选配具备早期恶化识别（</w:t>
      </w:r>
      <w:r>
        <w:rPr>
          <w:rFonts w:ascii="宋体" w:hAnsi="宋体" w:eastAsia="宋体"/>
        </w:rPr>
        <w:t>EIA）功能，基于连续监测的高精度数据，综合分析心率、血压、血氧、呼吸率、体温和血流动力学参数等生命体征的趋势，识别病人早期恶化的风险，并提供声光图形化提示</w:t>
      </w:r>
    </w:p>
    <w:p w14:paraId="1FC78B03">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可</w:t>
      </w:r>
      <w:r>
        <w:rPr>
          <w:rFonts w:hint="eastAsia" w:ascii="宋体" w:hAnsi="宋体" w:eastAsia="宋体"/>
        </w:rPr>
        <w:t>升级具备</w:t>
      </w:r>
      <w:r>
        <w:rPr>
          <w:rFonts w:ascii="宋体" w:hAnsi="宋体" w:eastAsia="宋体"/>
        </w:rPr>
        <w:t>血流动力学软件工具，显示完整血流动力学参数，并以图形化界面显示病人心脏收缩力，外周血管阻力等状态，提供电子化血流动力学实验记录，重点参数蛛网图显示评估病人相关参数变化</w:t>
      </w:r>
    </w:p>
    <w:p w14:paraId="6710A543">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支持在监护仪上查看手持超声实时图像和历史床旁超声图像和超声测量血流动力学参数，来源于超声的血流动力学数据可与监护仪上的连续流血动力学数据同屏按时间轴对齐显示</w:t>
      </w:r>
    </w:p>
    <w:p w14:paraId="08DC2054">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可</w:t>
      </w:r>
      <w:r>
        <w:rPr>
          <w:rFonts w:hint="eastAsia" w:ascii="宋体" w:hAnsi="宋体" w:eastAsia="宋体"/>
        </w:rPr>
        <w:t>升级具备</w:t>
      </w:r>
      <w:r>
        <w:rPr>
          <w:rFonts w:ascii="宋体" w:hAnsi="宋体" w:eastAsia="宋体"/>
        </w:rPr>
        <w:t>输注泵用药信息回顾工具，可同时间轴显示病人生命体征参数及用药信息回顾，呈现病人生命体征变化趋势与药物输注流速变化之间的关系</w:t>
      </w:r>
    </w:p>
    <w:p w14:paraId="1A7EC893">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Times New Roman" w:hAnsi="Times New Roman" w:eastAsia="宋体" w:cs="Times New Roman"/>
          <w:color w:val="000000"/>
          <w:szCs w:val="21"/>
          <w:highlight w:val="none"/>
        </w:rPr>
        <w:t>▲</w:t>
      </w:r>
      <w:r>
        <w:rPr>
          <w:rFonts w:hint="eastAsia" w:ascii="宋体" w:hAnsi="宋体" w:eastAsia="宋体"/>
          <w:lang w:val="en-US" w:eastAsia="zh-CN"/>
        </w:rPr>
        <w:t>可与输注泵、超声、除颤仪、呼吸机、麻醉机、监护仪接入同一套中心监护系统，方便临床实时观察病人生命体征</w:t>
      </w:r>
    </w:p>
    <w:p w14:paraId="77FB159A">
      <w:pPr>
        <w:pStyle w:val="8"/>
        <w:numPr>
          <w:ilvl w:val="0"/>
          <w:numId w:val="2"/>
        </w:numPr>
        <w:ind w:firstLineChars="0"/>
        <w:rPr>
          <w:rFonts w:ascii="宋体" w:hAnsi="宋体" w:eastAsia="宋体"/>
        </w:rPr>
      </w:pPr>
      <w:r>
        <w:rPr>
          <w:rFonts w:hint="eastAsia" w:ascii="Times New Roman" w:hAnsi="Times New Roman" w:eastAsia="宋体" w:cs="Times New Roman"/>
          <w:color w:val="000000"/>
          <w:szCs w:val="21"/>
          <w:highlight w:val="none"/>
        </w:rPr>
        <w:t>▲</w:t>
      </w:r>
      <w:r>
        <w:rPr>
          <w:rFonts w:hint="eastAsia" w:ascii="宋体" w:hAnsi="宋体" w:eastAsia="宋体"/>
          <w:lang w:val="en-US" w:eastAsia="zh-CN"/>
        </w:rPr>
        <w:t>支持接入我院设备管理系统，方便设备科统一管理，提升设备使用效率</w:t>
      </w:r>
    </w:p>
    <w:p w14:paraId="61589D82">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ascii="宋体" w:hAnsi="宋体" w:eastAsia="宋体"/>
        </w:rPr>
        <w:t>支持≥120小时（分辨率1分钟）ST模板存储与回顾</w:t>
      </w:r>
    </w:p>
    <w:p w14:paraId="04166224">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产品通过国家</w:t>
      </w:r>
      <w:r>
        <w:rPr>
          <w:rFonts w:ascii="宋体" w:hAnsi="宋体" w:eastAsia="宋体"/>
        </w:rPr>
        <w:t>III类注册</w:t>
      </w:r>
    </w:p>
    <w:p w14:paraId="1E6B321D">
      <w:pPr>
        <w:pStyle w:val="8"/>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Chars="0"/>
        <w:textAlignment w:val="auto"/>
        <w:rPr>
          <w:rFonts w:ascii="宋体" w:hAnsi="宋体" w:eastAsia="宋体"/>
        </w:rPr>
      </w:pPr>
      <w:r>
        <w:rPr>
          <w:rFonts w:hint="eastAsia" w:ascii="宋体" w:hAnsi="宋体" w:eastAsia="宋体"/>
        </w:rPr>
        <w:t>产品设计使用年限≥</w:t>
      </w:r>
      <w:r>
        <w:rPr>
          <w:rFonts w:ascii="宋体" w:hAnsi="宋体" w:eastAsia="宋体"/>
        </w:rPr>
        <w:t>10年</w:t>
      </w:r>
    </w:p>
    <w:p w14:paraId="34C5A1E5">
      <w:pPr>
        <w:spacing w:line="360" w:lineRule="auto"/>
        <w:ind w:firstLine="3851" w:firstLineChars="1400"/>
        <w:jc w:val="both"/>
        <w:rPr>
          <w:rFonts w:hint="eastAsia" w:ascii="黑体" w:hAnsi="黑体" w:eastAsia="黑体" w:cs="黑体"/>
          <w:b/>
          <w:bCs/>
          <w:spacing w:val="-3"/>
          <w:sz w:val="28"/>
          <w:szCs w:val="28"/>
          <w:highlight w:val="none"/>
          <w:lang w:val="en-US" w:eastAsia="zh-CN"/>
        </w:rPr>
      </w:pPr>
    </w:p>
    <w:p w14:paraId="2EC1078E">
      <w:pPr>
        <w:spacing w:line="360" w:lineRule="auto"/>
        <w:ind w:firstLine="3851" w:firstLineChars="1400"/>
        <w:jc w:val="both"/>
        <w:rPr>
          <w:rFonts w:hint="eastAsia" w:ascii="宋体" w:hAnsi="宋体" w:cs="宋体"/>
          <w:b/>
          <w:color w:val="000000"/>
          <w:kern w:val="0"/>
          <w:sz w:val="24"/>
          <w:szCs w:val="24"/>
          <w:highlight w:val="none"/>
        </w:rPr>
      </w:pPr>
      <w:r>
        <w:rPr>
          <w:rFonts w:hint="eastAsia" w:ascii="黑体" w:hAnsi="黑体" w:eastAsia="黑体" w:cs="黑体"/>
          <w:b/>
          <w:bCs/>
          <w:spacing w:val="-3"/>
          <w:sz w:val="28"/>
          <w:szCs w:val="28"/>
          <w:highlight w:val="none"/>
          <w:lang w:val="en-US" w:eastAsia="zh-CN"/>
        </w:rPr>
        <w:t>包二：二氧化碳激光治疗仪</w:t>
      </w:r>
    </w:p>
    <w:p w14:paraId="4621EB8A">
      <w:pPr>
        <w:adjustRightInd w:val="0"/>
        <w:snapToGrid w:val="0"/>
        <w:spacing w:line="360" w:lineRule="auto"/>
        <w:rPr>
          <w:rFonts w:hint="eastAsia" w:ascii="宋体" w:hAnsi="宋体" w:eastAsia="宋体" w:cs="宋体"/>
          <w:b/>
          <w:bCs/>
          <w:iCs/>
          <w:color w:val="000000"/>
          <w:kern w:val="0"/>
          <w:sz w:val="21"/>
          <w:szCs w:val="21"/>
          <w:highlight w:val="none"/>
          <w:lang w:val="en-US" w:eastAsia="zh-CN" w:bidi="ar-SA"/>
        </w:rPr>
      </w:pPr>
      <w:r>
        <w:rPr>
          <w:rFonts w:hint="eastAsia" w:ascii="宋体" w:hAnsi="宋体" w:eastAsia="宋体" w:cs="宋体"/>
          <w:b/>
          <w:bCs/>
          <w:iCs/>
          <w:color w:val="000000"/>
          <w:kern w:val="0"/>
          <w:sz w:val="21"/>
          <w:szCs w:val="21"/>
          <w:highlight w:val="none"/>
          <w:lang w:val="en-US" w:eastAsia="zh-CN" w:bidi="ar-SA"/>
        </w:rPr>
        <w:t>一、技术参数</w:t>
      </w:r>
    </w:p>
    <w:p w14:paraId="0346FF9D">
      <w:pPr>
        <w:numPr>
          <w:ilvl w:val="0"/>
          <w:numId w:val="3"/>
        </w:numPr>
      </w:pPr>
      <w:r>
        <w:t>适用科室：妇产科压力性尿失禁、外阴白斑等疾病的治疗，非皮肤科使用。</w:t>
      </w:r>
    </w:p>
    <w:p w14:paraId="016CFB44">
      <w:pPr>
        <w:numPr>
          <w:ilvl w:val="0"/>
          <w:numId w:val="3"/>
        </w:numPr>
      </w:pPr>
      <w:r>
        <w:rPr>
          <w:rFonts w:hint="eastAsia"/>
        </w:rPr>
        <w:t>功能和</w:t>
      </w:r>
      <w:r>
        <w:t>用途：药监局批准适用范围为人体组织的汽化、碳化、凝固和照射，</w:t>
      </w:r>
      <w:r>
        <w:rPr>
          <w:rFonts w:hint="eastAsia"/>
        </w:rPr>
        <w:t>临   床用于压力性尿失禁、阴道前后壁膨出、外阴白斑、外阴硬化性苔藓等疾病的治疗，非皮肤科使用。</w:t>
      </w:r>
    </w:p>
    <w:p w14:paraId="181F6351">
      <w:pPr>
        <w:numPr>
          <w:ilvl w:val="0"/>
          <w:numId w:val="3"/>
        </w:numPr>
      </w:pPr>
      <w:r>
        <w:t>激光类型：封离型二氧化碳激光器。</w:t>
      </w:r>
    </w:p>
    <w:p w14:paraId="2AE05259">
      <w:pPr>
        <w:numPr>
          <w:ilvl w:val="0"/>
          <w:numId w:val="3"/>
        </w:numPr>
      </w:pPr>
      <w:r>
        <w:t>激光波长：10600nm。</w:t>
      </w:r>
    </w:p>
    <w:p w14:paraId="013D427B">
      <w:pPr>
        <w:numPr>
          <w:ilvl w:val="0"/>
          <w:numId w:val="3"/>
        </w:numPr>
      </w:pPr>
      <w:r>
        <w:t>激光模式：</w:t>
      </w:r>
      <w:r>
        <w:rPr>
          <w:rFonts w:hint="eastAsia"/>
        </w:rPr>
        <w:t>多模</w:t>
      </w:r>
    </w:p>
    <w:p w14:paraId="1966DCBD">
      <w:pPr>
        <w:numPr>
          <w:ilvl w:val="0"/>
          <w:numId w:val="3"/>
        </w:numPr>
      </w:pPr>
      <w:r>
        <w:t>★</w:t>
      </w:r>
      <w:r>
        <w:rPr>
          <w:rFonts w:hint="eastAsia"/>
        </w:rPr>
        <w:t>工作模式：单次、重复、连续、多元聚焦（M</w:t>
      </w:r>
      <w:r>
        <w:t>F</w:t>
      </w:r>
      <w:r>
        <w:rPr>
          <w:rFonts w:hint="eastAsia"/>
        </w:rPr>
        <w:t>）模式，需提供具有资质</w:t>
      </w:r>
      <w:r>
        <w:rPr>
          <w:rFonts w:hint="eastAsia"/>
          <w:lang w:val="en-US" w:eastAsia="zh-CN"/>
        </w:rPr>
        <w:t>的</w:t>
      </w:r>
      <w:r>
        <w:rPr>
          <w:rFonts w:hint="eastAsia"/>
        </w:rPr>
        <w:t>第三方检测机构</w:t>
      </w:r>
      <w:r>
        <w:rPr>
          <w:rFonts w:hint="eastAsia"/>
          <w:lang w:val="en-US" w:eastAsia="zh-CN"/>
        </w:rPr>
        <w:t>出具的</w:t>
      </w:r>
      <w:r>
        <w:rPr>
          <w:rFonts w:hint="eastAsia"/>
        </w:rPr>
        <w:t>检验报告。</w:t>
      </w:r>
    </w:p>
    <w:p w14:paraId="45BD1F4D">
      <w:pPr>
        <w:numPr>
          <w:ilvl w:val="0"/>
          <w:numId w:val="3"/>
        </w:numPr>
      </w:pPr>
      <w:r>
        <w:rPr>
          <w:rFonts w:hint="eastAsia"/>
        </w:rPr>
        <w:t>能量：单光斑能量10mj-120mj</w:t>
      </w:r>
      <w:r>
        <w:t>无级连续可调</w:t>
      </w:r>
      <w:r>
        <w:rPr>
          <w:rFonts w:hint="eastAsia"/>
        </w:rPr>
        <w:t>，阴道黏膜层的剥脱作用层次精准可控；</w:t>
      </w:r>
    </w:p>
    <w:p w14:paraId="0C9FC649">
      <w:pPr>
        <w:numPr>
          <w:ilvl w:val="0"/>
          <w:numId w:val="3"/>
        </w:numPr>
      </w:pPr>
      <w:r>
        <w:rPr>
          <w:rFonts w:hint="eastAsia"/>
        </w:rPr>
        <w:t>脉宽：101ms-999ms可调，间隔101-999ms。组织剥脱和热量精准可控；</w:t>
      </w:r>
    </w:p>
    <w:p w14:paraId="1F2FA55D">
      <w:pPr>
        <w:numPr>
          <w:ilvl w:val="0"/>
          <w:numId w:val="3"/>
        </w:numPr>
      </w:pPr>
      <w:r>
        <w:t>导光系统：七关节导光臂。导光臂平衡系统：内置扭力平衡。</w:t>
      </w:r>
      <w:bookmarkStart w:id="1" w:name="_Hlk222002229"/>
    </w:p>
    <w:bookmarkEnd w:id="1"/>
    <w:p w14:paraId="6A5845F3">
      <w:pPr>
        <w:numPr>
          <w:ilvl w:val="0"/>
          <w:numId w:val="3"/>
        </w:numPr>
      </w:pPr>
      <w:r>
        <w:t>出光方式：连续，定时出光。</w:t>
      </w:r>
    </w:p>
    <w:p w14:paraId="4D3B0D32">
      <w:pPr>
        <w:numPr>
          <w:ilvl w:val="0"/>
          <w:numId w:val="3"/>
        </w:numPr>
      </w:pPr>
      <w:r>
        <w:t>光学技术：微纳光学技术</w:t>
      </w:r>
      <w:r>
        <w:rPr>
          <w:rFonts w:hint="eastAsia"/>
        </w:rPr>
        <w:t>。</w:t>
      </w:r>
    </w:p>
    <w:p w14:paraId="2B3C8991">
      <w:pPr>
        <w:numPr>
          <w:ilvl w:val="0"/>
          <w:numId w:val="3"/>
        </w:numPr>
      </w:pPr>
      <w:r>
        <w:t>光学材料：纳米光学材料</w:t>
      </w:r>
      <w:r>
        <w:rPr>
          <w:rFonts w:hint="eastAsia"/>
        </w:rPr>
        <w:t>。</w:t>
      </w:r>
    </w:p>
    <w:p w14:paraId="4DFE2E07">
      <w:pPr>
        <w:numPr>
          <w:ilvl w:val="0"/>
          <w:numId w:val="3"/>
        </w:numPr>
      </w:pPr>
      <w:r>
        <w:rPr>
          <w:rFonts w:hint="eastAsia"/>
        </w:rPr>
        <w:t>▲</w:t>
      </w:r>
      <w:r>
        <w:t>光束控制技术：</w:t>
      </w:r>
      <w:r>
        <w:rPr>
          <w:rFonts w:hint="eastAsia"/>
        </w:rPr>
        <w:t>多元聚焦（M</w:t>
      </w:r>
      <w:r>
        <w:t>F</w:t>
      </w:r>
      <w:r>
        <w:rPr>
          <w:rFonts w:hint="eastAsia"/>
        </w:rPr>
        <w:t>）</w:t>
      </w:r>
      <w:r>
        <w:t>光学技术</w:t>
      </w:r>
      <w:r>
        <w:rPr>
          <w:rFonts w:hint="eastAsia"/>
        </w:rPr>
        <w:t>。</w:t>
      </w:r>
    </w:p>
    <w:p w14:paraId="03C887D6">
      <w:pPr>
        <w:numPr>
          <w:ilvl w:val="0"/>
          <w:numId w:val="3"/>
        </w:numPr>
      </w:pPr>
      <w:r>
        <w:t>冷却系统：水冷、风冷</w:t>
      </w:r>
      <w:r>
        <w:rPr>
          <w:rFonts w:hint="eastAsia"/>
        </w:rPr>
        <w:t>双重控制冷却系统，保证设备持续待机</w:t>
      </w:r>
      <w:r>
        <w:t>。</w:t>
      </w:r>
    </w:p>
    <w:p w14:paraId="2F90B62A">
      <w:pPr>
        <w:numPr>
          <w:ilvl w:val="0"/>
          <w:numId w:val="3"/>
        </w:numPr>
      </w:pPr>
      <w:r>
        <w:t>指示光光束波长范围：650±20nm。</w:t>
      </w:r>
    </w:p>
    <w:p w14:paraId="46C09F16">
      <w:pPr>
        <w:numPr>
          <w:ilvl w:val="0"/>
          <w:numId w:val="3"/>
        </w:numPr>
      </w:pPr>
      <w:r>
        <w:t>指示激光功率：</w:t>
      </w:r>
      <w:r>
        <w:rPr>
          <w:rFonts w:hint="eastAsia"/>
        </w:rPr>
        <w:t>≥</w:t>
      </w:r>
      <w:r>
        <w:t>5mw。指示光调节范围：</w:t>
      </w:r>
      <w:r>
        <w:rPr>
          <w:rFonts w:hint="eastAsia"/>
        </w:rPr>
        <w:t>≥</w:t>
      </w:r>
      <w:r>
        <w:t>20级可调。</w:t>
      </w:r>
    </w:p>
    <w:p w14:paraId="41089464">
      <w:pPr>
        <w:numPr>
          <w:ilvl w:val="0"/>
          <w:numId w:val="3"/>
        </w:numPr>
      </w:pPr>
      <w:r>
        <w:t>手术激光同轴性：半导体指引激光线与10600nm手术激光线同轴。</w:t>
      </w:r>
    </w:p>
    <w:p w14:paraId="5777DC30">
      <w:pPr>
        <w:numPr>
          <w:ilvl w:val="0"/>
          <w:numId w:val="3"/>
        </w:numPr>
      </w:pPr>
      <w:r>
        <w:t>激光输出控制：脚踏光电开关输出控制。</w:t>
      </w:r>
    </w:p>
    <w:p w14:paraId="4FDF2A9C">
      <w:pPr>
        <w:numPr>
          <w:ilvl w:val="0"/>
          <w:numId w:val="3"/>
        </w:numPr>
      </w:pPr>
      <w:r>
        <w:t>激光输出反应时间：≤0.1秒。</w:t>
      </w:r>
    </w:p>
    <w:p w14:paraId="19314B26">
      <w:pPr>
        <w:numPr>
          <w:ilvl w:val="0"/>
          <w:numId w:val="3"/>
        </w:numPr>
      </w:pPr>
      <w:r>
        <w:rPr>
          <w:rFonts w:hint="eastAsia"/>
        </w:rPr>
        <w:t>▲激光手具：多元聚焦治疗（M</w:t>
      </w:r>
      <w:r>
        <w:t>F</w:t>
      </w:r>
      <w:r>
        <w:rPr>
          <w:rFonts w:hint="eastAsia"/>
        </w:rPr>
        <w:t>）手具</w:t>
      </w:r>
    </w:p>
    <w:p w14:paraId="6D639FAF">
      <w:pPr>
        <w:numPr>
          <w:ilvl w:val="0"/>
          <w:numId w:val="3"/>
        </w:numPr>
      </w:pPr>
      <w:r>
        <w:t>光斑</w:t>
      </w:r>
      <w:r>
        <w:rPr>
          <w:rFonts w:hint="eastAsia"/>
        </w:rPr>
        <w:t>范围</w:t>
      </w:r>
      <w:r>
        <w:t>：</w:t>
      </w:r>
      <w:r>
        <w:rPr>
          <w:rFonts w:hint="eastAsia"/>
        </w:rPr>
        <w:t>≤10*10mm</w:t>
      </w:r>
    </w:p>
    <w:p w14:paraId="0E3458AC">
      <w:pPr>
        <w:numPr>
          <w:ilvl w:val="0"/>
          <w:numId w:val="3"/>
        </w:numPr>
      </w:pPr>
      <w:r>
        <w:t>能量密度：单点能量可调。</w:t>
      </w:r>
    </w:p>
    <w:p w14:paraId="1CF7760B">
      <w:pPr>
        <w:numPr>
          <w:ilvl w:val="0"/>
          <w:numId w:val="3"/>
        </w:numPr>
      </w:pPr>
      <w:r>
        <w:t>光斑聚焦：</w:t>
      </w:r>
      <w:r>
        <w:rPr>
          <w:rFonts w:hint="eastAsia"/>
        </w:rPr>
        <w:t>多元聚焦</w:t>
      </w:r>
      <w:r>
        <w:t>。</w:t>
      </w:r>
    </w:p>
    <w:p w14:paraId="6281247F">
      <w:pPr>
        <w:numPr>
          <w:ilvl w:val="0"/>
          <w:numId w:val="3"/>
        </w:numPr>
      </w:pPr>
      <w:r>
        <w:rPr>
          <w:rFonts w:hint="eastAsia"/>
        </w:rPr>
        <w:t>单工作光斑0.1mm-0.8mm，对于黏膜组织剥脱直径可调节剥脱直径精准可控：40-80um</w:t>
      </w:r>
    </w:p>
    <w:p w14:paraId="0313CBD1">
      <w:pPr>
        <w:numPr>
          <w:ilvl w:val="0"/>
          <w:numId w:val="3"/>
        </w:numPr>
      </w:pPr>
      <w:r>
        <w:t>观察镜形状为椭圆</w:t>
      </w:r>
      <w:r>
        <w:rPr>
          <w:rFonts w:hint="eastAsia"/>
        </w:rPr>
        <w:t>，</w:t>
      </w:r>
      <w:r>
        <w:t>观察镜角度为45°</w:t>
      </w:r>
      <w:r>
        <w:rPr>
          <w:rFonts w:hint="eastAsia"/>
        </w:rPr>
        <w:t>。</w:t>
      </w:r>
    </w:p>
    <w:p w14:paraId="4BC9C848">
      <w:pPr>
        <w:numPr>
          <w:ilvl w:val="0"/>
          <w:numId w:val="3"/>
        </w:numPr>
      </w:pPr>
      <w:r>
        <w:t>观察镜</w:t>
      </w:r>
      <w:r>
        <w:rPr>
          <w:rFonts w:hint="eastAsia"/>
        </w:rPr>
        <w:t>长</w:t>
      </w:r>
      <w:r>
        <w:t>距为</w:t>
      </w:r>
      <w:r>
        <w:rPr>
          <w:rFonts w:hint="eastAsia"/>
        </w:rPr>
        <w:t>：44-46</w:t>
      </w:r>
      <w:r>
        <w:t>mm。</w:t>
      </w:r>
    </w:p>
    <w:p w14:paraId="763EC488">
      <w:pPr>
        <w:numPr>
          <w:ilvl w:val="0"/>
          <w:numId w:val="3"/>
        </w:numPr>
      </w:pPr>
      <w:r>
        <w:rPr>
          <w:rFonts w:hint="eastAsia"/>
        </w:rPr>
        <w:t>手具功能：配置侧向、正向多元聚焦治疗手具。</w:t>
      </w:r>
    </w:p>
    <w:p w14:paraId="6ABEEFBE">
      <w:pPr>
        <w:numPr>
          <w:ilvl w:val="0"/>
          <w:numId w:val="3"/>
        </w:numPr>
      </w:pPr>
      <w:r>
        <w:rPr>
          <w:rFonts w:hint="eastAsia"/>
        </w:rPr>
        <w:t>M</w:t>
      </w:r>
      <w:r>
        <w:t>F</w:t>
      </w:r>
      <w:r>
        <w:rPr>
          <w:rFonts w:hint="eastAsia"/>
        </w:rPr>
        <w:t>模式：单次、叠射</w:t>
      </w:r>
    </w:p>
    <w:p w14:paraId="50D2B4C0">
      <w:pPr>
        <w:numPr>
          <w:ilvl w:val="0"/>
          <w:numId w:val="3"/>
        </w:numPr>
      </w:pPr>
      <w:r>
        <w:rPr>
          <w:rFonts w:hint="eastAsia"/>
        </w:rPr>
        <w:t>叠射：≤5次</w:t>
      </w:r>
    </w:p>
    <w:p w14:paraId="5226F1AA">
      <w:pPr>
        <w:numPr>
          <w:ilvl w:val="0"/>
          <w:numId w:val="3"/>
        </w:numPr>
      </w:pPr>
      <w:r>
        <w:t>★</w:t>
      </w:r>
      <w:r>
        <w:rPr>
          <w:rFonts w:hint="eastAsia"/>
        </w:rPr>
        <w:t xml:space="preserve"> 智能切割深度9μm-461μm 可调；对组织的气化，碳化，切割精准可控；需提具有资质</w:t>
      </w:r>
      <w:r>
        <w:rPr>
          <w:rFonts w:hint="eastAsia"/>
          <w:lang w:val="en-US" w:eastAsia="zh-CN"/>
        </w:rPr>
        <w:t>的</w:t>
      </w:r>
      <w:r>
        <w:rPr>
          <w:rFonts w:hint="eastAsia"/>
        </w:rPr>
        <w:t>第三方检测机构</w:t>
      </w:r>
      <w:r>
        <w:rPr>
          <w:rFonts w:hint="eastAsia"/>
          <w:lang w:val="en-US" w:eastAsia="zh-CN"/>
        </w:rPr>
        <w:t>出具的病理切片检测报告。</w:t>
      </w:r>
    </w:p>
    <w:p w14:paraId="7D6A3A3E">
      <w:pPr>
        <w:numPr>
          <w:ilvl w:val="0"/>
          <w:numId w:val="3"/>
        </w:numPr>
      </w:pPr>
      <w:r>
        <w:t>吹烟功能：内置60w大功率气泵吹散烟雾，保持术野清晰。</w:t>
      </w:r>
    </w:p>
    <w:p w14:paraId="4CB8D246">
      <w:pPr>
        <w:numPr>
          <w:ilvl w:val="0"/>
          <w:numId w:val="3"/>
        </w:numPr>
      </w:pPr>
      <w:r>
        <w:rPr>
          <w:rFonts w:hint="eastAsia"/>
        </w:rPr>
        <w:t>空气净化</w:t>
      </w:r>
      <w:r>
        <w:t>功能：同品牌</w:t>
      </w:r>
      <w:r>
        <w:rPr>
          <w:rFonts w:hint="eastAsia"/>
        </w:rPr>
        <w:t>净烟</w:t>
      </w:r>
      <w:r>
        <w:t>装置，降低组织颗粒散布到工作环境导致的危害。</w:t>
      </w:r>
    </w:p>
    <w:p w14:paraId="3875248E">
      <w:pPr>
        <w:numPr>
          <w:ilvl w:val="0"/>
          <w:numId w:val="3"/>
        </w:numPr>
      </w:pPr>
      <w:r>
        <w:t>内置设备实时自检系统：可实时检测设备状态，具备分项检测，保证设备任何时候都处于稳定运行状态。</w:t>
      </w:r>
    </w:p>
    <w:p w14:paraId="19A07169">
      <w:pPr>
        <w:numPr>
          <w:ilvl w:val="0"/>
          <w:numId w:val="3"/>
        </w:numPr>
      </w:pPr>
      <w:r>
        <w:t>内置系统报错功能，工程师可远程指导处理。</w:t>
      </w:r>
    </w:p>
    <w:p w14:paraId="2325FA02">
      <w:pPr>
        <w:numPr>
          <w:ilvl w:val="0"/>
          <w:numId w:val="3"/>
        </w:numPr>
      </w:pPr>
      <w:r>
        <w:t>外部环境安全：整机通过EMC，对医生患者均无辐射危害。</w:t>
      </w:r>
    </w:p>
    <w:p w14:paraId="5CC1F06E">
      <w:pPr>
        <w:numPr>
          <w:ilvl w:val="0"/>
          <w:numId w:val="3"/>
        </w:numPr>
      </w:pPr>
      <w:r>
        <w:rPr>
          <w:rFonts w:hint="eastAsia"/>
        </w:rPr>
        <w:t>静音脚轮，直径不小于95mm，单轮承重80公斤以上</w:t>
      </w:r>
    </w:p>
    <w:p w14:paraId="017D7CFD">
      <w:pPr>
        <w:numPr>
          <w:ilvl w:val="0"/>
          <w:numId w:val="3"/>
        </w:numPr>
      </w:pPr>
      <w:r>
        <w:t>温度显示：可动态显示激光器温度。</w:t>
      </w:r>
      <w:r>
        <w:rPr>
          <w:rFonts w:hint="eastAsia"/>
        </w:rPr>
        <w:t>具备自动记录激发次数的计数功能。</w:t>
      </w:r>
    </w:p>
    <w:p w14:paraId="7670FD2D">
      <w:pPr>
        <w:numPr>
          <w:ilvl w:val="0"/>
          <w:numId w:val="3"/>
        </w:numPr>
      </w:pPr>
      <w:r>
        <w:rPr>
          <w:rFonts w:hint="eastAsia"/>
        </w:rPr>
        <w:t xml:space="preserve">▲ </w:t>
      </w:r>
      <w:r>
        <w:t>触摸屏：≥10英寸</w:t>
      </w:r>
      <w:r>
        <w:rPr>
          <w:rFonts w:hint="eastAsia"/>
        </w:rPr>
        <w:t>彩色液晶屏触摸界面，显示屏具备前翻，后翻</w:t>
      </w:r>
      <w:r>
        <w:t>≥</w:t>
      </w:r>
      <w:r>
        <w:rPr>
          <w:rFonts w:hint="eastAsia"/>
        </w:rPr>
        <w:t>10度可调   节方便操作。</w:t>
      </w:r>
    </w:p>
    <w:p w14:paraId="01D87D4F">
      <w:pPr>
        <w:numPr>
          <w:ilvl w:val="0"/>
          <w:numId w:val="3"/>
        </w:numPr>
      </w:pPr>
      <w:r>
        <w:t>操作界面：全中文界面。</w:t>
      </w:r>
    </w:p>
    <w:p w14:paraId="38C9A3C5">
      <w:pPr>
        <w:numPr>
          <w:ilvl w:val="0"/>
          <w:numId w:val="3"/>
        </w:numPr>
      </w:pPr>
      <w:r>
        <w:t>妇科手具具备独立的注册证。</w:t>
      </w:r>
    </w:p>
    <w:p w14:paraId="0B2FC176">
      <w:pPr>
        <w:numPr>
          <w:ilvl w:val="0"/>
          <w:numId w:val="3"/>
        </w:numPr>
      </w:pPr>
      <w:r>
        <w:rPr>
          <w:rFonts w:hint="eastAsia"/>
        </w:rPr>
        <w:t>▲ 阴道治疗手具≥170mm，直径范围≥23mm；适合对阴道狭窄的患者进行治疗；</w:t>
      </w:r>
    </w:p>
    <w:p w14:paraId="0E4AB62B">
      <w:pPr>
        <w:numPr>
          <w:ilvl w:val="0"/>
          <w:numId w:val="3"/>
        </w:numPr>
      </w:pPr>
      <w:r>
        <w:rPr>
          <w:rFonts w:hint="eastAsia"/>
        </w:rPr>
        <w:t>▲阴道治疗手具≥170mm，直径范围 ≥27mm；</w:t>
      </w:r>
    </w:p>
    <w:p w14:paraId="7FE896E8">
      <w:pPr>
        <w:numPr>
          <w:ilvl w:val="0"/>
          <w:numId w:val="3"/>
        </w:numPr>
      </w:pPr>
      <w:r>
        <w:rPr>
          <w:rFonts w:hint="eastAsia"/>
        </w:rPr>
        <w:t>▲阴道治疗手具≥170mm，直径范围≥30mm；</w:t>
      </w:r>
    </w:p>
    <w:p w14:paraId="73A52AE2">
      <w:pPr>
        <w:numPr>
          <w:ilvl w:val="0"/>
          <w:numId w:val="3"/>
        </w:numPr>
      </w:pPr>
      <w:r>
        <w:rPr>
          <w:rFonts w:hint="eastAsia"/>
        </w:rPr>
        <w:t>▲ 专人专用阴道治疗手具≥100个。</w:t>
      </w:r>
    </w:p>
    <w:p w14:paraId="33632A7C">
      <w:pPr>
        <w:numPr>
          <w:ilvl w:val="0"/>
          <w:numId w:val="3"/>
        </w:numPr>
      </w:pPr>
      <w:r>
        <w:t>提供适合我院使用的各病种评估量表模板</w:t>
      </w:r>
      <w:r>
        <w:rPr>
          <w:rFonts w:hint="eastAsia"/>
        </w:rPr>
        <w:t>。</w:t>
      </w:r>
    </w:p>
    <w:p w14:paraId="43CC6753">
      <w:pPr>
        <w:numPr>
          <w:ilvl w:val="0"/>
          <w:numId w:val="3"/>
        </w:numPr>
        <w:rPr>
          <w:rFonts w:hint="eastAsia"/>
        </w:rPr>
      </w:pPr>
      <w:r>
        <w:rPr>
          <w:rFonts w:hint="eastAsia"/>
        </w:rPr>
        <w:t>设备使用年限≥8年，免费为医院提供巡检服务。</w:t>
      </w:r>
    </w:p>
    <w:p w14:paraId="09E70D93">
      <w:pPr>
        <w:rPr>
          <w:rFonts w:hint="eastAsia" w:ascii="黑体" w:hAnsi="黑体" w:eastAsia="黑体" w:cs="黑体"/>
          <w:b/>
          <w:bCs/>
          <w:spacing w:val="-3"/>
          <w:sz w:val="28"/>
          <w:szCs w:val="28"/>
          <w:highlight w:val="none"/>
        </w:rPr>
      </w:pPr>
      <w:r>
        <w:rPr>
          <w:rFonts w:hint="eastAsia" w:ascii="黑体" w:hAnsi="黑体" w:eastAsia="黑体" w:cs="黑体"/>
          <w:b/>
          <w:bCs/>
          <w:spacing w:val="-3"/>
          <w:sz w:val="28"/>
          <w:szCs w:val="28"/>
          <w:highlight w:val="none"/>
        </w:rPr>
        <w:br w:type="page"/>
      </w:r>
    </w:p>
    <w:p w14:paraId="2F581D79">
      <w:pPr>
        <w:spacing w:after="100" w:afterAutospacing="1" w:line="360" w:lineRule="auto"/>
        <w:jc w:val="center"/>
        <w:rPr>
          <w:rFonts w:hint="eastAsia" w:ascii="黑体" w:hAnsi="黑体" w:eastAsia="黑体" w:cs="黑体"/>
          <w:b/>
          <w:bCs/>
          <w:spacing w:val="-3"/>
          <w:sz w:val="28"/>
          <w:szCs w:val="28"/>
          <w:highlight w:val="none"/>
          <w:lang w:val="en-US" w:eastAsia="zh-CN"/>
        </w:rPr>
      </w:pPr>
      <w:r>
        <w:rPr>
          <w:rFonts w:hint="eastAsia" w:ascii="黑体" w:hAnsi="黑体" w:eastAsia="黑体" w:cs="黑体"/>
          <w:b/>
          <w:bCs/>
          <w:spacing w:val="-3"/>
          <w:sz w:val="28"/>
          <w:szCs w:val="28"/>
          <w:highlight w:val="none"/>
          <w:lang w:val="en-US" w:eastAsia="zh-CN"/>
        </w:rPr>
        <w:t>包三：皮秒激光治疗机</w:t>
      </w:r>
    </w:p>
    <w:p w14:paraId="21F71A5D">
      <w:pPr>
        <w:adjustRightInd w:val="0"/>
        <w:snapToGrid w:val="0"/>
        <w:spacing w:line="360" w:lineRule="auto"/>
        <w:rPr>
          <w:rFonts w:hint="eastAsia" w:ascii="宋体" w:hAnsi="宋体" w:eastAsia="宋体" w:cs="宋体"/>
          <w:iCs/>
          <w:color w:val="000000"/>
          <w:kern w:val="0"/>
          <w:sz w:val="21"/>
          <w:szCs w:val="21"/>
          <w:highlight w:val="none"/>
          <w:lang w:val="en-US" w:eastAsia="zh-CN" w:bidi="ar-SA"/>
        </w:rPr>
      </w:pPr>
      <w:r>
        <w:rPr>
          <w:rFonts w:hint="eastAsia" w:ascii="宋体" w:hAnsi="宋体" w:eastAsia="宋体" w:cs="宋体"/>
          <w:b/>
          <w:bCs/>
          <w:iCs/>
          <w:color w:val="000000"/>
          <w:kern w:val="0"/>
          <w:sz w:val="21"/>
          <w:szCs w:val="21"/>
          <w:highlight w:val="none"/>
          <w:lang w:val="en-US" w:eastAsia="zh-CN" w:bidi="ar-SA"/>
        </w:rPr>
        <w:t>一、技术参数</w:t>
      </w:r>
    </w:p>
    <w:p w14:paraId="71FB79BA">
      <w:pPr>
        <w:numPr>
          <w:ilvl w:val="0"/>
          <w:numId w:val="4"/>
        </w:numPr>
        <w:ind w:left="425" w:leftChars="0" w:hanging="425" w:firstLineChars="0"/>
        <w:rPr>
          <w:rFonts w:hint="eastAsia"/>
          <w:lang w:val="en-US" w:eastAsia="zh-CN"/>
        </w:rPr>
      </w:pPr>
      <w:r>
        <w:rPr>
          <w:rFonts w:hint="eastAsia"/>
          <w:lang w:val="en-US" w:eastAsia="zh-CN"/>
        </w:rPr>
        <w:t>激光工作物质：掺钕钇铝石榴石激光器(Nd:YAG激光器)</w:t>
      </w:r>
    </w:p>
    <w:p w14:paraId="68380A2A">
      <w:pPr>
        <w:numPr>
          <w:ilvl w:val="0"/>
          <w:numId w:val="4"/>
        </w:numPr>
        <w:ind w:left="425" w:leftChars="0" w:hanging="425" w:firstLineChars="0"/>
        <w:rPr>
          <w:rFonts w:hint="eastAsia"/>
          <w:lang w:val="en-US" w:eastAsia="zh-CN"/>
        </w:rPr>
      </w:pPr>
      <w:r>
        <w:rPr>
          <w:rFonts w:hint="eastAsia"/>
          <w:lang w:val="en-US" w:eastAsia="zh-CN"/>
        </w:rPr>
        <w:t>激光波长：同时具备≧1064nm 和≧532nm</w:t>
      </w:r>
    </w:p>
    <w:p w14:paraId="173464D8">
      <w:pPr>
        <w:numPr>
          <w:ilvl w:val="0"/>
          <w:numId w:val="4"/>
        </w:numPr>
        <w:ind w:left="425" w:leftChars="0" w:hanging="425" w:firstLineChars="0"/>
        <w:rPr>
          <w:rFonts w:hint="eastAsia"/>
          <w:lang w:val="en-US" w:eastAsia="zh-CN"/>
        </w:rPr>
      </w:pPr>
      <w:r>
        <w:rPr>
          <w:rFonts w:hint="eastAsia"/>
          <w:lang w:val="en-US" w:eastAsia="zh-CN"/>
        </w:rPr>
        <w:t>传输方式：≧7关节平衡锤式导光臂</w:t>
      </w:r>
    </w:p>
    <w:p w14:paraId="385146CC">
      <w:pPr>
        <w:numPr>
          <w:ilvl w:val="0"/>
          <w:numId w:val="4"/>
        </w:numPr>
        <w:ind w:left="425" w:leftChars="0" w:hanging="425" w:firstLineChars="0"/>
        <w:rPr>
          <w:rFonts w:hint="eastAsia"/>
          <w:lang w:val="en-US" w:eastAsia="zh-CN"/>
        </w:rPr>
      </w:pPr>
      <w:r>
        <w:rPr>
          <w:rFonts w:hint="eastAsia"/>
          <w:lang w:val="en-US" w:eastAsia="zh-CN"/>
        </w:rPr>
        <w:t>治疗手具：光电旋转手具，具有光斑直径、能量密度调节与显示同步功能</w:t>
      </w:r>
    </w:p>
    <w:p w14:paraId="7CB570BD">
      <w:pPr>
        <w:numPr>
          <w:ilvl w:val="0"/>
          <w:numId w:val="4"/>
        </w:numPr>
        <w:ind w:left="425" w:leftChars="0" w:hanging="425" w:firstLineChars="0"/>
        <w:rPr>
          <w:rFonts w:hint="default"/>
          <w:lang w:val="en-US" w:eastAsia="zh-CN"/>
        </w:rPr>
      </w:pPr>
      <w:r>
        <w:rPr>
          <w:rFonts w:hint="eastAsia"/>
          <w:lang w:val="en-US" w:eastAsia="zh-CN"/>
        </w:rPr>
        <w:t>▲光斑直径：1.5mm-8mm可调，最大光斑≧8mm（提供产品说明书或彩页或第三方检测报告佐证）</w:t>
      </w:r>
    </w:p>
    <w:p w14:paraId="5EBBF43A">
      <w:pPr>
        <w:numPr>
          <w:ilvl w:val="0"/>
          <w:numId w:val="4"/>
        </w:numPr>
        <w:ind w:left="425" w:leftChars="0" w:hanging="425" w:firstLineChars="0"/>
        <w:rPr>
          <w:rFonts w:hint="eastAsia"/>
          <w:lang w:val="en-US" w:eastAsia="zh-CN"/>
        </w:rPr>
      </w:pPr>
      <w:r>
        <w:rPr>
          <w:rFonts w:hint="eastAsia"/>
          <w:lang w:val="en-US" w:eastAsia="zh-CN"/>
        </w:rPr>
        <w:t>▲脉宽:≤900ps（提供产品说明书或彩页或第三方检测报告佐证）</w:t>
      </w:r>
    </w:p>
    <w:p w14:paraId="0DD77E66">
      <w:pPr>
        <w:numPr>
          <w:ilvl w:val="0"/>
          <w:numId w:val="4"/>
        </w:numPr>
        <w:ind w:left="425" w:leftChars="0" w:hanging="425" w:firstLineChars="0"/>
        <w:rPr>
          <w:rFonts w:hint="eastAsia"/>
          <w:lang w:val="en-US" w:eastAsia="zh-CN"/>
        </w:rPr>
      </w:pPr>
      <w:r>
        <w:rPr>
          <w:rFonts w:hint="eastAsia"/>
          <w:lang w:val="en-US" w:eastAsia="zh-CN"/>
        </w:rPr>
        <w:t xml:space="preserve">终端最大能量：1064nm：≧1200mJ，532nm：≧400mJ </w:t>
      </w:r>
    </w:p>
    <w:p w14:paraId="3ED77B22">
      <w:pPr>
        <w:numPr>
          <w:ilvl w:val="0"/>
          <w:numId w:val="4"/>
        </w:numPr>
        <w:ind w:left="425" w:leftChars="0" w:hanging="425" w:firstLineChars="0"/>
        <w:rPr>
          <w:rFonts w:hint="eastAsia"/>
          <w:lang w:val="en-US" w:eastAsia="zh-CN"/>
        </w:rPr>
      </w:pPr>
      <w:r>
        <w:rPr>
          <w:rFonts w:hint="eastAsia"/>
          <w:lang w:val="en-US" w:eastAsia="zh-CN"/>
        </w:rPr>
        <w:t>光路系统：采用陶瓷双腔、双棒、双灯泵浦</w:t>
      </w:r>
    </w:p>
    <w:p w14:paraId="24CBA8BF">
      <w:pPr>
        <w:numPr>
          <w:ilvl w:val="0"/>
          <w:numId w:val="4"/>
        </w:numPr>
        <w:ind w:left="425" w:leftChars="0" w:hanging="425" w:firstLineChars="0"/>
        <w:rPr>
          <w:rFonts w:hint="eastAsia"/>
          <w:lang w:val="en-US" w:eastAsia="zh-CN"/>
        </w:rPr>
      </w:pPr>
      <w:r>
        <w:rPr>
          <w:rFonts w:hint="eastAsia"/>
          <w:lang w:val="en-US" w:eastAsia="zh-CN"/>
        </w:rPr>
        <w:t>▲最小光斑：≦1.5mm（提供产品说明书或彩页或第三方检测报告）</w:t>
      </w:r>
    </w:p>
    <w:p w14:paraId="2E8480E5">
      <w:pPr>
        <w:numPr>
          <w:ilvl w:val="0"/>
          <w:numId w:val="4"/>
        </w:numPr>
        <w:ind w:left="425" w:leftChars="0" w:hanging="425" w:firstLineChars="0"/>
        <w:rPr>
          <w:rFonts w:hint="eastAsia"/>
          <w:lang w:val="en-US" w:eastAsia="zh-CN"/>
        </w:rPr>
      </w:pPr>
      <w:r>
        <w:rPr>
          <w:rFonts w:hint="eastAsia"/>
          <w:lang w:val="en-US" w:eastAsia="zh-CN"/>
        </w:rPr>
        <w:t>激光瞄准：650nm±10nm波长红色半导体指示光，亮度强弱可调</w:t>
      </w:r>
    </w:p>
    <w:p w14:paraId="0F2CEDBC">
      <w:pPr>
        <w:numPr>
          <w:ilvl w:val="0"/>
          <w:numId w:val="4"/>
        </w:numPr>
        <w:ind w:left="425" w:leftChars="0" w:hanging="425" w:firstLineChars="0"/>
        <w:rPr>
          <w:rFonts w:hint="eastAsia"/>
          <w:lang w:val="en-US" w:eastAsia="zh-CN"/>
        </w:rPr>
      </w:pPr>
      <w:r>
        <w:rPr>
          <w:rFonts w:hint="eastAsia"/>
          <w:lang w:val="en-US" w:eastAsia="zh-CN"/>
        </w:rPr>
        <w:t>冷却系统：封闭内循环水制冷，外循环强风冷却，内置双过滤洁净装置</w:t>
      </w:r>
    </w:p>
    <w:p w14:paraId="039A756F">
      <w:pPr>
        <w:numPr>
          <w:ilvl w:val="0"/>
          <w:numId w:val="4"/>
        </w:numPr>
        <w:ind w:left="425" w:leftChars="0" w:hanging="425" w:firstLineChars="0"/>
        <w:rPr>
          <w:rFonts w:hint="eastAsia"/>
          <w:lang w:val="en-US" w:eastAsia="zh-CN"/>
        </w:rPr>
      </w:pPr>
      <w:r>
        <w:rPr>
          <w:rFonts w:hint="eastAsia"/>
          <w:lang w:val="en-US" w:eastAsia="zh-CN"/>
        </w:rPr>
        <w:t>控制系统：彩色触摸屏显示，具有参数修正功能及升级接口，主电源工作电压、冷却水温度、光斑计数、计时显示，故障语言显示及声音提示，密码设置、常用数据储存等功能。</w:t>
      </w:r>
    </w:p>
    <w:p w14:paraId="7317065C">
      <w:pPr>
        <w:numPr>
          <w:ilvl w:val="0"/>
          <w:numId w:val="4"/>
        </w:numPr>
        <w:ind w:left="425" w:leftChars="0" w:hanging="425" w:firstLineChars="0"/>
        <w:rPr>
          <w:rFonts w:hint="eastAsia"/>
          <w:lang w:val="en-US" w:eastAsia="zh-CN"/>
        </w:rPr>
      </w:pPr>
      <w:r>
        <w:rPr>
          <w:rFonts w:hint="eastAsia"/>
          <w:lang w:val="en-US" w:eastAsia="zh-CN"/>
        </w:rPr>
        <w:t>安全保护：激光器具有光闸保护功能，脚踏开关具有智能脚踏识别功能。（提供产品说明书或彩页或第三方检测报告佐证）</w:t>
      </w:r>
    </w:p>
    <w:p w14:paraId="40B00E56">
      <w:pPr>
        <w:numPr>
          <w:ilvl w:val="0"/>
          <w:numId w:val="4"/>
        </w:numPr>
        <w:ind w:left="425" w:leftChars="0" w:hanging="425" w:firstLineChars="0"/>
        <w:rPr>
          <w:rFonts w:hint="eastAsia"/>
          <w:lang w:val="en-US" w:eastAsia="zh-CN"/>
        </w:rPr>
      </w:pPr>
      <w:r>
        <w:rPr>
          <w:rFonts w:hint="eastAsia"/>
          <w:lang w:val="en-US" w:eastAsia="zh-CN"/>
        </w:rPr>
        <w:t>电    源：AC220V/50Hz/10A。</w:t>
      </w:r>
    </w:p>
    <w:p w14:paraId="71103486">
      <w:pPr>
        <w:numPr>
          <w:ilvl w:val="0"/>
          <w:numId w:val="4"/>
        </w:numPr>
        <w:ind w:left="425" w:leftChars="0" w:hanging="425" w:firstLineChars="0"/>
        <w:rPr>
          <w:rFonts w:hint="eastAsia"/>
          <w:lang w:val="en-US" w:eastAsia="zh-CN"/>
        </w:rPr>
      </w:pPr>
      <w:r>
        <w:rPr>
          <w:rFonts w:hint="eastAsia"/>
          <w:lang w:val="en-US" w:eastAsia="zh-CN"/>
        </w:rPr>
        <w:t>使用年限：≧10年（提供设备铭牌佐证）</w:t>
      </w:r>
    </w:p>
    <w:p w14:paraId="3E9B0365">
      <w:pPr>
        <w:numPr>
          <w:ilvl w:val="0"/>
          <w:numId w:val="4"/>
        </w:numPr>
        <w:ind w:left="425" w:leftChars="0" w:hanging="425" w:firstLineChars="0"/>
        <w:rPr>
          <w:rFonts w:hint="eastAsia"/>
          <w:lang w:val="en-US" w:eastAsia="zh-CN"/>
        </w:rPr>
      </w:pPr>
      <w:r>
        <w:rPr>
          <w:rFonts w:hint="eastAsia"/>
          <w:lang w:val="en-US" w:eastAsia="zh-CN"/>
        </w:rPr>
        <w:t>★治疗模式：同时具备皮秒和纳秒双重模式，满足不同治疗需求。（提供产品说明书或彩页或第三方检测报告佐证）</w:t>
      </w:r>
    </w:p>
    <w:p w14:paraId="50E9B998">
      <w:pPr>
        <w:numPr>
          <w:ilvl w:val="0"/>
          <w:numId w:val="4"/>
        </w:numPr>
        <w:ind w:left="425" w:leftChars="0" w:hanging="425" w:firstLineChars="0"/>
        <w:rPr>
          <w:rFonts w:hint="default"/>
          <w:lang w:val="en-US" w:eastAsia="zh-CN"/>
        </w:rPr>
      </w:pPr>
      <w:r>
        <w:rPr>
          <w:rFonts w:hint="eastAsia"/>
          <w:lang w:val="en-US" w:eastAsia="zh-CN"/>
        </w:rPr>
        <w:t>▲平行光斑：至少具备≧2种平行光斑输出模式（提供产品说明书或彩页或第三方检测报告佐证）</w:t>
      </w:r>
    </w:p>
    <w:p w14:paraId="601CDF13">
      <w:pPr>
        <w:spacing w:after="100" w:afterAutospacing="1" w:line="360" w:lineRule="auto"/>
        <w:jc w:val="left"/>
        <w:rPr>
          <w:rFonts w:hint="eastAsia" w:ascii="黑体" w:hAnsi="黑体" w:eastAsia="黑体" w:cs="黑体"/>
          <w:b/>
          <w:bCs/>
          <w:spacing w:val="-3"/>
          <w:sz w:val="28"/>
          <w:szCs w:val="28"/>
          <w:highlight w:val="none"/>
          <w:lang w:val="en-US" w:eastAsia="zh-CN"/>
        </w:rPr>
      </w:pPr>
    </w:p>
    <w:p w14:paraId="36BAE8D2">
      <w:pPr>
        <w:spacing w:after="100" w:afterAutospacing="1" w:line="360" w:lineRule="auto"/>
        <w:jc w:val="center"/>
        <w:rPr>
          <w:rFonts w:ascii="黑体" w:hAnsi="黑体" w:eastAsia="黑体" w:cs="黑体"/>
          <w:b/>
          <w:bCs/>
          <w:spacing w:val="-3"/>
          <w:sz w:val="28"/>
          <w:szCs w:val="28"/>
          <w:highlight w:val="none"/>
        </w:rPr>
      </w:pPr>
      <w:r>
        <w:rPr>
          <w:rFonts w:hint="eastAsia" w:ascii="黑体" w:hAnsi="黑体" w:eastAsia="黑体" w:cs="黑体"/>
          <w:b/>
          <w:bCs/>
          <w:spacing w:val="-3"/>
          <w:sz w:val="28"/>
          <w:szCs w:val="28"/>
          <w:highlight w:val="none"/>
        </w:rPr>
        <w:t>第二节 技术要求</w:t>
      </w:r>
    </w:p>
    <w:p w14:paraId="2628DDD1">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一、安装调试及验收</w:t>
      </w:r>
    </w:p>
    <w:p w14:paraId="0C2926A1">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1.1中标人配合和指导采购人对货物储存、安装和使用场地的建设或改良（含配套设施及条件），确保货物达到规定的使用环境，保证使用条件安全。</w:t>
      </w:r>
    </w:p>
    <w:p w14:paraId="52BD3146">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1.2货物应在合同签订后</w:t>
      </w:r>
      <w:r>
        <w:rPr>
          <w:rFonts w:hint="eastAsia" w:ascii="宋体" w:hAnsi="宋体" w:cs="宋体"/>
          <w:b w:val="0"/>
          <w:bCs/>
          <w:i w:val="0"/>
          <w:iCs w:val="0"/>
          <w:color w:val="auto"/>
          <w:szCs w:val="21"/>
          <w:highlight w:val="none"/>
          <w:lang w:val="en-US" w:eastAsia="zh-CN"/>
        </w:rPr>
        <w:t>20</w:t>
      </w:r>
      <w:r>
        <w:rPr>
          <w:rFonts w:hint="eastAsia" w:ascii="宋体" w:hAnsi="宋体" w:eastAsia="宋体" w:cs="宋体"/>
          <w:b w:val="0"/>
          <w:bCs/>
          <w:i w:val="0"/>
          <w:iCs w:val="0"/>
          <w:color w:val="auto"/>
          <w:szCs w:val="21"/>
          <w:highlight w:val="none"/>
          <w:lang w:val="en-US" w:eastAsia="zh-CN"/>
        </w:rPr>
        <w:t>日内(进口产品为90日内）到达使用单位，现场场地符合安装条件后，采购人将通知中标人派技术人员进行安装调试。中标人应派技术人员在7日内到达采购人指定安装地点，并在采购人技术人员在场的情况下开箱清点货物，组织安装、调试，并承担因此发生的一切费用。如中标人未在7日内到达采购人指定安装地点，采购人有权自行开箱安装调试。开箱如有缺货、错装、损坏或技术问题，中标人应承担全部责任。</w:t>
      </w:r>
    </w:p>
    <w:p w14:paraId="7398AB2B">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1.3在验收报告出具前，中标人需按相关规定，委托国内具备资格的单位对货物进行检验并出具报告，所有费用均由中标人承担。</w:t>
      </w:r>
    </w:p>
    <w:p w14:paraId="79152E76">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1.4设备验收签字前如有任何质量问题，中标人必须无条件更换。</w:t>
      </w:r>
    </w:p>
    <w:p w14:paraId="7A8B8BBA">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1.5中标人须承担货物验收前的财产保护责任，在验收前出现损坏由中标人负责。在安装运输过程中如出现人员伤亡及财产损坏由中标人承担赔偿责任。</w:t>
      </w:r>
    </w:p>
    <w:p w14:paraId="7EDBFDB4">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1.6设备安装后，采购人按国家标准及厂方标准进行质量验收。中标人应向采购人提供详细的验收标准，验收手册和部分验收专用仪器，并承担相关费用。设备各项技术性能、指标必须达到合同和技术文件规定的要求。</w:t>
      </w:r>
    </w:p>
    <w:p w14:paraId="7CCC246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二、售后服务要求</w:t>
      </w:r>
    </w:p>
    <w:p w14:paraId="72EC5023">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2.1质保期：在正常操作下，整机质保期为三年，即买方安装调试验收合格签字之日起三十六个月内连续运转良好（“三、详细技术参数”中设备质保期有特殊要求的按照要求执行）。</w:t>
      </w:r>
    </w:p>
    <w:p w14:paraId="6A1732BA">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2.2售后响应时间：接到买方通知后2小时内响应，24小时内派维修人员到达现场（如遇不可抗力因素除外）并解决一般问题，特殊问题另行协商。如遇更换配件或其它特殊原因短时间内无法解决的，卖方提供备用机以保障买方临床医疗工作的正常开展。维修期间如无法提供备用机的，将按实际停机时间的2倍顺延质保期。</w:t>
      </w:r>
    </w:p>
    <w:p w14:paraId="1A803C07">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2.3保修期内免费维修与更换非人为损坏的货物或部件，质保期满后只收取用工费和投标时承诺的备品备件所需费用。每次维护维修后，应及时向采购人提供相关记录。</w:t>
      </w:r>
    </w:p>
    <w:p w14:paraId="401ADB37">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2.4投标人提供所投货物制造商在国内的售后服务机构及厂家办事处的名称、办公地点和联系方式。</w:t>
      </w:r>
    </w:p>
    <w:p w14:paraId="270CACB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2.5投标人提供所投货物制造商在国内的专业维修工程师，并注明名字、联系方式及简历。</w:t>
      </w:r>
    </w:p>
    <w:p w14:paraId="612E6CA7">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2.6投标人所投货物制造商必须具备国内免费维修电话、网络、电传或E-mail等适当形式的技术支持联系方式，若采购人技术人员提出技术咨询要求时，货物制造商能保证迅速做出响应。</w:t>
      </w:r>
    </w:p>
    <w:p w14:paraId="4628F9AB">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2.7投标人所投货物制造商必须保证所投设备的正常使用寿命及软件终身免费升级（在不增加新功能的情况下）。</w:t>
      </w:r>
    </w:p>
    <w:p w14:paraId="435E2330">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2.8制造商应派技术人员每年对新设备进行1到2次的巡回检修，并出具检修报告。</w:t>
      </w:r>
    </w:p>
    <w:p w14:paraId="00BDC2B2">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2.9投标人须开放设备接口，负责与采购人现有设备和系统联网连接，相关费用应计入总报价中。</w:t>
      </w:r>
    </w:p>
    <w:p w14:paraId="500B42B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2.10投标人应在投标文件中提供质保期后每年全保的价格清单（此报价不计入投标总价内）。</w:t>
      </w:r>
    </w:p>
    <w:p w14:paraId="42AAECDB">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三、技术服务（含培训）要求</w:t>
      </w:r>
    </w:p>
    <w:p w14:paraId="18F39877">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3.1中标人应向采购人随设备提供全套设备技术资料，并译成中文，费用巳包括在投标价格之内。</w:t>
      </w:r>
    </w:p>
    <w:p w14:paraId="73D92CC2">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（1）设备安装图；</w:t>
      </w:r>
    </w:p>
    <w:p w14:paraId="28A2F213">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（2）电气设备及系统原理图；</w:t>
      </w:r>
    </w:p>
    <w:p w14:paraId="08C954D6">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（3）电气设备及系统安装线路图；</w:t>
      </w:r>
    </w:p>
    <w:p w14:paraId="55809C1A">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（4）构件、机械安装图；</w:t>
      </w:r>
    </w:p>
    <w:p w14:paraId="4D475B78">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（5）安装、操作手册；</w:t>
      </w:r>
    </w:p>
    <w:p w14:paraId="7D83CC2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（6）故障代码表、维修密码；</w:t>
      </w:r>
    </w:p>
    <w:p w14:paraId="54D045B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（7）维护和维修手册（包括电子版）；</w:t>
      </w:r>
    </w:p>
    <w:p w14:paraId="114D8770">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（8）详细维修用的资料和图纸（包含产品内部主要机械结构与控制电路、管路原理图、控制面板布置图、接线图、装配示意图）；</w:t>
      </w:r>
    </w:p>
    <w:p w14:paraId="11D14839">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（9）制造、安装标准含技术规范；</w:t>
      </w:r>
    </w:p>
    <w:p w14:paraId="53385422">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（10）出厂检验报告及合格证；</w:t>
      </w:r>
    </w:p>
    <w:p w14:paraId="77F8373D">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（11）安装和验收报告（包括验收数据资料）；</w:t>
      </w:r>
    </w:p>
    <w:p w14:paraId="613478AB">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（12）易损件、零部件和备件清单；</w:t>
      </w:r>
    </w:p>
    <w:p w14:paraId="25407B98">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（13）进口产品还须提供商检证明（必须商检的）、海关报关单（复印件）；</w:t>
      </w:r>
    </w:p>
    <w:p w14:paraId="1EDEDE36">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（14）软件备份光盘。</w:t>
      </w:r>
    </w:p>
    <w:p w14:paraId="0567DFA6">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3.2中标人负责向采购人工作人员（具体人数由采购人确定，包括医师、技术人员）直接提供免费的安装、保修、维修、使用培训服务；操作培训要求在与采购人同级别或以上的医院进行；维修培训要求在厂家维修站或培训中心进行，具体培训时间另行协商。至采购人工作人员能正常操作设备的各种功能、简单的故障排除为止，所需费用全部由中标人负责。</w:t>
      </w:r>
    </w:p>
    <w:p w14:paraId="1245E998">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3.3投标人须在投标文件中提供详细的培训计划，具体培训时间、地点由买方另行确定。</w:t>
      </w:r>
    </w:p>
    <w:p w14:paraId="42F64E8B">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四、付款方式：货到交货地点，验收合格交付使用后支付合同价款的90%，质保期满后（无重大质量问题，双方没有纠纷）付清合同余款10%（无息）。</w:t>
      </w:r>
    </w:p>
    <w:p w14:paraId="0C36B6E3">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五、其他要求：</w:t>
      </w:r>
    </w:p>
    <w:p w14:paraId="690220CC">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eastAsia="宋体" w:cs="宋体"/>
          <w:b w:val="0"/>
          <w:bCs/>
          <w:i w:val="0"/>
          <w:iCs w:val="0"/>
          <w:color w:val="auto"/>
          <w:szCs w:val="21"/>
          <w:highlight w:val="none"/>
          <w:lang w:val="en-US" w:eastAsia="zh-CN"/>
        </w:rPr>
        <w:t>1、本项目采用费用包干方式实施，投标人应根据项目要求和现场情况，详细列明项目所需的货物及材料、备品备件等，以及产品运输、保险保管、产品指导安装调试、验收、质保期内免费保修、维护等所有人工、管理、财务等相关费用。一旦中标，在项目实施中如出现任何遗漏，均由中标人免费提供，采购人不再支付任何费用。</w:t>
      </w:r>
    </w:p>
    <w:p w14:paraId="5C47E285">
      <w:pPr>
        <w:keepNext w:val="0"/>
        <w:keepLines w:val="0"/>
        <w:pageBreakBefore w:val="0"/>
        <w:widowControl w:val="0"/>
        <w:kinsoku/>
        <w:wordWrap/>
        <w:overflowPunct/>
        <w:topLinePunct w:val="0"/>
        <w:autoSpaceDE/>
        <w:autoSpaceDN/>
        <w:bidi w:val="0"/>
        <w:adjustRightInd w:val="0"/>
        <w:snapToGrid w:val="0"/>
        <w:spacing w:line="480" w:lineRule="auto"/>
        <w:ind w:firstLine="420" w:firstLineChars="200"/>
        <w:textAlignment w:val="auto"/>
        <w:rPr>
          <w:rFonts w:hint="eastAsia" w:ascii="宋体" w:hAnsi="宋体" w:eastAsia="宋体" w:cs="宋体"/>
          <w:b w:val="0"/>
          <w:bCs/>
          <w:i w:val="0"/>
          <w:iCs w:val="0"/>
          <w:color w:val="auto"/>
          <w:szCs w:val="21"/>
          <w:highlight w:val="none"/>
          <w:lang w:val="en-US" w:eastAsia="zh-CN"/>
        </w:rPr>
      </w:pPr>
      <w:r>
        <w:rPr>
          <w:rFonts w:hint="eastAsia" w:ascii="宋体" w:hAnsi="宋体" w:cs="宋体"/>
          <w:b w:val="0"/>
          <w:bCs/>
          <w:i w:val="0"/>
          <w:iCs w:val="0"/>
          <w:color w:val="auto"/>
          <w:szCs w:val="21"/>
          <w:highlight w:val="none"/>
          <w:lang w:val="en-US" w:eastAsia="zh-CN"/>
        </w:rPr>
        <w:t>中标人</w:t>
      </w:r>
      <w:r>
        <w:rPr>
          <w:rFonts w:hint="eastAsia" w:ascii="宋体" w:hAnsi="宋体" w:eastAsia="宋体" w:cs="宋体"/>
          <w:b w:val="0"/>
          <w:bCs/>
          <w:i w:val="0"/>
          <w:iCs w:val="0"/>
          <w:color w:val="auto"/>
          <w:szCs w:val="21"/>
          <w:highlight w:val="none"/>
          <w:lang w:val="en-US" w:eastAsia="zh-CN"/>
        </w:rPr>
        <w:t>需保证所供应货物均为投标文件中的相应产品、性能指标均达到投标文件中的相应性能指标，且通过验收标准，通过验收标准后，由</w:t>
      </w:r>
      <w:r>
        <w:rPr>
          <w:rFonts w:hint="eastAsia" w:ascii="宋体" w:hAnsi="宋体" w:cs="宋体"/>
          <w:b w:val="0"/>
          <w:bCs/>
          <w:i w:val="0"/>
          <w:iCs w:val="0"/>
          <w:color w:val="auto"/>
          <w:szCs w:val="21"/>
          <w:highlight w:val="none"/>
          <w:lang w:val="en-US" w:eastAsia="zh-CN"/>
        </w:rPr>
        <w:t>招标人</w:t>
      </w:r>
      <w:r>
        <w:rPr>
          <w:rFonts w:hint="eastAsia" w:ascii="宋体" w:hAnsi="宋体" w:eastAsia="宋体" w:cs="宋体"/>
          <w:b w:val="0"/>
          <w:bCs/>
          <w:i w:val="0"/>
          <w:iCs w:val="0"/>
          <w:color w:val="auto"/>
          <w:szCs w:val="21"/>
          <w:highlight w:val="none"/>
          <w:lang w:val="en-US" w:eastAsia="zh-CN"/>
        </w:rPr>
        <w:t>组织专家验收，验收所需费用由供应商承担。由验收小组鉴定是否符合招标项目的验收标准和实际需要，是否可以投入正常使用，验收结果报相关监督部门备案。</w:t>
      </w:r>
    </w:p>
    <w:p w14:paraId="05E1C557">
      <w:pPr>
        <w:pStyle w:val="4"/>
        <w:spacing w:line="360" w:lineRule="auto"/>
        <w:ind w:firstLine="422" w:firstLineChars="200"/>
        <w:rPr>
          <w:rFonts w:hint="eastAsia" w:ascii="黑体" w:hAnsi="华文中宋" w:eastAsia="黑体"/>
          <w:b/>
          <w:sz w:val="32"/>
          <w:szCs w:val="32"/>
          <w:highlight w:val="none"/>
        </w:rPr>
      </w:pPr>
      <w:r>
        <w:rPr>
          <w:rFonts w:hint="eastAsia" w:ascii="宋体" w:hAnsi="宋体" w:cs="宋体"/>
          <w:b/>
          <w:bCs/>
          <w:sz w:val="21"/>
          <w:szCs w:val="21"/>
          <w:highlight w:val="none"/>
        </w:rPr>
        <w:t>注：★对于上述采购</w:t>
      </w:r>
      <w:r>
        <w:rPr>
          <w:rFonts w:ascii="宋体" w:hAnsi="宋体" w:cs="宋体"/>
          <w:b/>
          <w:bCs/>
          <w:sz w:val="21"/>
          <w:szCs w:val="21"/>
          <w:highlight w:val="none"/>
        </w:rPr>
        <w:t>需求</w:t>
      </w:r>
      <w:r>
        <w:rPr>
          <w:rFonts w:hint="eastAsia" w:ascii="宋体" w:hAnsi="宋体" w:cs="宋体"/>
          <w:b/>
          <w:bCs/>
          <w:sz w:val="21"/>
          <w:szCs w:val="21"/>
          <w:highlight w:val="none"/>
        </w:rPr>
        <w:t>，投标人应在投标文件中进行响应</w:t>
      </w:r>
      <w:r>
        <w:rPr>
          <w:rFonts w:ascii="宋体" w:hAnsi="宋体" w:cs="宋体"/>
          <w:b/>
          <w:bCs/>
          <w:sz w:val="21"/>
          <w:szCs w:val="21"/>
          <w:highlight w:val="none"/>
        </w:rPr>
        <w:t>说明</w:t>
      </w:r>
      <w:r>
        <w:rPr>
          <w:rFonts w:hint="eastAsia" w:ascii="宋体" w:hAnsi="宋体" w:cs="宋体"/>
          <w:b/>
          <w:bCs/>
          <w:sz w:val="21"/>
          <w:szCs w:val="21"/>
          <w:highlight w:val="none"/>
        </w:rPr>
        <w:t>，并提供</w:t>
      </w:r>
      <w:r>
        <w:rPr>
          <w:rFonts w:ascii="宋体" w:hAnsi="宋体" w:cs="宋体"/>
          <w:b/>
          <w:bCs/>
          <w:sz w:val="21"/>
          <w:szCs w:val="21"/>
          <w:highlight w:val="none"/>
        </w:rPr>
        <w:t>承诺函，承诺在投标文件中作出相应的条款</w:t>
      </w:r>
      <w:r>
        <w:rPr>
          <w:rFonts w:hint="eastAsia" w:ascii="宋体" w:hAnsi="宋体" w:cs="宋体"/>
          <w:b/>
          <w:bCs/>
          <w:sz w:val="21"/>
          <w:szCs w:val="21"/>
          <w:highlight w:val="none"/>
          <w:lang w:val="en-US" w:eastAsia="zh-CN"/>
        </w:rPr>
        <w:t>且</w:t>
      </w:r>
      <w:r>
        <w:rPr>
          <w:rFonts w:ascii="宋体" w:hAnsi="宋体" w:cs="宋体"/>
          <w:b/>
          <w:bCs/>
          <w:sz w:val="21"/>
          <w:szCs w:val="21"/>
          <w:highlight w:val="none"/>
        </w:rPr>
        <w:t>真实有效，合同签订后将严格按投标文件方案供货安装，如有虚假响应</w:t>
      </w:r>
      <w:r>
        <w:rPr>
          <w:rFonts w:hint="eastAsia" w:ascii="宋体" w:hAnsi="宋体" w:cs="宋体"/>
          <w:b/>
          <w:bCs/>
          <w:sz w:val="21"/>
          <w:szCs w:val="21"/>
          <w:highlight w:val="none"/>
        </w:rPr>
        <w:t>，</w:t>
      </w:r>
      <w:r>
        <w:rPr>
          <w:rFonts w:ascii="宋体" w:hAnsi="宋体" w:cs="宋体"/>
          <w:b/>
          <w:bCs/>
          <w:sz w:val="21"/>
          <w:szCs w:val="21"/>
          <w:highlight w:val="none"/>
        </w:rPr>
        <w:t>取消中标资格</w:t>
      </w:r>
      <w:r>
        <w:rPr>
          <w:rFonts w:hint="eastAsia" w:ascii="宋体" w:hAnsi="宋体" w:cs="宋体"/>
          <w:b/>
          <w:bCs/>
          <w:sz w:val="21"/>
          <w:szCs w:val="21"/>
          <w:highlight w:val="none"/>
        </w:rPr>
        <w:t>。（承诺函</w:t>
      </w:r>
      <w:r>
        <w:rPr>
          <w:rFonts w:ascii="宋体" w:hAnsi="宋体" w:cs="宋体"/>
          <w:b/>
          <w:bCs/>
          <w:sz w:val="21"/>
          <w:szCs w:val="21"/>
          <w:highlight w:val="none"/>
        </w:rPr>
        <w:t>格式自拟</w:t>
      </w:r>
      <w:r>
        <w:rPr>
          <w:rFonts w:hint="eastAsia" w:ascii="宋体" w:hAnsi="宋体" w:cs="宋体"/>
          <w:b/>
          <w:bCs/>
          <w:sz w:val="21"/>
          <w:szCs w:val="21"/>
          <w:highlight w:val="none"/>
        </w:rPr>
        <w:t>）</w:t>
      </w:r>
    </w:p>
    <w:p w14:paraId="09E75711">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D9C9B8"/>
    <w:multiLevelType w:val="singleLevel"/>
    <w:tmpl w:val="92D9C9B8"/>
    <w:lvl w:ilvl="0" w:tentative="0">
      <w:start w:val="4"/>
      <w:numFmt w:val="chineseCounting"/>
      <w:suff w:val="space"/>
      <w:lvlText w:val="第%1章"/>
      <w:lvlJc w:val="left"/>
      <w:rPr>
        <w:rFonts w:hint="eastAsia"/>
      </w:rPr>
    </w:lvl>
  </w:abstractNum>
  <w:abstractNum w:abstractNumId="1">
    <w:nsid w:val="B9AA78EF"/>
    <w:multiLevelType w:val="singleLevel"/>
    <w:tmpl w:val="B9AA78EF"/>
    <w:lvl w:ilvl="0" w:tentative="0">
      <w:start w:val="1"/>
      <w:numFmt w:val="decimal"/>
      <w:lvlText w:val="%1."/>
      <w:lvlJc w:val="left"/>
      <w:pPr>
        <w:ind w:left="425" w:hanging="425"/>
      </w:pPr>
      <w:rPr>
        <w:rFonts w:hint="default"/>
      </w:rPr>
    </w:lvl>
  </w:abstractNum>
  <w:abstractNum w:abstractNumId="2">
    <w:nsid w:val="19C717BE"/>
    <w:multiLevelType w:val="multilevel"/>
    <w:tmpl w:val="19C717BE"/>
    <w:lvl w:ilvl="0" w:tentative="0">
      <w:start w:val="1"/>
      <w:numFmt w:val="decimal"/>
      <w:lvlText w:val="%1."/>
      <w:lvlJc w:val="left"/>
      <w:pPr>
        <w:ind w:left="420" w:hanging="420"/>
      </w:pPr>
    </w:lvl>
    <w:lvl w:ilvl="1" w:tentative="0">
      <w:start w:val="0"/>
      <w:numFmt w:val="bullet"/>
      <w:lvlText w:val="★"/>
      <w:lvlJc w:val="left"/>
      <w:pPr>
        <w:ind w:left="780" w:hanging="360"/>
      </w:pPr>
      <w:rPr>
        <w:rFonts w:hint="eastAsia" w:ascii="宋体" w:hAnsi="宋体" w:eastAsia="宋体" w:cs="Times New Roman"/>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D5DFC58"/>
    <w:multiLevelType w:val="singleLevel"/>
    <w:tmpl w:val="4D5DFC58"/>
    <w:lvl w:ilvl="0" w:tentative="0">
      <w:start w:val="1"/>
      <w:numFmt w:val="decimal"/>
      <w:lvlText w:val="%1."/>
      <w:lvlJc w:val="left"/>
      <w:pPr>
        <w:ind w:left="425" w:hanging="425"/>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8C71D4"/>
    <w:rsid w:val="499B0E49"/>
    <w:rsid w:val="50861514"/>
    <w:rsid w:val="748C7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ascii="Arial" w:hAnsi="Arial" w:eastAsia="仿宋" w:cs="Arial"/>
      <w:b/>
      <w:snapToGrid w:val="0"/>
      <w:color w:val="000000"/>
      <w:kern w:val="44"/>
      <w:sz w:val="44"/>
      <w:szCs w:val="21"/>
      <w:lang w:eastAsia="en-US"/>
    </w:rPr>
  </w:style>
  <w:style w:type="paragraph" w:styleId="3">
    <w:name w:val="heading 2"/>
    <w:basedOn w:val="1"/>
    <w:next w:val="1"/>
    <w:semiHidden/>
    <w:unhideWhenUsed/>
    <w:qFormat/>
    <w:uiPriority w:val="0"/>
    <w:pPr>
      <w:keepNext/>
      <w:keepLines/>
      <w:spacing w:line="360" w:lineRule="auto"/>
      <w:jc w:val="center"/>
      <w:outlineLvl w:val="1"/>
    </w:pPr>
    <w:rPr>
      <w:rFonts w:ascii="Arial" w:hAnsi="Arial" w:eastAsia="宋体" w:cs="Times New Roman"/>
      <w:b/>
      <w:bCs/>
      <w:sz w:val="30"/>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widowControl/>
      <w:ind w:firstLine="420"/>
      <w:jc w:val="left"/>
    </w:pPr>
    <w:rPr>
      <w:kern w:val="0"/>
      <w:sz w:val="20"/>
      <w:szCs w:val="20"/>
    </w:rPr>
  </w:style>
  <w:style w:type="table" w:styleId="6">
    <w:name w:val="Table Grid"/>
    <w:basedOn w:val="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2026-09-10T03:24:00Z</dcterms:created>
  <dc:creator>虫二</dc:creator>
  <cp:lastModifiedBy>虫二</cp:lastModifiedBy>
  <dcterms:modified xsi:type="dcterms:W3CDTF">2026-09-10T03:24:15Z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79D9797950AC4138B0A42B78A728FBC2_11</vt:lpwstr>
  </property>
  <property fmtid="{D5CDD505-2E9C-101B-9397-08002B2CF9AE}" pid="4" name="KSOTemplateDocerSaveRecord">
    <vt:lpwstr>eyJoZGlkIjoiZmViYThhOTJlYTJjYzViYzAwYTZhZTRhOWEzZDcxMzQiLCJ1c2VySWQiOiIzNTk5NzY1NzAifQ==</vt:lpwstr>
  </property>
</Properties>
</file>