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B78A1">
      <w:pPr>
        <w:pStyle w:val="2"/>
        <w:keepNext w:val="0"/>
        <w:adjustRightInd w:val="0"/>
        <w:snapToGrid w:val="0"/>
        <w:spacing w:beforeLines="50" w:line="360" w:lineRule="auto"/>
        <w:rPr>
          <w:rFonts w:ascii="黑体" w:hAnsi="华文中宋" w:eastAsia="黑体"/>
          <w:color w:val="auto"/>
          <w:sz w:val="32"/>
          <w:szCs w:val="32"/>
        </w:rPr>
      </w:pPr>
      <w:r>
        <w:rPr>
          <w:rFonts w:hint="eastAsia" w:ascii="黑体" w:hAnsi="华文中宋" w:eastAsia="黑体"/>
          <w:color w:val="auto"/>
          <w:sz w:val="32"/>
          <w:szCs w:val="32"/>
        </w:rPr>
        <w:t>采购需求</w:t>
      </w:r>
    </w:p>
    <w:p w14:paraId="10C1F721">
      <w:pPr>
        <w:pStyle w:val="2"/>
        <w:keepNext w:val="0"/>
        <w:adjustRightInd w:val="0"/>
        <w:snapToGrid w:val="0"/>
        <w:spacing w:before="156" w:beforeLines="50" w:line="360" w:lineRule="auto"/>
        <w:rPr>
          <w:rFonts w:ascii="黑体" w:hAnsi="华文中宋" w:eastAsia="黑体"/>
          <w:color w:val="auto"/>
          <w:sz w:val="32"/>
          <w:szCs w:val="32"/>
        </w:rPr>
      </w:pPr>
      <w:r>
        <w:rPr>
          <w:rFonts w:hint="eastAsia" w:ascii="黑体" w:hAnsi="华文中宋" w:eastAsia="黑体"/>
          <w:color w:val="auto"/>
          <w:sz w:val="32"/>
          <w:szCs w:val="32"/>
        </w:rPr>
        <w:t>株洲市政务云扩容</w:t>
      </w:r>
      <w:r>
        <w:rPr>
          <w:rFonts w:hint="eastAsia" w:ascii="黑体" w:hAnsi="华文中宋" w:eastAsia="黑体"/>
          <w:color w:val="auto"/>
          <w:sz w:val="32"/>
          <w:szCs w:val="32"/>
          <w:lang w:val="en-US" w:eastAsia="zh-CN"/>
        </w:rPr>
        <w:t>项目</w:t>
      </w:r>
      <w:r>
        <w:rPr>
          <w:rFonts w:hint="eastAsia" w:ascii="黑体" w:hAnsi="华文中宋" w:eastAsia="黑体"/>
          <w:color w:val="auto"/>
          <w:sz w:val="32"/>
          <w:szCs w:val="32"/>
        </w:rPr>
        <w:t>采购需求</w:t>
      </w:r>
    </w:p>
    <w:p w14:paraId="74B0B782">
      <w:pPr>
        <w:pStyle w:val="3"/>
        <w:adjustRightInd w:val="0"/>
        <w:snapToGrid w:val="0"/>
        <w:spacing w:before="156" w:beforeLines="50"/>
        <w:jc w:val="center"/>
        <w:rPr>
          <w:rFonts w:hint="eastAsia" w:ascii="黑体" w:hAnsi="黑体" w:eastAsia="黑体"/>
          <w:color w:val="auto"/>
          <w:sz w:val="28"/>
          <w:szCs w:val="28"/>
          <w:highlight w:val="none"/>
          <w:lang w:eastAsia="zh-CN"/>
        </w:rPr>
      </w:pPr>
      <w:bookmarkStart w:id="0" w:name="_Toc27822"/>
      <w:bookmarkStart w:id="1" w:name="_Toc5513"/>
      <w:r>
        <w:rPr>
          <w:rFonts w:hint="eastAsia" w:ascii="黑体" w:hAnsi="黑体" w:eastAsia="黑体"/>
          <w:color w:val="auto"/>
          <w:sz w:val="28"/>
          <w:szCs w:val="28"/>
          <w:highlight w:val="none"/>
        </w:rPr>
        <w:t>第一节 采购清单一览表</w:t>
      </w:r>
      <w:bookmarkEnd w:id="0"/>
      <w:r>
        <w:rPr>
          <w:rFonts w:hint="eastAsia" w:ascii="黑体" w:hAnsi="黑体" w:eastAsia="黑体"/>
          <w:color w:val="auto"/>
          <w:sz w:val="28"/>
          <w:szCs w:val="28"/>
          <w:highlight w:val="none"/>
          <w:lang w:eastAsia="zh-CN"/>
        </w:rPr>
        <w:t>（包</w:t>
      </w:r>
      <w:r>
        <w:rPr>
          <w:rFonts w:hint="eastAsia" w:ascii="黑体" w:hAnsi="黑体" w:eastAsia="黑体"/>
          <w:color w:val="auto"/>
          <w:sz w:val="28"/>
          <w:szCs w:val="28"/>
          <w:highlight w:val="none"/>
          <w:lang w:val="en-US" w:eastAsia="zh-CN"/>
        </w:rPr>
        <w:t>1</w:t>
      </w:r>
      <w:r>
        <w:rPr>
          <w:rFonts w:hint="eastAsia" w:ascii="黑体" w:hAnsi="黑体" w:eastAsia="黑体"/>
          <w:color w:val="auto"/>
          <w:sz w:val="28"/>
          <w:szCs w:val="28"/>
          <w:highlight w:val="none"/>
          <w:lang w:eastAsia="zh-CN"/>
        </w:rPr>
        <w:t>）</w:t>
      </w:r>
      <w:bookmarkEnd w:id="1"/>
    </w:p>
    <w:tbl>
      <w:tblPr>
        <w:tblStyle w:val="13"/>
        <w:tblW w:w="9945" w:type="dxa"/>
        <w:tblInd w:w="-334" w:type="dxa"/>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645"/>
        <w:gridCol w:w="2280"/>
        <w:gridCol w:w="1720"/>
        <w:gridCol w:w="2089"/>
        <w:gridCol w:w="1591"/>
        <w:gridCol w:w="1620"/>
      </w:tblGrid>
      <w:tr w14:paraId="2C4EEDF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461" w:hRule="atLeast"/>
        </w:trPr>
        <w:tc>
          <w:tcPr>
            <w:tcW w:w="645" w:type="dxa"/>
            <w:noWrap w:val="0"/>
            <w:vAlign w:val="center"/>
          </w:tcPr>
          <w:p w14:paraId="35741C26">
            <w:pPr>
              <w:pStyle w:val="15"/>
              <w:snapToGrid w:val="0"/>
              <w:jc w:val="center"/>
              <w:rPr>
                <w:rStyle w:val="14"/>
                <w:rFonts w:ascii="宋体" w:hAnsi="宋体" w:eastAsia="宋体" w:cs="Times New Roman"/>
                <w:color w:val="auto"/>
                <w:szCs w:val="21"/>
                <w:highlight w:val="none"/>
              </w:rPr>
            </w:pPr>
            <w:r>
              <w:rPr>
                <w:rStyle w:val="14"/>
                <w:rFonts w:hint="eastAsia" w:ascii="宋体" w:hAnsi="宋体" w:eastAsia="宋体" w:cs="Times New Roman"/>
                <w:color w:val="auto"/>
                <w:szCs w:val="21"/>
                <w:highlight w:val="none"/>
              </w:rPr>
              <w:t xml:space="preserve">包号 </w:t>
            </w:r>
          </w:p>
        </w:tc>
        <w:tc>
          <w:tcPr>
            <w:tcW w:w="2280" w:type="dxa"/>
            <w:noWrap w:val="0"/>
            <w:vAlign w:val="center"/>
          </w:tcPr>
          <w:p w14:paraId="287E7A65">
            <w:pPr>
              <w:pStyle w:val="15"/>
              <w:snapToGrid w:val="0"/>
              <w:jc w:val="center"/>
              <w:rPr>
                <w:rStyle w:val="14"/>
                <w:rFonts w:ascii="宋体" w:hAnsi="宋体" w:eastAsia="宋体" w:cs="Times New Roman"/>
                <w:color w:val="auto"/>
                <w:szCs w:val="21"/>
                <w:highlight w:val="none"/>
              </w:rPr>
            </w:pPr>
            <w:r>
              <w:rPr>
                <w:rStyle w:val="14"/>
                <w:rFonts w:hint="eastAsia" w:ascii="宋体" w:hAnsi="宋体" w:eastAsia="宋体" w:cs="Times New Roman"/>
                <w:color w:val="auto"/>
                <w:szCs w:val="21"/>
                <w:highlight w:val="none"/>
              </w:rPr>
              <w:t xml:space="preserve">包名称 </w:t>
            </w:r>
          </w:p>
        </w:tc>
        <w:tc>
          <w:tcPr>
            <w:tcW w:w="1720" w:type="dxa"/>
            <w:noWrap w:val="0"/>
            <w:vAlign w:val="center"/>
          </w:tcPr>
          <w:p w14:paraId="353696B9">
            <w:pPr>
              <w:pStyle w:val="15"/>
              <w:snapToGrid w:val="0"/>
              <w:jc w:val="center"/>
              <w:rPr>
                <w:rStyle w:val="14"/>
                <w:rFonts w:ascii="宋体" w:hAnsi="宋体" w:eastAsia="宋体" w:cs="Times New Roman"/>
                <w:color w:val="auto"/>
                <w:szCs w:val="21"/>
                <w:highlight w:val="none"/>
              </w:rPr>
            </w:pPr>
            <w:r>
              <w:rPr>
                <w:rStyle w:val="14"/>
                <w:rFonts w:hint="eastAsia" w:ascii="宋体" w:hAnsi="宋体" w:eastAsia="宋体" w:cs="Times New Roman"/>
                <w:color w:val="auto"/>
                <w:szCs w:val="21"/>
                <w:highlight w:val="none"/>
              </w:rPr>
              <w:t>采购项目</w:t>
            </w:r>
          </w:p>
          <w:p w14:paraId="6020F041">
            <w:pPr>
              <w:pStyle w:val="15"/>
              <w:snapToGrid w:val="0"/>
              <w:jc w:val="center"/>
              <w:rPr>
                <w:rStyle w:val="14"/>
                <w:rFonts w:ascii="宋体" w:hAnsi="宋体" w:eastAsia="宋体" w:cs="Times New Roman"/>
                <w:color w:val="auto"/>
                <w:szCs w:val="21"/>
                <w:highlight w:val="none"/>
              </w:rPr>
            </w:pPr>
            <w:r>
              <w:rPr>
                <w:rStyle w:val="14"/>
                <w:rFonts w:hint="eastAsia" w:ascii="宋体" w:hAnsi="宋体" w:eastAsia="宋体" w:cs="Times New Roman"/>
                <w:color w:val="auto"/>
                <w:szCs w:val="21"/>
                <w:highlight w:val="none"/>
              </w:rPr>
              <w:t xml:space="preserve">简要说明 </w:t>
            </w:r>
          </w:p>
        </w:tc>
        <w:tc>
          <w:tcPr>
            <w:tcW w:w="2089" w:type="dxa"/>
            <w:noWrap w:val="0"/>
            <w:vAlign w:val="center"/>
          </w:tcPr>
          <w:p w14:paraId="066A4C99">
            <w:pPr>
              <w:pStyle w:val="15"/>
              <w:snapToGrid w:val="0"/>
              <w:jc w:val="center"/>
              <w:rPr>
                <w:rStyle w:val="14"/>
                <w:rFonts w:hint="default" w:ascii="宋体" w:hAnsi="宋体" w:eastAsia="宋体" w:cs="Times New Roman"/>
                <w:color w:val="auto"/>
                <w:szCs w:val="21"/>
                <w:highlight w:val="none"/>
                <w:lang w:val="en-US" w:eastAsia="zh-CN"/>
              </w:rPr>
            </w:pPr>
            <w:r>
              <w:rPr>
                <w:rStyle w:val="14"/>
                <w:rFonts w:hint="eastAsia" w:ascii="宋体" w:hAnsi="宋体" w:cs="Times New Roman"/>
                <w:color w:val="auto"/>
                <w:szCs w:val="21"/>
                <w:highlight w:val="none"/>
                <w:lang w:val="en-US" w:eastAsia="zh-CN"/>
              </w:rPr>
              <w:t>服务期限</w:t>
            </w:r>
          </w:p>
        </w:tc>
        <w:tc>
          <w:tcPr>
            <w:tcW w:w="1591" w:type="dxa"/>
            <w:noWrap w:val="0"/>
            <w:vAlign w:val="center"/>
          </w:tcPr>
          <w:p w14:paraId="03A697C9">
            <w:pPr>
              <w:pStyle w:val="15"/>
              <w:snapToGrid w:val="0"/>
              <w:jc w:val="center"/>
              <w:rPr>
                <w:rStyle w:val="14"/>
                <w:rFonts w:ascii="宋体" w:hAnsi="宋体" w:eastAsia="宋体" w:cs="Times New Roman"/>
                <w:color w:val="auto"/>
                <w:szCs w:val="21"/>
                <w:highlight w:val="none"/>
              </w:rPr>
            </w:pPr>
            <w:r>
              <w:rPr>
                <w:rStyle w:val="14"/>
                <w:rFonts w:hint="eastAsia" w:ascii="宋体" w:hAnsi="宋体" w:eastAsia="宋体" w:cs="Times New Roman"/>
                <w:color w:val="auto"/>
                <w:szCs w:val="21"/>
                <w:highlight w:val="none"/>
              </w:rPr>
              <w:t xml:space="preserve">采购项目预算  </w:t>
            </w:r>
          </w:p>
        </w:tc>
        <w:tc>
          <w:tcPr>
            <w:tcW w:w="1620" w:type="dxa"/>
            <w:noWrap w:val="0"/>
            <w:vAlign w:val="center"/>
          </w:tcPr>
          <w:p w14:paraId="1AE42EB1">
            <w:pPr>
              <w:pStyle w:val="15"/>
              <w:snapToGrid w:val="0"/>
              <w:jc w:val="center"/>
              <w:rPr>
                <w:rStyle w:val="14"/>
                <w:rFonts w:hint="eastAsia" w:ascii="宋体" w:hAnsi="宋体" w:eastAsia="宋体" w:cs="Times New Roman"/>
                <w:color w:val="auto"/>
                <w:szCs w:val="21"/>
                <w:highlight w:val="none"/>
                <w:lang w:eastAsia="zh-CN"/>
              </w:rPr>
            </w:pPr>
            <w:r>
              <w:rPr>
                <w:rStyle w:val="14"/>
                <w:rFonts w:hint="eastAsia" w:ascii="宋体" w:hAnsi="宋体" w:cs="Times New Roman"/>
                <w:color w:val="auto"/>
                <w:szCs w:val="21"/>
                <w:highlight w:val="none"/>
                <w:lang w:eastAsia="zh-CN"/>
              </w:rPr>
              <w:t>最高限价</w:t>
            </w:r>
          </w:p>
        </w:tc>
      </w:tr>
      <w:tr w14:paraId="723A167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895" w:hRule="atLeast"/>
        </w:trPr>
        <w:tc>
          <w:tcPr>
            <w:tcW w:w="645" w:type="dxa"/>
            <w:noWrap w:val="0"/>
            <w:vAlign w:val="center"/>
          </w:tcPr>
          <w:p w14:paraId="67D2A1E3">
            <w:pPr>
              <w:pStyle w:val="15"/>
              <w:snapToGrid w:val="0"/>
              <w:jc w:val="center"/>
              <w:rPr>
                <w:rStyle w:val="14"/>
                <w:rFonts w:ascii="宋体" w:hAnsi="宋体" w:eastAsia="宋体" w:cs="Times New Roman"/>
                <w:color w:val="auto"/>
                <w:szCs w:val="21"/>
                <w:highlight w:val="none"/>
              </w:rPr>
            </w:pPr>
            <w:r>
              <w:rPr>
                <w:rStyle w:val="14"/>
                <w:rFonts w:hint="eastAsia" w:ascii="宋体" w:hAnsi="宋体" w:eastAsia="宋体" w:cs="Times New Roman"/>
                <w:color w:val="auto"/>
                <w:szCs w:val="21"/>
                <w:highlight w:val="none"/>
              </w:rPr>
              <w:t>1</w:t>
            </w:r>
          </w:p>
        </w:tc>
        <w:tc>
          <w:tcPr>
            <w:tcW w:w="2280" w:type="dxa"/>
            <w:noWrap w:val="0"/>
            <w:vAlign w:val="center"/>
          </w:tcPr>
          <w:p w14:paraId="5C8BA484">
            <w:pPr>
              <w:pStyle w:val="15"/>
              <w:snapToGrid w:val="0"/>
              <w:jc w:val="center"/>
              <w:rPr>
                <w:rStyle w:val="14"/>
                <w:rFonts w:hint="default" w:ascii="宋体" w:hAnsi="宋体" w:eastAsia="宋体" w:cs="Times New Roman"/>
                <w:color w:val="auto"/>
                <w:szCs w:val="21"/>
                <w:highlight w:val="none"/>
                <w:lang w:val="en-US" w:eastAsia="zh-CN"/>
              </w:rPr>
            </w:pPr>
            <w:r>
              <w:rPr>
                <w:rStyle w:val="14"/>
                <w:rFonts w:hint="eastAsia" w:ascii="宋体" w:hAnsi="宋体" w:eastAsia="宋体" w:cs="Times New Roman"/>
                <w:color w:val="auto"/>
                <w:szCs w:val="21"/>
                <w:highlight w:val="none"/>
              </w:rPr>
              <w:t>株洲市政务云扩容</w:t>
            </w:r>
            <w:r>
              <w:rPr>
                <w:rStyle w:val="14"/>
                <w:rFonts w:hint="eastAsia" w:ascii="宋体" w:hAnsi="宋体" w:cs="Times New Roman"/>
                <w:color w:val="auto"/>
                <w:szCs w:val="21"/>
                <w:highlight w:val="none"/>
                <w:lang w:val="en-US" w:eastAsia="zh-CN"/>
              </w:rPr>
              <w:t>项目包1</w:t>
            </w:r>
          </w:p>
        </w:tc>
        <w:tc>
          <w:tcPr>
            <w:tcW w:w="1720" w:type="dxa"/>
            <w:noWrap w:val="0"/>
            <w:vAlign w:val="center"/>
          </w:tcPr>
          <w:p w14:paraId="1BDD7049">
            <w:pPr>
              <w:pStyle w:val="15"/>
              <w:snapToGrid w:val="0"/>
              <w:jc w:val="center"/>
              <w:rPr>
                <w:rStyle w:val="14"/>
                <w:rFonts w:ascii="宋体" w:hAnsi="宋体" w:eastAsia="宋体" w:cs="Times New Roman"/>
                <w:color w:val="auto"/>
                <w:szCs w:val="21"/>
                <w:highlight w:val="none"/>
              </w:rPr>
            </w:pPr>
            <w:r>
              <w:rPr>
                <w:rStyle w:val="14"/>
                <w:rFonts w:hint="eastAsia" w:ascii="宋体" w:hAnsi="宋体" w:eastAsia="宋体" w:cs="Times New Roman"/>
                <w:color w:val="auto"/>
                <w:szCs w:val="21"/>
                <w:highlight w:val="none"/>
              </w:rPr>
              <w:t>详见本章第二节</w:t>
            </w:r>
          </w:p>
        </w:tc>
        <w:tc>
          <w:tcPr>
            <w:tcW w:w="2089" w:type="dxa"/>
            <w:noWrap w:val="0"/>
            <w:vAlign w:val="center"/>
          </w:tcPr>
          <w:p w14:paraId="7430ED6E">
            <w:pPr>
              <w:pStyle w:val="15"/>
              <w:snapToGrid w:val="0"/>
              <w:jc w:val="center"/>
              <w:rPr>
                <w:rStyle w:val="14"/>
                <w:rFonts w:hint="default" w:ascii="宋体" w:hAnsi="宋体" w:eastAsia="宋体" w:cs="Times New Roman"/>
                <w:color w:val="auto"/>
                <w:szCs w:val="21"/>
                <w:highlight w:val="none"/>
                <w:lang w:val="en-US" w:eastAsia="zh-CN"/>
              </w:rPr>
            </w:pPr>
            <w:r>
              <w:rPr>
                <w:rFonts w:hint="eastAsia" w:ascii="宋体" w:hAnsi="宋体" w:eastAsia="宋体" w:cs="Times New Roman"/>
                <w:b w:val="0"/>
                <w:bCs w:val="0"/>
                <w:i w:val="0"/>
                <w:iCs/>
                <w:color w:val="auto"/>
                <w:kern w:val="2"/>
                <w:sz w:val="21"/>
                <w:szCs w:val="21"/>
                <w:highlight w:val="none"/>
                <w:lang w:val="en-US" w:eastAsia="zh-CN" w:bidi="ar-SA"/>
              </w:rPr>
              <w:t>自签订合同之日起</w:t>
            </w:r>
            <w:r>
              <w:rPr>
                <w:rFonts w:hint="eastAsia" w:ascii="宋体" w:hAnsi="宋体" w:cs="Times New Roman"/>
                <w:b w:val="0"/>
                <w:bCs w:val="0"/>
                <w:i w:val="0"/>
                <w:iCs/>
                <w:color w:val="auto"/>
                <w:kern w:val="2"/>
                <w:sz w:val="21"/>
                <w:szCs w:val="21"/>
                <w:highlight w:val="none"/>
                <w:lang w:val="en-US" w:eastAsia="zh-CN" w:bidi="ar-SA"/>
              </w:rPr>
              <w:t>一年</w:t>
            </w:r>
          </w:p>
        </w:tc>
        <w:tc>
          <w:tcPr>
            <w:tcW w:w="1591" w:type="dxa"/>
            <w:noWrap w:val="0"/>
            <w:vAlign w:val="center"/>
          </w:tcPr>
          <w:p w14:paraId="20D1114F">
            <w:pPr>
              <w:pStyle w:val="15"/>
              <w:snapToGrid w:val="0"/>
              <w:jc w:val="center"/>
              <w:rPr>
                <w:rStyle w:val="14"/>
                <w:rFonts w:hint="default" w:ascii="宋体" w:hAnsi="宋体" w:eastAsia="宋体" w:cs="Times New Roman"/>
                <w:color w:val="auto"/>
                <w:szCs w:val="21"/>
                <w:highlight w:val="none"/>
                <w:lang w:val="en-US" w:eastAsia="zh-CN"/>
              </w:rPr>
            </w:pPr>
            <w:r>
              <w:rPr>
                <w:rStyle w:val="14"/>
                <w:rFonts w:hint="eastAsia" w:ascii="宋体" w:hAnsi="宋体" w:cs="Times New Roman"/>
                <w:color w:val="auto"/>
                <w:szCs w:val="21"/>
                <w:highlight w:val="none"/>
                <w:lang w:val="en-US" w:eastAsia="zh-CN"/>
              </w:rPr>
              <w:t>518980</w:t>
            </w:r>
            <w:r>
              <w:rPr>
                <w:rStyle w:val="14"/>
                <w:rFonts w:hint="eastAsia" w:ascii="宋体" w:hAnsi="宋体" w:eastAsia="宋体" w:cs="Times New Roman"/>
                <w:color w:val="auto"/>
                <w:szCs w:val="21"/>
                <w:highlight w:val="none"/>
                <w:lang w:val="en-US" w:eastAsia="zh-CN"/>
              </w:rPr>
              <w:t>0</w:t>
            </w:r>
            <w:r>
              <w:rPr>
                <w:rStyle w:val="14"/>
                <w:rFonts w:hint="eastAsia" w:ascii="宋体" w:hAnsi="宋体" w:cs="Times New Roman"/>
                <w:color w:val="auto"/>
                <w:szCs w:val="21"/>
                <w:highlight w:val="none"/>
                <w:lang w:val="en-US" w:eastAsia="zh-CN"/>
              </w:rPr>
              <w:t>.00元</w:t>
            </w:r>
          </w:p>
        </w:tc>
        <w:tc>
          <w:tcPr>
            <w:tcW w:w="1620" w:type="dxa"/>
            <w:noWrap w:val="0"/>
            <w:vAlign w:val="center"/>
          </w:tcPr>
          <w:p w14:paraId="2F57C67B">
            <w:pPr>
              <w:pStyle w:val="15"/>
              <w:snapToGrid w:val="0"/>
              <w:jc w:val="center"/>
              <w:rPr>
                <w:rStyle w:val="14"/>
                <w:rFonts w:hint="eastAsia" w:ascii="宋体" w:hAnsi="宋体" w:eastAsia="宋体" w:cs="Times New Roman"/>
                <w:color w:val="auto"/>
                <w:szCs w:val="21"/>
                <w:highlight w:val="none"/>
                <w:lang w:val="en-US" w:eastAsia="zh-CN"/>
              </w:rPr>
            </w:pPr>
            <w:r>
              <w:rPr>
                <w:rStyle w:val="14"/>
                <w:rFonts w:hint="eastAsia" w:ascii="宋体" w:hAnsi="宋体" w:cs="Times New Roman"/>
                <w:color w:val="auto"/>
                <w:szCs w:val="21"/>
                <w:highlight w:val="none"/>
                <w:lang w:val="en-US" w:eastAsia="zh-CN"/>
              </w:rPr>
              <w:t>518980</w:t>
            </w:r>
            <w:r>
              <w:rPr>
                <w:rStyle w:val="14"/>
                <w:rFonts w:hint="eastAsia" w:ascii="宋体" w:hAnsi="宋体" w:eastAsia="宋体" w:cs="Times New Roman"/>
                <w:color w:val="auto"/>
                <w:szCs w:val="21"/>
                <w:highlight w:val="none"/>
                <w:lang w:val="en-US" w:eastAsia="zh-CN"/>
              </w:rPr>
              <w:t>0</w:t>
            </w:r>
            <w:r>
              <w:rPr>
                <w:rStyle w:val="14"/>
                <w:rFonts w:hint="eastAsia" w:ascii="宋体" w:hAnsi="宋体" w:cs="Times New Roman"/>
                <w:color w:val="auto"/>
                <w:szCs w:val="21"/>
                <w:highlight w:val="none"/>
                <w:lang w:val="en-US" w:eastAsia="zh-CN"/>
              </w:rPr>
              <w:t>.00元</w:t>
            </w:r>
          </w:p>
        </w:tc>
      </w:tr>
    </w:tbl>
    <w:p w14:paraId="10D19264">
      <w:pPr>
        <w:pStyle w:val="5"/>
        <w:widowControl w:val="0"/>
        <w:numPr>
          <w:ilvl w:val="0"/>
          <w:numId w:val="0"/>
        </w:numPr>
        <w:adjustRightInd w:val="0"/>
        <w:snapToGrid w:val="0"/>
        <w:jc w:val="both"/>
        <w:rPr>
          <w:rFonts w:hint="eastAsia" w:ascii="微软雅黑" w:hAnsi="微软雅黑" w:eastAsia="微软雅黑" w:cs="宋体"/>
          <w:b/>
          <w:color w:val="auto"/>
          <w:lang w:eastAsia="zh-CN"/>
        </w:rPr>
      </w:pPr>
      <w:r>
        <w:rPr>
          <w:rFonts w:hint="eastAsia" w:ascii="微软雅黑" w:hAnsi="微软雅黑" w:eastAsia="微软雅黑" w:cs="宋体"/>
          <w:b/>
          <w:color w:val="auto"/>
          <w:lang w:eastAsia="zh-CN"/>
        </w:rPr>
        <w:t>注：</w:t>
      </w:r>
    </w:p>
    <w:p w14:paraId="51D25874">
      <w:pPr>
        <w:pStyle w:val="5"/>
        <w:widowControl w:val="0"/>
        <w:numPr>
          <w:ilvl w:val="0"/>
          <w:numId w:val="0"/>
        </w:numPr>
        <w:adjustRightInd w:val="0"/>
        <w:snapToGrid w:val="0"/>
        <w:jc w:val="both"/>
        <w:rPr>
          <w:rFonts w:hint="eastAsia" w:ascii="微软雅黑" w:hAnsi="微软雅黑" w:eastAsia="微软雅黑" w:cs="宋体"/>
          <w:b/>
          <w:color w:val="auto"/>
        </w:rPr>
      </w:pPr>
      <w:r>
        <w:rPr>
          <w:rFonts w:hint="eastAsia" w:ascii="微软雅黑" w:hAnsi="微软雅黑" w:eastAsia="微软雅黑" w:cs="宋体"/>
          <w:b/>
          <w:color w:val="auto"/>
        </w:rPr>
        <w:t>1</w:t>
      </w:r>
      <w:r>
        <w:rPr>
          <w:rFonts w:hint="eastAsia" w:ascii="微软雅黑" w:hAnsi="微软雅黑" w:eastAsia="微软雅黑" w:cs="宋体"/>
          <w:b/>
          <w:color w:val="auto"/>
          <w:lang w:eastAsia="zh-CN"/>
        </w:rPr>
        <w:t>、</w:t>
      </w:r>
      <w:r>
        <w:rPr>
          <w:rFonts w:hint="eastAsia" w:ascii="微软雅黑" w:hAnsi="微软雅黑" w:eastAsia="微软雅黑" w:cs="宋体"/>
          <w:b/>
          <w:color w:val="auto"/>
        </w:rPr>
        <w:t>投标人必须对一个完整、独立的包进行投标，不得仅对一个包中的部分品目投标，否则投标无效。</w:t>
      </w:r>
    </w:p>
    <w:p w14:paraId="4AFAFD17">
      <w:pPr>
        <w:pStyle w:val="5"/>
        <w:widowControl w:val="0"/>
        <w:numPr>
          <w:ilvl w:val="0"/>
          <w:numId w:val="0"/>
        </w:numPr>
        <w:adjustRightInd w:val="0"/>
        <w:snapToGrid w:val="0"/>
        <w:jc w:val="both"/>
        <w:rPr>
          <w:rFonts w:hint="eastAsia"/>
          <w:color w:val="auto"/>
          <w:lang w:val="en-US" w:eastAsia="zh-CN"/>
        </w:rPr>
      </w:pPr>
      <w:r>
        <w:rPr>
          <w:rFonts w:hint="eastAsia" w:ascii="微软雅黑" w:hAnsi="微软雅黑" w:eastAsia="微软雅黑" w:cs="宋体"/>
          <w:b/>
          <w:color w:val="auto"/>
          <w:lang w:val="en-US" w:eastAsia="zh-CN"/>
        </w:rPr>
        <w:t>2、</w:t>
      </w:r>
      <w:r>
        <w:rPr>
          <w:rFonts w:hint="eastAsia" w:ascii="微软雅黑" w:hAnsi="微软雅黑" w:eastAsia="微软雅黑" w:cs="宋体"/>
          <w:b/>
          <w:color w:val="auto"/>
        </w:rPr>
        <w:t>投标人应在投标文件《分项报价明细表》中按分项项目名称（包括条目号/品目名称）顺序逐项填写，且每个品目中的条目均需按招标文件规定报价。如有缺项、漏项，其投标无效。</w:t>
      </w:r>
    </w:p>
    <w:p w14:paraId="25063CE5">
      <w:pPr>
        <w:spacing w:line="360" w:lineRule="auto"/>
        <w:jc w:val="left"/>
        <w:rPr>
          <w:rFonts w:hint="eastAsia" w:ascii="宋体" w:hAnsi="宋体" w:eastAsia="宋体" w:cs="宋体"/>
          <w:b/>
          <w:i w:val="0"/>
          <w:iCs w:val="0"/>
          <w:color w:val="auto"/>
        </w:rPr>
      </w:pPr>
    </w:p>
    <w:p w14:paraId="36832F3F">
      <w:pPr>
        <w:spacing w:line="360" w:lineRule="auto"/>
        <w:jc w:val="left"/>
        <w:rPr>
          <w:rFonts w:hint="eastAsia" w:ascii="宋体" w:hAnsi="宋体" w:eastAsia="宋体" w:cs="宋体"/>
          <w:b/>
          <w:i w:val="0"/>
          <w:iCs w:val="0"/>
          <w:color w:val="auto"/>
        </w:rPr>
      </w:pPr>
    </w:p>
    <w:p w14:paraId="11F72E87">
      <w:pPr>
        <w:spacing w:line="360" w:lineRule="auto"/>
        <w:jc w:val="left"/>
        <w:rPr>
          <w:rFonts w:hint="eastAsia" w:ascii="宋体" w:hAnsi="宋体" w:eastAsia="宋体" w:cs="宋体"/>
          <w:b/>
          <w:i w:val="0"/>
          <w:iCs w:val="0"/>
          <w:color w:val="auto"/>
        </w:rPr>
      </w:pPr>
    </w:p>
    <w:p w14:paraId="5EAA465F">
      <w:pPr>
        <w:spacing w:line="360" w:lineRule="auto"/>
        <w:jc w:val="left"/>
        <w:rPr>
          <w:rFonts w:hint="eastAsia" w:ascii="宋体" w:hAnsi="宋体" w:eastAsia="宋体" w:cs="宋体"/>
          <w:b/>
          <w:i w:val="0"/>
          <w:iCs w:val="0"/>
          <w:color w:val="auto"/>
        </w:rPr>
      </w:pPr>
    </w:p>
    <w:p w14:paraId="0821FF55">
      <w:pPr>
        <w:spacing w:line="360" w:lineRule="auto"/>
        <w:jc w:val="left"/>
        <w:rPr>
          <w:rFonts w:hint="eastAsia" w:ascii="宋体" w:hAnsi="宋体" w:eastAsia="宋体" w:cs="宋体"/>
          <w:b/>
          <w:i w:val="0"/>
          <w:iCs w:val="0"/>
          <w:color w:val="auto"/>
        </w:rPr>
      </w:pPr>
    </w:p>
    <w:p w14:paraId="413CFF3B">
      <w:pPr>
        <w:spacing w:line="360" w:lineRule="auto"/>
        <w:jc w:val="left"/>
        <w:rPr>
          <w:rFonts w:hint="eastAsia" w:ascii="宋体" w:hAnsi="宋体" w:eastAsia="宋体" w:cs="宋体"/>
          <w:b/>
          <w:i w:val="0"/>
          <w:iCs w:val="0"/>
          <w:color w:val="auto"/>
        </w:rPr>
      </w:pPr>
    </w:p>
    <w:p w14:paraId="37934608">
      <w:pPr>
        <w:spacing w:line="360" w:lineRule="auto"/>
        <w:jc w:val="left"/>
        <w:rPr>
          <w:rFonts w:hint="eastAsia" w:ascii="宋体" w:hAnsi="宋体" w:eastAsia="宋体" w:cs="宋体"/>
          <w:b/>
          <w:i w:val="0"/>
          <w:iCs w:val="0"/>
          <w:color w:val="auto"/>
        </w:rPr>
      </w:pPr>
    </w:p>
    <w:p w14:paraId="70700C65">
      <w:pPr>
        <w:spacing w:line="360" w:lineRule="auto"/>
        <w:jc w:val="left"/>
        <w:rPr>
          <w:rFonts w:hint="eastAsia" w:ascii="宋体" w:hAnsi="宋体" w:eastAsia="宋体" w:cs="宋体"/>
          <w:b/>
          <w:i w:val="0"/>
          <w:iCs w:val="0"/>
          <w:color w:val="auto"/>
        </w:rPr>
      </w:pPr>
    </w:p>
    <w:p w14:paraId="60B28F3F">
      <w:pPr>
        <w:pStyle w:val="3"/>
        <w:adjustRightInd w:val="0"/>
        <w:snapToGrid w:val="0"/>
        <w:spacing w:before="156" w:beforeLines="50"/>
        <w:jc w:val="both"/>
        <w:rPr>
          <w:rFonts w:hint="eastAsia" w:ascii="黑体" w:hAnsi="黑体" w:eastAsia="黑体"/>
          <w:color w:val="auto"/>
          <w:sz w:val="28"/>
          <w:szCs w:val="28"/>
        </w:rPr>
      </w:pPr>
    </w:p>
    <w:p w14:paraId="58C1B6B6">
      <w:pPr>
        <w:rPr>
          <w:rFonts w:hint="eastAsia" w:ascii="黑体" w:hAnsi="黑体" w:eastAsia="黑体"/>
          <w:color w:val="auto"/>
          <w:sz w:val="28"/>
          <w:szCs w:val="28"/>
        </w:rPr>
      </w:pPr>
    </w:p>
    <w:p w14:paraId="0FFFB817">
      <w:pPr>
        <w:rPr>
          <w:rFonts w:hint="eastAsia" w:ascii="黑体" w:hAnsi="黑体" w:eastAsia="黑体"/>
          <w:color w:val="auto"/>
          <w:sz w:val="28"/>
          <w:szCs w:val="28"/>
        </w:rPr>
      </w:pPr>
    </w:p>
    <w:p w14:paraId="161FA2D0">
      <w:pPr>
        <w:rPr>
          <w:rFonts w:hint="eastAsia" w:ascii="黑体" w:hAnsi="黑体" w:eastAsia="黑体"/>
          <w:color w:val="auto"/>
          <w:sz w:val="28"/>
          <w:szCs w:val="28"/>
        </w:rPr>
      </w:pPr>
    </w:p>
    <w:p w14:paraId="5AE1AB83">
      <w:pPr>
        <w:rPr>
          <w:rFonts w:hint="eastAsia" w:ascii="黑体" w:hAnsi="黑体" w:eastAsia="黑体"/>
          <w:color w:val="auto"/>
          <w:sz w:val="28"/>
          <w:szCs w:val="28"/>
        </w:rPr>
      </w:pPr>
    </w:p>
    <w:p w14:paraId="53FFBBB3">
      <w:pPr>
        <w:rPr>
          <w:rFonts w:hint="eastAsia"/>
          <w:color w:val="auto"/>
        </w:rPr>
      </w:pPr>
    </w:p>
    <w:p w14:paraId="01B78FA1">
      <w:pPr>
        <w:rPr>
          <w:rFonts w:hint="eastAsia"/>
          <w:color w:val="auto"/>
        </w:rPr>
      </w:pPr>
    </w:p>
    <w:p w14:paraId="01AB79B9">
      <w:pPr>
        <w:pStyle w:val="3"/>
        <w:numPr>
          <w:ilvl w:val="0"/>
          <w:numId w:val="1"/>
        </w:numPr>
        <w:adjustRightInd w:val="0"/>
        <w:snapToGrid w:val="0"/>
        <w:spacing w:before="156" w:beforeLines="50"/>
        <w:jc w:val="center"/>
        <w:rPr>
          <w:rFonts w:hint="eastAsia" w:ascii="黑体" w:hAnsi="黑体" w:eastAsia="黑体" w:cs="Times New Roman"/>
          <w:color w:val="auto"/>
          <w:sz w:val="28"/>
          <w:szCs w:val="28"/>
          <w:highlight w:val="none"/>
          <w:lang w:eastAsia="zh-CN"/>
        </w:rPr>
      </w:pPr>
      <w:r>
        <w:rPr>
          <w:rFonts w:hint="eastAsia" w:ascii="黑体" w:hAnsi="黑体" w:eastAsia="黑体" w:cs="Times New Roman"/>
          <w:color w:val="auto"/>
          <w:sz w:val="28"/>
          <w:szCs w:val="28"/>
          <w:highlight w:val="none"/>
        </w:rPr>
        <w:t>技术要求</w:t>
      </w:r>
      <w:r>
        <w:rPr>
          <w:rFonts w:hint="eastAsia" w:ascii="黑体" w:hAnsi="黑体" w:eastAsia="黑体" w:cs="Times New Roman"/>
          <w:color w:val="auto"/>
          <w:sz w:val="28"/>
          <w:szCs w:val="28"/>
          <w:highlight w:val="none"/>
          <w:lang w:eastAsia="zh-CN"/>
        </w:rPr>
        <w:t>（包</w:t>
      </w:r>
      <w:r>
        <w:rPr>
          <w:rFonts w:hint="eastAsia" w:ascii="黑体" w:hAnsi="黑体" w:eastAsia="黑体" w:cs="Times New Roman"/>
          <w:color w:val="auto"/>
          <w:sz w:val="28"/>
          <w:szCs w:val="28"/>
          <w:highlight w:val="none"/>
          <w:lang w:val="en-US" w:eastAsia="zh-CN"/>
        </w:rPr>
        <w:t>1</w:t>
      </w:r>
      <w:r>
        <w:rPr>
          <w:rFonts w:hint="eastAsia" w:ascii="黑体" w:hAnsi="黑体" w:eastAsia="黑体" w:cs="Times New Roman"/>
          <w:color w:val="auto"/>
          <w:sz w:val="28"/>
          <w:szCs w:val="28"/>
          <w:highlight w:val="none"/>
          <w:lang w:eastAsia="zh-CN"/>
        </w:rPr>
        <w:t>）</w:t>
      </w:r>
      <w:bookmarkStart w:id="2" w:name="OLE_LINK83"/>
    </w:p>
    <w:p w14:paraId="508DE4DC">
      <w:pPr>
        <w:spacing w:after="120"/>
        <w:rPr>
          <w:rFonts w:hint="eastAsia" w:ascii="宋体" w:hAnsi="宋体" w:eastAsia="宋体" w:cs="宋体"/>
          <w:color w:val="auto"/>
          <w:sz w:val="21"/>
          <w:szCs w:val="21"/>
          <w:highlight w:val="none"/>
        </w:rPr>
      </w:pPr>
    </w:p>
    <w:p w14:paraId="06A397C7">
      <w:pPr>
        <w:keepNext/>
        <w:keepLines/>
        <w:numPr>
          <w:ilvl w:val="0"/>
          <w:numId w:val="2"/>
        </w:numPr>
        <w:tabs>
          <w:tab w:val="left" w:pos="1260"/>
        </w:tabs>
        <w:snapToGrid w:val="0"/>
        <w:spacing w:before="312" w:beforeLines="100" w:after="312" w:afterLines="100" w:line="360" w:lineRule="auto"/>
        <w:contextualSpacing/>
        <w:jc w:val="center"/>
        <w:outlineLvl w:val="0"/>
        <w:rPr>
          <w:rFonts w:hint="eastAsia" w:ascii="宋体" w:hAnsi="宋体" w:eastAsia="宋体" w:cs="宋体"/>
          <w:b/>
          <w:bCs/>
          <w:color w:val="auto"/>
          <w:kern w:val="44"/>
          <w:sz w:val="21"/>
          <w:szCs w:val="21"/>
          <w:highlight w:val="none"/>
        </w:rPr>
      </w:pPr>
      <w:bookmarkStart w:id="3" w:name="_Toc19675"/>
      <w:bookmarkStart w:id="4" w:name="_Toc22017"/>
      <w:bookmarkStart w:id="5" w:name="_Toc21340"/>
      <w:bookmarkStart w:id="6" w:name="_Toc256000040"/>
      <w:bookmarkStart w:id="7" w:name="_Toc14937"/>
      <w:bookmarkStart w:id="8" w:name="_Toc22322"/>
      <w:r>
        <w:rPr>
          <w:rFonts w:hint="eastAsia" w:ascii="宋体" w:hAnsi="宋体" w:eastAsia="宋体" w:cs="宋体"/>
          <w:b/>
          <w:bCs/>
          <w:color w:val="auto"/>
          <w:kern w:val="44"/>
          <w:sz w:val="21"/>
          <w:szCs w:val="21"/>
          <w:highlight w:val="none"/>
        </w:rPr>
        <w:t>总体要求</w:t>
      </w:r>
      <w:bookmarkEnd w:id="3"/>
      <w:bookmarkEnd w:id="4"/>
      <w:bookmarkEnd w:id="5"/>
      <w:bookmarkEnd w:id="6"/>
      <w:bookmarkEnd w:id="7"/>
      <w:bookmarkEnd w:id="8"/>
    </w:p>
    <w:p w14:paraId="3C5ADBC6">
      <w:pPr>
        <w:keepNext/>
        <w:keepLines/>
        <w:numPr>
          <w:ilvl w:val="1"/>
          <w:numId w:val="2"/>
        </w:numPr>
        <w:snapToGrid w:val="0"/>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9" w:name="_Toc256000041"/>
      <w:bookmarkStart w:id="10" w:name="_Toc12628"/>
      <w:bookmarkStart w:id="11" w:name="_Toc11121"/>
      <w:bookmarkStart w:id="12" w:name="_Toc20109"/>
      <w:bookmarkStart w:id="13" w:name="_Toc17422"/>
      <w:bookmarkStart w:id="14" w:name="_Toc5981"/>
      <w:r>
        <w:rPr>
          <w:rFonts w:hint="eastAsia" w:ascii="宋体" w:hAnsi="宋体" w:eastAsia="宋体" w:cs="宋体"/>
          <w:bCs/>
          <w:color w:val="auto"/>
          <w:sz w:val="21"/>
          <w:szCs w:val="21"/>
          <w:highlight w:val="none"/>
        </w:rPr>
        <w:t>项目现状</w:t>
      </w:r>
      <w:bookmarkEnd w:id="9"/>
      <w:bookmarkEnd w:id="10"/>
      <w:bookmarkEnd w:id="11"/>
      <w:bookmarkEnd w:id="12"/>
      <w:bookmarkEnd w:id="13"/>
      <w:bookmarkEnd w:id="14"/>
    </w:p>
    <w:p w14:paraId="2019A9BD">
      <w:pPr>
        <w:widowControl/>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自201</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年起，株洲市积极投身政务云建设工作，全力推动政务信息基础设施集约化发展，逐步构建起具有株洲特色的政务云体系，在数字政府建设进程中迈出坚实步伐。</w:t>
      </w:r>
    </w:p>
    <w:p w14:paraId="188DC587">
      <w:pPr>
        <w:widowControl/>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株洲政务云目前建设有国产化</w:t>
      </w:r>
      <w:r>
        <w:rPr>
          <w:rFonts w:hint="eastAsia" w:ascii="宋体" w:hAnsi="宋体" w:eastAsia="宋体" w:cs="宋体"/>
          <w:color w:val="auto"/>
          <w:kern w:val="0"/>
          <w:sz w:val="21"/>
          <w:szCs w:val="21"/>
          <w:highlight w:val="none"/>
          <w:lang w:val="en-US" w:eastAsia="zh-CN"/>
        </w:rPr>
        <w:t>ARM</w:t>
      </w:r>
      <w:r>
        <w:rPr>
          <w:rFonts w:hint="eastAsia" w:ascii="宋体" w:hAnsi="宋体" w:eastAsia="宋体" w:cs="宋体"/>
          <w:color w:val="auto"/>
          <w:kern w:val="0"/>
          <w:sz w:val="21"/>
          <w:szCs w:val="21"/>
          <w:highlight w:val="none"/>
        </w:rPr>
        <w:t>和非国产x86云服务资源，以国产化云计算为主，逐步向全面国产化替代演进，本次采购要求云服务商提供国产化的多元架构云服务资源。</w:t>
      </w:r>
    </w:p>
    <w:p w14:paraId="10577682">
      <w:pPr>
        <w:widowControl/>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市</w:t>
      </w:r>
      <w:r>
        <w:rPr>
          <w:rFonts w:hint="eastAsia" w:ascii="宋体" w:hAnsi="宋体" w:eastAsia="宋体" w:cs="宋体"/>
          <w:color w:val="auto"/>
          <w:kern w:val="0"/>
          <w:sz w:val="21"/>
          <w:szCs w:val="21"/>
          <w:highlight w:val="none"/>
        </w:rPr>
        <w:t>政务云数据交换中心位于株洲市市民中心，承载有政务网络核心、医保核心、政务云等关键基础设施，其中株洲市政务云在部署架构上，采用“双区（电子政务外网区和互联网区）”建设架构目前已具备强大的资源规模，CPU核数总计约1万核，存储资源超过1000TB。在政务业务上云推进上已稳定安全承载了</w:t>
      </w:r>
      <w:r>
        <w:rPr>
          <w:rFonts w:hint="eastAsia" w:ascii="宋体" w:hAnsi="宋体" w:eastAsia="宋体" w:cs="宋体"/>
          <w:color w:val="auto"/>
          <w:kern w:val="0"/>
          <w:sz w:val="21"/>
          <w:szCs w:val="21"/>
          <w:highlight w:val="none"/>
          <w:lang w:val="en-US" w:eastAsia="zh-CN"/>
        </w:rPr>
        <w:t>全市近百</w:t>
      </w:r>
      <w:r>
        <w:rPr>
          <w:rFonts w:hint="eastAsia" w:ascii="宋体" w:hAnsi="宋体" w:eastAsia="宋体" w:cs="宋体"/>
          <w:color w:val="auto"/>
          <w:kern w:val="0"/>
          <w:sz w:val="21"/>
          <w:szCs w:val="21"/>
          <w:highlight w:val="none"/>
        </w:rPr>
        <w:t>个政务信息系统，广泛覆盖包括国土资源、公共资源交易、卫健医疗、社会综治等多个关键领域。</w:t>
      </w:r>
    </w:p>
    <w:p w14:paraId="32F607F6">
      <w:pPr>
        <w:widowControl/>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自建设以来，株洲政务云充分满足了市直单位201</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年至202</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年信息化系统建设的各项需求。通过集约化建设模式，市直各部门不仅实现了政务信息系统的快速部署，还大幅降低了基础设施采购成本，有效提升了</w:t>
      </w:r>
      <w:r>
        <w:rPr>
          <w:rFonts w:hint="eastAsia" w:ascii="宋体" w:hAnsi="宋体" w:eastAsia="宋体" w:cs="宋体"/>
          <w:color w:val="auto"/>
          <w:kern w:val="0"/>
          <w:sz w:val="21"/>
          <w:szCs w:val="21"/>
          <w:highlight w:val="none"/>
          <w:lang w:eastAsia="zh-CN"/>
        </w:rPr>
        <w:t>财政资金使用</w:t>
      </w:r>
      <w:r>
        <w:rPr>
          <w:rFonts w:hint="eastAsia" w:ascii="宋体" w:hAnsi="宋体" w:eastAsia="宋体" w:cs="宋体"/>
          <w:color w:val="auto"/>
          <w:kern w:val="0"/>
          <w:sz w:val="21"/>
          <w:szCs w:val="21"/>
          <w:highlight w:val="none"/>
        </w:rPr>
        <w:t>效率，激发了各部门上云积极性。随时间推移，株洲</w:t>
      </w:r>
      <w:r>
        <w:rPr>
          <w:rFonts w:hint="eastAsia" w:ascii="宋体" w:hAnsi="宋体" w:eastAsia="宋体" w:cs="宋体"/>
          <w:color w:val="auto"/>
          <w:kern w:val="0"/>
          <w:sz w:val="21"/>
          <w:szCs w:val="21"/>
          <w:highlight w:val="none"/>
          <w:lang w:val="en-US" w:eastAsia="zh-CN"/>
        </w:rPr>
        <w:t>市</w:t>
      </w:r>
      <w:r>
        <w:rPr>
          <w:rFonts w:hint="eastAsia" w:ascii="宋体" w:hAnsi="宋体" w:eastAsia="宋体" w:cs="宋体"/>
          <w:color w:val="auto"/>
          <w:kern w:val="0"/>
          <w:sz w:val="21"/>
          <w:szCs w:val="21"/>
          <w:highlight w:val="none"/>
        </w:rPr>
        <w:t>政务云的资源利用率持续攀升，平台承载的应用数量不断增加，系统整合共享程度日益深化，通过政务大数据初步达成系统间网络通、数据通、业务通的目标，成功打破了部分“信息壁垒”与“数据孤岛”。</w:t>
      </w:r>
    </w:p>
    <w:p w14:paraId="2A407E5B">
      <w:pPr>
        <w:widowControl/>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在实际应用中，株洲政务云有力支撑了全市“放管服”改革以及“互联网+政务服务”等重点工作。群众办事过程中的诸多难点、痛点、堵点问题得到有效解决，例如在不动产登记、企业开办等高频事项办理中，通过数据共享与业务协同，实现了办事材料精简、办理流程优化、办理时间大幅缩短，真正做到让数据多跑路、群众少跑腿，为</w:t>
      </w:r>
      <w:r>
        <w:rPr>
          <w:rFonts w:hint="eastAsia" w:ascii="宋体" w:hAnsi="宋体" w:eastAsia="宋体" w:cs="宋体"/>
          <w:color w:val="auto"/>
          <w:kern w:val="0"/>
          <w:sz w:val="21"/>
          <w:szCs w:val="21"/>
          <w:highlight w:val="none"/>
          <w:lang w:val="en-US" w:eastAsia="zh-CN"/>
        </w:rPr>
        <w:t>我市</w:t>
      </w:r>
      <w:r>
        <w:rPr>
          <w:rFonts w:hint="eastAsia" w:ascii="宋体" w:hAnsi="宋体" w:eastAsia="宋体" w:cs="宋体"/>
          <w:color w:val="auto"/>
          <w:kern w:val="0"/>
          <w:sz w:val="21"/>
          <w:szCs w:val="21"/>
          <w:highlight w:val="none"/>
        </w:rPr>
        <w:t>“数字政府”建设提供了强有力的支撑，显著提升了城市治理水平与公共服务质量。</w:t>
      </w:r>
    </w:p>
    <w:p w14:paraId="283B9A0C">
      <w:pPr>
        <w:keepNext/>
        <w:keepLines/>
        <w:numPr>
          <w:ilvl w:val="1"/>
          <w:numId w:val="2"/>
        </w:numPr>
        <w:snapToGrid w:val="0"/>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15" w:name="_Toc20146"/>
      <w:bookmarkStart w:id="16" w:name="_Toc20589"/>
      <w:bookmarkStart w:id="17" w:name="_Toc16661"/>
      <w:bookmarkStart w:id="18" w:name="_Toc256000042"/>
      <w:bookmarkStart w:id="19" w:name="_Toc3501"/>
      <w:bookmarkStart w:id="20" w:name="_Toc26297"/>
      <w:r>
        <w:rPr>
          <w:rFonts w:hint="eastAsia" w:ascii="宋体" w:hAnsi="宋体" w:eastAsia="宋体" w:cs="宋体"/>
          <w:bCs/>
          <w:color w:val="auto"/>
          <w:sz w:val="21"/>
          <w:szCs w:val="21"/>
          <w:highlight w:val="none"/>
        </w:rPr>
        <w:t>主要目标</w:t>
      </w:r>
      <w:bookmarkEnd w:id="15"/>
      <w:bookmarkEnd w:id="16"/>
      <w:bookmarkEnd w:id="17"/>
      <w:bookmarkEnd w:id="18"/>
      <w:bookmarkEnd w:id="19"/>
      <w:bookmarkEnd w:id="20"/>
    </w:p>
    <w:p w14:paraId="368DC73B">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以政府</w:t>
      </w:r>
      <w:r>
        <w:rPr>
          <w:rFonts w:hint="eastAsia" w:ascii="宋体" w:hAnsi="宋体" w:eastAsia="宋体" w:cs="宋体"/>
          <w:color w:val="auto"/>
          <w:sz w:val="21"/>
          <w:szCs w:val="21"/>
          <w:highlight w:val="none"/>
          <w:lang w:val="en-US" w:eastAsia="zh-CN"/>
        </w:rPr>
        <w:t>购买</w:t>
      </w:r>
      <w:r>
        <w:rPr>
          <w:rFonts w:hint="eastAsia" w:ascii="宋体" w:hAnsi="宋体" w:eastAsia="宋体" w:cs="宋体"/>
          <w:color w:val="auto"/>
          <w:sz w:val="21"/>
          <w:szCs w:val="21"/>
          <w:highlight w:val="none"/>
        </w:rPr>
        <w:t>服务方式，建设安全、可靠、高效的株洲市级政务云，具备“一云多芯”“多元算力”能力，兼容鲲鹏、飞腾、海光等主流国产信创芯片，提供通用算力和智能算力服务，支撑市级部门（单位）信息系统建设；构建规范的云服务框架及建设规范标准的云服务，满足统一标准体系和纳管要求；满足市级各部门业务系统上云需求，保障市级各部门业务系统有序迁移上云和稳定运行；构建自主可控的云安全体系和政务数据灾备体系，保障云上系统长期安全可靠运行，推动跨部门信息共享和业务协同。到2027年，构筑全市政务“一朵云”</w:t>
      </w:r>
      <w:r>
        <w:rPr>
          <w:rFonts w:hint="eastAsia" w:ascii="宋体" w:hAnsi="宋体" w:eastAsia="宋体" w:cs="宋体"/>
          <w:color w:val="auto"/>
          <w:sz w:val="21"/>
          <w:szCs w:val="21"/>
          <w:highlight w:val="none"/>
          <w:lang w:val="en-US" w:eastAsia="zh-CN"/>
        </w:rPr>
        <w:t>整体框架</w:t>
      </w:r>
      <w:r>
        <w:rPr>
          <w:rFonts w:hint="eastAsia" w:ascii="宋体" w:hAnsi="宋体" w:eastAsia="宋体" w:cs="宋体"/>
          <w:color w:val="auto"/>
          <w:sz w:val="21"/>
          <w:szCs w:val="21"/>
          <w:highlight w:val="none"/>
        </w:rPr>
        <w:t>，打造成为全省</w:t>
      </w:r>
      <w:r>
        <w:rPr>
          <w:rFonts w:hint="eastAsia" w:ascii="宋体" w:hAnsi="宋体" w:eastAsia="宋体" w:cs="宋体"/>
          <w:color w:val="auto"/>
          <w:sz w:val="21"/>
          <w:szCs w:val="21"/>
          <w:highlight w:val="none"/>
          <w:lang w:val="en-US" w:eastAsia="zh-CN"/>
        </w:rPr>
        <w:t>地市州</w:t>
      </w:r>
      <w:r>
        <w:rPr>
          <w:rFonts w:hint="eastAsia" w:ascii="宋体" w:hAnsi="宋体" w:eastAsia="宋体" w:cs="宋体"/>
          <w:color w:val="auto"/>
          <w:sz w:val="21"/>
          <w:szCs w:val="21"/>
          <w:highlight w:val="none"/>
        </w:rPr>
        <w:t>政务云建设管理的示范标杆。</w:t>
      </w:r>
    </w:p>
    <w:p w14:paraId="5404213F">
      <w:pPr>
        <w:keepNext/>
        <w:keepLines/>
        <w:numPr>
          <w:ilvl w:val="1"/>
          <w:numId w:val="2"/>
        </w:numPr>
        <w:snapToGrid w:val="0"/>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21" w:name="_Toc31985"/>
      <w:bookmarkStart w:id="22" w:name="_Toc256000043"/>
      <w:bookmarkStart w:id="23" w:name="_Toc902"/>
      <w:bookmarkStart w:id="24" w:name="_Toc28386"/>
      <w:bookmarkStart w:id="25" w:name="_Toc24279"/>
      <w:bookmarkStart w:id="26" w:name="_Toc16973"/>
      <w:r>
        <w:rPr>
          <w:rFonts w:hint="eastAsia" w:ascii="宋体" w:hAnsi="宋体" w:eastAsia="宋体" w:cs="宋体"/>
          <w:bCs/>
          <w:color w:val="auto"/>
          <w:sz w:val="21"/>
          <w:szCs w:val="21"/>
          <w:highlight w:val="none"/>
        </w:rPr>
        <w:t>总体架构</w:t>
      </w:r>
      <w:bookmarkEnd w:id="21"/>
      <w:bookmarkEnd w:id="22"/>
      <w:bookmarkEnd w:id="23"/>
      <w:bookmarkEnd w:id="24"/>
      <w:bookmarkEnd w:id="25"/>
      <w:bookmarkEnd w:id="26"/>
    </w:p>
    <w:p w14:paraId="1A7DF6A3">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托株洲市级政务云现有建设成果，引入云服务商，构建全栈云服务能力体系，完善政务云标准规范，建设政务云安全防护体系，建设政务云运营运维体系。实现市级政务云服务能力全面提升、管理高效规范、安全保障有力，构建完善集约高效的基础支撑体系，全面支撑市级数据汇聚、共享、应用，全面赋能数字政府应用集约建设和高效运行，助力政府政务服务、政府治理、决策运行水平显著提升。</w:t>
      </w:r>
    </w:p>
    <w:p w14:paraId="4757E599">
      <w:pPr>
        <w:keepNext w:val="0"/>
        <w:keepLines w:val="0"/>
        <w:pageBreakBefore w:val="0"/>
        <w:widowControl w:val="0"/>
        <w:kinsoku/>
        <w:wordWrap/>
        <w:overflowPunct/>
        <w:topLinePunct w:val="0"/>
        <w:autoSpaceDE/>
        <w:autoSpaceDN/>
        <w:bidi w:val="0"/>
        <w:adjustRightInd/>
        <w:snapToGrid w:val="0"/>
        <w:spacing w:line="240" w:lineRule="auto"/>
        <w:contextualSpacing/>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271770" cy="2964815"/>
            <wp:effectExtent l="0" t="0" r="5080" b="698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5271770" cy="2964815"/>
                    </a:xfrm>
                    <a:prstGeom prst="rect">
                      <a:avLst/>
                    </a:prstGeom>
                    <a:noFill/>
                    <a:ln>
                      <a:noFill/>
                    </a:ln>
                  </pic:spPr>
                </pic:pic>
              </a:graphicData>
            </a:graphic>
          </wp:inline>
        </w:drawing>
      </w:r>
    </w:p>
    <w:p w14:paraId="33A894AA">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图 </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STYLEREF 2 \s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noBreakHyphen/>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SEQ 图表 \* ARABIC \s 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lang w:val="en-US" w:eastAsia="zh-CN"/>
        </w:rPr>
        <w:t>市</w:t>
      </w:r>
      <w:r>
        <w:rPr>
          <w:rFonts w:hint="eastAsia" w:ascii="宋体" w:hAnsi="宋体" w:eastAsia="宋体" w:cs="宋体"/>
          <w:b/>
          <w:bCs/>
          <w:color w:val="auto"/>
          <w:sz w:val="21"/>
          <w:szCs w:val="21"/>
          <w:highlight w:val="none"/>
        </w:rPr>
        <w:t xml:space="preserve">级政务云总体架构  </w:t>
      </w:r>
    </w:p>
    <w:p w14:paraId="7D948D94">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统一云管：构建市级政务云统一云管平台，提供异构资源管理、监测分析等能力，加强算力统筹和异构算力融合管理，云服务商按照统一规范要求，对接省</w:t>
      </w:r>
      <w:r>
        <w:rPr>
          <w:rFonts w:hint="eastAsia" w:ascii="宋体" w:hAnsi="宋体" w:eastAsia="宋体" w:cs="宋体"/>
          <w:color w:val="auto"/>
          <w:sz w:val="21"/>
          <w:szCs w:val="21"/>
          <w:highlight w:val="none"/>
          <w:lang w:val="en-US" w:eastAsia="zh-CN"/>
        </w:rPr>
        <w:t>级统一</w:t>
      </w:r>
      <w:r>
        <w:rPr>
          <w:rFonts w:hint="eastAsia" w:ascii="宋体" w:hAnsi="宋体" w:eastAsia="宋体" w:cs="宋体"/>
          <w:color w:val="auto"/>
          <w:sz w:val="21"/>
          <w:szCs w:val="21"/>
          <w:highlight w:val="none"/>
        </w:rPr>
        <w:t>云管平台，建立面向异构算力资源和多场景需求的算力调度框架。</w:t>
      </w:r>
    </w:p>
    <w:p w14:paraId="07DCB0EF">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新增资源池：云服务商依照相应的政务云建设标准规范进行云资源池建设，向</w:t>
      </w:r>
      <w:r>
        <w:rPr>
          <w:rFonts w:hint="eastAsia" w:ascii="宋体" w:hAnsi="宋体" w:eastAsia="宋体" w:cs="宋体"/>
          <w:color w:val="auto"/>
          <w:sz w:val="21"/>
          <w:szCs w:val="21"/>
          <w:highlight w:val="none"/>
          <w:lang w:val="en-US" w:eastAsia="zh-CN"/>
        </w:rPr>
        <w:t>云</w:t>
      </w:r>
      <w:r>
        <w:rPr>
          <w:rFonts w:hint="eastAsia" w:ascii="宋体" w:hAnsi="宋体" w:eastAsia="宋体" w:cs="宋体"/>
          <w:color w:val="auto"/>
          <w:sz w:val="21"/>
          <w:szCs w:val="21"/>
          <w:highlight w:val="none"/>
        </w:rPr>
        <w:t>使用单位提供安全可靠的政务云资源服务。</w:t>
      </w:r>
    </w:p>
    <w:p w14:paraId="4F1B10F2">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政务云骨干网：建设快响应、高平稳、宽通道的</w:t>
      </w:r>
      <w:r>
        <w:rPr>
          <w:rFonts w:hint="eastAsia" w:ascii="宋体" w:hAnsi="宋体" w:eastAsia="宋体" w:cs="宋体"/>
          <w:color w:val="auto"/>
          <w:sz w:val="21"/>
          <w:szCs w:val="21"/>
          <w:highlight w:val="none"/>
          <w:lang w:val="en-US" w:eastAsia="zh-CN"/>
        </w:rPr>
        <w:t>市级政务云</w:t>
      </w:r>
      <w:r>
        <w:rPr>
          <w:rFonts w:hint="eastAsia" w:ascii="宋体" w:hAnsi="宋体" w:eastAsia="宋体" w:cs="宋体"/>
          <w:color w:val="auto"/>
          <w:sz w:val="21"/>
          <w:szCs w:val="21"/>
          <w:highlight w:val="none"/>
        </w:rPr>
        <w:t>主干网，为</w:t>
      </w:r>
      <w:r>
        <w:rPr>
          <w:rFonts w:hint="eastAsia" w:ascii="宋体" w:hAnsi="宋体" w:eastAsia="宋体" w:cs="宋体"/>
          <w:color w:val="auto"/>
          <w:sz w:val="21"/>
          <w:szCs w:val="21"/>
          <w:highlight w:val="none"/>
          <w:lang w:val="en-US" w:eastAsia="zh-CN"/>
        </w:rPr>
        <w:t>市级</w:t>
      </w:r>
      <w:r>
        <w:rPr>
          <w:rFonts w:hint="eastAsia" w:ascii="宋体" w:hAnsi="宋体" w:eastAsia="宋体" w:cs="宋体"/>
          <w:color w:val="auto"/>
          <w:sz w:val="21"/>
          <w:szCs w:val="21"/>
          <w:highlight w:val="none"/>
        </w:rPr>
        <w:t>政务云资源共享、数据互通提供高质量、高可靠的承载网络，作为</w:t>
      </w:r>
      <w:r>
        <w:rPr>
          <w:rFonts w:hint="eastAsia" w:ascii="宋体" w:hAnsi="宋体" w:eastAsia="宋体" w:cs="宋体"/>
          <w:color w:val="auto"/>
          <w:sz w:val="21"/>
          <w:szCs w:val="21"/>
          <w:highlight w:val="none"/>
          <w:lang w:val="en-US" w:eastAsia="zh-CN"/>
        </w:rPr>
        <w:t>市级</w:t>
      </w:r>
      <w:r>
        <w:rPr>
          <w:rFonts w:hint="eastAsia" w:ascii="宋体" w:hAnsi="宋体" w:eastAsia="宋体" w:cs="宋体"/>
          <w:color w:val="auto"/>
          <w:sz w:val="21"/>
          <w:szCs w:val="21"/>
          <w:highlight w:val="none"/>
        </w:rPr>
        <w:t>云资源池接入政务外网的主干链路，可实现云资源池数量的快速扩展。</w:t>
      </w:r>
      <w:r>
        <w:rPr>
          <w:rFonts w:hint="eastAsia" w:ascii="宋体" w:hAnsi="宋体" w:eastAsia="宋体" w:cs="宋体"/>
          <w:color w:val="auto"/>
          <w:sz w:val="21"/>
          <w:szCs w:val="21"/>
          <w:highlight w:val="none"/>
          <w:lang w:val="en-US" w:eastAsia="zh-CN"/>
        </w:rPr>
        <w:t>市政务云</w:t>
      </w:r>
      <w:r>
        <w:rPr>
          <w:rFonts w:hint="eastAsia" w:ascii="宋体" w:hAnsi="宋体" w:eastAsia="宋体" w:cs="宋体"/>
          <w:color w:val="auto"/>
          <w:sz w:val="21"/>
          <w:szCs w:val="21"/>
          <w:highlight w:val="none"/>
        </w:rPr>
        <w:t>主干网核心节点与云资源池出口之间要求低时延，带宽可根据业务需求弹性扩展。</w:t>
      </w:r>
    </w:p>
    <w:p w14:paraId="062767CC">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全栈能力体系：充分依托现有建设情况，提供IaaS</w:t>
      </w:r>
      <w:r>
        <w:rPr>
          <w:rFonts w:hint="eastAsia" w:ascii="宋体" w:hAnsi="宋体" w:eastAsia="宋体" w:cs="宋体"/>
          <w:color w:val="auto"/>
          <w:sz w:val="21"/>
          <w:szCs w:val="21"/>
          <w:highlight w:val="none"/>
          <w:lang w:val="en-US" w:eastAsia="zh-CN"/>
        </w:rPr>
        <w:t>能力服务：</w:t>
      </w:r>
      <w:r>
        <w:rPr>
          <w:rFonts w:hint="eastAsia" w:ascii="宋体" w:hAnsi="宋体" w:eastAsia="宋体" w:cs="宋体"/>
          <w:color w:val="auto"/>
          <w:sz w:val="21"/>
          <w:szCs w:val="21"/>
          <w:highlight w:val="none"/>
        </w:rPr>
        <w:t>计算、存储、网络等</w:t>
      </w:r>
      <w:r>
        <w:rPr>
          <w:rFonts w:hint="eastAsia" w:ascii="宋体" w:hAnsi="宋体" w:eastAsia="宋体" w:cs="宋体"/>
          <w:color w:val="auto"/>
          <w:sz w:val="21"/>
          <w:szCs w:val="21"/>
          <w:highlight w:val="none"/>
          <w:lang w:val="en-US" w:eastAsia="zh-CN"/>
        </w:rPr>
        <w:t>信创存算云资源服务、裸金属服务器以及配件服务、AI算力服务、存储服务、托管服务；PaaS能力服务：云原生、信创操作系统、中间件、数据库、商用密码；SaaS能力服务：CDN、负载均衡、云防火墙、web应用防火墙、主机安全edr、日志审计、数据库审计、云堡垒机、数据安全网关、数据库加密；灾备能力服务：本地（同城）灾备、异地灾备等</w:t>
      </w:r>
      <w:r>
        <w:rPr>
          <w:rFonts w:hint="eastAsia" w:ascii="宋体" w:hAnsi="宋体" w:eastAsia="宋体" w:cs="宋体"/>
          <w:color w:val="auto"/>
          <w:sz w:val="21"/>
          <w:szCs w:val="21"/>
          <w:highlight w:val="none"/>
        </w:rPr>
        <w:t>。</w:t>
      </w:r>
    </w:p>
    <w:p w14:paraId="1AD18167">
      <w:pPr>
        <w:adjustRightInd w:val="0"/>
        <w:snapToGrid w:val="0"/>
        <w:spacing w:line="360" w:lineRule="auto"/>
        <w:ind w:firstLine="420" w:firstLineChars="200"/>
        <w:contextualSpacing/>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流量清洗区：对市政务云上不同区域的南北向流量进行精确的流量和行为识别、管控、防护，确保云上各业务系统的安全稳定运行。</w:t>
      </w:r>
    </w:p>
    <w:p w14:paraId="4CAF1B4A">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运营运维：从服务规则、服务流程、内容工具等方面构建</w:t>
      </w:r>
      <w:r>
        <w:rPr>
          <w:rFonts w:hint="eastAsia" w:ascii="宋体" w:hAnsi="宋体" w:eastAsia="宋体" w:cs="宋体"/>
          <w:color w:val="auto"/>
          <w:sz w:val="21"/>
          <w:szCs w:val="21"/>
          <w:highlight w:val="none"/>
          <w:lang w:val="en-US" w:eastAsia="zh-CN"/>
        </w:rPr>
        <w:t>市</w:t>
      </w:r>
      <w:r>
        <w:rPr>
          <w:rFonts w:hint="eastAsia" w:ascii="宋体" w:hAnsi="宋体" w:eastAsia="宋体" w:cs="宋体"/>
          <w:color w:val="auto"/>
          <w:sz w:val="21"/>
          <w:szCs w:val="21"/>
          <w:highlight w:val="none"/>
        </w:rPr>
        <w:t>级政务云运营运维体系，全面提升专业化运营能力和智能化运维水平。</w:t>
      </w:r>
    </w:p>
    <w:p w14:paraId="41B1E54B">
      <w:pPr>
        <w:keepNext/>
        <w:keepLines/>
        <w:numPr>
          <w:ilvl w:val="1"/>
          <w:numId w:val="2"/>
        </w:numPr>
        <w:snapToGrid w:val="0"/>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27" w:name="_Toc5806"/>
      <w:bookmarkStart w:id="28" w:name="_Toc22356"/>
      <w:bookmarkStart w:id="29" w:name="_Toc1720"/>
      <w:bookmarkStart w:id="30" w:name="_Toc256000044"/>
      <w:bookmarkStart w:id="31" w:name="_Toc4023"/>
      <w:bookmarkStart w:id="32" w:name="_Toc5957"/>
      <w:r>
        <w:rPr>
          <w:rFonts w:hint="eastAsia" w:ascii="宋体" w:hAnsi="宋体" w:eastAsia="宋体" w:cs="宋体"/>
          <w:bCs/>
          <w:color w:val="auto"/>
          <w:sz w:val="21"/>
          <w:szCs w:val="21"/>
          <w:highlight w:val="none"/>
        </w:rPr>
        <w:t>株洲市政务云技术路线</w:t>
      </w:r>
      <w:bookmarkEnd w:id="27"/>
      <w:bookmarkEnd w:id="28"/>
      <w:bookmarkEnd w:id="29"/>
      <w:bookmarkEnd w:id="30"/>
      <w:bookmarkEnd w:id="31"/>
      <w:bookmarkEnd w:id="32"/>
    </w:p>
    <w:p w14:paraId="2A64C289">
      <w:pPr>
        <w:keepNext/>
        <w:keepLines/>
        <w:numPr>
          <w:ilvl w:val="2"/>
          <w:numId w:val="2"/>
        </w:numPr>
        <w:adjustRightInd w:val="0"/>
        <w:snapToGrid w:val="0"/>
        <w:spacing w:line="360" w:lineRule="auto"/>
        <w:contextualSpacing/>
        <w:outlineLvl w:val="2"/>
        <w:rPr>
          <w:rFonts w:hint="eastAsia" w:ascii="宋体" w:hAnsi="宋体" w:eastAsia="宋体" w:cs="宋体"/>
          <w:bCs/>
          <w:color w:val="auto"/>
          <w:sz w:val="21"/>
          <w:szCs w:val="21"/>
          <w:highlight w:val="none"/>
        </w:rPr>
      </w:pPr>
      <w:bookmarkStart w:id="33" w:name="_Toc2408"/>
      <w:bookmarkStart w:id="34" w:name="_Toc3656"/>
      <w:bookmarkStart w:id="35" w:name="_Toc31320"/>
      <w:bookmarkStart w:id="36" w:name="_Toc256000045"/>
      <w:bookmarkStart w:id="37" w:name="_Toc10328"/>
      <w:bookmarkStart w:id="38" w:name="_Toc8823"/>
      <w:r>
        <w:rPr>
          <w:rFonts w:hint="eastAsia" w:ascii="宋体" w:hAnsi="宋体" w:eastAsia="宋体" w:cs="宋体"/>
          <w:bCs/>
          <w:color w:val="auto"/>
          <w:sz w:val="21"/>
          <w:szCs w:val="21"/>
          <w:highlight w:val="none"/>
        </w:rPr>
        <w:t>自主可控技术路线</w:t>
      </w:r>
      <w:bookmarkEnd w:id="33"/>
      <w:bookmarkEnd w:id="34"/>
      <w:bookmarkEnd w:id="35"/>
      <w:bookmarkEnd w:id="36"/>
      <w:bookmarkEnd w:id="37"/>
      <w:bookmarkEnd w:id="38"/>
    </w:p>
    <w:p w14:paraId="09FFDFAF">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基于国内主流云平台基础架构</w:t>
      </w:r>
      <w:r>
        <w:rPr>
          <w:rFonts w:hint="eastAsia" w:ascii="宋体" w:hAnsi="宋体" w:eastAsia="宋体" w:cs="宋体"/>
          <w:color w:val="auto"/>
          <w:sz w:val="21"/>
          <w:szCs w:val="21"/>
          <w:highlight w:val="none"/>
          <w:lang w:val="en-US" w:eastAsia="zh-CN"/>
        </w:rPr>
        <w:t>和</w:t>
      </w:r>
      <w:r>
        <w:rPr>
          <w:rFonts w:hint="eastAsia" w:ascii="宋体" w:hAnsi="宋体" w:eastAsia="宋体" w:cs="宋体"/>
          <w:color w:val="auto"/>
          <w:sz w:val="21"/>
          <w:szCs w:val="21"/>
          <w:highlight w:val="none"/>
        </w:rPr>
        <w:t>KVM虚拟化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超融合技术路线，以国产化芯片和操作系统为底座，按照相关政策要求，充分发挥湖南省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株洲市</w:t>
      </w:r>
      <w:r>
        <w:rPr>
          <w:rFonts w:hint="eastAsia" w:ascii="宋体" w:hAnsi="宋体" w:eastAsia="宋体" w:cs="宋体"/>
          <w:color w:val="auto"/>
          <w:sz w:val="21"/>
          <w:szCs w:val="21"/>
          <w:highlight w:val="none"/>
        </w:rPr>
        <w:t>信创产业优势，构建多元化政务云服务体系。统筹利用计算、存储、网络、安全、应用支撑、信息资源等软硬件资源，构筑起安全自主可控的信创云平台。</w:t>
      </w:r>
    </w:p>
    <w:p w14:paraId="3AAC77F8">
      <w:pPr>
        <w:keepNext/>
        <w:keepLines/>
        <w:numPr>
          <w:ilvl w:val="2"/>
          <w:numId w:val="2"/>
        </w:numPr>
        <w:adjustRightInd w:val="0"/>
        <w:snapToGrid w:val="0"/>
        <w:spacing w:line="360" w:lineRule="auto"/>
        <w:contextualSpacing/>
        <w:outlineLvl w:val="2"/>
        <w:rPr>
          <w:rFonts w:hint="eastAsia" w:ascii="宋体" w:hAnsi="宋体" w:eastAsia="宋体" w:cs="宋体"/>
          <w:bCs/>
          <w:color w:val="auto"/>
          <w:sz w:val="21"/>
          <w:szCs w:val="21"/>
          <w:highlight w:val="none"/>
        </w:rPr>
      </w:pPr>
      <w:bookmarkStart w:id="39" w:name="_Toc27271"/>
      <w:bookmarkStart w:id="40" w:name="_Toc6849"/>
      <w:bookmarkStart w:id="41" w:name="_Toc25310"/>
      <w:bookmarkStart w:id="42" w:name="_Toc20198"/>
      <w:bookmarkStart w:id="43" w:name="_Toc256000048"/>
      <w:bookmarkStart w:id="44" w:name="_Toc8936"/>
      <w:r>
        <w:rPr>
          <w:rFonts w:hint="eastAsia" w:ascii="宋体" w:hAnsi="宋体" w:eastAsia="宋体" w:cs="宋体"/>
          <w:bCs/>
          <w:color w:val="auto"/>
          <w:sz w:val="21"/>
          <w:szCs w:val="21"/>
          <w:highlight w:val="none"/>
        </w:rPr>
        <w:t>多云异构统一纳管</w:t>
      </w:r>
    </w:p>
    <w:p w14:paraId="6EAE3270">
      <w:pPr>
        <w:adjustRightInd w:val="0"/>
        <w:snapToGrid w:val="0"/>
        <w:spacing w:line="360" w:lineRule="auto"/>
        <w:ind w:firstLine="420" w:firstLineChars="200"/>
        <w:contextualSpacing/>
        <w:rPr>
          <w:rFonts w:hint="eastAsia" w:ascii="宋体" w:hAnsi="宋体" w:eastAsia="宋体" w:cs="宋体"/>
          <w:b/>
          <w:bCs/>
          <w:color w:val="auto"/>
          <w:kern w:val="44"/>
          <w:sz w:val="21"/>
          <w:szCs w:val="21"/>
          <w:highlight w:val="none"/>
        </w:rPr>
      </w:pPr>
      <w:r>
        <w:rPr>
          <w:rFonts w:hint="eastAsia" w:ascii="宋体" w:hAnsi="宋体" w:eastAsia="宋体" w:cs="宋体"/>
          <w:color w:val="auto"/>
          <w:sz w:val="21"/>
          <w:szCs w:val="21"/>
          <w:highlight w:val="none"/>
        </w:rPr>
        <w:t>采用统一云管平台实现多</w:t>
      </w:r>
      <w:r>
        <w:rPr>
          <w:rFonts w:hint="eastAsia" w:ascii="宋体" w:hAnsi="宋体" w:eastAsia="宋体" w:cs="宋体"/>
          <w:color w:val="auto"/>
          <w:sz w:val="21"/>
          <w:szCs w:val="21"/>
          <w:highlight w:val="none"/>
          <w:lang w:val="en-US" w:eastAsia="zh-CN"/>
        </w:rPr>
        <w:t>个</w:t>
      </w:r>
      <w:r>
        <w:rPr>
          <w:rFonts w:hint="eastAsia" w:ascii="宋体" w:hAnsi="宋体" w:eastAsia="宋体" w:cs="宋体"/>
          <w:color w:val="auto"/>
          <w:sz w:val="21"/>
          <w:szCs w:val="21"/>
          <w:highlight w:val="none"/>
        </w:rPr>
        <w:t>云</w:t>
      </w:r>
      <w:r>
        <w:rPr>
          <w:rFonts w:hint="eastAsia" w:ascii="宋体" w:hAnsi="宋体" w:eastAsia="宋体" w:cs="宋体"/>
          <w:color w:val="auto"/>
          <w:sz w:val="21"/>
          <w:szCs w:val="21"/>
          <w:highlight w:val="none"/>
          <w:lang w:val="en-US" w:eastAsia="zh-CN"/>
        </w:rPr>
        <w:t>资源池</w:t>
      </w:r>
      <w:r>
        <w:rPr>
          <w:rFonts w:hint="eastAsia" w:ascii="宋体" w:hAnsi="宋体" w:eastAsia="宋体" w:cs="宋体"/>
          <w:color w:val="auto"/>
          <w:sz w:val="21"/>
          <w:szCs w:val="21"/>
          <w:highlight w:val="none"/>
        </w:rPr>
        <w:t>服务资源生命周期的管理包括申请、开通、运维监控、服务变更申请、权限管理、计费、停止服务等功能。</w:t>
      </w:r>
    </w:p>
    <w:p w14:paraId="123673B2">
      <w:pPr>
        <w:keepNext/>
        <w:keepLines/>
        <w:numPr>
          <w:ilvl w:val="0"/>
          <w:numId w:val="2"/>
        </w:numPr>
        <w:tabs>
          <w:tab w:val="left" w:pos="1260"/>
        </w:tabs>
        <w:adjustRightInd/>
        <w:snapToGrid w:val="0"/>
        <w:spacing w:before="312" w:beforeLines="100" w:after="312" w:afterLines="100" w:line="360" w:lineRule="auto"/>
        <w:ind w:firstLine="0" w:firstLineChars="0"/>
        <w:contextualSpacing/>
        <w:jc w:val="center"/>
        <w:outlineLvl w:val="0"/>
        <w:rPr>
          <w:rFonts w:hint="eastAsia" w:ascii="宋体" w:hAnsi="宋体" w:eastAsia="宋体" w:cs="宋体"/>
          <w:b/>
          <w:bCs/>
          <w:color w:val="auto"/>
          <w:kern w:val="44"/>
          <w:sz w:val="21"/>
          <w:szCs w:val="21"/>
          <w:highlight w:val="none"/>
        </w:rPr>
      </w:pPr>
      <w:r>
        <w:rPr>
          <w:rFonts w:hint="eastAsia" w:ascii="宋体" w:hAnsi="宋体" w:eastAsia="宋体" w:cs="宋体"/>
          <w:b/>
          <w:bCs/>
          <w:color w:val="auto"/>
          <w:kern w:val="44"/>
          <w:sz w:val="21"/>
          <w:szCs w:val="21"/>
          <w:highlight w:val="none"/>
        </w:rPr>
        <w:t>云平台技术要求</w:t>
      </w:r>
    </w:p>
    <w:p w14:paraId="74893A27">
      <w:pPr>
        <w:keepNext/>
        <w:keepLines/>
        <w:numPr>
          <w:ilvl w:val="1"/>
          <w:numId w:val="2"/>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云平台机房要求</w:t>
      </w:r>
      <w:bookmarkEnd w:id="39"/>
      <w:bookmarkEnd w:id="40"/>
      <w:bookmarkEnd w:id="41"/>
      <w:bookmarkEnd w:id="42"/>
      <w:bookmarkEnd w:id="43"/>
      <w:bookmarkEnd w:id="44"/>
    </w:p>
    <w:p w14:paraId="49AD9D70">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云服务商政务云机房应满足《数据中心设计规范》（GB 50174-2017）中A级标准，满足安全可靠、节能环保、扩展灵活等原则，保证提供不间断的机房服务，可用性在99.99%以上。</w:t>
      </w:r>
    </w:p>
    <w:p w14:paraId="3B3ED87E">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此外，</w:t>
      </w:r>
      <w:r>
        <w:rPr>
          <w:rFonts w:hint="eastAsia" w:ascii="宋体" w:hAnsi="宋体" w:eastAsia="宋体" w:cs="宋体"/>
          <w:color w:val="auto"/>
          <w:sz w:val="21"/>
          <w:szCs w:val="21"/>
          <w:highlight w:val="none"/>
          <w:lang w:val="en-US" w:eastAsia="zh-CN"/>
        </w:rPr>
        <w:t>市</w:t>
      </w:r>
      <w:r>
        <w:rPr>
          <w:rFonts w:hint="eastAsia" w:ascii="宋体" w:hAnsi="宋体" w:eastAsia="宋体" w:cs="宋体"/>
          <w:color w:val="auto"/>
          <w:sz w:val="21"/>
          <w:szCs w:val="21"/>
          <w:highlight w:val="none"/>
        </w:rPr>
        <w:t>政务云机房还应满足以下条件：</w:t>
      </w:r>
    </w:p>
    <w:p w14:paraId="53F2B451">
      <w:pPr>
        <w:numPr>
          <w:ilvl w:val="0"/>
          <w:numId w:val="3"/>
        </w:numPr>
        <w:spacing w:line="360" w:lineRule="auto"/>
        <w:ind w:left="0"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★政务云上的政务数据包括政府部门在依法履行职责过程中收集和</w:t>
      </w:r>
      <w:r>
        <w:rPr>
          <w:rFonts w:hint="eastAsia" w:ascii="宋体" w:hAnsi="宋体" w:cs="宋体"/>
          <w:color w:val="auto"/>
          <w:sz w:val="21"/>
          <w:szCs w:val="21"/>
          <w:highlight w:val="none"/>
          <w:lang w:val="en-US" w:eastAsia="zh-CN"/>
        </w:rPr>
        <w:t>产</w:t>
      </w:r>
      <w:r>
        <w:rPr>
          <w:rFonts w:hint="eastAsia" w:ascii="宋体" w:hAnsi="宋体" w:eastAsia="宋体" w:cs="宋体"/>
          <w:color w:val="auto"/>
          <w:sz w:val="21"/>
          <w:szCs w:val="21"/>
          <w:highlight w:val="none"/>
          <w:lang w:val="en-US" w:eastAsia="zh-CN"/>
        </w:rPr>
        <w:t>生的各类数据，涉及个人隐私、敏感信息以及社会经济活动等重要信息，按照“原始数据不出域”的原则，主机房位置必须在株洲市城区范围内。</w:t>
      </w:r>
    </w:p>
    <w:p w14:paraId="43CA5D96">
      <w:pPr>
        <w:numPr>
          <w:ilvl w:val="0"/>
          <w:numId w:val="3"/>
        </w:numPr>
        <w:spacing w:line="360" w:lineRule="auto"/>
        <w:ind w:left="0"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面积不少于</w:t>
      </w:r>
      <w:r>
        <w:rPr>
          <w:rFonts w:hint="eastAsia" w:ascii="宋体" w:hAnsi="宋体" w:eastAsia="宋体" w:cs="宋体"/>
          <w:color w:val="auto"/>
          <w:sz w:val="21"/>
          <w:szCs w:val="21"/>
          <w:highlight w:val="none"/>
          <w:lang w:val="en-US" w:eastAsia="zh-CN"/>
        </w:rPr>
        <w:t>55</w:t>
      </w:r>
      <w:r>
        <w:rPr>
          <w:rFonts w:hint="eastAsia" w:ascii="宋体" w:hAnsi="宋体" w:eastAsia="宋体" w:cs="宋体"/>
          <w:color w:val="auto"/>
          <w:sz w:val="21"/>
          <w:szCs w:val="21"/>
          <w:highlight w:val="none"/>
        </w:rPr>
        <w:t>0㎡，原则上为一栋楼内的独立机房或机房内划分的独立区域。机房空间和供电在满足现有云资源规模基础上，具备灵活的扩展能力，适应未来2年的需求。</w:t>
      </w:r>
    </w:p>
    <w:p w14:paraId="1C2B9523">
      <w:pPr>
        <w:numPr>
          <w:ilvl w:val="0"/>
          <w:numId w:val="3"/>
        </w:numPr>
        <w:spacing w:line="360" w:lineRule="auto"/>
        <w:ind w:left="0"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房安防系统应提供高清视频图像的能力，并记录相关录像，应具备自动化智能化能力，能对异常事件自动采取相应的处理措施，政务云机房应配备专用门禁和24小时监控系统，门禁和监控采用国家商用密码算法，高清视频监控画面可远程调用，机房及政务云独立区域的监控视频至少保存</w:t>
      </w:r>
      <w:r>
        <w:rPr>
          <w:rFonts w:hint="eastAsia" w:ascii="宋体" w:hAnsi="宋体" w:eastAsia="宋体" w:cs="宋体"/>
          <w:color w:val="auto"/>
          <w:sz w:val="21"/>
          <w:szCs w:val="21"/>
          <w:highlight w:val="none"/>
          <w:lang w:val="en-US" w:eastAsia="zh-CN"/>
        </w:rPr>
        <w:t>180天</w:t>
      </w:r>
      <w:r>
        <w:rPr>
          <w:rFonts w:hint="eastAsia" w:ascii="宋体" w:hAnsi="宋体" w:eastAsia="宋体" w:cs="宋体"/>
          <w:color w:val="auto"/>
          <w:sz w:val="21"/>
          <w:szCs w:val="21"/>
          <w:highlight w:val="none"/>
        </w:rPr>
        <w:t>，控制权须按照采购人要求进行管理。</w:t>
      </w:r>
    </w:p>
    <w:p w14:paraId="562ED313">
      <w:pPr>
        <w:numPr>
          <w:ilvl w:val="0"/>
          <w:numId w:val="3"/>
        </w:numPr>
        <w:spacing w:line="360" w:lineRule="auto"/>
        <w:ind w:left="0"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提供满足所需的机柜空间，每机柜提供双路不间断供电，机房空间和供电具备适应业务发展的扩展能力。</w:t>
      </w:r>
    </w:p>
    <w:p w14:paraId="6C02659F">
      <w:pPr>
        <w:numPr>
          <w:ilvl w:val="0"/>
          <w:numId w:val="3"/>
        </w:numPr>
        <w:spacing w:line="360" w:lineRule="auto"/>
        <w:ind w:left="0"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机房抗震设防不低于乙类；机房具备智能环境监控，实现对设备电流量、机房温湿度等监控；机房灭火系统应具备高灵敏度探测手段具备自动化告警及灭火能力。</w:t>
      </w:r>
    </w:p>
    <w:p w14:paraId="235B92C6">
      <w:pPr>
        <w:numPr>
          <w:ilvl w:val="0"/>
          <w:numId w:val="3"/>
        </w:numPr>
        <w:spacing w:line="360" w:lineRule="auto"/>
        <w:ind w:left="0"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供应商需提供机房同区域的办公场地 ，满足业务系统迁移、测试、测评等工作需要。运维值班场地应具备</w:t>
      </w:r>
      <w:r>
        <w:rPr>
          <w:rFonts w:hint="eastAsia" w:ascii="宋体" w:hAnsi="宋体" w:eastAsia="宋体" w:cs="宋体"/>
          <w:color w:val="auto"/>
          <w:sz w:val="21"/>
          <w:szCs w:val="21"/>
          <w:highlight w:val="none"/>
          <w:lang w:val="en-US" w:eastAsia="zh-CN"/>
        </w:rPr>
        <w:t>全年</w:t>
      </w:r>
      <w:r>
        <w:rPr>
          <w:rFonts w:hint="eastAsia" w:ascii="宋体" w:hAnsi="宋体" w:eastAsia="宋体" w:cs="宋体"/>
          <w:color w:val="auto"/>
          <w:sz w:val="21"/>
          <w:szCs w:val="21"/>
          <w:highlight w:val="none"/>
        </w:rPr>
        <w:t>7*24小时办公环境，具备监控大屏，提供7*24小时人工值守以及响应电话，以及技术支持响应。</w:t>
      </w:r>
    </w:p>
    <w:p w14:paraId="79CEA40F">
      <w:pPr>
        <w:keepNext/>
        <w:keepLines/>
        <w:numPr>
          <w:ilvl w:val="1"/>
          <w:numId w:val="2"/>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45" w:name="_Toc256000049"/>
      <w:bookmarkStart w:id="46" w:name="_Toc17805"/>
      <w:bookmarkStart w:id="47" w:name="_Toc27108"/>
      <w:bookmarkStart w:id="48" w:name="_Toc23838"/>
      <w:bookmarkStart w:id="49" w:name="_Toc24286"/>
      <w:bookmarkStart w:id="50" w:name="_Toc3461"/>
      <w:r>
        <w:rPr>
          <w:rFonts w:hint="eastAsia" w:ascii="宋体" w:hAnsi="宋体" w:eastAsia="宋体" w:cs="宋体"/>
          <w:bCs/>
          <w:color w:val="auto"/>
          <w:sz w:val="21"/>
          <w:szCs w:val="21"/>
          <w:highlight w:val="none"/>
        </w:rPr>
        <w:t>云平台架构要求</w:t>
      </w:r>
      <w:bookmarkEnd w:id="45"/>
      <w:bookmarkEnd w:id="46"/>
      <w:bookmarkEnd w:id="47"/>
      <w:bookmarkEnd w:id="48"/>
      <w:bookmarkEnd w:id="49"/>
      <w:bookmarkEnd w:id="50"/>
    </w:p>
    <w:p w14:paraId="0D192B6A">
      <w:pPr>
        <w:spacing w:after="12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株洲市政务云依托株洲市电子政务外网建设部署，分为电子政务外网业务区和互联网业务区，</w:t>
      </w:r>
      <w:r>
        <w:rPr>
          <w:rFonts w:hint="eastAsia" w:ascii="宋体" w:hAnsi="宋体" w:eastAsia="宋体" w:cs="宋体"/>
          <w:color w:val="auto"/>
          <w:sz w:val="21"/>
          <w:szCs w:val="21"/>
          <w:highlight w:val="none"/>
          <w:lang w:val="en-US" w:eastAsia="zh-CN"/>
        </w:rPr>
        <w:t>所有云资源池均需接入对应的电子政务外网区或互联网区，</w:t>
      </w:r>
      <w:r>
        <w:rPr>
          <w:rFonts w:hint="eastAsia" w:ascii="宋体" w:hAnsi="宋体" w:eastAsia="宋体" w:cs="宋体"/>
          <w:color w:val="auto"/>
          <w:sz w:val="21"/>
          <w:szCs w:val="21"/>
          <w:highlight w:val="none"/>
        </w:rPr>
        <w:t>两区之间通过边界外的数据流量清洗区进行逻辑隔离及数据交换。</w:t>
      </w:r>
    </w:p>
    <w:p w14:paraId="4B5A4E1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株洲市政务云业务分区架构要求如下图所示：</w:t>
      </w:r>
    </w:p>
    <w:p w14:paraId="22A70E5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270500" cy="2788285"/>
            <wp:effectExtent l="0" t="0" r="6350" b="1206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70500" cy="2788285"/>
                    </a:xfrm>
                    <a:prstGeom prst="rect">
                      <a:avLst/>
                    </a:prstGeom>
                    <a:noFill/>
                    <a:ln>
                      <a:noFill/>
                    </a:ln>
                  </pic:spPr>
                </pic:pic>
              </a:graphicData>
            </a:graphic>
          </wp:inline>
        </w:drawing>
      </w:r>
    </w:p>
    <w:p w14:paraId="6982A78A">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图 </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STYLEREF 2 \s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noBreakHyphen/>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lang w:val="en-US" w:eastAsia="zh-CN"/>
        </w:rPr>
        <w:t>市</w:t>
      </w:r>
      <w:r>
        <w:rPr>
          <w:rFonts w:hint="eastAsia" w:ascii="宋体" w:hAnsi="宋体" w:eastAsia="宋体" w:cs="宋体"/>
          <w:b/>
          <w:bCs/>
          <w:color w:val="auto"/>
          <w:sz w:val="21"/>
          <w:szCs w:val="21"/>
          <w:highlight w:val="none"/>
        </w:rPr>
        <w:t>级</w:t>
      </w:r>
      <w:r>
        <w:rPr>
          <w:rFonts w:hint="eastAsia" w:ascii="宋体" w:hAnsi="宋体" w:eastAsia="宋体" w:cs="宋体"/>
          <w:b/>
          <w:bCs/>
          <w:color w:val="auto"/>
          <w:sz w:val="21"/>
          <w:szCs w:val="21"/>
          <w:highlight w:val="none"/>
          <w:lang w:val="en-US" w:eastAsia="zh-CN"/>
        </w:rPr>
        <w:t>云资源池与网络区域拓扑结构</w:t>
      </w:r>
      <w:r>
        <w:rPr>
          <w:rFonts w:hint="eastAsia" w:ascii="宋体" w:hAnsi="宋体" w:eastAsia="宋体" w:cs="宋体"/>
          <w:b/>
          <w:bCs/>
          <w:color w:val="auto"/>
          <w:sz w:val="21"/>
          <w:szCs w:val="21"/>
          <w:highlight w:val="none"/>
        </w:rPr>
        <w:t xml:space="preserve"> </w:t>
      </w:r>
    </w:p>
    <w:p w14:paraId="51AB04B4">
      <w:pPr>
        <w:spacing w:line="360" w:lineRule="auto"/>
        <w:ind w:firstLine="422" w:firstLineChars="200"/>
        <w:contextualSpacing/>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云服务商云平台架构的详细要求如下：</w:t>
      </w:r>
    </w:p>
    <w:p w14:paraId="553DED7A">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服务商云平台架构应符合《国家电子政务外网标准政务云安全要求》（GW0013-2017）的相关要求，云平台划分为政务外网业务区和互联网业务区两个逻辑隔离的区域，两个区域业务区的计算、存储、网络、安全防护等须实现物理独立，跨网访问需通过数据流量清洗区实现数据安全交换。服务商云平台架构应符合株洲市政务云业务分区架构设计的接入要求与数据流量清洗隔离区对接入网</w:t>
      </w:r>
      <w:r>
        <w:rPr>
          <w:rFonts w:hint="eastAsia" w:ascii="宋体" w:hAnsi="宋体" w:eastAsia="宋体" w:cs="宋体"/>
          <w:color w:val="auto"/>
          <w:sz w:val="21"/>
          <w:szCs w:val="21"/>
          <w:highlight w:val="none"/>
          <w:lang w:val="en-US" w:eastAsia="zh-CN"/>
        </w:rPr>
        <w:t>的要求</w:t>
      </w:r>
      <w:r>
        <w:rPr>
          <w:rFonts w:hint="eastAsia" w:ascii="宋体" w:hAnsi="宋体" w:eastAsia="宋体" w:cs="宋体"/>
          <w:color w:val="auto"/>
          <w:sz w:val="21"/>
          <w:szCs w:val="21"/>
          <w:highlight w:val="none"/>
        </w:rPr>
        <w:t>。</w:t>
      </w:r>
    </w:p>
    <w:p w14:paraId="5E0C6C29">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服务商需提供兼容C86架构与ARM架构的云平台</w:t>
      </w:r>
      <w:r>
        <w:rPr>
          <w:rFonts w:hint="eastAsia" w:ascii="宋体" w:hAnsi="宋体" w:eastAsia="宋体" w:cs="宋体"/>
          <w:b/>
          <w:bCs/>
          <w:color w:val="auto"/>
          <w:sz w:val="21"/>
          <w:szCs w:val="21"/>
          <w:highlight w:val="none"/>
        </w:rPr>
        <w:t>（提供证明材料）</w:t>
      </w:r>
      <w:r>
        <w:rPr>
          <w:rFonts w:hint="eastAsia" w:ascii="宋体" w:hAnsi="宋体" w:eastAsia="宋体" w:cs="宋体"/>
          <w:color w:val="auto"/>
          <w:sz w:val="21"/>
          <w:szCs w:val="21"/>
          <w:highlight w:val="none"/>
        </w:rPr>
        <w:t>，构建“C86+ARM”的服务支撑能力。C86 云与ARM云的计算、存储、网络、安全等资源池。云平台</w:t>
      </w:r>
      <w:r>
        <w:rPr>
          <w:rFonts w:hint="eastAsia" w:ascii="宋体" w:hAnsi="宋体" w:eastAsia="宋体" w:cs="宋体"/>
          <w:color w:val="auto"/>
          <w:sz w:val="21"/>
          <w:szCs w:val="21"/>
          <w:highlight w:val="none"/>
          <w:lang w:val="en-US" w:eastAsia="zh-CN"/>
        </w:rPr>
        <w:t>必须</w:t>
      </w:r>
      <w:r>
        <w:rPr>
          <w:rFonts w:hint="eastAsia" w:ascii="宋体" w:hAnsi="宋体" w:eastAsia="宋体" w:cs="宋体"/>
          <w:color w:val="auto"/>
          <w:sz w:val="21"/>
          <w:szCs w:val="21"/>
          <w:highlight w:val="none"/>
        </w:rPr>
        <w:t>具备“一云多芯”、“多元算力”的能力，兼容鲲鹏、飞腾、海光等主流国产信创芯片，能提供通用算力（CPU）和智能算力（GPU、AI计算卡）。</w:t>
      </w:r>
    </w:p>
    <w:p w14:paraId="2601A14B">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云平台要求具备跨资源池高效资源调度能力，部署架构考虑高可用、高可靠设计；平台应充分考虑计算、存储、网络等节点的可靠性与健壮性，关键节点须部署主备或双活冗余架构，确保服务连续性满足云上业务系统要求。</w:t>
      </w:r>
    </w:p>
    <w:p w14:paraId="1790EC2B">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云平台应为稳定可靠的最新版本，同时应支持平台及服务产品版本自动化升级、部署、回滚。</w:t>
      </w:r>
    </w:p>
    <w:p w14:paraId="6ABFA013">
      <w:pPr>
        <w:keepNext/>
        <w:keepLines/>
        <w:numPr>
          <w:ilvl w:val="1"/>
          <w:numId w:val="2"/>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51" w:name="_Toc32386"/>
      <w:bookmarkStart w:id="52" w:name="_Toc4223"/>
      <w:bookmarkStart w:id="53" w:name="_Toc24439"/>
      <w:bookmarkStart w:id="54" w:name="_Toc27968"/>
      <w:bookmarkStart w:id="55" w:name="_Toc256000050"/>
      <w:bookmarkStart w:id="56" w:name="_Toc871"/>
      <w:r>
        <w:rPr>
          <w:rFonts w:hint="eastAsia" w:ascii="宋体" w:hAnsi="宋体" w:eastAsia="宋体" w:cs="宋体"/>
          <w:bCs/>
          <w:color w:val="auto"/>
          <w:sz w:val="21"/>
          <w:szCs w:val="21"/>
          <w:highlight w:val="none"/>
        </w:rPr>
        <w:t>云平台功能要求</w:t>
      </w:r>
      <w:bookmarkEnd w:id="51"/>
      <w:bookmarkEnd w:id="52"/>
      <w:bookmarkEnd w:id="53"/>
      <w:bookmarkEnd w:id="54"/>
      <w:bookmarkEnd w:id="55"/>
      <w:bookmarkEnd w:id="56"/>
    </w:p>
    <w:p w14:paraId="43974BFF">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云服务供应商所提供的政务云平台（包括管理集群、业务集群、网络和安全、机房空间、主要供配电设施等）必须完全独立并且仅用于承载株洲市政务云业务</w:t>
      </w:r>
      <w:r>
        <w:rPr>
          <w:rStyle w:val="14"/>
          <w:rFonts w:hint="eastAsia" w:ascii="宋体" w:hAnsi="宋体" w:eastAsia="宋体" w:cs="宋体"/>
          <w:color w:val="auto"/>
          <w:kern w:val="2"/>
          <w:sz w:val="21"/>
          <w:szCs w:val="21"/>
          <w:highlight w:val="none"/>
          <w:lang w:val="en-US" w:eastAsia="zh-CN" w:bidi="ar-SA"/>
        </w:rPr>
        <w:t>，不能与其它业务共用本云平台资源及相应所属服务。</w:t>
      </w:r>
    </w:p>
    <w:p w14:paraId="3EDF20D0">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2.云平台及相关资产需遵照株洲市政务云相关标准规范及采购单位要求，统一规范命名，资产增加或减少需及时向采购单位报备。</w:t>
      </w:r>
    </w:p>
    <w:p w14:paraId="00EDFAB3">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3.云平台应提供统一的标准接口，支持与统一云管平台对接，实现云服务器的自动开通、配置变更以及云平台信息采集等功能，并提供详细的技术文档。</w:t>
      </w:r>
    </w:p>
    <w:p w14:paraId="6A740317">
      <w:pPr>
        <w:spacing w:line="360" w:lineRule="auto"/>
        <w:ind w:firstLine="420" w:firstLineChars="200"/>
        <w:contextualSpacing/>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4.云服务商应根据国家、省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市</w:t>
      </w:r>
      <w:r>
        <w:rPr>
          <w:rFonts w:hint="eastAsia" w:ascii="宋体" w:hAnsi="宋体" w:eastAsia="宋体" w:cs="宋体"/>
          <w:color w:val="auto"/>
          <w:sz w:val="21"/>
          <w:szCs w:val="21"/>
          <w:highlight w:val="none"/>
        </w:rPr>
        <w:t>对政务信创云的最新政策和标准要求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《信息安全技术云计算服务安全能力要求》（GB/T 31168-2023）</w:t>
      </w:r>
      <w:r>
        <w:rPr>
          <w:rFonts w:hint="eastAsia" w:ascii="宋体" w:hAnsi="宋体" w:eastAsia="宋体" w:cs="宋体"/>
          <w:color w:val="auto"/>
          <w:sz w:val="21"/>
          <w:szCs w:val="21"/>
          <w:highlight w:val="none"/>
          <w:lang w:val="en-US" w:eastAsia="zh-CN"/>
        </w:rPr>
        <w:t>、《湖南省省级政务云管理暂行办法》等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及政务云管理的相关需要，无条件按甲方要求对政务信创云进行整改</w:t>
      </w:r>
      <w:r>
        <w:rPr>
          <w:rFonts w:hint="eastAsia" w:ascii="宋体" w:hAnsi="宋体" w:eastAsia="宋体" w:cs="宋体"/>
          <w:color w:val="auto"/>
          <w:sz w:val="21"/>
          <w:szCs w:val="21"/>
          <w:highlight w:val="none"/>
          <w:lang w:eastAsia="zh-CN"/>
        </w:rPr>
        <w:t>。</w:t>
      </w:r>
    </w:p>
    <w:p w14:paraId="54BB3ECF">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.云主机应支持在同一技术架构体系内节点之间互相热迁移、宿主机宕机迁移。</w:t>
      </w:r>
    </w:p>
    <w:p w14:paraId="6574DD99">
      <w:pPr>
        <w:spacing w:line="360" w:lineRule="auto"/>
        <w:ind w:firstLine="420" w:firstLineChars="200"/>
        <w:contextualSpacing/>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.云服务商须在管理网里部署1套云管平台，实现政务外网业务区和互联网业务区统一管理</w:t>
      </w:r>
      <w:r>
        <w:rPr>
          <w:rFonts w:hint="eastAsia" w:ascii="宋体" w:hAnsi="宋体" w:eastAsia="宋体" w:cs="宋体"/>
          <w:color w:val="auto"/>
          <w:sz w:val="21"/>
          <w:szCs w:val="21"/>
          <w:highlight w:val="none"/>
          <w:lang w:eastAsia="zh-CN"/>
        </w:rPr>
        <w:t>。</w:t>
      </w:r>
    </w:p>
    <w:p w14:paraId="16F6EDBF">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云平台须提供各类云资源监测服务，包括裸金属和云主机的CPU、内存及存储资源的开销和性能监测，支撑软件中各类数据库、中间件的开销和性能监测等。云平台留有资源余量保障应急部署需要，每月开展关键资源（CPU、内存、存储空间、网络带宽、服务授权等）使用情况评估，及时进行资源扩充，同时每月向采购人提供云资源利用率数据留底备案。</w:t>
      </w:r>
    </w:p>
    <w:p w14:paraId="64EDABC5">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.云平台</w:t>
      </w:r>
      <w:r>
        <w:rPr>
          <w:rFonts w:hint="eastAsia" w:ascii="宋体" w:hAnsi="宋体" w:eastAsia="宋体" w:cs="宋体"/>
          <w:color w:val="auto"/>
          <w:sz w:val="21"/>
          <w:szCs w:val="21"/>
          <w:highlight w:val="none"/>
          <w:lang w:eastAsia="zh-CN"/>
        </w:rPr>
        <w:t>应</w:t>
      </w:r>
      <w:r>
        <w:rPr>
          <w:rFonts w:hint="eastAsia" w:ascii="宋体" w:hAnsi="宋体" w:eastAsia="宋体" w:cs="宋体"/>
          <w:color w:val="auto"/>
          <w:sz w:val="21"/>
          <w:szCs w:val="21"/>
          <w:highlight w:val="none"/>
        </w:rPr>
        <w:t>具备完整日志功能和故障快速定位能力。云平台应具备应用系统运行状态、计算、存储、网络、安全、数据库、容器编排等各类型日志能力，当故障发生时可实现故障快速定位。</w:t>
      </w:r>
    </w:p>
    <w:p w14:paraId="5CD2E29C">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 云平台须提供自动计费的功能，实现自动化计量计费、支持按用户、按系统、按天、按月、按年生成账单、在线查询等功能，计费账单内容包括使用单位租用的各服务产品的费用详情。</w:t>
      </w:r>
    </w:p>
    <w:p w14:paraId="64CEFDEA">
      <w:pPr>
        <w:keepNext/>
        <w:keepLines/>
        <w:numPr>
          <w:ilvl w:val="1"/>
          <w:numId w:val="2"/>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57" w:name="_Toc256000051"/>
      <w:bookmarkStart w:id="58" w:name="_Toc30222"/>
      <w:bookmarkStart w:id="59" w:name="_Toc19427"/>
      <w:bookmarkStart w:id="60" w:name="_Toc27030"/>
      <w:bookmarkStart w:id="61" w:name="_Toc18171"/>
      <w:bookmarkStart w:id="62" w:name="_Toc30351"/>
      <w:r>
        <w:rPr>
          <w:rFonts w:hint="eastAsia" w:ascii="宋体" w:hAnsi="宋体" w:eastAsia="宋体" w:cs="宋体"/>
          <w:bCs/>
          <w:color w:val="auto"/>
          <w:sz w:val="21"/>
          <w:szCs w:val="21"/>
          <w:highlight w:val="none"/>
        </w:rPr>
        <w:t>云平台网络要求</w:t>
      </w:r>
      <w:bookmarkEnd w:id="57"/>
      <w:bookmarkEnd w:id="58"/>
      <w:bookmarkEnd w:id="59"/>
      <w:bookmarkEnd w:id="60"/>
      <w:bookmarkEnd w:id="61"/>
      <w:bookmarkEnd w:id="62"/>
    </w:p>
    <w:p w14:paraId="097AAA96">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63" w:name="_Toc26292"/>
      <w:bookmarkStart w:id="64" w:name="_Toc256000052"/>
      <w:bookmarkStart w:id="65" w:name="_Toc19053"/>
      <w:bookmarkStart w:id="66" w:name="_Toc31945"/>
      <w:bookmarkStart w:id="67" w:name="_Toc31080"/>
      <w:bookmarkStart w:id="68" w:name="_Toc7354"/>
      <w:r>
        <w:rPr>
          <w:rFonts w:hint="eastAsia" w:ascii="宋体" w:hAnsi="宋体" w:eastAsia="宋体" w:cs="宋体"/>
          <w:bCs/>
          <w:color w:val="auto"/>
          <w:sz w:val="21"/>
          <w:szCs w:val="21"/>
          <w:highlight w:val="none"/>
        </w:rPr>
        <w:t>云平台内部网络建设要求</w:t>
      </w:r>
      <w:bookmarkEnd w:id="63"/>
      <w:bookmarkEnd w:id="64"/>
      <w:bookmarkEnd w:id="65"/>
      <w:bookmarkEnd w:id="66"/>
      <w:bookmarkEnd w:id="67"/>
      <w:bookmarkEnd w:id="68"/>
    </w:p>
    <w:p w14:paraId="3722F3CC">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云服务商云平台网络应满足《国家电子政务外网标准政务云安全要求》（GW0013-2017）、《信息安全技术云计算服务安全能力要求》（GB/T 31168-2023）等相关标准要求。</w:t>
      </w:r>
    </w:p>
    <w:p w14:paraId="5355D60D">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云服务商云平台依托电子政务外网建设，分为政务外网业务区域和互联网业务区域，云平台政务外网业务区和互联网业务区通过接入数据流量清洗隔离区实现跨区数据交换、互联网业务、专线业务访问。</w:t>
      </w:r>
    </w:p>
    <w:p w14:paraId="5280BDB4">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云平台内部网络应采用高可用高可靠设计，采用双设备双链路冗余组网（带外管理网除外），支持SDN、VxLAN、OpenFlow等主流网络技术，可实现动态网络资源调配和隔离，具备网络设备集群部署和统一管理能力，具备向应用感知网络、网络自动化运维管理等演进能力。</w:t>
      </w:r>
    </w:p>
    <w:p w14:paraId="170D2683">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云平台内部须设置业务网、存储网、管理网（含带外管理）、备份网等网络，其中业务网、管理网、备份网须能与存量政务云相应网络对接，云平台政务外网业务区和互联网业务区的内部网络须分开设置业务网和存储网。</w:t>
      </w:r>
    </w:p>
    <w:p w14:paraId="453AF849">
      <w:pPr>
        <w:spacing w:line="360" w:lineRule="auto"/>
        <w:ind w:firstLine="420" w:firstLineChars="200"/>
        <w:contextualSpacing/>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 xml:space="preserve">1. </w:t>
      </w:r>
      <w:r>
        <w:rPr>
          <w:rFonts w:hint="eastAsia" w:ascii="宋体" w:hAnsi="宋体" w:eastAsia="宋体" w:cs="宋体"/>
          <w:color w:val="auto"/>
          <w:sz w:val="21"/>
          <w:szCs w:val="21"/>
          <w:highlight w:val="none"/>
          <w:lang w:val="en-US"/>
        </w:rPr>
        <w:t>带宽及时延要求</w:t>
      </w:r>
    </w:p>
    <w:p w14:paraId="34FC64D8">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数据中心内部网络（含业务网、存储网、管理网、备份网）各张网的带宽须满足业务发展需求，但云数据中心内部网络各张网在业务高峰期连续2小时内平均带宽利用率达到45%应实施扩容；云数据中心内部网络端到端时延要求≤</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ms。</w:t>
      </w:r>
    </w:p>
    <w:p w14:paraId="43EF73C6">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功能要求</w:t>
      </w:r>
    </w:p>
    <w:p w14:paraId="64667367">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网络的高可用是业务高可用的基本保证，云平台内部通用云业务网络在网络整体设计和设备配置上均按照双备份要求设计。在网络连接上消除单点故障，提供设备的故障切换。关键网络设备之间的物理链路采用双路冗余连接，保证设备可靠性要求达到99.99%。</w:t>
      </w:r>
    </w:p>
    <w:p w14:paraId="23A64283">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）云服务商数据中心网络支持IPv4/IPv6双栈技术，云平台提供的资源池</w:t>
      </w:r>
      <w:r>
        <w:rPr>
          <w:rFonts w:hint="eastAsia" w:ascii="宋体" w:hAnsi="宋体" w:eastAsia="宋体" w:cs="宋体"/>
          <w:color w:val="auto"/>
          <w:sz w:val="21"/>
          <w:szCs w:val="21"/>
          <w:highlight w:val="none"/>
          <w:lang w:eastAsia="zh-CN"/>
        </w:rPr>
        <w:t>须具备</w:t>
      </w:r>
      <w:r>
        <w:rPr>
          <w:rFonts w:hint="eastAsia" w:ascii="宋体" w:hAnsi="宋体" w:eastAsia="宋体" w:cs="宋体"/>
          <w:color w:val="auto"/>
          <w:sz w:val="21"/>
          <w:szCs w:val="21"/>
          <w:highlight w:val="none"/>
        </w:rPr>
        <w:t>全栈IPv6服务能力，即IaaS/PaaS/SaaS等服务应能提供IPv4和IPv6两种网络地址访问的能力，并需不断向IPv6单栈技术方向演进。</w:t>
      </w:r>
    </w:p>
    <w:p w14:paraId="3508070F">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）云平台内部网络要求支持VxLAN、SDN，具备大二层网络技术、Overlay技术能力和云平台统一网络管理能力。</w:t>
      </w:r>
    </w:p>
    <w:p w14:paraId="5EA2E3AB">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）具备SSL卸载功能，将HTTPS请求解密为HTTP明文请求，减轻服务器加解密压力，为租户提供高性能SSL卸载服务。</w:t>
      </w:r>
    </w:p>
    <w:p w14:paraId="569E94D1">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）云服务商云平台须具备VPC（虚拟私有云）服务能力，并为政务云租户（云使用单位）、云平台本身管理等合理规划和部署VPC，不同政务云租户的 VPC 之间必须进行严格的网络隔离，防止租户之间的网络流量相互干扰和数据泄露。每个租户的VPC都应被视为独立的网络空间，拥有自己独立的 IP 地址段、子网和路由表等网络资源，确保一个租户的网络活动不会影响到其他租户。VPC与外部公共网络之间的连接应受到严格控制和管理，应通过设置防火墙、访问控制列表（ACL）等安全策略，只允许经过授权的外部网络流量进入VPC，同时限制VPC内的敏感数据流向外部网络。</w:t>
      </w:r>
    </w:p>
    <w:p w14:paraId="620B51BB">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69" w:name="_Toc16803"/>
      <w:bookmarkStart w:id="70" w:name="_Toc256000053"/>
      <w:bookmarkStart w:id="71" w:name="_Toc18776"/>
      <w:bookmarkStart w:id="72" w:name="_Toc16081"/>
      <w:bookmarkStart w:id="73" w:name="_Toc28877"/>
      <w:bookmarkStart w:id="74" w:name="_Toc17287"/>
      <w:r>
        <w:rPr>
          <w:rFonts w:hint="eastAsia" w:ascii="宋体" w:hAnsi="宋体" w:eastAsia="宋体" w:cs="宋体"/>
          <w:bCs/>
          <w:color w:val="auto"/>
          <w:sz w:val="21"/>
          <w:szCs w:val="21"/>
          <w:highlight w:val="none"/>
        </w:rPr>
        <w:t>云平台外部网络接入要求</w:t>
      </w:r>
      <w:bookmarkEnd w:id="69"/>
      <w:bookmarkEnd w:id="70"/>
      <w:bookmarkEnd w:id="71"/>
      <w:bookmarkEnd w:id="72"/>
      <w:bookmarkEnd w:id="73"/>
      <w:bookmarkEnd w:id="74"/>
    </w:p>
    <w:p w14:paraId="059AE891">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云服务商建设云平台应支持与电子政务外网及部门（行业）专网等安全连接。云服务商应以满足业务发展需要为基本原则，在业务发展初期，可根据实际业务流量情况，云服务商云平台内、外部资源池分别建设4条万兆链路连接至株洲市政务云数据流量清洗隔离区接入设备，即：政务外网业务资源池和互联网业务资源池分别以2条10G链路分别接入株洲市政务云骨干网2台核心路由器或下游交换机。 </w:t>
      </w:r>
    </w:p>
    <w:p w14:paraId="3EACF518">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原则上云服务商云平台接入</w:t>
      </w:r>
      <w:r>
        <w:rPr>
          <w:rFonts w:hint="eastAsia" w:ascii="宋体" w:hAnsi="宋体" w:eastAsia="宋体" w:cs="宋体"/>
          <w:color w:val="auto"/>
          <w:sz w:val="21"/>
          <w:szCs w:val="21"/>
          <w:highlight w:val="none"/>
          <w:lang w:val="en-US" w:eastAsia="zh-CN"/>
        </w:rPr>
        <w:t>市级</w:t>
      </w:r>
      <w:r>
        <w:rPr>
          <w:rFonts w:hint="eastAsia" w:ascii="宋体" w:hAnsi="宋体" w:eastAsia="宋体" w:cs="宋体"/>
          <w:color w:val="auto"/>
          <w:sz w:val="21"/>
          <w:szCs w:val="21"/>
          <w:highlight w:val="none"/>
        </w:rPr>
        <w:t>政务云骨干网的4条链路和设备应具备10G向100G演进能力，根据业务发展需要，云服务商云平台应在一个月内完成接入链路带宽升级至100G。</w:t>
      </w:r>
    </w:p>
    <w:p w14:paraId="3BF82ABE">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云服务商云资源池应设置独立的安全边界，IPv4/IPv6地址由市政务云</w:t>
      </w:r>
      <w:r>
        <w:rPr>
          <w:rFonts w:hint="eastAsia" w:ascii="宋体" w:hAnsi="宋体" w:eastAsia="宋体" w:cs="宋体"/>
          <w:color w:val="auto"/>
          <w:sz w:val="21"/>
          <w:szCs w:val="21"/>
          <w:highlight w:val="none"/>
          <w:lang w:val="en-US" w:eastAsia="zh-CN"/>
        </w:rPr>
        <w:t>主管部门</w:t>
      </w:r>
      <w:r>
        <w:rPr>
          <w:rFonts w:hint="eastAsia" w:ascii="宋体" w:hAnsi="宋体" w:eastAsia="宋体" w:cs="宋体"/>
          <w:color w:val="auto"/>
          <w:sz w:val="21"/>
          <w:szCs w:val="21"/>
          <w:highlight w:val="none"/>
        </w:rPr>
        <w:t>统一规划，并由云服务商分配至每个租户VPC内的NAT网关、云防火墙或云主机等资源使用，中间不得再进行二次NAT转换。</w:t>
      </w:r>
    </w:p>
    <w:p w14:paraId="01393C23">
      <w:pPr>
        <w:spacing w:line="360" w:lineRule="auto"/>
        <w:ind w:firstLine="420" w:firstLineChars="200"/>
        <w:contextualSpacing/>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云服务商云平台接入</w:t>
      </w:r>
      <w:r>
        <w:rPr>
          <w:rFonts w:hint="eastAsia" w:ascii="宋体" w:hAnsi="宋体" w:eastAsia="宋体" w:cs="宋体"/>
          <w:color w:val="auto"/>
          <w:sz w:val="21"/>
          <w:szCs w:val="21"/>
          <w:highlight w:val="none"/>
          <w:lang w:val="en-US" w:eastAsia="zh-CN"/>
        </w:rPr>
        <w:t>市级</w:t>
      </w:r>
      <w:r>
        <w:rPr>
          <w:rFonts w:hint="eastAsia" w:ascii="宋体" w:hAnsi="宋体" w:eastAsia="宋体" w:cs="宋体"/>
          <w:color w:val="auto"/>
          <w:sz w:val="21"/>
          <w:szCs w:val="21"/>
          <w:highlight w:val="none"/>
        </w:rPr>
        <w:t>政务云骨干网的4条接入链路由云服务商负责提供，链路类型不做明确要求，可以是裸光纤、OTN（波分）链路等，但要求服务商机房至云骨干网路由器的网络时延≤</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ms。</w:t>
      </w:r>
    </w:p>
    <w:p w14:paraId="528209B6">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各部门（行业）专网由</w:t>
      </w:r>
      <w:r>
        <w:rPr>
          <w:rFonts w:hint="eastAsia" w:ascii="宋体" w:hAnsi="宋体" w:eastAsia="宋体" w:cs="宋体"/>
          <w:color w:val="auto"/>
          <w:sz w:val="21"/>
          <w:szCs w:val="21"/>
          <w:highlight w:val="none"/>
          <w:lang w:val="en-US" w:eastAsia="zh-CN"/>
        </w:rPr>
        <w:t>各专网建设单位</w:t>
      </w:r>
      <w:r>
        <w:rPr>
          <w:rFonts w:hint="eastAsia" w:ascii="宋体" w:hAnsi="宋体" w:eastAsia="宋体" w:cs="宋体"/>
          <w:color w:val="auto"/>
          <w:sz w:val="21"/>
          <w:szCs w:val="21"/>
          <w:highlight w:val="none"/>
        </w:rPr>
        <w:t>统一负责提供。</w:t>
      </w:r>
    </w:p>
    <w:p w14:paraId="1DA5B15D">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75" w:name="_Toc23592"/>
      <w:bookmarkStart w:id="76" w:name="_Toc32002"/>
      <w:bookmarkStart w:id="77" w:name="_Toc26751"/>
      <w:bookmarkStart w:id="78" w:name="_Toc1294"/>
      <w:bookmarkStart w:id="79" w:name="_Toc256000054"/>
      <w:bookmarkStart w:id="80" w:name="_Toc18385"/>
      <w:r>
        <w:rPr>
          <w:rFonts w:hint="eastAsia" w:ascii="宋体" w:hAnsi="宋体" w:eastAsia="宋体" w:cs="宋体"/>
          <w:bCs/>
          <w:color w:val="auto"/>
          <w:sz w:val="21"/>
          <w:szCs w:val="21"/>
          <w:highlight w:val="none"/>
        </w:rPr>
        <w:t>云平台IP地址规划要求</w:t>
      </w:r>
      <w:bookmarkEnd w:id="75"/>
      <w:bookmarkEnd w:id="76"/>
      <w:bookmarkEnd w:id="77"/>
      <w:bookmarkEnd w:id="78"/>
      <w:bookmarkEnd w:id="79"/>
      <w:bookmarkEnd w:id="80"/>
    </w:p>
    <w:p w14:paraId="4F91328F">
      <w:pPr>
        <w:numPr>
          <w:ilvl w:val="0"/>
          <w:numId w:val="4"/>
        </w:num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云服务商数据中心内部网络地址规划由</w:t>
      </w:r>
      <w:r>
        <w:rPr>
          <w:rFonts w:hint="eastAsia" w:ascii="宋体" w:hAnsi="宋体" w:eastAsia="宋体" w:cs="宋体"/>
          <w:color w:val="auto"/>
          <w:sz w:val="21"/>
          <w:szCs w:val="21"/>
          <w:highlight w:val="none"/>
          <w:lang w:val="en-US" w:eastAsia="zh-CN"/>
        </w:rPr>
        <w:t>采购人规划，</w:t>
      </w:r>
      <w:r>
        <w:rPr>
          <w:rFonts w:hint="eastAsia" w:ascii="宋体" w:hAnsi="宋体" w:eastAsia="宋体" w:cs="宋体"/>
          <w:color w:val="auto"/>
          <w:sz w:val="21"/>
          <w:szCs w:val="21"/>
          <w:highlight w:val="none"/>
        </w:rPr>
        <w:t>云服务商</w:t>
      </w:r>
      <w:r>
        <w:rPr>
          <w:rFonts w:hint="eastAsia" w:ascii="宋体" w:hAnsi="宋体" w:eastAsia="宋体" w:cs="宋体"/>
          <w:color w:val="auto"/>
          <w:sz w:val="21"/>
          <w:szCs w:val="21"/>
          <w:highlight w:val="none"/>
          <w:lang w:val="en-US" w:eastAsia="zh-CN"/>
        </w:rPr>
        <w:t>按照规划实施</w:t>
      </w:r>
      <w:r>
        <w:rPr>
          <w:rFonts w:hint="eastAsia" w:ascii="宋体" w:hAnsi="宋体" w:eastAsia="宋体" w:cs="宋体"/>
          <w:color w:val="auto"/>
          <w:sz w:val="21"/>
          <w:szCs w:val="21"/>
          <w:highlight w:val="none"/>
        </w:rPr>
        <w:t>，并须定期向采购人报备地址分配和使用情况。</w:t>
      </w:r>
    </w:p>
    <w:p w14:paraId="0B95EDD0">
      <w:pPr>
        <w:numPr>
          <w:ilvl w:val="0"/>
          <w:numId w:val="4"/>
        </w:num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电子政务外网、云骨干网、统一互联网出口地址由采购人负责规划实施，云服务商按需向采购人申请，经审批后方可以投入生产使用。</w:t>
      </w:r>
    </w:p>
    <w:p w14:paraId="4AA811BB">
      <w:pPr>
        <w:keepNext/>
        <w:keepLines/>
        <w:numPr>
          <w:ilvl w:val="1"/>
          <w:numId w:val="2"/>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81" w:name="_Toc21952"/>
      <w:bookmarkStart w:id="82" w:name="_Toc256000055"/>
      <w:bookmarkStart w:id="83" w:name="_Toc15250"/>
      <w:bookmarkStart w:id="84" w:name="_Toc16922"/>
      <w:bookmarkStart w:id="85" w:name="_Toc1238"/>
      <w:r>
        <w:rPr>
          <w:rFonts w:hint="eastAsia" w:ascii="宋体" w:hAnsi="宋体" w:eastAsia="宋体" w:cs="宋体"/>
          <w:bCs/>
          <w:color w:val="auto"/>
          <w:sz w:val="21"/>
          <w:szCs w:val="21"/>
          <w:highlight w:val="none"/>
        </w:rPr>
        <w:t>云平台安全要求</w:t>
      </w:r>
      <w:bookmarkEnd w:id="81"/>
      <w:bookmarkEnd w:id="82"/>
      <w:bookmarkEnd w:id="83"/>
      <w:bookmarkEnd w:id="84"/>
      <w:bookmarkEnd w:id="85"/>
    </w:p>
    <w:p w14:paraId="717A5DEF">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云服务商云平台应符合国家安全政策法规要求，满足《信息安全技术 云计算服务安全指南》（GB/T 31167-2014）、《信息安全技术网络安全等级保护基本要求》（GB/T 22239-2019）、《信息安全技术网络安全等级保护实施指南》（GB/T 25058-2019）、《信息安全技术信息系统密码应用基本要求》（GB/T 39786-2021）、《SSL VPN网关产品规范》（GM/T0025-2014）、《信息安全技术云计算服务安全能力要求》（GB/T 31168-2023）等国家标准规范要求，政务云平台应通过网络安全等级保护测评、商用密码应用安全性评估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政务云平台应具备接入</w:t>
      </w:r>
      <w:r>
        <w:rPr>
          <w:rFonts w:hint="eastAsia" w:ascii="宋体" w:hAnsi="宋体" w:eastAsia="宋体" w:cs="宋体"/>
          <w:color w:val="auto"/>
          <w:sz w:val="21"/>
          <w:szCs w:val="21"/>
          <w:highlight w:val="none"/>
          <w:lang w:val="en-US" w:eastAsia="zh-CN"/>
        </w:rPr>
        <w:t>市</w:t>
      </w:r>
      <w:r>
        <w:rPr>
          <w:rFonts w:hint="eastAsia" w:ascii="宋体" w:hAnsi="宋体" w:eastAsia="宋体" w:cs="宋体"/>
          <w:color w:val="auto"/>
          <w:sz w:val="21"/>
          <w:szCs w:val="21"/>
          <w:highlight w:val="none"/>
        </w:rPr>
        <w:t>电子政务外网安全监测平台，实现政务云资源安全监测和数据安全采集能力。云平台建设所使用的软硬件、产品和服务，涉及</w:t>
      </w:r>
      <w:r>
        <w:rPr>
          <w:rFonts w:hint="eastAsia" w:ascii="宋体" w:hAnsi="宋体" w:eastAsia="宋体" w:cs="宋体"/>
          <w:color w:val="auto"/>
          <w:sz w:val="21"/>
          <w:szCs w:val="21"/>
          <w:highlight w:val="none"/>
          <w:lang w:val="en-US" w:eastAsia="zh-CN"/>
        </w:rPr>
        <w:t>密码池</w:t>
      </w:r>
      <w:r>
        <w:rPr>
          <w:rFonts w:hint="eastAsia" w:ascii="宋体" w:hAnsi="宋体" w:eastAsia="宋体" w:cs="宋体"/>
          <w:color w:val="auto"/>
          <w:sz w:val="21"/>
          <w:szCs w:val="21"/>
          <w:highlight w:val="none"/>
        </w:rPr>
        <w:t>密码算法和密钥，符合《中华人民共和国密码法》相关要求；云平台建设所使用的网络安全专用产品符合国家互联网信息办公室、工业和信息化部、公安部、财政部、国家认证认可监督管理委员会《关于调整网络安全专用产品安全管理有关事项的公告》（2023年第1号）的相关要求。</w:t>
      </w:r>
    </w:p>
    <w:p w14:paraId="2AE1716A">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安全防护能力应具备在不同层面保障政务云安全，包括基础设施安全、云平台安全、云租户安全、平台运维安全、平台合规审计等，并提供网络隔离、租户隔离、数据库加密、主机安全、日志审计、国家商用密码、签名验签、数据加密和安全认证等安全及密码能力</w:t>
      </w:r>
      <w:r>
        <w:rPr>
          <w:rStyle w:val="14"/>
          <w:rFonts w:hint="eastAsia" w:ascii="宋体" w:hAnsi="宋体" w:eastAsia="宋体" w:cs="宋体"/>
          <w:color w:val="auto"/>
          <w:kern w:val="2"/>
          <w:sz w:val="21"/>
          <w:szCs w:val="21"/>
          <w:highlight w:val="none"/>
          <w:lang w:val="en-US" w:eastAsia="zh-CN" w:bidi="ar-SA"/>
        </w:rPr>
        <w:t>，平台应具备动态分配安全组件的性能规格，同时支持已分配组件规格的动态变更和授权回收，回收后的授权可以分配给其他用户和其他类型的安全组件使用。</w:t>
      </w:r>
    </w:p>
    <w:p w14:paraId="2793F95F">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须具备态势感知流量分析平台，可7*24小时持续为市政务云提供网络流量安全分析能力，主要能力需具备检测响应、风险管理（漏洞、弱密码管理）、产品接入（自有产品和第三方产品接入）、规则库授权≥1年。</w:t>
      </w:r>
    </w:p>
    <w:p w14:paraId="2D38A5D2">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云服务商原则上在合同签订后</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个月内须</w:t>
      </w:r>
      <w:r>
        <w:rPr>
          <w:rFonts w:hint="eastAsia" w:ascii="宋体" w:hAnsi="宋体" w:eastAsia="宋体" w:cs="宋体"/>
          <w:color w:val="auto"/>
          <w:sz w:val="21"/>
          <w:szCs w:val="21"/>
          <w:highlight w:val="none"/>
          <w:lang w:val="en-US" w:eastAsia="zh-CN"/>
        </w:rPr>
        <w:t>对所建设的新政务云平台进行</w:t>
      </w:r>
      <w:r>
        <w:rPr>
          <w:rFonts w:hint="eastAsia" w:ascii="宋体" w:hAnsi="宋体" w:eastAsia="宋体" w:cs="宋体"/>
          <w:color w:val="auto"/>
          <w:sz w:val="21"/>
          <w:szCs w:val="21"/>
          <w:highlight w:val="none"/>
        </w:rPr>
        <w:t>三级网络安全等级保护测评与密码应用安全性评估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并通过对应的测评认证</w:t>
      </w:r>
      <w:r>
        <w:rPr>
          <w:rFonts w:hint="eastAsia" w:ascii="宋体" w:hAnsi="宋体" w:eastAsia="宋体" w:cs="宋体"/>
          <w:color w:val="auto"/>
          <w:sz w:val="21"/>
          <w:szCs w:val="21"/>
          <w:highlight w:val="none"/>
        </w:rPr>
        <w:t>，且服务期内每年均须通过三级网络安全等级保护测评与密码应用安全性评估，并提供第三方测评单位出具的测评通过报告。</w:t>
      </w:r>
      <w:bookmarkStart w:id="86" w:name="_Toc21332"/>
      <w:bookmarkStart w:id="87" w:name="_Toc5469"/>
      <w:bookmarkStart w:id="88" w:name="_Toc29389"/>
      <w:bookmarkStart w:id="89" w:name="_Toc256000056"/>
      <w:bookmarkStart w:id="90" w:name="_Toc15348"/>
      <w:bookmarkStart w:id="91" w:name="_Toc15766"/>
    </w:p>
    <w:p w14:paraId="70BA02B7">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在服务期间，采购人因业务发展和监管需要，提出新的</w:t>
      </w:r>
      <w:r>
        <w:rPr>
          <w:rFonts w:hint="eastAsia" w:ascii="宋体" w:hAnsi="宋体" w:eastAsia="宋体" w:cs="宋体"/>
          <w:color w:val="auto"/>
          <w:sz w:val="21"/>
          <w:szCs w:val="21"/>
          <w:highlight w:val="none"/>
          <w:lang w:val="en-US" w:eastAsia="zh-CN"/>
        </w:rPr>
        <w:t>网络安全合规</w:t>
      </w:r>
      <w:r>
        <w:rPr>
          <w:rFonts w:hint="eastAsia" w:ascii="宋体" w:hAnsi="宋体" w:eastAsia="宋体" w:cs="宋体"/>
          <w:color w:val="auto"/>
          <w:sz w:val="21"/>
          <w:szCs w:val="21"/>
          <w:highlight w:val="none"/>
        </w:rPr>
        <w:t>需求，云服务商应当无条件配合。</w:t>
      </w:r>
    </w:p>
    <w:p w14:paraId="72E24466">
      <w:pPr>
        <w:spacing w:line="360" w:lineRule="auto"/>
        <w:ind w:firstLine="420" w:firstLineChars="200"/>
        <w:contextualSpacing/>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云平台备份要求</w:t>
      </w:r>
      <w:bookmarkEnd w:id="86"/>
      <w:bookmarkEnd w:id="87"/>
      <w:bookmarkEnd w:id="88"/>
      <w:bookmarkEnd w:id="89"/>
      <w:bookmarkEnd w:id="90"/>
      <w:bookmarkEnd w:id="91"/>
    </w:p>
    <w:p w14:paraId="563E09B0">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按照《信息安全技术 信息系统灾难恢复规范》（GB/T 20988-2007）和《信息安全技术灾难恢复服务要求》（GB/T 36957-2018）标准要求，对业务信息系统进行分类，确定相应的灾备等级和灾备建设模式。确保一旦发生灾难能够及时恢复数据和业务，保障业务信息系统运行的连续性。</w:t>
      </w:r>
    </w:p>
    <w:p w14:paraId="793EB431">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云服务商在本地须</w:t>
      </w:r>
      <w:r>
        <w:rPr>
          <w:rFonts w:hint="eastAsia" w:ascii="宋体" w:hAnsi="宋体" w:eastAsia="宋体" w:cs="宋体"/>
          <w:color w:val="auto"/>
          <w:sz w:val="21"/>
          <w:szCs w:val="21"/>
          <w:highlight w:val="none"/>
          <w:lang w:val="en-US" w:eastAsia="zh-CN"/>
        </w:rPr>
        <w:t>为独立的</w:t>
      </w:r>
      <w:r>
        <w:rPr>
          <w:rFonts w:hint="eastAsia" w:ascii="宋体" w:hAnsi="宋体" w:eastAsia="宋体" w:cs="宋体"/>
          <w:color w:val="auto"/>
          <w:sz w:val="21"/>
          <w:szCs w:val="21"/>
          <w:highlight w:val="none"/>
        </w:rPr>
        <w:t>备份系统，不得是无品牌或自行组装产品，提供完全备份、增量备份、永久增量备份、重删及压缩加密等在线热备份技术；另外将备份数据块和数据指纹精准负载至多个备份节点，实现源端重删&amp;目的端重删，提升整体备份性能及节省备份存储空间与成本。提供云主机、操作系统、应用程序、文件、数据库等提供本地备份与恢复、灾难恢复演练和灾备切换等能力，保障业务数据的一致性、完整性和可恢复性。本地备份系统的软硬件由云服务商负责提供，备份介质不做明确要求，可以是备份一体机、对象存储等，但提供本地备份服务的备份系统须独立于生产系统运行且采用专属存储设备存放，不得与生产存储共用。</w:t>
      </w:r>
    </w:p>
    <w:p w14:paraId="75DE6CA5">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云服务商异地备份中心</w:t>
      </w:r>
      <w:r>
        <w:rPr>
          <w:rFonts w:hint="eastAsia" w:ascii="宋体" w:hAnsi="宋体" w:eastAsia="宋体" w:cs="宋体"/>
          <w:color w:val="auto"/>
          <w:sz w:val="21"/>
          <w:szCs w:val="21"/>
          <w:highlight w:val="none"/>
          <w:lang w:val="en-US" w:eastAsia="zh-CN"/>
        </w:rPr>
        <w:t>应</w:t>
      </w:r>
      <w:r>
        <w:rPr>
          <w:rFonts w:hint="eastAsia" w:ascii="宋体" w:hAnsi="宋体" w:eastAsia="宋体" w:cs="宋体"/>
          <w:color w:val="auto"/>
          <w:sz w:val="21"/>
          <w:szCs w:val="21"/>
          <w:highlight w:val="none"/>
        </w:rPr>
        <w:t>基于现有省级政务云异地灾备中心</w:t>
      </w:r>
      <w:r>
        <w:rPr>
          <w:rFonts w:hint="eastAsia" w:ascii="宋体" w:hAnsi="宋体" w:eastAsia="宋体" w:cs="宋体"/>
          <w:color w:val="auto"/>
          <w:sz w:val="21"/>
          <w:szCs w:val="21"/>
          <w:highlight w:val="none"/>
          <w:lang w:val="en-US" w:eastAsia="zh-CN"/>
        </w:rPr>
        <w:t>提供服务，云服务商</w:t>
      </w:r>
      <w:r>
        <w:rPr>
          <w:rFonts w:hint="eastAsia" w:ascii="宋体" w:hAnsi="宋体" w:eastAsia="宋体" w:cs="宋体"/>
          <w:color w:val="auto"/>
          <w:sz w:val="21"/>
          <w:szCs w:val="21"/>
          <w:highlight w:val="none"/>
        </w:rPr>
        <w:t>须负责与湖南省政务云异地备份中心系统资源池对接，实现本异地灾备统一化集中管理，备份服务目录管理、备份任务查看、数据恢复、策略查询、服务计量、日志监控等功能，要求参与投标的</w:t>
      </w:r>
      <w:r>
        <w:rPr>
          <w:rFonts w:hint="eastAsia" w:ascii="宋体" w:hAnsi="宋体" w:eastAsia="宋体" w:cs="宋体"/>
          <w:color w:val="auto"/>
          <w:sz w:val="21"/>
          <w:szCs w:val="21"/>
          <w:highlight w:val="none"/>
          <w:lang w:val="en-US" w:eastAsia="zh-CN"/>
        </w:rPr>
        <w:t>云服务商</w:t>
      </w:r>
      <w:r>
        <w:rPr>
          <w:rFonts w:hint="eastAsia" w:ascii="宋体" w:hAnsi="宋体" w:eastAsia="宋体" w:cs="宋体"/>
          <w:color w:val="auto"/>
          <w:sz w:val="21"/>
          <w:szCs w:val="21"/>
          <w:highlight w:val="none"/>
        </w:rPr>
        <w:t>提供加盖公章的承诺函，承诺可在中标后</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个自然日内独立实现上述功能对接并完成全部功能上线运行，如无法独立实现上述功能对接并完成全部功能上线运行，则视为虚假应标，取消对应投标人中标资格，同时追究相关法律责任。</w:t>
      </w:r>
    </w:p>
    <w:p w14:paraId="24023964">
      <w:pPr>
        <w:keepNext/>
        <w:keepLines/>
        <w:numPr>
          <w:ilvl w:val="1"/>
          <w:numId w:val="2"/>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92" w:name="_Toc256000057"/>
      <w:bookmarkStart w:id="93" w:name="_Toc24079"/>
      <w:bookmarkStart w:id="94" w:name="_Toc17283"/>
      <w:bookmarkStart w:id="95" w:name="_Toc22978"/>
      <w:bookmarkStart w:id="96" w:name="_Toc25995"/>
      <w:bookmarkStart w:id="97" w:name="_Toc23075"/>
      <w:r>
        <w:rPr>
          <w:rFonts w:hint="eastAsia" w:ascii="宋体" w:hAnsi="宋体" w:eastAsia="宋体" w:cs="宋体"/>
          <w:bCs/>
          <w:color w:val="auto"/>
          <w:sz w:val="21"/>
          <w:szCs w:val="21"/>
          <w:highlight w:val="none"/>
        </w:rPr>
        <w:t>统一云管对接与数据采集要求</w:t>
      </w:r>
      <w:bookmarkEnd w:id="92"/>
      <w:bookmarkEnd w:id="93"/>
      <w:bookmarkEnd w:id="94"/>
      <w:bookmarkEnd w:id="95"/>
      <w:bookmarkEnd w:id="96"/>
      <w:bookmarkEnd w:id="97"/>
    </w:p>
    <w:p w14:paraId="5719C35B">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98" w:name="_Toc9733"/>
      <w:bookmarkStart w:id="99" w:name="_Toc21592"/>
      <w:bookmarkStart w:id="100" w:name="_Toc22482"/>
      <w:bookmarkStart w:id="101" w:name="_Toc256000058"/>
      <w:bookmarkStart w:id="102" w:name="_Toc12399"/>
      <w:bookmarkStart w:id="103" w:name="_Toc29424"/>
      <w:r>
        <w:rPr>
          <w:rFonts w:hint="eastAsia" w:ascii="宋体" w:hAnsi="宋体" w:eastAsia="宋体" w:cs="宋体"/>
          <w:bCs/>
          <w:color w:val="auto"/>
          <w:sz w:val="21"/>
          <w:szCs w:val="21"/>
          <w:highlight w:val="none"/>
        </w:rPr>
        <w:t>统一云管与云服务商云管对接要求</w:t>
      </w:r>
      <w:bookmarkEnd w:id="98"/>
      <w:bookmarkEnd w:id="99"/>
      <w:bookmarkEnd w:id="100"/>
      <w:bookmarkEnd w:id="101"/>
      <w:bookmarkEnd w:id="102"/>
      <w:bookmarkEnd w:id="103"/>
    </w:p>
    <w:p w14:paraId="5CAB533D">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04" w:name="_Toc256000059"/>
      <w:bookmarkStart w:id="105" w:name="_Toc722"/>
      <w:bookmarkStart w:id="106" w:name="_Toc17568"/>
      <w:bookmarkStart w:id="107" w:name="_Toc12882"/>
      <w:bookmarkStart w:id="108" w:name="_Toc24856"/>
      <w:bookmarkStart w:id="109" w:name="_Toc20879"/>
      <w:r>
        <w:rPr>
          <w:rFonts w:hint="eastAsia" w:ascii="宋体" w:hAnsi="宋体" w:eastAsia="宋体" w:cs="宋体"/>
          <w:b/>
          <w:bCs/>
          <w:color w:val="auto"/>
          <w:sz w:val="21"/>
          <w:szCs w:val="21"/>
          <w:highlight w:val="none"/>
        </w:rPr>
        <w:t>接口标准要求</w:t>
      </w:r>
      <w:bookmarkEnd w:id="104"/>
      <w:bookmarkEnd w:id="105"/>
      <w:bookmarkEnd w:id="106"/>
      <w:bookmarkEnd w:id="107"/>
      <w:bookmarkEnd w:id="108"/>
      <w:bookmarkEnd w:id="109"/>
    </w:p>
    <w:p w14:paraId="46DC9353">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w:t>
      </w:r>
      <w:r>
        <w:rPr>
          <w:rFonts w:hint="eastAsia" w:ascii="宋体" w:hAnsi="宋体" w:eastAsia="宋体" w:cs="宋体"/>
          <w:color w:val="auto"/>
          <w:sz w:val="21"/>
          <w:szCs w:val="21"/>
          <w:highlight w:val="none"/>
          <w:lang w:val="en-US" w:eastAsia="zh-CN"/>
        </w:rPr>
        <w:t>需无条件配合与省级统一</w:t>
      </w:r>
      <w:r>
        <w:rPr>
          <w:rFonts w:hint="eastAsia" w:ascii="宋体" w:hAnsi="宋体" w:eastAsia="宋体" w:cs="宋体"/>
          <w:color w:val="auto"/>
          <w:sz w:val="21"/>
          <w:szCs w:val="21"/>
          <w:highlight w:val="none"/>
        </w:rPr>
        <w:t>云管平台</w:t>
      </w:r>
      <w:r>
        <w:rPr>
          <w:rFonts w:hint="eastAsia" w:ascii="宋体" w:hAnsi="宋体" w:eastAsia="宋体" w:cs="宋体"/>
          <w:color w:val="auto"/>
          <w:sz w:val="21"/>
          <w:szCs w:val="21"/>
          <w:highlight w:val="none"/>
          <w:lang w:val="en-US" w:eastAsia="zh-CN"/>
        </w:rPr>
        <w:t>对接，并提供适配服务。</w:t>
      </w:r>
    </w:p>
    <w:p w14:paraId="16AB2997">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10" w:name="_Toc14455"/>
      <w:bookmarkStart w:id="111" w:name="_Toc27411"/>
      <w:bookmarkStart w:id="112" w:name="_Toc31762"/>
      <w:bookmarkStart w:id="113" w:name="_Toc29032"/>
      <w:bookmarkStart w:id="114" w:name="_Toc256000060"/>
      <w:bookmarkStart w:id="115" w:name="_Toc32637"/>
      <w:r>
        <w:rPr>
          <w:rFonts w:hint="eastAsia" w:ascii="宋体" w:hAnsi="宋体" w:eastAsia="宋体" w:cs="宋体"/>
          <w:b/>
          <w:bCs/>
          <w:color w:val="auto"/>
          <w:sz w:val="21"/>
          <w:szCs w:val="21"/>
          <w:highlight w:val="none"/>
        </w:rPr>
        <w:t>采集接口要求</w:t>
      </w:r>
      <w:bookmarkEnd w:id="110"/>
      <w:bookmarkEnd w:id="111"/>
      <w:bookmarkEnd w:id="112"/>
      <w:bookmarkEnd w:id="113"/>
      <w:bookmarkEnd w:id="114"/>
      <w:bookmarkEnd w:id="115"/>
    </w:p>
    <w:p w14:paraId="3F8AC3AC">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为支撑计费复核、云服务商考核、资源分配、资源评估、资源统计等工作，云服务商云管平台的北向接口须提供以下接口数据：</w:t>
      </w:r>
    </w:p>
    <w:p w14:paraId="649CA535">
      <w:pPr>
        <w:spacing w:line="360" w:lineRule="auto"/>
        <w:ind w:left="48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（1）运营管理接口数据</w:t>
      </w:r>
    </w:p>
    <w:p w14:paraId="4FD0D3EA">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租户信息、区域信息、可用区信息，云服务列表、配额、租户账单等。</w:t>
      </w:r>
    </w:p>
    <w:p w14:paraId="4B5E7E46">
      <w:pPr>
        <w:spacing w:line="360" w:lineRule="auto"/>
        <w:ind w:left="48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（2）云资源接口数据</w:t>
      </w:r>
    </w:p>
    <w:p w14:paraId="1D343326">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计算类云资源：云主机信息、VPC信息、子网信息、网卡信息、弹性IP信息、安全组信息、宿主机信息、镜像信息、裸金属资源信息等。</w:t>
      </w:r>
    </w:p>
    <w:p w14:paraId="6EF3981D">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存储类云资源：云硬盘信息、快照信息、对象存储信息、文件存储信息、本地备份信息。</w:t>
      </w:r>
    </w:p>
    <w:p w14:paraId="256EEFF0">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云原生类云资源：微服务信息、容器信息。</w:t>
      </w:r>
    </w:p>
    <w:p w14:paraId="616690FA">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其他资源数据：数据库服务信息、数据仓库信息、中间件信息及负载均衡信息等。</w:t>
      </w:r>
    </w:p>
    <w:p w14:paraId="2680D8D9">
      <w:pPr>
        <w:spacing w:line="360" w:lineRule="auto"/>
        <w:ind w:left="48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（3）监控类接口数据（详见监控指标要求）</w:t>
      </w:r>
    </w:p>
    <w:p w14:paraId="16D8598D">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历史性能监控数据、准实时性能监控数据、资源池容量监控数据等。</w:t>
      </w:r>
    </w:p>
    <w:p w14:paraId="1F2A89DB">
      <w:pPr>
        <w:keepNext/>
        <w:keepLines/>
        <w:numPr>
          <w:ilvl w:val="3"/>
          <w:numId w:val="2"/>
        </w:numPr>
        <w:spacing w:after="156" w:afterLines="50" w:line="360" w:lineRule="auto"/>
        <w:contextualSpacing/>
        <w:outlineLvl w:val="3"/>
        <w:rPr>
          <w:rFonts w:hint="eastAsia" w:ascii="宋体" w:hAnsi="宋体" w:eastAsia="宋体" w:cs="宋体"/>
          <w:b/>
          <w:bCs/>
          <w:color w:val="auto"/>
          <w:sz w:val="21"/>
          <w:szCs w:val="21"/>
          <w:highlight w:val="none"/>
        </w:rPr>
      </w:pPr>
      <w:bookmarkStart w:id="116" w:name="_Toc10925"/>
      <w:bookmarkStart w:id="117" w:name="_Toc2276"/>
      <w:bookmarkStart w:id="118" w:name="_Toc28716"/>
      <w:bookmarkStart w:id="119" w:name="_Toc22823"/>
      <w:bookmarkStart w:id="120" w:name="_Toc256000061"/>
      <w:bookmarkStart w:id="121" w:name="_Toc6203"/>
      <w:r>
        <w:rPr>
          <w:rFonts w:hint="eastAsia" w:ascii="宋体" w:hAnsi="宋体" w:eastAsia="宋体" w:cs="宋体"/>
          <w:b/>
          <w:bCs/>
          <w:color w:val="auto"/>
          <w:sz w:val="21"/>
          <w:szCs w:val="21"/>
          <w:highlight w:val="none"/>
        </w:rPr>
        <w:t>监控指标要求</w:t>
      </w:r>
      <w:bookmarkEnd w:id="116"/>
      <w:bookmarkEnd w:id="117"/>
      <w:bookmarkEnd w:id="118"/>
      <w:bookmarkEnd w:id="119"/>
      <w:bookmarkEnd w:id="120"/>
      <w:bookmarkEnd w:id="121"/>
    </w:p>
    <w:p w14:paraId="74A9CE5C">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为支撑云服务故障发现、诊断、定责等事项，云服务商云管平台须提供以下监控指标接口数据：</w:t>
      </w:r>
    </w:p>
    <w:p w14:paraId="1F1EECD8">
      <w:pPr>
        <w:spacing w:line="360" w:lineRule="auto"/>
        <w:ind w:left="48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（1）基础资源监测数据</w:t>
      </w:r>
    </w:p>
    <w:p w14:paraId="4798780D">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计算资源（包括云主机和裸金属服务）监测数据：CPU使用率、内存使用率、磁盘使用率、磁盘IO读写次数、磁盘IO读写速率、网络收发量、网络使用率等。</w:t>
      </w:r>
    </w:p>
    <w:p w14:paraId="44D0C526">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存储资源监测数据：块存储监测数据（存储使用量、存储使用率、读写IOPS等），文件存储监测数据（读带宽、写带宽、使用容量等），对象存储监测数据（桶数量、桶容量、对象数量、请求成功率等）。</w:t>
      </w:r>
    </w:p>
    <w:p w14:paraId="1282D5CF">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网络资源监测数据：网络流量值、网络收发速率、丢包率、网络设备CPU利用率和内存利用率等。</w:t>
      </w:r>
    </w:p>
    <w:p w14:paraId="22398D3B">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本地备份监测数据：备份容量、备份数量、备份次数、备份方式等。</w:t>
      </w:r>
    </w:p>
    <w:p w14:paraId="31DE12B6">
      <w:pPr>
        <w:spacing w:line="360" w:lineRule="auto"/>
        <w:ind w:left="48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（2）平台资源监测数据</w:t>
      </w:r>
    </w:p>
    <w:p w14:paraId="0AE65FA7">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微服务监测数据：实例数量、CPU 使用率、内存使用率、磁盘空间使用率、网络速率等。</w:t>
      </w:r>
    </w:p>
    <w:p w14:paraId="6451CF74">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容器监测数据：运行时长、重启次数、健康状态、CPU使用率、内存使用率、网络速率等。</w:t>
      </w:r>
    </w:p>
    <w:p w14:paraId="5559117B">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数据库监测数据：连接数、网络流量、CPU使用率、内存使用率、磁盘利用率等。</w:t>
      </w:r>
    </w:p>
    <w:p w14:paraId="4F67ACC4">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数据仓库监测数据：CPU使用率、内存使用率、磁盘使用量、磁盘使用率等。</w:t>
      </w:r>
    </w:p>
    <w:p w14:paraId="7634D1F9">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中间件监测数据：网络连接数、网络收发流量、CPU负载、内存利用率等。</w:t>
      </w:r>
    </w:p>
    <w:p w14:paraId="74F49EBA">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22" w:name="_Toc17173"/>
      <w:bookmarkStart w:id="123" w:name="_Toc25763"/>
      <w:bookmarkStart w:id="124" w:name="_Toc3226"/>
      <w:bookmarkStart w:id="125" w:name="_Toc256000062"/>
      <w:bookmarkStart w:id="126" w:name="_Toc29900"/>
      <w:bookmarkStart w:id="127" w:name="_Toc10804"/>
      <w:r>
        <w:rPr>
          <w:rFonts w:hint="eastAsia" w:ascii="宋体" w:hAnsi="宋体" w:eastAsia="宋体" w:cs="宋体"/>
          <w:b/>
          <w:bCs/>
          <w:color w:val="auto"/>
          <w:sz w:val="21"/>
          <w:szCs w:val="21"/>
          <w:highlight w:val="none"/>
        </w:rPr>
        <w:t>云服务商云管接口性能要求</w:t>
      </w:r>
      <w:bookmarkEnd w:id="122"/>
      <w:bookmarkEnd w:id="123"/>
      <w:bookmarkEnd w:id="124"/>
      <w:bookmarkEnd w:id="125"/>
      <w:bookmarkEnd w:id="126"/>
      <w:bookmarkEnd w:id="127"/>
    </w:p>
    <w:p w14:paraId="2A014590">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为确保统一云管平台采集速度，云服务商云管平台提供的接口应当满足以下性能要求：</w:t>
      </w:r>
    </w:p>
    <w:p w14:paraId="1BDA5371">
      <w:pPr>
        <w:spacing w:line="360" w:lineRule="auto"/>
        <w:ind w:left="48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（1）接口吞吐量要求</w:t>
      </w:r>
    </w:p>
    <w:p w14:paraId="3F8CAB82">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云资源实例信息获取接口，应当支持每分钟≥60次请求，计量接口不低于每分钟30次请求，性能监控接口每分钟≥100次请求。</w:t>
      </w:r>
    </w:p>
    <w:p w14:paraId="786CA106">
      <w:pPr>
        <w:spacing w:line="360" w:lineRule="auto"/>
        <w:ind w:left="48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（2）响应时间要求</w:t>
      </w:r>
    </w:p>
    <w:p w14:paraId="2B65AC92">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系统负载低于50%时响应时间应当低于500毫秒，系统负载99.9%时，响应时间应当低于3000毫秒。</w:t>
      </w:r>
    </w:p>
    <w:p w14:paraId="52724D0F">
      <w:pPr>
        <w:spacing w:line="360" w:lineRule="auto"/>
        <w:ind w:left="48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（3）数据一致性要求</w:t>
      </w:r>
    </w:p>
    <w:p w14:paraId="6A5D26AF">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所有云资源查询接口应当保证数据强一致性。</w:t>
      </w:r>
    </w:p>
    <w:p w14:paraId="125EEB29">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（4）接口安全性要求</w:t>
      </w:r>
    </w:p>
    <w:p w14:paraId="2CD415A7">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对外提供的接口服务支持SSL及国密站点证书。</w:t>
      </w:r>
    </w:p>
    <w:p w14:paraId="4F9217CF">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128" w:name="_Toc21176"/>
      <w:bookmarkStart w:id="129" w:name="_Toc27674"/>
      <w:bookmarkStart w:id="130" w:name="_Toc256000065"/>
      <w:bookmarkStart w:id="131" w:name="_Toc14308"/>
      <w:bookmarkStart w:id="132" w:name="_Toc338"/>
      <w:bookmarkStart w:id="133" w:name="_Toc10553"/>
      <w:r>
        <w:rPr>
          <w:rFonts w:hint="eastAsia" w:ascii="宋体" w:hAnsi="宋体" w:eastAsia="宋体" w:cs="宋体"/>
          <w:bCs/>
          <w:color w:val="auto"/>
          <w:sz w:val="21"/>
          <w:szCs w:val="21"/>
          <w:highlight w:val="none"/>
        </w:rPr>
        <w:t>主机类服务监测数据直接采集要求</w:t>
      </w:r>
      <w:bookmarkEnd w:id="128"/>
      <w:bookmarkEnd w:id="129"/>
      <w:bookmarkEnd w:id="130"/>
      <w:bookmarkEnd w:id="131"/>
      <w:bookmarkEnd w:id="132"/>
      <w:bookmarkEnd w:id="133"/>
    </w:p>
    <w:p w14:paraId="6AD5F203">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增加监管数据来源的真实性，确保监管的公正性，统一云管对主机类服务（包括云主机和裸金属服务）监测数据除通过云服务商云管平台对接获取外，还需通过在主机内部署agent方式实现主机类监测数据直接采集。</w:t>
      </w:r>
    </w:p>
    <w:p w14:paraId="7ED82B45">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34" w:name="_Toc5931"/>
      <w:bookmarkStart w:id="135" w:name="_Toc256000066"/>
      <w:bookmarkStart w:id="136" w:name="_Toc11828"/>
      <w:bookmarkStart w:id="137" w:name="_Toc17008"/>
      <w:bookmarkStart w:id="138" w:name="_Toc7724"/>
      <w:r>
        <w:rPr>
          <w:rFonts w:hint="eastAsia" w:ascii="宋体" w:hAnsi="宋体" w:eastAsia="宋体" w:cs="宋体"/>
          <w:b/>
          <w:bCs/>
          <w:color w:val="auto"/>
          <w:sz w:val="21"/>
          <w:szCs w:val="21"/>
          <w:highlight w:val="none"/>
        </w:rPr>
        <w:t>Agent镜像预集成要求</w:t>
      </w:r>
      <w:bookmarkEnd w:id="134"/>
      <w:bookmarkEnd w:id="135"/>
      <w:bookmarkEnd w:id="136"/>
      <w:bookmarkEnd w:id="137"/>
      <w:bookmarkEnd w:id="138"/>
    </w:p>
    <w:p w14:paraId="2444D778">
      <w:p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为减轻规模部署监测数据采集的工作量，要求各云服务商云平台上的主机类镜像应支持将监控Agent进行集成，并通过镜像集成Agent安装包，下发主机类实例成功后自动开启Agent将监控数据进行上报。</w:t>
      </w:r>
    </w:p>
    <w:p w14:paraId="5B67026D">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139" w:name="_Toc24571"/>
      <w:bookmarkStart w:id="140" w:name="_Toc256000068"/>
      <w:bookmarkStart w:id="141" w:name="_Toc3710"/>
      <w:bookmarkStart w:id="142" w:name="_Toc32683"/>
      <w:bookmarkStart w:id="143" w:name="_Toc6393"/>
      <w:bookmarkStart w:id="144" w:name="_Toc11871"/>
      <w:r>
        <w:rPr>
          <w:rFonts w:hint="eastAsia" w:ascii="宋体" w:hAnsi="宋体" w:eastAsia="宋体" w:cs="宋体"/>
          <w:bCs/>
          <w:color w:val="auto"/>
          <w:sz w:val="21"/>
          <w:szCs w:val="21"/>
          <w:highlight w:val="none"/>
        </w:rPr>
        <w:t>其他要求</w:t>
      </w:r>
      <w:bookmarkEnd w:id="139"/>
      <w:bookmarkEnd w:id="140"/>
      <w:bookmarkEnd w:id="141"/>
      <w:bookmarkEnd w:id="142"/>
      <w:bookmarkEnd w:id="143"/>
      <w:bookmarkEnd w:id="144"/>
    </w:p>
    <w:p w14:paraId="369B103F">
      <w:pPr>
        <w:spacing w:line="360" w:lineRule="auto"/>
        <w:ind w:firstLine="420" w:firstLineChars="200"/>
        <w:contextualSpacing/>
        <w:rPr>
          <w:rFonts w:hint="eastAsia" w:ascii="宋体" w:hAnsi="宋体" w:eastAsia="宋体" w:cs="宋体"/>
          <w:b/>
          <w:bCs/>
          <w:color w:val="auto"/>
          <w:kern w:val="44"/>
          <w:sz w:val="21"/>
          <w:szCs w:val="21"/>
          <w:highlight w:val="none"/>
        </w:rPr>
      </w:pPr>
      <w:r>
        <w:rPr>
          <w:rFonts w:hint="eastAsia" w:ascii="宋体" w:hAnsi="宋体" w:eastAsia="宋体" w:cs="宋体"/>
          <w:color w:val="auto"/>
          <w:sz w:val="21"/>
          <w:szCs w:val="21"/>
          <w:highlight w:val="none"/>
        </w:rPr>
        <w:t>在服务期间，采购人因业务发展和监管需要，提出新的对接需求，云服务商应当无条件配合。</w:t>
      </w:r>
    </w:p>
    <w:p w14:paraId="26077798">
      <w:pPr>
        <w:keepNext/>
        <w:keepLines/>
        <w:numPr>
          <w:ilvl w:val="0"/>
          <w:numId w:val="2"/>
        </w:numPr>
        <w:spacing w:before="312" w:beforeLines="100" w:after="312" w:afterLines="100" w:line="360" w:lineRule="auto"/>
        <w:contextualSpacing/>
        <w:jc w:val="center"/>
        <w:outlineLvl w:val="0"/>
        <w:rPr>
          <w:rFonts w:hint="eastAsia" w:ascii="宋体" w:hAnsi="宋体" w:eastAsia="宋体" w:cs="宋体"/>
          <w:b/>
          <w:bCs/>
          <w:color w:val="auto"/>
          <w:kern w:val="44"/>
          <w:sz w:val="21"/>
          <w:szCs w:val="21"/>
          <w:highlight w:val="none"/>
        </w:rPr>
      </w:pPr>
      <w:bookmarkStart w:id="145" w:name="_Toc9614"/>
      <w:bookmarkStart w:id="146" w:name="_Toc20290"/>
      <w:bookmarkStart w:id="147" w:name="_Toc256000069"/>
      <w:bookmarkStart w:id="148" w:name="_Toc18505"/>
      <w:bookmarkStart w:id="149" w:name="_Toc25419"/>
      <w:bookmarkStart w:id="150" w:name="_Toc17576"/>
      <w:r>
        <w:rPr>
          <w:rFonts w:hint="eastAsia" w:ascii="宋体" w:hAnsi="宋体" w:eastAsia="宋体" w:cs="宋体"/>
          <w:b/>
          <w:bCs/>
          <w:color w:val="auto"/>
          <w:kern w:val="44"/>
          <w:sz w:val="21"/>
          <w:szCs w:val="21"/>
          <w:highlight w:val="none"/>
        </w:rPr>
        <w:t>云服务能力详细要求</w:t>
      </w:r>
      <w:bookmarkEnd w:id="145"/>
      <w:bookmarkEnd w:id="146"/>
      <w:bookmarkEnd w:id="147"/>
      <w:bookmarkEnd w:id="148"/>
      <w:bookmarkEnd w:id="149"/>
      <w:bookmarkEnd w:id="150"/>
    </w:p>
    <w:p w14:paraId="30AA5657">
      <w:pPr>
        <w:keepNext/>
        <w:keepLines/>
        <w:numPr>
          <w:ilvl w:val="1"/>
          <w:numId w:val="2"/>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151" w:name="_Toc18834"/>
      <w:bookmarkStart w:id="152" w:name="_Toc7462"/>
      <w:bookmarkStart w:id="153" w:name="_Toc161"/>
      <w:bookmarkStart w:id="154" w:name="_Toc17121"/>
      <w:bookmarkStart w:id="155" w:name="_Toc6778"/>
      <w:bookmarkStart w:id="156" w:name="_Toc256000070"/>
      <w:r>
        <w:rPr>
          <w:rFonts w:hint="eastAsia" w:ascii="宋体" w:hAnsi="宋体" w:eastAsia="宋体" w:cs="宋体"/>
          <w:bCs/>
          <w:color w:val="auto"/>
          <w:sz w:val="21"/>
          <w:szCs w:val="21"/>
          <w:highlight w:val="none"/>
        </w:rPr>
        <w:t>IaaS服务</w:t>
      </w:r>
      <w:bookmarkEnd w:id="151"/>
      <w:bookmarkEnd w:id="152"/>
      <w:bookmarkEnd w:id="153"/>
      <w:bookmarkEnd w:id="154"/>
      <w:bookmarkEnd w:id="155"/>
      <w:bookmarkEnd w:id="156"/>
    </w:p>
    <w:p w14:paraId="424B8B4B">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157" w:name="_Toc256000071"/>
      <w:bookmarkStart w:id="158" w:name="_Toc2151"/>
      <w:bookmarkStart w:id="159" w:name="_Toc28689"/>
      <w:bookmarkStart w:id="160" w:name="_Toc26927"/>
      <w:bookmarkStart w:id="161" w:name="_Toc29771"/>
      <w:bookmarkStart w:id="162" w:name="_Toc13046"/>
      <w:r>
        <w:rPr>
          <w:rFonts w:hint="eastAsia" w:ascii="宋体" w:hAnsi="宋体" w:eastAsia="宋体" w:cs="宋体"/>
          <w:bCs/>
          <w:color w:val="auto"/>
          <w:sz w:val="21"/>
          <w:szCs w:val="21"/>
          <w:highlight w:val="none"/>
        </w:rPr>
        <w:t>计算服务</w:t>
      </w:r>
      <w:bookmarkEnd w:id="157"/>
      <w:bookmarkEnd w:id="158"/>
      <w:bookmarkEnd w:id="159"/>
      <w:bookmarkEnd w:id="160"/>
      <w:bookmarkEnd w:id="161"/>
      <w:bookmarkEnd w:id="162"/>
    </w:p>
    <w:p w14:paraId="39ED6897">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63" w:name="_Toc5060"/>
      <w:bookmarkStart w:id="164" w:name="_Toc10699"/>
      <w:bookmarkStart w:id="165" w:name="_Toc18929"/>
      <w:bookmarkStart w:id="166" w:name="_Toc7060"/>
      <w:bookmarkStart w:id="167" w:name="_Toc9496"/>
      <w:bookmarkStart w:id="168" w:name="_Toc256000072"/>
      <w:r>
        <w:rPr>
          <w:rFonts w:hint="eastAsia" w:ascii="宋体" w:hAnsi="宋体" w:eastAsia="宋体" w:cs="宋体"/>
          <w:b/>
          <w:bCs/>
          <w:color w:val="auto"/>
          <w:sz w:val="21"/>
          <w:szCs w:val="21"/>
          <w:highlight w:val="none"/>
        </w:rPr>
        <w:t>弹性云主机服务</w:t>
      </w:r>
      <w:bookmarkEnd w:id="163"/>
      <w:bookmarkEnd w:id="164"/>
      <w:bookmarkEnd w:id="165"/>
      <w:bookmarkEnd w:id="166"/>
      <w:bookmarkEnd w:id="167"/>
      <w:bookmarkEnd w:id="168"/>
    </w:p>
    <w:p w14:paraId="1EC44136">
      <w:pPr>
        <w:numPr>
          <w:ilvl w:val="0"/>
          <w:numId w:val="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2B721C8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275B3E8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弹性云主机（又称弹性云服务器、云主机、云服务器、虚拟机、vm）是由vCPU、内存、操作系统、云硬盘组成的基础的计算组件。用户可以像使用自己的本地PC或物理服务器一样，在政务云上使用弹性云服务器。针对各委办局需要虚拟机部署的业务系统，要求平台提供可随时自动获取、可弹性伸缩的弹性云主机，实现服务自动申请、创建、删除等。弹性云主机可在分钟级内为用户迅速地提供虚拟机资源，并根据需求进行扩展和收缩，具备云主机在线（不停机）扩容的能力，为用户打造可靠、安全、灵活、高效的应用环境，确保服务持久稳定运行，提升运维效率。</w:t>
      </w:r>
    </w:p>
    <w:p w14:paraId="385093A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709C855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1）适用对vCPU、内存、硬盘空间和带宽等无特殊要求的通用型业务应用场景，如一般网站，Web应用，小型数据库等。</w:t>
      </w:r>
    </w:p>
    <w:p w14:paraId="3BE8B0E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2）适用大型网站，视频，图像较多的应用等高并发场景。</w:t>
      </w:r>
    </w:p>
    <w:p w14:paraId="2389D6F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3）适用自建数据库，大数据应用等高 IO 场景。</w:t>
      </w:r>
    </w:p>
    <w:p w14:paraId="21EDD882">
      <w:pPr>
        <w:pStyle w:val="5"/>
        <w:widowControl w:val="0"/>
        <w:spacing w:line="360" w:lineRule="auto"/>
        <w:ind w:firstLine="420" w:firstLineChars="200"/>
        <w:jc w:val="both"/>
        <w:rPr>
          <w:rStyle w:val="14"/>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4）适用对内存要求高，数据量大并且数据访问量大，高计算能力、高吞吐量等高计算场景</w:t>
      </w:r>
      <w:r>
        <w:rPr>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kern w:val="2"/>
          <w:sz w:val="21"/>
          <w:szCs w:val="21"/>
          <w:highlight w:val="none"/>
          <w:lang w:val="en-US" w:eastAsia="zh-CN" w:bidi="ar-SA"/>
        </w:rPr>
        <w:t>支持Hadoop分布式计算、海量日志处理、分布式文件系统和大型数据仓库等吞吐密集型应用场景。</w:t>
      </w:r>
    </w:p>
    <w:p w14:paraId="363C397E">
      <w:pPr>
        <w:numPr>
          <w:ilvl w:val="0"/>
          <w:numId w:val="0"/>
        </w:numPr>
        <w:spacing w:line="360" w:lineRule="auto"/>
        <w:ind w:left="0"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05B44551">
      <w:pPr>
        <w:pStyle w:val="5"/>
        <w:widowControl w:val="0"/>
        <w:spacing w:line="360" w:lineRule="auto"/>
        <w:ind w:firstLine="420" w:firstLineChars="200"/>
        <w:jc w:val="both"/>
        <w:rPr>
          <w:rStyle w:val="14"/>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（1）具备单个实例创建功能，单个实例要求包含虚拟化的CPU、内存、操作系统、网络配置、磁盘等基础组件，并支持实例分组动态扩</w:t>
      </w:r>
      <w:r>
        <w:rPr>
          <w:rFonts w:hint="eastAsia" w:ascii="宋体" w:hAnsi="宋体" w:eastAsia="宋体" w:cs="宋体"/>
          <w:color w:val="auto"/>
          <w:sz w:val="21"/>
          <w:szCs w:val="21"/>
          <w:highlight w:val="none"/>
          <w:lang w:val="en-US" w:eastAsia="zh-CN"/>
        </w:rPr>
        <w:t>缩</w:t>
      </w:r>
      <w:r>
        <w:rPr>
          <w:rFonts w:hint="eastAsia" w:ascii="宋体" w:hAnsi="宋体" w:eastAsia="宋体" w:cs="宋体"/>
          <w:color w:val="auto"/>
          <w:sz w:val="21"/>
          <w:szCs w:val="21"/>
          <w:highlight w:val="none"/>
        </w:rPr>
        <w:t>容的调度功能</w:t>
      </w:r>
      <w:r>
        <w:rPr>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kern w:val="2"/>
          <w:sz w:val="21"/>
          <w:szCs w:val="21"/>
          <w:highlight w:val="none"/>
          <w:lang w:val="en-US" w:eastAsia="zh-CN" w:bidi="ar-SA"/>
        </w:rPr>
        <w:t>即在业务运行状态下，可以动态调整CPU和内存等大小。</w:t>
      </w:r>
    </w:p>
    <w:p w14:paraId="220A267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（2）具备实例克隆、实例</w:t>
      </w:r>
      <w:r>
        <w:rPr>
          <w:rFonts w:hint="eastAsia" w:ascii="宋体" w:hAnsi="宋体" w:eastAsia="宋体" w:cs="宋体"/>
          <w:color w:val="auto"/>
          <w:sz w:val="21"/>
          <w:szCs w:val="21"/>
          <w:highlight w:val="none"/>
          <w:lang w:eastAsia="zh-CN"/>
        </w:rPr>
        <w:t>模板</w:t>
      </w:r>
      <w:r>
        <w:rPr>
          <w:rFonts w:hint="eastAsia" w:ascii="宋体" w:hAnsi="宋体" w:eastAsia="宋体" w:cs="宋体"/>
          <w:color w:val="auto"/>
          <w:sz w:val="21"/>
          <w:szCs w:val="21"/>
          <w:highlight w:val="none"/>
        </w:rPr>
        <w:t>等批量实例创建功能。</w:t>
      </w:r>
    </w:p>
    <w:p w14:paraId="71E14FD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）具备多类型、多规格云主机的选择和变更功能。</w:t>
      </w:r>
    </w:p>
    <w:p w14:paraId="71F1DF29">
      <w:pPr>
        <w:pStyle w:val="5"/>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（4）具备实例暂停/恢复功能。</w:t>
      </w:r>
    </w:p>
    <w:p w14:paraId="6D197CB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）具备多种类型云硬盘可选的功能，包括但不限于分布式存储、SAN存储。</w:t>
      </w:r>
    </w:p>
    <w:p w14:paraId="5AB47551">
      <w:pPr>
        <w:pStyle w:val="5"/>
        <w:widowControl w:val="0"/>
        <w:spacing w:line="360" w:lineRule="auto"/>
        <w:ind w:firstLine="420" w:firstLineChars="200"/>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（6）具备物理设备直通功能，通过KVM虚拟化技术可以将实例所在物理节点的物理设备直通给实例使用，比如物理机器的USB、本地磁盘、移动硬盘等。</w:t>
      </w:r>
    </w:p>
    <w:p w14:paraId="2935DAA8">
      <w:pPr>
        <w:pStyle w:val="5"/>
        <w:widowControl w:val="0"/>
        <w:spacing w:line="360" w:lineRule="auto"/>
        <w:ind w:firstLine="420" w:firstLineChars="200"/>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（7）具备多类型、多规格云主机的选择和变更功能。</w:t>
      </w:r>
    </w:p>
    <w:p w14:paraId="2DF36D1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）云主机应支持弹性配置调整，支持热迁移、宿主机</w:t>
      </w:r>
      <w:r>
        <w:rPr>
          <w:rFonts w:hint="eastAsia" w:ascii="宋体" w:hAnsi="宋体" w:eastAsia="宋体" w:cs="宋体"/>
          <w:color w:val="auto"/>
          <w:sz w:val="21"/>
          <w:szCs w:val="21"/>
          <w:highlight w:val="none"/>
          <w:lang w:val="en-US" w:eastAsia="zh-CN"/>
        </w:rPr>
        <w:t>集群支持HA</w:t>
      </w:r>
      <w:r>
        <w:rPr>
          <w:rFonts w:hint="eastAsia" w:ascii="宋体" w:hAnsi="宋体" w:eastAsia="宋体" w:cs="宋体"/>
          <w:color w:val="auto"/>
          <w:sz w:val="21"/>
          <w:szCs w:val="21"/>
          <w:highlight w:val="none"/>
        </w:rPr>
        <w:t>迁移，云服务器间</w:t>
      </w:r>
      <w:r>
        <w:rPr>
          <w:rFonts w:hint="eastAsia" w:ascii="宋体" w:hAnsi="宋体" w:eastAsia="宋体" w:cs="宋体"/>
          <w:color w:val="auto"/>
          <w:sz w:val="21"/>
          <w:szCs w:val="21"/>
          <w:highlight w:val="none"/>
          <w:lang w:eastAsia="zh-CN"/>
        </w:rPr>
        <w:t>须具备</w:t>
      </w:r>
      <w:r>
        <w:rPr>
          <w:rFonts w:hint="eastAsia" w:ascii="宋体" w:hAnsi="宋体" w:eastAsia="宋体" w:cs="宋体"/>
          <w:color w:val="auto"/>
          <w:sz w:val="21"/>
          <w:szCs w:val="21"/>
          <w:highlight w:val="none"/>
        </w:rPr>
        <w:t>访问隔离能力。</w:t>
      </w:r>
    </w:p>
    <w:p w14:paraId="0A66F10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）资源池具备超分能力，ARM架构和C86架构不同资源和服务类型设置不同的超分比，并能根据超分比计算不同规格的库存容量。</w:t>
      </w:r>
    </w:p>
    <w:p w14:paraId="172467D2">
      <w:pPr>
        <w:numPr>
          <w:ilvl w:val="0"/>
          <w:numId w:val="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5BE1504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（1）支持系统盘和数据盘按需选配；</w:t>
      </w:r>
    </w:p>
    <w:p w14:paraId="415CFFA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（2）支持TB级别以上大内存云主机。</w:t>
      </w:r>
    </w:p>
    <w:p w14:paraId="4C9929A1">
      <w:pPr>
        <w:numPr>
          <w:ilvl w:val="0"/>
          <w:numId w:val="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795C076C">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云服务商应能同时提供ARM架构弹性云主机和C86架构的弹性云主机服务，以vCPU/月和内存GB/月为计量单位，CPU类型包括：鲲鹏、飞腾、海光等。</w:t>
      </w:r>
    </w:p>
    <w:p w14:paraId="30824214">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69" w:name="_Toc256000073"/>
      <w:bookmarkStart w:id="170" w:name="_Toc3017"/>
      <w:bookmarkStart w:id="171" w:name="_Toc2394"/>
      <w:bookmarkStart w:id="172" w:name="_Toc138"/>
      <w:bookmarkStart w:id="173" w:name="_Toc2464"/>
      <w:bookmarkStart w:id="174" w:name="_Toc26391"/>
      <w:r>
        <w:rPr>
          <w:rFonts w:hint="eastAsia" w:ascii="宋体" w:hAnsi="宋体" w:eastAsia="宋体" w:cs="宋体"/>
          <w:b/>
          <w:bCs/>
          <w:color w:val="auto"/>
          <w:sz w:val="21"/>
          <w:szCs w:val="21"/>
          <w:highlight w:val="none"/>
        </w:rPr>
        <w:t>裸金属服务</w:t>
      </w:r>
      <w:bookmarkEnd w:id="169"/>
      <w:bookmarkEnd w:id="170"/>
      <w:bookmarkEnd w:id="171"/>
      <w:bookmarkEnd w:id="172"/>
      <w:bookmarkEnd w:id="173"/>
      <w:bookmarkEnd w:id="174"/>
    </w:p>
    <w:p w14:paraId="383BEA05">
      <w:pPr>
        <w:numPr>
          <w:ilvl w:val="0"/>
          <w:numId w:val="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691A4A95">
      <w:pPr>
        <w:numPr>
          <w:ilvl w:val="0"/>
          <w:numId w:val="7"/>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服务定义</w:t>
      </w:r>
    </w:p>
    <w:p w14:paraId="31DE94E9">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裸金属服务（Bare Metal Server，BMS）是一款兼具弹性云服务器和物理机性能的计算类服务，为用户提供专属的云上物理服务器，为核心数据库、关键业务系统、高性能计算、大数据等业务提供计算性能以及数据安全。租户可灵活申请，按需使用。</w:t>
      </w:r>
    </w:p>
    <w:p w14:paraId="43210CE0">
      <w:pPr>
        <w:numPr>
          <w:ilvl w:val="0"/>
          <w:numId w:val="7"/>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w:t>
      </w:r>
    </w:p>
    <w:p w14:paraId="22178784">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1）对服务器运算性能要求特别高，在单个服务器上配置最大计算能力的虚拟机依然不能满足业务应用的计算能力要求，裸金属服务器为用户提供独享的高性能的物理服务器，满足业务需求。</w:t>
      </w:r>
    </w:p>
    <w:p w14:paraId="404DE955">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2）现有软件许可加密方式不支持虚拟化的场景。</w:t>
      </w:r>
    </w:p>
    <w:p w14:paraId="59003F7F">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3）业务应用对服务器的板卡有特殊要求，且板卡不支持在虚拟化环境中运行。</w:t>
      </w:r>
    </w:p>
    <w:p w14:paraId="63DE7D22">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4）软件厂家不支持虚拟化部署的应用。</w:t>
      </w:r>
    </w:p>
    <w:p w14:paraId="3E0B8EDA">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5）高性能计算/人工智能场景等GPU高性能计算场景。</w:t>
      </w:r>
    </w:p>
    <w:p w14:paraId="262022FE">
      <w:pPr>
        <w:numPr>
          <w:ilvl w:val="0"/>
          <w:numId w:val="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4143EEBF">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（1）具备镜像服务功能：可以通过镜像创建裸金属服务器，提高裸金属服务器的部署效率；也可以将裸金属服务器转换为私有镜像，供个人使用，或者共享给他人。</w:t>
      </w:r>
    </w:p>
    <w:p w14:paraId="3A476762">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备虚拟私有云服务功能：为裸金属服务器提供一个逻辑上完全隔离的专有网络，您可以在VPC中定义安全组、VPN、IP地址段、带宽等网络特性。用户可以通过VPC方便地管理、配置内部网络，进行安全、快捷的网络变更。同时，用户可以自定义安全组内与组间裸金属服务器的访问规则，加强裸金属服务器的安全保护。</w:t>
      </w:r>
    </w:p>
    <w:p w14:paraId="52095E9B">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（3）可挂载云硬盘服务：可以将云硬盘挂载至裸金属服务器，并可以随时扩容云硬盘容量，通过云硬盘服务实现数据存储，并通过云硬盘备份服务实现数据的备份和恢复。</w:t>
      </w:r>
    </w:p>
    <w:p w14:paraId="7994A0AC">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（4）裸金属服务器在不同可用区中部署（可用区之间通过内网连接），部分可用区发生故障后不会影响同一区域内的其他可用区。</w:t>
      </w:r>
    </w:p>
    <w:p w14:paraId="5932102C">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（5）具备云监控功能，云监控是保持裸金属服务器可靠性、可用性和性能的重要部分，通过云监控，用户可以观察裸金属服务器资源。</w:t>
      </w:r>
    </w:p>
    <w:p w14:paraId="57DDFC03">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（6）云备份提供对云硬盘和裸金属服务器的备份保护服务，支持基于快照技术的备份服务，并支持利用备份数据恢复服务器和磁盘的数据。</w:t>
      </w:r>
    </w:p>
    <w:p w14:paraId="3C64CF94">
      <w:pPr>
        <w:numPr>
          <w:ilvl w:val="0"/>
          <w:numId w:val="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277FF611">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提供多种性能规格的ARM架构裸金属服务器和C86架构裸金属服务器，用户可根据业务需求在裸金属基础整机服务的基础上进行增配。</w:t>
      </w:r>
    </w:p>
    <w:p w14:paraId="64EED6E8">
      <w:pPr>
        <w:numPr>
          <w:ilvl w:val="0"/>
          <w:numId w:val="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026AF51B">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提供多种性能规格的ARM架构裸金属服务器和C86架构裸金属服务器，用户可根据业务需求在裸金属基础整机服务的基础上进行增配。</w:t>
      </w:r>
    </w:p>
    <w:p w14:paraId="1EEF30BF">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75" w:name="_Toc26834"/>
      <w:bookmarkStart w:id="176" w:name="_Toc6116"/>
      <w:bookmarkStart w:id="177" w:name="_Toc256000074"/>
      <w:bookmarkStart w:id="178" w:name="_Toc17732"/>
      <w:bookmarkStart w:id="179" w:name="_Toc13231"/>
      <w:bookmarkStart w:id="180" w:name="_Toc25105"/>
      <w:r>
        <w:rPr>
          <w:rFonts w:hint="eastAsia" w:ascii="宋体" w:hAnsi="宋体" w:eastAsia="宋体" w:cs="宋体"/>
          <w:b/>
          <w:bCs/>
          <w:color w:val="auto"/>
          <w:sz w:val="21"/>
          <w:szCs w:val="21"/>
          <w:highlight w:val="none"/>
        </w:rPr>
        <w:t>裸金属配件服务</w:t>
      </w:r>
      <w:bookmarkEnd w:id="175"/>
      <w:bookmarkEnd w:id="176"/>
      <w:bookmarkEnd w:id="177"/>
      <w:bookmarkEnd w:id="178"/>
      <w:bookmarkEnd w:id="179"/>
      <w:bookmarkEnd w:id="180"/>
    </w:p>
    <w:p w14:paraId="6BC1DE87">
      <w:pPr>
        <w:keepNext/>
        <w:keepLines/>
        <w:numPr>
          <w:ilvl w:val="4"/>
          <w:numId w:val="2"/>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内存</w:t>
      </w:r>
    </w:p>
    <w:p w14:paraId="70946CB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裸金属服务器配件服务，内存容量16GB，时钟频率DDR4-2933/3200或更高，硬件需与对应的ARM或C86裸金属服务器相适配。</w:t>
      </w:r>
    </w:p>
    <w:p w14:paraId="19BD734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以条16GB/月为计量单位。</w:t>
      </w:r>
    </w:p>
    <w:p w14:paraId="3429CAFF">
      <w:pPr>
        <w:keepNext/>
        <w:keepLines/>
        <w:numPr>
          <w:ilvl w:val="4"/>
          <w:numId w:val="2"/>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SAS硬盘</w:t>
      </w:r>
    </w:p>
    <w:p w14:paraId="3EFB414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裸金属服务器配件服务，2.5英寸企业级SAS HDD硬盘，容量300GB，10000RPM。硬件需与对应的ARM或C86裸金属服务器相适配。</w:t>
      </w:r>
    </w:p>
    <w:p w14:paraId="20D209B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以300G/月为计量单位。</w:t>
      </w:r>
    </w:p>
    <w:p w14:paraId="7D6C72A7">
      <w:pPr>
        <w:keepNext/>
        <w:keepLines/>
        <w:numPr>
          <w:ilvl w:val="4"/>
          <w:numId w:val="2"/>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SATA硬盘</w:t>
      </w:r>
    </w:p>
    <w:p w14:paraId="4DE552B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裸金属服务器配件服务，3.5英寸企业级SATA HDD硬盘，容量4TB，7.2K RPM。硬件需与对应的ARM或C86裸金属服务器相适配。</w:t>
      </w:r>
    </w:p>
    <w:p w14:paraId="28DC65E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以500G/月为计量单位（480G硬盘认可为500G 硬盘）。</w:t>
      </w:r>
    </w:p>
    <w:p w14:paraId="4136CE52">
      <w:pPr>
        <w:keepNext/>
        <w:keepLines/>
        <w:numPr>
          <w:ilvl w:val="4"/>
          <w:numId w:val="2"/>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eastAsia="zh-CN"/>
        </w:rPr>
        <w:t>SSD</w:t>
      </w:r>
      <w:r>
        <w:rPr>
          <w:rFonts w:hint="eastAsia" w:ascii="宋体" w:hAnsi="宋体" w:eastAsia="宋体" w:cs="宋体"/>
          <w:bCs/>
          <w:color w:val="auto"/>
          <w:sz w:val="21"/>
          <w:szCs w:val="21"/>
          <w:highlight w:val="none"/>
        </w:rPr>
        <w:t>硬盘</w:t>
      </w:r>
    </w:p>
    <w:p w14:paraId="5DD2EAA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裸金属服务器配件服务，2.5英寸企业级SATA </w:t>
      </w:r>
      <w:r>
        <w:rPr>
          <w:rFonts w:hint="eastAsia" w:ascii="宋体" w:hAnsi="宋体" w:cs="宋体"/>
          <w:color w:val="auto"/>
          <w:sz w:val="21"/>
          <w:szCs w:val="21"/>
          <w:highlight w:val="none"/>
          <w:lang w:eastAsia="zh-CN"/>
        </w:rPr>
        <w:t>SSD</w:t>
      </w:r>
      <w:r>
        <w:rPr>
          <w:rFonts w:hint="eastAsia" w:ascii="宋体" w:hAnsi="宋体" w:eastAsia="宋体" w:cs="宋体"/>
          <w:color w:val="auto"/>
          <w:sz w:val="21"/>
          <w:szCs w:val="21"/>
          <w:highlight w:val="none"/>
        </w:rPr>
        <w:t>硬盘，容量480G或500G，DWPD≥1。硬件需与对应的ARM或C86裸金属服务器相适配。</w:t>
      </w:r>
    </w:p>
    <w:p w14:paraId="21D5CF3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以块500G/月为计量单位（480G硬盘认可为500G 硬盘）。</w:t>
      </w:r>
    </w:p>
    <w:p w14:paraId="00C9B95F">
      <w:pPr>
        <w:keepNext/>
        <w:keepLines/>
        <w:numPr>
          <w:ilvl w:val="4"/>
          <w:numId w:val="2"/>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NVME硬盘</w:t>
      </w:r>
    </w:p>
    <w:p w14:paraId="70BA6E6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裸金属服务器配件服务，2.5英寸企业级NVME </w:t>
      </w:r>
      <w:r>
        <w:rPr>
          <w:rFonts w:hint="eastAsia" w:ascii="宋体" w:hAnsi="宋体" w:cs="宋体"/>
          <w:color w:val="auto"/>
          <w:sz w:val="21"/>
          <w:szCs w:val="21"/>
          <w:highlight w:val="none"/>
          <w:lang w:eastAsia="zh-CN"/>
        </w:rPr>
        <w:t>SSD</w:t>
      </w:r>
      <w:r>
        <w:rPr>
          <w:rFonts w:hint="eastAsia" w:ascii="宋体" w:hAnsi="宋体" w:eastAsia="宋体" w:cs="宋体"/>
          <w:color w:val="auto"/>
          <w:sz w:val="21"/>
          <w:szCs w:val="21"/>
          <w:highlight w:val="none"/>
        </w:rPr>
        <w:t>硬盘，容量960GB或1T，DWPD≥1。硬件需与对应的ARM或C86裸金属服务器相适配。</w:t>
      </w:r>
    </w:p>
    <w:p w14:paraId="740A556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以1T/月为计量单位（960G硬盘认可为1TB 硬盘）。</w:t>
      </w:r>
    </w:p>
    <w:p w14:paraId="6D94C60F">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81" w:name="_Toc21152"/>
      <w:bookmarkStart w:id="182" w:name="_Toc11868"/>
      <w:bookmarkStart w:id="183" w:name="_Toc10837"/>
      <w:bookmarkStart w:id="184" w:name="_Toc256000075"/>
      <w:bookmarkStart w:id="185" w:name="_Toc6198"/>
      <w:bookmarkStart w:id="186" w:name="_Toc2004"/>
      <w:r>
        <w:rPr>
          <w:rFonts w:hint="eastAsia" w:ascii="宋体" w:hAnsi="宋体" w:eastAsia="宋体" w:cs="宋体"/>
          <w:b/>
          <w:bCs/>
          <w:color w:val="auto"/>
          <w:sz w:val="21"/>
          <w:szCs w:val="21"/>
          <w:highlight w:val="none"/>
        </w:rPr>
        <w:t>智能算力服务</w:t>
      </w:r>
      <w:bookmarkEnd w:id="181"/>
      <w:bookmarkEnd w:id="182"/>
      <w:bookmarkEnd w:id="183"/>
      <w:bookmarkEnd w:id="184"/>
      <w:bookmarkEnd w:id="185"/>
      <w:bookmarkEnd w:id="186"/>
    </w:p>
    <w:p w14:paraId="1576D743">
      <w:pPr>
        <w:keepNext/>
        <w:keepLines/>
        <w:numPr>
          <w:ilvl w:val="4"/>
          <w:numId w:val="2"/>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AI推理卡（国产Ⅰ型）</w:t>
      </w:r>
    </w:p>
    <w:p w14:paraId="5121994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提供面向数据中心的人工智能推理加速卡，具有高性能高能效、模型覆盖面广、易部署、易运维等特点，可广泛应用于计算机视觉、语音识别与合成、自然语言处理、搜索与推荐等推理场景。</w:t>
      </w:r>
    </w:p>
    <w:p w14:paraId="394E317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AI推理卡智能算力≥140 TOPS INT 8 / 70 TFLOPS FP16，显存按需配置；部署的云主机或裸金属需另外单独采购。</w:t>
      </w:r>
    </w:p>
    <w:p w14:paraId="3EE1A27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云服务商需要根据业务需求提供满足技术路线的AI推理卡。</w:t>
      </w:r>
    </w:p>
    <w:p w14:paraId="65EBD8E7">
      <w:pPr>
        <w:keepNext/>
        <w:keepLines/>
        <w:numPr>
          <w:ilvl w:val="4"/>
          <w:numId w:val="2"/>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AI推理卡（国产Ⅱ型）</w:t>
      </w:r>
    </w:p>
    <w:p w14:paraId="6A2BFBC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提供面向数据中心的人工智能推理加速卡，具有高性能高能效、模型覆盖面广、易部署易运维等特点，可广泛应用于计算机视觉、语音识别与合成、自然语言处理、搜索与推荐等推理场景。</w:t>
      </w:r>
    </w:p>
    <w:p w14:paraId="05CC025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AI推理卡智能算力≥256TOPS INT 8 / 200 TFLOPS FP16，显存按需配置；部署的云主机或裸金属需另外单独采购。</w:t>
      </w:r>
    </w:p>
    <w:p w14:paraId="0B19904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云服务商需要根据业务需求提供满足技术路线的AI推理卡。</w:t>
      </w:r>
    </w:p>
    <w:p w14:paraId="4AEF8960">
      <w:pPr>
        <w:keepNext/>
        <w:keepLines/>
        <w:numPr>
          <w:ilvl w:val="4"/>
          <w:numId w:val="2"/>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AI模型训练算力服务</w:t>
      </w:r>
    </w:p>
    <w:p w14:paraId="572D8D12">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服务说明</w:t>
      </w:r>
    </w:p>
    <w:p w14:paraId="0E7FAAFC">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提供大模型训练算力服务，支持PyTorch等主流计算框架。</w:t>
      </w:r>
    </w:p>
    <w:p w14:paraId="5A97C0BC">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提供AI模型算力（国产）服务，具体规格如下：</w:t>
      </w:r>
    </w:p>
    <w:p w14:paraId="3703CC4D">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（1）AI模型算力（国产）服务1，算力100TFLOPS  FP16，计费单位：天。</w:t>
      </w:r>
    </w:p>
    <w:p w14:paraId="552C6488">
      <w:pPr>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（2）AI模型算力（国产）服务2，算力100TFLOPS  FP32，计费单位：天。</w:t>
      </w:r>
    </w:p>
    <w:p w14:paraId="0431DF8B">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187" w:name="_Toc256000076"/>
      <w:bookmarkStart w:id="188" w:name="_Toc4973"/>
      <w:bookmarkStart w:id="189" w:name="_Toc10180"/>
      <w:bookmarkStart w:id="190" w:name="_Toc9069"/>
      <w:bookmarkStart w:id="191" w:name="_Toc26794"/>
      <w:bookmarkStart w:id="192" w:name="_Toc25077"/>
      <w:r>
        <w:rPr>
          <w:rFonts w:hint="eastAsia" w:ascii="宋体" w:hAnsi="宋体" w:eastAsia="宋体" w:cs="宋体"/>
          <w:bCs/>
          <w:color w:val="auto"/>
          <w:sz w:val="21"/>
          <w:szCs w:val="21"/>
          <w:highlight w:val="none"/>
        </w:rPr>
        <w:t>存储服务</w:t>
      </w:r>
      <w:bookmarkEnd w:id="187"/>
      <w:bookmarkEnd w:id="188"/>
      <w:bookmarkEnd w:id="189"/>
      <w:bookmarkEnd w:id="190"/>
      <w:bookmarkEnd w:id="191"/>
      <w:bookmarkEnd w:id="192"/>
    </w:p>
    <w:p w14:paraId="3269BDC7">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93" w:name="_Toc2961"/>
      <w:bookmarkStart w:id="194" w:name="_Toc19766"/>
      <w:bookmarkStart w:id="195" w:name="_Toc1118"/>
      <w:bookmarkStart w:id="196" w:name="_Toc8288"/>
      <w:bookmarkStart w:id="197" w:name="_Toc28584"/>
      <w:bookmarkStart w:id="198" w:name="_Toc256000077"/>
      <w:r>
        <w:rPr>
          <w:rFonts w:hint="eastAsia" w:ascii="宋体" w:hAnsi="宋体" w:eastAsia="宋体" w:cs="宋体"/>
          <w:b/>
          <w:bCs/>
          <w:color w:val="auto"/>
          <w:sz w:val="21"/>
          <w:szCs w:val="21"/>
          <w:highlight w:val="none"/>
        </w:rPr>
        <w:t>块存储服务</w:t>
      </w:r>
      <w:bookmarkEnd w:id="193"/>
      <w:bookmarkEnd w:id="194"/>
      <w:bookmarkEnd w:id="195"/>
      <w:bookmarkEnd w:id="196"/>
      <w:bookmarkEnd w:id="197"/>
      <w:bookmarkEnd w:id="198"/>
    </w:p>
    <w:p w14:paraId="4108C5A3">
      <w:pPr>
        <w:numPr>
          <w:ilvl w:val="0"/>
          <w:numId w:val="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20FCD4F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块存储是为云</w:t>
      </w:r>
      <w:r>
        <w:rPr>
          <w:rFonts w:hint="eastAsia" w:ascii="宋体" w:hAnsi="宋体" w:eastAsia="宋体" w:cs="宋体"/>
          <w:color w:val="auto"/>
          <w:sz w:val="21"/>
          <w:szCs w:val="21"/>
          <w:highlight w:val="none"/>
          <w:lang w:val="en-US" w:eastAsia="zh-CN"/>
        </w:rPr>
        <w:t>租户</w:t>
      </w:r>
      <w:r>
        <w:rPr>
          <w:rFonts w:hint="eastAsia" w:ascii="宋体" w:hAnsi="宋体" w:eastAsia="宋体" w:cs="宋体"/>
          <w:color w:val="auto"/>
          <w:sz w:val="21"/>
          <w:szCs w:val="21"/>
          <w:highlight w:val="none"/>
        </w:rPr>
        <w:t>提供的弹性云硬盘服务，具有高性能、低延时、稳定可靠、弹性扩展、灵活易用等特性，可支持办公应用、开发测试、数据库，以及云主机镜像文件等场景。</w:t>
      </w:r>
    </w:p>
    <w:p w14:paraId="16A54F50">
      <w:pPr>
        <w:numPr>
          <w:ilvl w:val="0"/>
          <w:numId w:val="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1F9273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（1）硬件功能要求</w:t>
      </w:r>
    </w:p>
    <w:p w14:paraId="428FBFA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1）全对称分布式存储架构，无独立的元数据节点；</w:t>
      </w:r>
    </w:p>
    <w:p w14:paraId="34F69D8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2）支持超大规模集群部署，单集群支持扩展节点数不小于</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000个节点，节点增加性能呈线性增长。</w:t>
      </w:r>
    </w:p>
    <w:p w14:paraId="1390790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3）支持数据副本或纠删码冗余保护机制。</w:t>
      </w:r>
    </w:p>
    <w:p w14:paraId="0BCE9DE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（2）存储软件功能要求</w:t>
      </w:r>
    </w:p>
    <w:p w14:paraId="2812779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1）弹性挂载：云</w:t>
      </w:r>
      <w:r>
        <w:rPr>
          <w:rFonts w:hint="eastAsia" w:ascii="宋体" w:hAnsi="宋体" w:eastAsia="宋体" w:cs="宋体"/>
          <w:color w:val="auto"/>
          <w:sz w:val="21"/>
          <w:szCs w:val="21"/>
          <w:highlight w:val="none"/>
          <w:lang w:val="en-US" w:eastAsia="zh-CN"/>
        </w:rPr>
        <w:t>存储</w:t>
      </w:r>
      <w:r>
        <w:rPr>
          <w:rFonts w:hint="eastAsia" w:ascii="宋体" w:hAnsi="宋体" w:eastAsia="宋体" w:cs="宋体"/>
          <w:color w:val="auto"/>
          <w:sz w:val="21"/>
          <w:szCs w:val="21"/>
          <w:highlight w:val="none"/>
        </w:rPr>
        <w:t>为一个独立的块存储设备，可随时挂载至同可用区内的任意一台服务器上作为数据盘使用。使用完毕后也可以随时从服务器</w:t>
      </w:r>
      <w:r>
        <w:rPr>
          <w:rFonts w:hint="eastAsia" w:ascii="宋体" w:hAnsi="宋体" w:eastAsia="宋体" w:cs="宋体"/>
          <w:color w:val="auto"/>
          <w:sz w:val="21"/>
          <w:szCs w:val="21"/>
          <w:highlight w:val="none"/>
          <w:lang w:eastAsia="zh-CN"/>
        </w:rPr>
        <w:t>上</w:t>
      </w:r>
      <w:r>
        <w:rPr>
          <w:rFonts w:hint="eastAsia" w:ascii="宋体" w:hAnsi="宋体" w:eastAsia="宋体" w:cs="宋体"/>
          <w:color w:val="auto"/>
          <w:sz w:val="21"/>
          <w:szCs w:val="21"/>
          <w:highlight w:val="none"/>
        </w:rPr>
        <w:t>卸载，无需关闭服务器。</w:t>
      </w:r>
    </w:p>
    <w:p w14:paraId="2FF7762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2）弹性扩展：云</w:t>
      </w:r>
      <w:r>
        <w:rPr>
          <w:rFonts w:hint="eastAsia" w:ascii="宋体" w:hAnsi="宋体" w:eastAsia="宋体" w:cs="宋体"/>
          <w:color w:val="auto"/>
          <w:sz w:val="21"/>
          <w:szCs w:val="21"/>
          <w:highlight w:val="none"/>
          <w:lang w:val="en-US" w:eastAsia="zh-CN"/>
        </w:rPr>
        <w:t>存储</w:t>
      </w:r>
      <w:r>
        <w:rPr>
          <w:rFonts w:hint="eastAsia" w:ascii="宋体" w:hAnsi="宋体" w:eastAsia="宋体" w:cs="宋体"/>
          <w:color w:val="auto"/>
          <w:sz w:val="21"/>
          <w:szCs w:val="21"/>
          <w:highlight w:val="none"/>
        </w:rPr>
        <w:t>可以根据需要随时扩展存储容量，满足不断增长的业务对更多存储空间的需求。单盘容量可达到 32TB，存储容量可按需配置，支持弹性扩容，可满足您的业务日益增长的发展需要。</w:t>
      </w:r>
    </w:p>
    <w:p w14:paraId="4324514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3）快照备份：云</w:t>
      </w:r>
      <w:r>
        <w:rPr>
          <w:rFonts w:hint="eastAsia" w:ascii="宋体" w:hAnsi="宋体" w:eastAsia="宋体" w:cs="宋体"/>
          <w:color w:val="auto"/>
          <w:sz w:val="21"/>
          <w:szCs w:val="21"/>
          <w:highlight w:val="none"/>
          <w:lang w:val="en-US" w:eastAsia="zh-CN"/>
        </w:rPr>
        <w:t>存储</w:t>
      </w:r>
      <w:r>
        <w:rPr>
          <w:rFonts w:hint="eastAsia" w:ascii="宋体" w:hAnsi="宋体" w:eastAsia="宋体" w:cs="宋体"/>
          <w:color w:val="auto"/>
          <w:sz w:val="21"/>
          <w:szCs w:val="21"/>
          <w:highlight w:val="none"/>
        </w:rPr>
        <w:t>快照是云</w:t>
      </w:r>
      <w:r>
        <w:rPr>
          <w:rFonts w:hint="eastAsia" w:ascii="宋体" w:hAnsi="宋体" w:eastAsia="宋体" w:cs="宋体"/>
          <w:color w:val="auto"/>
          <w:sz w:val="21"/>
          <w:szCs w:val="21"/>
          <w:highlight w:val="none"/>
          <w:lang w:val="en-US" w:eastAsia="zh-CN"/>
        </w:rPr>
        <w:t>存储</w:t>
      </w:r>
      <w:r>
        <w:rPr>
          <w:rFonts w:hint="eastAsia" w:ascii="宋体" w:hAnsi="宋体" w:eastAsia="宋体" w:cs="宋体"/>
          <w:color w:val="auto"/>
          <w:sz w:val="21"/>
          <w:szCs w:val="21"/>
          <w:highlight w:val="none"/>
        </w:rPr>
        <w:t>数据在某个时刻的完整拷贝或镜像，是一种重要的数据容灾手段，当数据丢失时，可通过快照将数据</w:t>
      </w:r>
      <w:r>
        <w:rPr>
          <w:rFonts w:hint="eastAsia" w:ascii="宋体" w:hAnsi="宋体" w:eastAsia="宋体" w:cs="宋体"/>
          <w:color w:val="auto"/>
          <w:sz w:val="21"/>
          <w:szCs w:val="21"/>
          <w:highlight w:val="none"/>
          <w:lang w:eastAsia="zh-CN"/>
        </w:rPr>
        <w:t>完整地</w:t>
      </w:r>
      <w:r>
        <w:rPr>
          <w:rFonts w:hint="eastAsia" w:ascii="宋体" w:hAnsi="宋体" w:eastAsia="宋体" w:cs="宋体"/>
          <w:color w:val="auto"/>
          <w:sz w:val="21"/>
          <w:szCs w:val="21"/>
          <w:highlight w:val="none"/>
        </w:rPr>
        <w:t>恢复到快照时间点</w:t>
      </w:r>
      <w:r>
        <w:rPr>
          <w:rStyle w:val="14"/>
          <w:rFonts w:hint="eastAsia" w:ascii="宋体" w:hAnsi="宋体" w:eastAsia="宋体" w:cs="宋体"/>
          <w:color w:val="auto"/>
          <w:kern w:val="2"/>
          <w:sz w:val="21"/>
          <w:szCs w:val="21"/>
          <w:highlight w:val="none"/>
          <w:lang w:val="en-US" w:eastAsia="zh-CN" w:bidi="ar-SA"/>
        </w:rPr>
        <w:t>，至少支持15个备份点</w:t>
      </w:r>
      <w:r>
        <w:rPr>
          <w:rFonts w:hint="eastAsia" w:ascii="宋体" w:hAnsi="宋体" w:eastAsia="宋体" w:cs="宋体"/>
          <w:color w:val="auto"/>
          <w:sz w:val="21"/>
          <w:szCs w:val="21"/>
          <w:highlight w:val="none"/>
        </w:rPr>
        <w:t>。</w:t>
      </w:r>
    </w:p>
    <w:p w14:paraId="63314CE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4）共享云硬盘：共享云</w:t>
      </w:r>
      <w:r>
        <w:rPr>
          <w:rFonts w:hint="eastAsia" w:ascii="宋体" w:hAnsi="宋体" w:eastAsia="宋体" w:cs="宋体"/>
          <w:color w:val="auto"/>
          <w:sz w:val="21"/>
          <w:szCs w:val="21"/>
          <w:highlight w:val="none"/>
          <w:lang w:val="en-US" w:eastAsia="zh-CN"/>
        </w:rPr>
        <w:t>存储</w:t>
      </w:r>
      <w:r>
        <w:rPr>
          <w:rFonts w:hint="eastAsia" w:ascii="宋体" w:hAnsi="宋体" w:eastAsia="宋体" w:cs="宋体"/>
          <w:color w:val="auto"/>
          <w:sz w:val="21"/>
          <w:szCs w:val="21"/>
          <w:highlight w:val="none"/>
        </w:rPr>
        <w:t>是一种支持多个服务器并发读写访问的数据块级存储设备，具备多挂载点、高并发性、高性能、高可靠性等特点。主要应用于需要支持集群、HA（High Available，指高可用集群）能力的关键企业应用场景，多个服务器可同时访问一个共享云硬盘。</w:t>
      </w:r>
    </w:p>
    <w:p w14:paraId="79ED51D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5）OpenAPI：支持通过 OpenAPI 管理云硬盘，包括云硬盘开通、挂载、卸载等。</w:t>
      </w:r>
    </w:p>
    <w:p w14:paraId="1CE24455">
      <w:pPr>
        <w:numPr>
          <w:ilvl w:val="0"/>
          <w:numId w:val="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22CF3F4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（1）普通IO块存储：云硬盘最大IOPS≥2000，最大吞吐量为60MB/S，最高延迟为12ms，适用于大容量、读写速率中等、事务性处理较少的应用场景。计量单位：GB/月。</w:t>
      </w:r>
    </w:p>
    <w:p w14:paraId="1603405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（2）高IO块存储：云硬盘最大IOPS≥5000，最大吞吐量为150MB/S，最高延迟为5ms，适用于主流的高性能、高可靠应用场景。计量单位：GB/月。</w:t>
      </w:r>
    </w:p>
    <w:p w14:paraId="43B9D94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（3）超高IO块存储：云硬盘最大IOPS≥25000，最大吞吐量为300MB/S，最高延迟为2ms，适用于超高IO、超大吞吐量的读写密集型应用场景。</w:t>
      </w:r>
    </w:p>
    <w:p w14:paraId="0B778E86">
      <w:pPr>
        <w:numPr>
          <w:ilvl w:val="0"/>
          <w:numId w:val="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4CB0805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（1）云</w:t>
      </w:r>
      <w:r>
        <w:rPr>
          <w:rFonts w:hint="eastAsia" w:ascii="宋体" w:hAnsi="宋体" w:eastAsia="宋体" w:cs="宋体"/>
          <w:color w:val="auto"/>
          <w:sz w:val="21"/>
          <w:szCs w:val="21"/>
          <w:highlight w:val="none"/>
          <w:lang w:val="en-US" w:eastAsia="zh-CN"/>
        </w:rPr>
        <w:t>存储</w:t>
      </w:r>
      <w:r>
        <w:rPr>
          <w:rFonts w:hint="eastAsia" w:ascii="宋体" w:hAnsi="宋体" w:eastAsia="宋体" w:cs="宋体"/>
          <w:color w:val="auto"/>
          <w:sz w:val="21"/>
          <w:szCs w:val="21"/>
          <w:highlight w:val="none"/>
        </w:rPr>
        <w:t>采用多种容灾备份技术，同时确保分布式存储在不同硬件设备中，避免硬件故障造成的数据丢失，保障数据的安全可靠。</w:t>
      </w:r>
    </w:p>
    <w:p w14:paraId="277BDDF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（2）支持随时备份，快照方式保存数据，避免因误操作、应用异常、黑客攻击带来的数据丢失。</w:t>
      </w:r>
    </w:p>
    <w:p w14:paraId="581C4A6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（3）云</w:t>
      </w:r>
      <w:r>
        <w:rPr>
          <w:rFonts w:hint="eastAsia" w:ascii="宋体" w:hAnsi="宋体" w:eastAsia="宋体" w:cs="宋体"/>
          <w:color w:val="auto"/>
          <w:sz w:val="21"/>
          <w:szCs w:val="21"/>
          <w:highlight w:val="none"/>
          <w:lang w:val="en-US" w:eastAsia="zh-CN"/>
        </w:rPr>
        <w:t>存储</w:t>
      </w:r>
      <w:r>
        <w:rPr>
          <w:rFonts w:hint="eastAsia" w:ascii="宋体" w:hAnsi="宋体" w:eastAsia="宋体" w:cs="宋体"/>
          <w:color w:val="auto"/>
          <w:sz w:val="21"/>
          <w:szCs w:val="21"/>
          <w:highlight w:val="none"/>
        </w:rPr>
        <w:t>可通过控制台即可实现云盘的创建、扩容、挂载、卸载、删除等操作，简单易用，节省实施和运维成本。</w:t>
      </w:r>
    </w:p>
    <w:p w14:paraId="1AFD5198">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199" w:name="_Toc13305"/>
      <w:bookmarkStart w:id="200" w:name="_Toc256000078"/>
      <w:bookmarkStart w:id="201" w:name="_Toc21185"/>
      <w:bookmarkStart w:id="202" w:name="_Toc22092"/>
      <w:bookmarkStart w:id="203" w:name="_Toc28077"/>
      <w:bookmarkStart w:id="204" w:name="_Toc21017"/>
      <w:r>
        <w:rPr>
          <w:rFonts w:hint="eastAsia" w:ascii="宋体" w:hAnsi="宋体" w:eastAsia="宋体" w:cs="宋体"/>
          <w:b/>
          <w:bCs/>
          <w:color w:val="auto"/>
          <w:sz w:val="21"/>
          <w:szCs w:val="21"/>
          <w:highlight w:val="none"/>
        </w:rPr>
        <w:t>文件存储服务</w:t>
      </w:r>
      <w:bookmarkEnd w:id="199"/>
      <w:bookmarkEnd w:id="200"/>
      <w:bookmarkEnd w:id="201"/>
      <w:bookmarkEnd w:id="202"/>
      <w:bookmarkEnd w:id="203"/>
      <w:bookmarkEnd w:id="204"/>
    </w:p>
    <w:p w14:paraId="288F676B">
      <w:pPr>
        <w:numPr>
          <w:ilvl w:val="0"/>
          <w:numId w:val="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6B1F21A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文件存储是一种为云主机提供可扩展的共享文件存储服务，提供标准的文件访问协议，现有应用无需任何修改即可挂载使用，适用于内容管理、企业办公文件共享以及媒体处理等场景。</w:t>
      </w:r>
    </w:p>
    <w:p w14:paraId="3C6B8FE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应用场景：HPC、文件共享、内容管理和 Web 服务、高性能网站、大数据和分析应用程序、日志存储、DevOps等场景。</w:t>
      </w:r>
    </w:p>
    <w:p w14:paraId="08171DC0">
      <w:pPr>
        <w:numPr>
          <w:ilvl w:val="0"/>
          <w:numId w:val="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217EEB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（1）硬件功能要求</w:t>
      </w:r>
    </w:p>
    <w:p w14:paraId="015F55E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1）存储协议支持：支持 NFS、CIFS 等存储接口，满足各类场景的文件存储访问需求。 </w:t>
      </w:r>
    </w:p>
    <w:p w14:paraId="0486505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2）数据冗余保护：文件存储后台采用副本冗余或纠删码配置保护，确保每份数据的冗余存放到不同节点。</w:t>
      </w:r>
    </w:p>
    <w:p w14:paraId="5BC8315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3）分布式架构：文件存储采用去中心化的分布式集群架构，通过动态扩展节点，可以实现容量与性能的线性增长。  </w:t>
      </w:r>
    </w:p>
    <w:p w14:paraId="495DDA2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4）高级数据功能：文件存储集成目录/用户配额限制等高级数据功能，可以有效对数据的安全性、容量控制、性能加速以及生命周期管理提供有力支持。</w:t>
      </w:r>
    </w:p>
    <w:p w14:paraId="1CD5B8B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（2）存储软件功能要求</w:t>
      </w:r>
    </w:p>
    <w:p w14:paraId="3240032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1）基础管理：用户通过云管平台界面可实现对文件系统的管理，支持文件系统的创建、挂载、扩容/缩容、卸载、删除、管理等全生命周期过程。</w:t>
      </w:r>
    </w:p>
    <w:p w14:paraId="4CBD83F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2）挂载协议：多台云主机实例可共享挂载同一个文件系统，支持NFS</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FTP</w:t>
      </w:r>
      <w:r>
        <w:rPr>
          <w:rFonts w:hint="eastAsia" w:ascii="宋体" w:hAnsi="宋体" w:eastAsia="宋体" w:cs="宋体"/>
          <w:color w:val="auto"/>
          <w:sz w:val="21"/>
          <w:szCs w:val="21"/>
          <w:highlight w:val="none"/>
        </w:rPr>
        <w:t>和CIFS协议。</w:t>
      </w:r>
    </w:p>
    <w:p w14:paraId="568D618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3）详情展示：可以通过云平台用户管理界面查看已申请的文件系统的创建时间、容量大小、挂载路径、状态、名称、文件数统计等信息。</w:t>
      </w:r>
    </w:p>
    <w:p w14:paraId="044DB19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4）配额管理：支持用户设置配额特性，配额包括容量配额（最小单位：GB）或文件数配额，可为用户监控存储容量或文件数量的使用情况。</w:t>
      </w:r>
    </w:p>
    <w:p w14:paraId="085A9D2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5）安全管理：支持租户隔离和访问控制（ACL）。</w:t>
      </w:r>
    </w:p>
    <w:p w14:paraId="55639437">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6）文件快照：配置对任意目录层级打快照的功能，并支持对目录以及该目录下的子目录同时打快照，定时快照间隔最短支持15分钟，支持快照数≥20000个。支持快照重命名功能，支持快照点任意文件数据恢复。</w:t>
      </w:r>
    </w:p>
    <w:p w14:paraId="313AEDF5">
      <w:pPr>
        <w:numPr>
          <w:ilvl w:val="0"/>
          <w:numId w:val="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107621F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文件存储集群软件、硬件架构均采用全冗余部署架构，保障数据持久达到 99.999% 的高可靠性。 </w:t>
      </w:r>
    </w:p>
    <w:p w14:paraId="0BB8BEBB">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205" w:name="_Toc256000079"/>
      <w:bookmarkStart w:id="206" w:name="_Toc5328"/>
      <w:bookmarkStart w:id="207" w:name="_Toc18147"/>
      <w:bookmarkStart w:id="208" w:name="_Toc12211"/>
      <w:bookmarkStart w:id="209" w:name="_Toc23993"/>
      <w:bookmarkStart w:id="210" w:name="_Toc13825"/>
      <w:r>
        <w:rPr>
          <w:rFonts w:hint="eastAsia" w:ascii="宋体" w:hAnsi="宋体" w:eastAsia="宋体" w:cs="宋体"/>
          <w:b/>
          <w:bCs/>
          <w:color w:val="auto"/>
          <w:sz w:val="21"/>
          <w:szCs w:val="21"/>
          <w:highlight w:val="none"/>
        </w:rPr>
        <w:t>对象存储服务</w:t>
      </w:r>
      <w:bookmarkEnd w:id="205"/>
      <w:bookmarkEnd w:id="206"/>
      <w:bookmarkEnd w:id="207"/>
      <w:bookmarkEnd w:id="208"/>
      <w:bookmarkEnd w:id="209"/>
      <w:bookmarkEnd w:id="210"/>
    </w:p>
    <w:p w14:paraId="65E9AA86">
      <w:pPr>
        <w:numPr>
          <w:ilvl w:val="0"/>
          <w:numId w:val="1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22D606D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对象存储服务是一种基于对象的分布式存储服务，提供海量、高可靠、低成本和高安全的数据存储能力，适用于存储任意类型的数据文件。</w:t>
      </w:r>
    </w:p>
    <w:p w14:paraId="16007E6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应用场景：海量存储、动/静文件分离、图片在线处理场景。</w:t>
      </w:r>
    </w:p>
    <w:p w14:paraId="1FEBD962">
      <w:pPr>
        <w:numPr>
          <w:ilvl w:val="0"/>
          <w:numId w:val="1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086F24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（1）采用分布式存储架构，无单点故障。</w:t>
      </w:r>
    </w:p>
    <w:p w14:paraId="5809E04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（2）支持超大规模集群部署，单集群支持扩展节点数不小于</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000个节点，节点增加性能呈线性增长。</w:t>
      </w:r>
    </w:p>
    <w:p w14:paraId="08154B4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（3）支持数据副本或纠删码冗余保护机制。</w:t>
      </w:r>
    </w:p>
    <w:p w14:paraId="23B1423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（4）支持多租户特性提供基于租户粒度的统一资源管理，以租户为单位分配和管理资源。</w:t>
      </w:r>
    </w:p>
    <w:p w14:paraId="3A15B88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（5）支持桶生命周期管理功能</w:t>
      </w:r>
    </w:p>
    <w:p w14:paraId="46EF69E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1）桶和对象管理：支持对象的简单上传/表单上传/下载/删除/列举/复制，获取对象的元数据、创建多段上传任务。 </w:t>
      </w:r>
    </w:p>
    <w:p w14:paraId="710450B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2）支持追加上传功能。可以在对象尾部追加新增数据。 </w:t>
      </w:r>
    </w:p>
    <w:p w14:paraId="790DCBC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3）支持列举桶、创建桶、删除桶、列举桶内对象、获取桶的元数据。 </w:t>
      </w:r>
    </w:p>
    <w:p w14:paraId="3D9E6C0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4）支持生命周期管理，定义和管理桶内所有对象或对象的某个子集的生命周期。</w:t>
      </w:r>
    </w:p>
    <w:p w14:paraId="00A970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5）支持一个桶内所有对象或按条件匹配的对象在指定时间后自动删除。</w:t>
      </w:r>
    </w:p>
    <w:p w14:paraId="63566E86">
      <w:pPr>
        <w:spacing w:line="360" w:lineRule="auto"/>
        <w:ind w:firstLine="420" w:firstLineChars="200"/>
        <w:rPr>
          <w:rFonts w:hint="eastAsia" w:ascii="宋体" w:hAnsi="宋体" w:eastAsia="宋体" w:cs="宋体"/>
          <w:color w:val="auto"/>
          <w:sz w:val="21"/>
          <w:szCs w:val="21"/>
          <w:highlight w:val="none"/>
        </w:rPr>
      </w:pPr>
      <w:r>
        <w:rPr>
          <w:rStyle w:val="14"/>
          <w:rFonts w:hint="eastAsia" w:ascii="宋体" w:hAnsi="宋体" w:eastAsia="宋体" w:cs="宋体"/>
          <w:color w:val="auto"/>
          <w:kern w:val="2"/>
          <w:sz w:val="21"/>
          <w:szCs w:val="21"/>
          <w:highlight w:val="none"/>
          <w:lang w:val="en-US" w:eastAsia="zh-CN" w:bidi="ar-SA"/>
        </w:rPr>
        <w:t>6）为降低数据长期保存成本，对象存储应提供数据压缩能力，支持以桶为单位配置数据压缩策略，可选择节省容量优先和性能优先两种策略，并支持查看计算压缩的数据量和压缩率，提供具备CNAS资质的评测机构签字盖章的测试报告。</w:t>
      </w:r>
    </w:p>
    <w:p w14:paraId="1787142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（6）支持 HTTPS 安全传输或支持数据 SSL 加密传输。 </w:t>
      </w:r>
    </w:p>
    <w:p w14:paraId="616AC6C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（7）支持跨域访问，提供日志记录功能，可追查访问来源。 </w:t>
      </w:r>
    </w:p>
    <w:p w14:paraId="7141E35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Style w:val="14"/>
          <w:rFonts w:hint="eastAsia" w:ascii="宋体" w:hAnsi="宋体" w:eastAsia="宋体" w:cs="宋体"/>
          <w:color w:val="auto"/>
          <w:kern w:val="2"/>
          <w:sz w:val="21"/>
          <w:szCs w:val="21"/>
          <w:highlight w:val="none"/>
          <w:lang w:val="en-US" w:eastAsia="zh-CN" w:bidi="ar-SA"/>
        </w:rPr>
        <w:t>支持防盗链功能，提供黑白名单机制，</w:t>
      </w:r>
      <w:r>
        <w:rPr>
          <w:rFonts w:hint="eastAsia" w:ascii="宋体" w:hAnsi="宋体" w:eastAsia="宋体" w:cs="宋体"/>
          <w:color w:val="auto"/>
          <w:sz w:val="21"/>
          <w:szCs w:val="21"/>
          <w:highlight w:val="none"/>
        </w:rPr>
        <w:t>支持</w:t>
      </w:r>
      <w:r>
        <w:rPr>
          <w:rStyle w:val="14"/>
          <w:rFonts w:hint="eastAsia" w:ascii="宋体" w:hAnsi="宋体" w:eastAsia="宋体" w:cs="宋体"/>
          <w:color w:val="auto"/>
          <w:kern w:val="2"/>
          <w:sz w:val="21"/>
          <w:szCs w:val="21"/>
          <w:highlight w:val="none"/>
          <w:lang w:val="en-US" w:eastAsia="zh-CN" w:bidi="ar-SA"/>
        </w:rPr>
        <w:t>用户访问权限设置，支持密钥访问，</w:t>
      </w:r>
      <w:r>
        <w:rPr>
          <w:rFonts w:hint="eastAsia" w:ascii="宋体" w:hAnsi="宋体" w:eastAsia="宋体" w:cs="宋体"/>
          <w:color w:val="auto"/>
          <w:sz w:val="21"/>
          <w:szCs w:val="21"/>
          <w:highlight w:val="none"/>
        </w:rPr>
        <w:t>约束请求者来源，避免资源被外部网站非法盗用。</w:t>
      </w:r>
    </w:p>
    <w:p w14:paraId="657ED5E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（9）支持设置容量配额和对象数量限制。</w:t>
      </w:r>
    </w:p>
    <w:p w14:paraId="5138B05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（10）支持多版本功能。 </w:t>
      </w:r>
    </w:p>
    <w:p w14:paraId="745E1A1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（11）支持大文件的分片并发上传和下载，支持断点续传。 </w:t>
      </w:r>
    </w:p>
    <w:p w14:paraId="3CA82C4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（12）提供权限控制 ACL（Access Control List），可以在创建桶时设置相应的权限，也可以在创建之后修改。 </w:t>
      </w:r>
    </w:p>
    <w:p w14:paraId="32035C2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（13）支持桶和用户的自粒度策略控制，支持自定义策略，可以对用户，资源，动作，条件等进行细化的策略定义。 </w:t>
      </w:r>
    </w:p>
    <w:p w14:paraId="556E0F21">
      <w:pPr>
        <w:numPr>
          <w:ilvl w:val="0"/>
          <w:numId w:val="1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0D571F6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容量配额设置要合理，对象配额和IOPS要匹配，不能影响读写性能。</w:t>
      </w:r>
    </w:p>
    <w:p w14:paraId="3A7169C5">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211" w:name="_Toc17374"/>
      <w:bookmarkStart w:id="212" w:name="_Toc24845"/>
      <w:bookmarkStart w:id="213" w:name="_Toc26400"/>
      <w:bookmarkStart w:id="214" w:name="_Toc23996"/>
      <w:bookmarkStart w:id="215" w:name="_Toc256000080"/>
      <w:bookmarkStart w:id="216" w:name="_Toc26433"/>
      <w:r>
        <w:rPr>
          <w:rFonts w:hint="eastAsia" w:ascii="宋体" w:hAnsi="宋体" w:eastAsia="宋体" w:cs="宋体"/>
          <w:b/>
          <w:bCs/>
          <w:color w:val="auto"/>
          <w:sz w:val="21"/>
          <w:szCs w:val="21"/>
          <w:highlight w:val="none"/>
        </w:rPr>
        <w:t>归档存储服务</w:t>
      </w:r>
      <w:bookmarkEnd w:id="211"/>
      <w:bookmarkEnd w:id="212"/>
      <w:bookmarkEnd w:id="213"/>
      <w:bookmarkEnd w:id="214"/>
      <w:bookmarkEnd w:id="215"/>
      <w:bookmarkEnd w:id="216"/>
    </w:p>
    <w:p w14:paraId="75E65D73">
      <w:pPr>
        <w:numPr>
          <w:ilvl w:val="0"/>
          <w:numId w:val="1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65F9AD7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指在政务云环境下，将政府机构中不再经常使用的数据（如历史文档、旧系统数据、不常访问的数据库等）归档到专门的归档存储服务中，进行长期保存和管理。这种服务旨在优化政府机构的数据存储结构，提高数据访问效率，降低存储成本，同时确保数据的安全性和合规性。</w:t>
      </w:r>
    </w:p>
    <w:p w14:paraId="381E889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针对数据由于法规要求、历史记录、审计需求或其他业务原因而需要长期保存的场景，提供数据归档能力，将需要离线归档的文件、数据库、云主机等类型备份数据进行离线冷备份服务到磁带、蓝光、硬盘等归档介质中，实现数据长期归档保存，同时满足合规性需求等。</w:t>
      </w:r>
    </w:p>
    <w:p w14:paraId="1A361C5F">
      <w:pPr>
        <w:numPr>
          <w:ilvl w:val="0"/>
          <w:numId w:val="1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21DE0BA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具备与本地备份系统的适配能力，利用本地备份系统的归档技术能力与归档存储介质通过CIFS/SMB、NFS或S3等协议进行连接，备份系统可正常对归档存储介质进行访问、读写。</w:t>
      </w:r>
    </w:p>
    <w:p w14:paraId="210F4BC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备份系统通过自动化的计划任务，利用备份系统的归档技术，将需要归档的文件归档到归档存储介质中。</w:t>
      </w:r>
    </w:p>
    <w:p w14:paraId="5EA6697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（3）归档存储</w:t>
      </w:r>
      <w:r>
        <w:rPr>
          <w:rFonts w:hint="eastAsia" w:ascii="宋体" w:hAnsi="宋体" w:eastAsia="宋体" w:cs="宋体"/>
          <w:color w:val="auto"/>
          <w:sz w:val="21"/>
          <w:szCs w:val="21"/>
          <w:highlight w:val="none"/>
          <w:lang w:eastAsia="zh-CN"/>
        </w:rPr>
        <w:t>须具备</w:t>
      </w:r>
      <w:r>
        <w:rPr>
          <w:rFonts w:hint="eastAsia" w:ascii="宋体" w:hAnsi="宋体" w:eastAsia="宋体" w:cs="宋体"/>
          <w:color w:val="auto"/>
          <w:sz w:val="21"/>
          <w:szCs w:val="21"/>
          <w:highlight w:val="none"/>
        </w:rPr>
        <w:t>高可用、高安全、弹性扩展能力。</w:t>
      </w:r>
    </w:p>
    <w:p w14:paraId="4E96BA0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（4）采用B/S架构，支持Web UI，支持CIFS/SMB、NFS或S3等协议，支持分布式部署，可从多个节点进行访问控制。</w:t>
      </w:r>
    </w:p>
    <w:p w14:paraId="7999DE7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（5）满足数据长期归档，确保数据的长期可读性与长期存储，可对同一文件的不同历史版本进行管理。</w:t>
      </w:r>
    </w:p>
    <w:p w14:paraId="402CB5F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支持将备份系统中的备份数据长期归档至归档存储介质中的服务能力，支持文件以原格式归档，支持永久增量归档，降低存储成本。支持将归档数据直接恢复至备份服务器中，支持将归档数据直接恢复到客户端中，满足业务数据长期保留的需求及合规性。</w:t>
      </w:r>
    </w:p>
    <w:p w14:paraId="3767408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（7）具有良好可维护性与可管理性。</w:t>
      </w:r>
    </w:p>
    <w:p w14:paraId="6CAD4C6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（8）支持租户功能，备份系统支持策略定制，按需归档，读写速率不低于50MB/S。</w:t>
      </w:r>
    </w:p>
    <w:p w14:paraId="18D507F5">
      <w:pPr>
        <w:numPr>
          <w:ilvl w:val="0"/>
          <w:numId w:val="1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71C8A89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归档存储读写能力方面，</w:t>
      </w:r>
      <w:r>
        <w:rPr>
          <w:rStyle w:val="14"/>
          <w:rFonts w:hint="eastAsia" w:ascii="宋体" w:hAnsi="宋体" w:eastAsia="宋体" w:cs="宋体"/>
          <w:color w:val="auto"/>
          <w:kern w:val="2"/>
          <w:sz w:val="21"/>
          <w:szCs w:val="21"/>
          <w:highlight w:val="none"/>
          <w:lang w:val="en-US" w:eastAsia="zh-CN" w:bidi="ar-SA"/>
        </w:rPr>
        <w:t>基本满足归档存储需求，万兆带宽网络环境下写入速度不低于70MB/s。</w:t>
      </w:r>
    </w:p>
    <w:p w14:paraId="6CAC0988">
      <w:pPr>
        <w:numPr>
          <w:ilvl w:val="0"/>
          <w:numId w:val="1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719D1D6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配合租户不断优化归档策略，提供技能咨询培训等。</w:t>
      </w:r>
    </w:p>
    <w:p w14:paraId="3AF7D6FC">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217" w:name="_Toc9136"/>
      <w:bookmarkStart w:id="218" w:name="_Toc51"/>
      <w:bookmarkStart w:id="219" w:name="_Toc256000081"/>
      <w:bookmarkStart w:id="220" w:name="_Toc3897"/>
      <w:bookmarkStart w:id="221" w:name="_Toc15060"/>
      <w:bookmarkStart w:id="222" w:name="_Toc10050"/>
      <w:r>
        <w:rPr>
          <w:rFonts w:hint="eastAsia" w:ascii="宋体" w:hAnsi="宋体" w:eastAsia="宋体" w:cs="宋体"/>
          <w:bCs/>
          <w:color w:val="auto"/>
          <w:sz w:val="21"/>
          <w:szCs w:val="21"/>
          <w:highlight w:val="none"/>
        </w:rPr>
        <w:t>托管服务</w:t>
      </w:r>
      <w:bookmarkEnd w:id="217"/>
      <w:bookmarkEnd w:id="218"/>
      <w:bookmarkEnd w:id="219"/>
      <w:bookmarkEnd w:id="220"/>
      <w:bookmarkEnd w:id="221"/>
      <w:bookmarkEnd w:id="222"/>
    </w:p>
    <w:p w14:paraId="15696182">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223" w:name="_Toc20427"/>
      <w:bookmarkStart w:id="224" w:name="_Toc256000082"/>
      <w:bookmarkStart w:id="225" w:name="_Toc24806"/>
      <w:bookmarkStart w:id="226" w:name="_Toc23361"/>
      <w:bookmarkStart w:id="227" w:name="_Toc16036"/>
      <w:bookmarkStart w:id="228" w:name="_Toc15088"/>
      <w:r>
        <w:rPr>
          <w:rFonts w:hint="eastAsia" w:ascii="宋体" w:hAnsi="宋体" w:eastAsia="宋体" w:cs="宋体"/>
          <w:b/>
          <w:bCs/>
          <w:color w:val="auto"/>
          <w:sz w:val="21"/>
          <w:szCs w:val="21"/>
          <w:highlight w:val="none"/>
        </w:rPr>
        <w:t>云数据中心机柜租赁服务</w:t>
      </w:r>
      <w:bookmarkEnd w:id="223"/>
      <w:bookmarkEnd w:id="224"/>
      <w:bookmarkEnd w:id="225"/>
      <w:bookmarkEnd w:id="226"/>
      <w:bookmarkEnd w:id="227"/>
      <w:bookmarkEnd w:id="228"/>
    </w:p>
    <w:p w14:paraId="6FE94400">
      <w:pPr>
        <w:numPr>
          <w:ilvl w:val="0"/>
          <w:numId w:val="1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16D93FDB">
      <w:pPr>
        <w:numPr>
          <w:ilvl w:val="0"/>
          <w:numId w:val="13"/>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服务定义</w:t>
      </w:r>
    </w:p>
    <w:p w14:paraId="3159BAC0">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云数据中心机柜服务（也叫设备托管服务），满足租户自有设备托管在政务云数据中心机房，由租户自己进行维护，或者由其他签约人进行远程维护。</w:t>
      </w:r>
    </w:p>
    <w:p w14:paraId="69AA4150">
      <w:pPr>
        <w:numPr>
          <w:ilvl w:val="0"/>
          <w:numId w:val="13"/>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w:t>
      </w:r>
    </w:p>
    <w:p w14:paraId="5A53C45A">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委办局产权物理设备托管在政务云机房场景下，需要提供机柜、电力，并通过高速数据端口接入网络，同时具有配套的网络资源。云平台应建设托管服务区，用于托管上述无法上云的物理设备。</w:t>
      </w:r>
    </w:p>
    <w:p w14:paraId="52C09A87">
      <w:pPr>
        <w:numPr>
          <w:ilvl w:val="0"/>
          <w:numId w:val="1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738CC66D">
      <w:pPr>
        <w:spacing w:line="360" w:lineRule="auto"/>
        <w:ind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提供A级机房机柜设备部署空间及配套服务，</w:t>
      </w:r>
      <w:r>
        <w:rPr>
          <w:rFonts w:hint="eastAsia" w:ascii="宋体" w:hAnsi="宋体" w:eastAsia="宋体" w:cs="宋体"/>
          <w:color w:val="auto"/>
          <w:kern w:val="0"/>
          <w:sz w:val="21"/>
          <w:szCs w:val="21"/>
          <w:highlight w:val="none"/>
        </w:rPr>
        <w:t>配套提供托管设备所需的电力，速度匹配的网络端口及线缆资源。</w:t>
      </w:r>
    </w:p>
    <w:p w14:paraId="44CA180D">
      <w:pPr>
        <w:numPr>
          <w:ilvl w:val="0"/>
          <w:numId w:val="1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260EBCD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（1）1U标准空间服务包含空间位置、电力、IP网络接入等，1U空间总功率不做限定。</w:t>
      </w:r>
    </w:p>
    <w:p w14:paraId="0AD2B0E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（2）42U标准机柜整柜服务包含空间位置、电力、IP网络接入等，机柜总功率</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000W。</w:t>
      </w:r>
    </w:p>
    <w:p w14:paraId="0CC99DBA">
      <w:pPr>
        <w:numPr>
          <w:ilvl w:val="0"/>
          <w:numId w:val="1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5835328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（1）机柜所在机房应满足《数据中心设计规范》（GB 50174-2017）中A级标准。</w:t>
      </w:r>
    </w:p>
    <w:p w14:paraId="0E5E6BB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（2）云服务商提供监控手段对托管设备纳入统一监控。</w:t>
      </w:r>
    </w:p>
    <w:p w14:paraId="173E8AA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（3）要求对托管设备提供基础网络配置及故障排查、硬件巡检服务、7x24 值守。</w:t>
      </w:r>
    </w:p>
    <w:p w14:paraId="001C111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（4）提供1U空间机柜服务（含电费），租户可根据托管设备的实际需求进行灵活叠加选配；同时提供42U标准机柜整柜服务，主备双路供电，机柜总功率</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000W。</w:t>
      </w:r>
    </w:p>
    <w:p w14:paraId="155A7457">
      <w:pPr>
        <w:keepNext/>
        <w:keepLines/>
        <w:numPr>
          <w:ilvl w:val="1"/>
          <w:numId w:val="2"/>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229" w:name="_Toc23633"/>
      <w:bookmarkStart w:id="230" w:name="_Toc27331"/>
      <w:bookmarkStart w:id="231" w:name="_Toc15959"/>
      <w:bookmarkStart w:id="232" w:name="_Toc256000083"/>
      <w:bookmarkStart w:id="233" w:name="_Toc28670"/>
      <w:bookmarkStart w:id="234" w:name="_Toc16493"/>
      <w:r>
        <w:rPr>
          <w:rFonts w:hint="eastAsia" w:ascii="宋体" w:hAnsi="宋体" w:eastAsia="宋体" w:cs="宋体"/>
          <w:bCs/>
          <w:color w:val="auto"/>
          <w:sz w:val="21"/>
          <w:szCs w:val="21"/>
          <w:highlight w:val="none"/>
        </w:rPr>
        <w:t>PaaS服务</w:t>
      </w:r>
      <w:bookmarkEnd w:id="229"/>
      <w:bookmarkEnd w:id="230"/>
      <w:bookmarkEnd w:id="231"/>
      <w:bookmarkEnd w:id="232"/>
      <w:bookmarkEnd w:id="233"/>
      <w:bookmarkEnd w:id="234"/>
    </w:p>
    <w:p w14:paraId="71C062BC">
      <w:pPr>
        <w:keepNext/>
        <w:keepLines/>
        <w:numPr>
          <w:ilvl w:val="2"/>
          <w:numId w:val="2"/>
        </w:numPr>
        <w:spacing w:line="360" w:lineRule="auto"/>
        <w:contextualSpacing/>
        <w:outlineLvl w:val="2"/>
        <w:rPr>
          <w:rFonts w:hint="eastAsia" w:ascii="宋体" w:hAnsi="宋体" w:eastAsia="宋体" w:cs="宋体"/>
          <w:bCs/>
          <w:color w:val="auto"/>
          <w:sz w:val="21"/>
          <w:szCs w:val="21"/>
          <w:highlight w:val="none"/>
        </w:rPr>
      </w:pPr>
      <w:bookmarkStart w:id="235" w:name="_Toc21324"/>
      <w:bookmarkStart w:id="236" w:name="_Toc256000084"/>
      <w:bookmarkStart w:id="237" w:name="_Toc12434"/>
      <w:bookmarkStart w:id="238" w:name="_Toc1699"/>
      <w:bookmarkStart w:id="239" w:name="_Toc26179"/>
      <w:bookmarkStart w:id="240" w:name="_Toc14709"/>
      <w:r>
        <w:rPr>
          <w:rFonts w:hint="eastAsia" w:ascii="宋体" w:hAnsi="宋体" w:eastAsia="宋体" w:cs="宋体"/>
          <w:bCs/>
          <w:color w:val="auto"/>
          <w:sz w:val="21"/>
          <w:szCs w:val="21"/>
          <w:highlight w:val="none"/>
        </w:rPr>
        <w:t>云原生平台</w:t>
      </w:r>
      <w:bookmarkEnd w:id="235"/>
      <w:bookmarkEnd w:id="236"/>
      <w:bookmarkEnd w:id="237"/>
      <w:bookmarkEnd w:id="238"/>
      <w:bookmarkEnd w:id="239"/>
      <w:bookmarkEnd w:id="240"/>
    </w:p>
    <w:p w14:paraId="7449D339">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241" w:name="_Toc12313"/>
      <w:bookmarkStart w:id="242" w:name="_Toc21945"/>
      <w:bookmarkStart w:id="243" w:name="_Toc12394"/>
      <w:bookmarkStart w:id="244" w:name="_Toc23622"/>
      <w:bookmarkStart w:id="245" w:name="_Toc27414"/>
      <w:bookmarkStart w:id="246" w:name="_Toc256000085"/>
      <w:r>
        <w:rPr>
          <w:rFonts w:hint="eastAsia" w:ascii="宋体" w:hAnsi="宋体" w:eastAsia="宋体" w:cs="宋体"/>
          <w:b/>
          <w:bCs/>
          <w:color w:val="auto"/>
          <w:sz w:val="21"/>
          <w:szCs w:val="21"/>
          <w:highlight w:val="none"/>
        </w:rPr>
        <w:t>微服务平台</w:t>
      </w:r>
      <w:bookmarkEnd w:id="241"/>
      <w:bookmarkEnd w:id="242"/>
      <w:bookmarkEnd w:id="243"/>
      <w:bookmarkEnd w:id="244"/>
      <w:bookmarkEnd w:id="245"/>
      <w:bookmarkEnd w:id="246"/>
    </w:p>
    <w:p w14:paraId="376BA0CC">
      <w:pPr>
        <w:numPr>
          <w:ilvl w:val="0"/>
          <w:numId w:val="1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6F86899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5169C0C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服务是一种软件架构，为政府机构和相关公共服务提供的基于微服务架构的云服务。微服务是将复杂的应用切分为若干小型、自治的服务，每个服务都围绕着特定的业务功能进行设计和部署，每个服务均可以独立开发、部署和伸缩。微服务和容器组合使用，可进一步简化微服务的交付，提升应用的可靠性和可伸缩性。</w:t>
      </w:r>
    </w:p>
    <w:p w14:paraId="1AC1329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72EFB4A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微服务平台通过其分布式、松耦合的特性，能够更好地满足复杂系统的需求，提升开发效率、可扩展性和系统的整体可靠性。</w:t>
      </w:r>
    </w:p>
    <w:p w14:paraId="3E95DD6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应用场景包括：</w:t>
      </w:r>
    </w:p>
    <w:p w14:paraId="2F084A4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容器化应用上云：帮助政府或企业实现快速的容器化应用托管，解决应用从镜像构建、配置管理，到应用部署、升级变更，到应用线上运维、访问入口管理等全生命周期中各个流程的管理需求。同时提供工作空间对不同组织或业务部门的应用管理环境进行隔离，通过基于角色的多用户鉴权，确保政府或企业中不同用户对各个资源具备合理的操作权限，提升平台的安全性和多用户协作效率。</w:t>
      </w:r>
    </w:p>
    <w:p w14:paraId="46B2257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微服务治理：屏蔽不同技术体系的微服务框架的技术差异，为政府或企业微服务系统提供高性能的注册中心，提供多种服务治理工具、服务观察工具、配置管理工具和服务发布工具，使得政府或企业的微服务管理能力得到大大提升，优化服务有序度、提升服务性能和质量。</w:t>
      </w:r>
    </w:p>
    <w:p w14:paraId="58EEC4C5">
      <w:pPr>
        <w:numPr>
          <w:ilvl w:val="0"/>
          <w:numId w:val="1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4A81A2B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（1）应用管理，提供应用全生命周期管理，实现应用的灵活发布与管理，包括创建、删除、查看、部署、回滚、扩容、下线、启动和停止应用，支持容器或虚拟机的应用部署方式。</w:t>
      </w:r>
    </w:p>
    <w:p w14:paraId="00ACB9C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（2）服务治理，提供服务级别和API级别的服务治理能力。支持服务限流、容错、熔断、降级等规则配置，实现灰度发布、流量限制、访问权限控制等功能。</w:t>
      </w:r>
    </w:p>
    <w:p w14:paraId="6A33273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（3）服务网关（可由云平台统一提供，也可由微服务平台单独提供），支持API接口的发布与订阅，能对不同的应用凭证实现独立的订阅、审核鉴权、冻结、限流等细粒度控制。</w:t>
      </w:r>
    </w:p>
    <w:p w14:paraId="4ACD566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应用监控，微服务平台提供全面的监控和日志分析工具，帮助用户把握应用上线后的运行状况；支持链路追踪查询，对请求源头到底层服务的调用链路中间的所有环节进行监控，包括微服务之间的调用关系、</w:t>
      </w:r>
      <w:r>
        <w:rPr>
          <w:rFonts w:hint="eastAsia" w:ascii="宋体" w:hAnsi="宋体" w:eastAsia="宋体" w:cs="宋体"/>
          <w:color w:val="auto"/>
          <w:sz w:val="21"/>
          <w:szCs w:val="21"/>
          <w:highlight w:val="none"/>
          <w:lang w:eastAsia="zh-CN"/>
        </w:rPr>
        <w:t>错误链路、响应耗时、自定义业务指标、请求方式、HTTP 状态码等多种条件检索服务链路信息</w:t>
      </w:r>
      <w:r>
        <w:rPr>
          <w:rStyle w:val="14"/>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t>实现业务问题自查和快速定位分析。</w:t>
      </w:r>
    </w:p>
    <w:p w14:paraId="09FB985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微服务注册配置中心，支持多种注册发现协议，支持主流开源框架；支持开启认证，满足安全要求；配置中心支持多版本管理、支持多种文件格式、支持灰度推送（按标签）；满足与发布系统、高可用、服务治理等周边系统预集成。</w:t>
      </w:r>
    </w:p>
    <w:p w14:paraId="1A8A1EF5">
      <w:pPr>
        <w:numPr>
          <w:ilvl w:val="0"/>
          <w:numId w:val="1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6A405E9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（1）微服务平台支持部署≥15000个微服务实例。</w:t>
      </w:r>
    </w:p>
    <w:p w14:paraId="342300A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（2）平台注册配置中心组件，支持≥5000个微服务实例同时在注册发现与动态配置。</w:t>
      </w:r>
    </w:p>
    <w:p w14:paraId="080BED0D">
      <w:pPr>
        <w:numPr>
          <w:ilvl w:val="0"/>
          <w:numId w:val="1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3508430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（1）服务框架要求：微服务平台应采用高度松耦合的架构，兼容SpringCloud等主流微服务框架，每个微服务都应该有明确的职责和边界，各个微服务之间的依赖关系应尽可能减少，可以独立地迁移各个微服务。</w:t>
      </w:r>
    </w:p>
    <w:p w14:paraId="4BEA444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（2）标准化接口要求：定义标准化的接口规范，基于契约的开发模式，支持自动生成符合Open API 2.0等行业主流标准的契约描述，确保不同微服务之间以及微服务与外部系统之间的通信遵循统一的协议和格式，实现微服务的快速开发及业务服务的高效、可靠、优质地交付。</w:t>
      </w:r>
    </w:p>
    <w:p w14:paraId="4270C62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（3）平台部署要求：要求云服务商根据实际业务需求，在政务外网业务区和互联网业务区独立部署微服务平台，平台具备高可用能力。平台应采用主备或者集群部署的模式，保证系统没有单点故障。</w:t>
      </w:r>
    </w:p>
    <w:p w14:paraId="2916450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（4）容器化部署要求：采用容器化技术，如 Docker，将微服务封装在容器中，使用容器编排工具（如Kubernetes）进行资源管理和调度。构建容器镜像时，应确保镜像的通用性，避免依赖特定云平台的特性。</w:t>
      </w:r>
    </w:p>
    <w:p w14:paraId="491A83B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（5）无状态设计要求：需将微服务设计为无状态，可以在任何云环境中轻松启动和停止，无需依赖特定的存储或计算资源。</w:t>
      </w:r>
    </w:p>
    <w:p w14:paraId="41DE0EE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（6）微服务迁移要求：云服务商应配合云使用单位在不同云平台之间的微服务业务迁移，并配合应用侧完成迁移适配，保障业务顺利运行。</w:t>
      </w:r>
    </w:p>
    <w:p w14:paraId="3BECB2D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（7）为用户提供微服务使用的培训课程，帮助用户快速上手和熟练掌握微服务的操作和管理。提供相关的技术文档、最佳实践、开发指南指导软件开发厂商/用户进行微服务开发和使用。</w:t>
      </w:r>
    </w:p>
    <w:p w14:paraId="01203FC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（8）建立用户支持渠道，及时解答用户在使用微服务过程中遇到的问题。可以通过在线客服、电话支持、邮件等方式提供基础技术支持服务。基础技术支持服务响应时间应不超过 24 小时。</w:t>
      </w:r>
    </w:p>
    <w:p w14:paraId="60000780">
      <w:pPr>
        <w:keepNext/>
        <w:keepLines/>
        <w:numPr>
          <w:ilvl w:val="3"/>
          <w:numId w:val="2"/>
        </w:numPr>
        <w:spacing w:line="360" w:lineRule="auto"/>
        <w:contextualSpacing/>
        <w:outlineLvl w:val="3"/>
        <w:rPr>
          <w:rFonts w:hint="eastAsia" w:ascii="宋体" w:hAnsi="宋体" w:eastAsia="宋体" w:cs="宋体"/>
          <w:b/>
          <w:bCs/>
          <w:color w:val="auto"/>
          <w:sz w:val="21"/>
          <w:szCs w:val="21"/>
          <w:highlight w:val="none"/>
        </w:rPr>
      </w:pPr>
      <w:bookmarkStart w:id="247" w:name="_Toc256000086"/>
      <w:bookmarkStart w:id="248" w:name="_Toc10694"/>
      <w:bookmarkStart w:id="249" w:name="_Toc16455"/>
      <w:bookmarkStart w:id="250" w:name="_Toc12195"/>
      <w:bookmarkStart w:id="251" w:name="_Toc8774"/>
      <w:bookmarkStart w:id="252" w:name="_Toc30626"/>
      <w:r>
        <w:rPr>
          <w:rFonts w:hint="eastAsia" w:ascii="宋体" w:hAnsi="宋体" w:eastAsia="宋体" w:cs="宋体"/>
          <w:b/>
          <w:bCs/>
          <w:color w:val="auto"/>
          <w:sz w:val="21"/>
          <w:szCs w:val="21"/>
          <w:highlight w:val="none"/>
        </w:rPr>
        <w:t>容器平台</w:t>
      </w:r>
      <w:bookmarkEnd w:id="247"/>
      <w:bookmarkEnd w:id="248"/>
      <w:bookmarkEnd w:id="249"/>
      <w:bookmarkEnd w:id="250"/>
      <w:bookmarkEnd w:id="251"/>
      <w:bookmarkEnd w:id="252"/>
    </w:p>
    <w:p w14:paraId="63A1A020">
      <w:pPr>
        <w:numPr>
          <w:ilvl w:val="0"/>
          <w:numId w:val="1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28734BD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7611D9F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为政府机构和相关公共服务提供的基于容器化技术的云服务。这些服务通过将应用程序及其依赖项打包成容器，从而提供了更灵活、可移植和高效的部署和管理方式。</w:t>
      </w:r>
    </w:p>
    <w:p w14:paraId="206E37E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048DC0C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通过容器化服务，政务云能够更好地满足政府机构在信息化建设、数据管理和公共服务提供中的需求，提升运行效率和服务质量。</w:t>
      </w:r>
    </w:p>
    <w:p w14:paraId="33B8B01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应用场景包括：</w:t>
      </w:r>
    </w:p>
    <w:p w14:paraId="39C93E9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1）协助用户应用的容器化上云，提升弹性伸缩的能力以及资源利用，根据业务的并发量场景，实现容器秒级伸缩。</w:t>
      </w:r>
    </w:p>
    <w:p w14:paraId="3423C08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2）镜像交付提升效率，开发者可以将应用运行的环境一起打包到镜像中，直接将镜像交付给测试和实施，保证了应用运行环境的一致性，大大减少了交付过程的人为错误。</w:t>
      </w:r>
    </w:p>
    <w:p w14:paraId="4B86EF8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3）多样指标的灰度发布，实现业务的无损在线升级。</w:t>
      </w:r>
    </w:p>
    <w:p w14:paraId="4F847E6D">
      <w:pPr>
        <w:numPr>
          <w:ilvl w:val="0"/>
          <w:numId w:val="1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7D6E498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（1）集群管理，支持容器集群创建、删除等基本管理操作。</w:t>
      </w:r>
    </w:p>
    <w:p w14:paraId="16603EE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（2）节点池管理，支持创建、删除节点池，支持创建节点池时设置节点规格。</w:t>
      </w:r>
    </w:p>
    <w:p w14:paraId="649C966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应用管理，支持容器应用的部署、查询、更新、删除；支持容器应用的回滚，可回滚至之前版本；支持容器应用的扩容、缩容；支持容器应用相关CPU、内存容量的扩容、缩容；支持容器应用的容错机制；支持服务标签关联容器应用；支持设置容器应用的节点调度策略。</w:t>
      </w:r>
    </w:p>
    <w:p w14:paraId="07282B3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（4）容器编排兼容性要求：容器服务平台应支持主流的容器编排工具，如 Kubernetes、Docker Swarm 等，并且能够在不同云环境下保持一致的编排能力。确保在跨云迁移时，容器的部署和管理方式不会发生重大变化。具备对不同云提供商的容器编排接口的适配能力，能够无缝对接各种云平台的资源管理和调度系统。确保容器平台支持标准化的API接口，如Kubernetes API，可实现在不同云服务商之间无缝迁移应用。</w:t>
      </w:r>
    </w:p>
    <w:p w14:paraId="61FE33A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镜像管理要求：提供统一的镜像仓库，支持跨云的镜像存储和分发。确保容器镜像可以在不同云环境中快速部署，减少迁移过程中的镜像传输时间和复杂性。镜像仓库应具备版本管理功能，方便回滚到特定版本的容器镜像。同时，支持镜像的加密和签名，保证镜像的完整性和安全性。支持图形化创建和管理镜像仓库，支持租户镜像实例管理。</w:t>
      </w:r>
    </w:p>
    <w:p w14:paraId="342DEDA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（6）资源抽象层能力要求：具备构建一个统一的资源抽象层能力，将底层云资源（如计算、存储、网络）抽象成一致的接口，减少因云服务商特有资源导致的迁移障碍。</w:t>
      </w:r>
    </w:p>
    <w:p w14:paraId="5E79721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自动化部署和扩展要求：容器服务平台应具备自动化部署和扩展的能力，能够根据业务需求快速在不同云环境中部署和扩展容器。可以通过定义自动化的部署流程和策略，实现一键式部署和弹性扩展。</w:t>
      </w:r>
    </w:p>
    <w:p w14:paraId="51095D97">
      <w:pPr>
        <w:numPr>
          <w:ilvl w:val="0"/>
          <w:numId w:val="1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5DC2523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（1）网络性能损耗，选定的容器网络方案下，不同检验场景的网络损耗在10%以内。</w:t>
      </w:r>
    </w:p>
    <w:p w14:paraId="5B252DA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（2）集群节点的监控数据采集：支持以1分钟频率采集监控数据，监控采集组件占用工作节点主机CPU资源峰值不超过5%，监控采集组件占用管理节点主机CPU资源峰值不超过10%。</w:t>
      </w:r>
    </w:p>
    <w:p w14:paraId="4DEFECCD">
      <w:pPr>
        <w:numPr>
          <w:ilvl w:val="0"/>
          <w:numId w:val="1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5000A35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（1）容器集群提供管理数据的备份和恢复能力，平台对管理类数据会进行定时备份，当出现数据损坏或者丢失场景，可以提供数据恢复能力。</w:t>
      </w:r>
    </w:p>
    <w:p w14:paraId="344488F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（2）云服务商应配合使用单位业务容器化改造。</w:t>
      </w:r>
    </w:p>
    <w:p w14:paraId="64D4847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（3）云服务商需支持在不同容器平台之间的业务迁移，并配合应用侧完成迁移适配，保障业务顺利运行。</w:t>
      </w:r>
    </w:p>
    <w:p w14:paraId="20CEBCC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（4）为用户提供容器技术培训，包括容器基础知识、容器平台操作、CI/CD 流程等，提供培训材料和文档，方便技术人员进行自主学习和参考。</w:t>
      </w:r>
    </w:p>
    <w:p w14:paraId="6374E1F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（5）为用户提供容器化转型的咨询服务，帮助他们制定合理的容器化战略和规划，解答政务部门在容器化过程中遇到的问题和困惑，提供行业最佳实践和案例分享，为用户提供参考和借鉴。</w:t>
      </w:r>
    </w:p>
    <w:p w14:paraId="7EF18424">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bookmarkStart w:id="253" w:name="_Toc11068"/>
      <w:bookmarkStart w:id="254" w:name="_Toc28010"/>
      <w:bookmarkStart w:id="255" w:name="_Toc21151"/>
      <w:bookmarkStart w:id="256" w:name="_Toc18941"/>
      <w:bookmarkStart w:id="257" w:name="_Toc18149"/>
      <w:bookmarkStart w:id="258" w:name="_Toc256000087"/>
      <w:r>
        <w:rPr>
          <w:rFonts w:hint="eastAsia" w:ascii="宋体" w:hAnsi="宋体" w:eastAsia="宋体" w:cs="宋体"/>
          <w:bCs/>
          <w:color w:val="auto"/>
          <w:sz w:val="21"/>
          <w:szCs w:val="21"/>
          <w:highlight w:val="none"/>
        </w:rPr>
        <w:t>操作系统服务</w:t>
      </w:r>
      <w:bookmarkEnd w:id="253"/>
      <w:bookmarkEnd w:id="254"/>
      <w:bookmarkEnd w:id="255"/>
      <w:bookmarkEnd w:id="256"/>
      <w:bookmarkEnd w:id="257"/>
      <w:bookmarkEnd w:id="258"/>
    </w:p>
    <w:p w14:paraId="79FED2DB">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bookmarkStart w:id="259" w:name="_Toc31343"/>
      <w:bookmarkStart w:id="260" w:name="_Toc13511"/>
      <w:bookmarkStart w:id="261" w:name="_Toc16090"/>
      <w:bookmarkStart w:id="262" w:name="_Toc256000088"/>
      <w:bookmarkStart w:id="263" w:name="_Toc1060"/>
      <w:bookmarkStart w:id="264" w:name="_Toc16342"/>
      <w:r>
        <w:rPr>
          <w:rFonts w:hint="eastAsia" w:ascii="宋体" w:hAnsi="宋体" w:eastAsia="宋体" w:cs="宋体"/>
          <w:b/>
          <w:bCs/>
          <w:color w:val="auto"/>
          <w:sz w:val="21"/>
          <w:szCs w:val="21"/>
          <w:highlight w:val="none"/>
        </w:rPr>
        <w:t>国产操作系统</w:t>
      </w:r>
      <w:bookmarkEnd w:id="259"/>
      <w:bookmarkEnd w:id="260"/>
      <w:bookmarkEnd w:id="261"/>
      <w:bookmarkEnd w:id="262"/>
      <w:bookmarkEnd w:id="263"/>
      <w:bookmarkEnd w:id="264"/>
    </w:p>
    <w:p w14:paraId="0432B97B">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国产操作系统</w:t>
      </w:r>
      <w:r>
        <w:rPr>
          <w:rFonts w:hint="eastAsia" w:ascii="宋体" w:hAnsi="宋体" w:eastAsia="宋体" w:cs="宋体"/>
          <w:bCs/>
          <w:color w:val="auto"/>
          <w:sz w:val="21"/>
          <w:szCs w:val="21"/>
          <w:highlight w:val="none"/>
          <w:lang w:eastAsia="zh-CN"/>
        </w:rPr>
        <w:t xml:space="preserve"> </w:t>
      </w:r>
    </w:p>
    <w:p w14:paraId="326632EE">
      <w:pPr>
        <w:pStyle w:val="5"/>
        <w:numPr>
          <w:ilvl w:val="0"/>
          <w:numId w:val="17"/>
        </w:numPr>
        <w:spacing w:line="360" w:lineRule="auto"/>
        <w:ind w:left="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11554AE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5F5116E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提供正版服务器操作系统软件，包括麒麟服务器操作系统、统信服务器操作系统等由中国信息安全测评中心发布的《安全可靠测评结果公告》包含的服务器操作系统。</w:t>
      </w:r>
    </w:p>
    <w:p w14:paraId="1224AC5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52D7CDF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用于在物理机或虚拟机上直接安装操作系统软件部署、使用需求场景。技术方案中需提供信创操作系统的完整安装方案，提供操作系统调优技术方案。</w:t>
      </w:r>
    </w:p>
    <w:p w14:paraId="3D925305">
      <w:pPr>
        <w:pStyle w:val="6"/>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（3）需提供该操作系统的原厂授权函和服务承诺。</w:t>
      </w:r>
    </w:p>
    <w:p w14:paraId="21594213">
      <w:pPr>
        <w:pStyle w:val="5"/>
        <w:numPr>
          <w:ilvl w:val="0"/>
          <w:numId w:val="1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0A30BEB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（1）要求提供满足物理机版本和虚拟机版本的正版服务器操作系统。</w:t>
      </w:r>
    </w:p>
    <w:p w14:paraId="523099B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（2）要求提供操作系统软件租用、安装部署及维护，操作系统</w:t>
      </w:r>
      <w:r>
        <w:rPr>
          <w:rFonts w:hint="eastAsia" w:ascii="宋体" w:hAnsi="宋体" w:eastAsia="宋体" w:cs="宋体"/>
          <w:color w:val="auto"/>
          <w:sz w:val="21"/>
          <w:szCs w:val="21"/>
          <w:highlight w:val="none"/>
          <w:lang w:val="en-US" w:eastAsia="zh-CN"/>
        </w:rPr>
        <w:t>由云服务商</w:t>
      </w:r>
      <w:r>
        <w:rPr>
          <w:rFonts w:hint="eastAsia" w:ascii="宋体" w:hAnsi="宋体" w:eastAsia="宋体" w:cs="宋体"/>
          <w:color w:val="auto"/>
          <w:sz w:val="21"/>
          <w:szCs w:val="21"/>
          <w:highlight w:val="none"/>
        </w:rPr>
        <w:t>交付给云使用</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后，由云使用</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管理其软件业务运维单位合理合规使用操作系统。</w:t>
      </w:r>
    </w:p>
    <w:p w14:paraId="76938DA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（3）要求提供操作系统的升级及问题诊断服务。</w:t>
      </w:r>
    </w:p>
    <w:p w14:paraId="0EFA8B0A">
      <w:pPr>
        <w:pStyle w:val="6"/>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3.其他要求</w:t>
      </w:r>
    </w:p>
    <w:p w14:paraId="304DF4BD">
      <w:pPr>
        <w:pStyle w:val="16"/>
        <w:rPr>
          <w:rFonts w:hint="eastAsia" w:ascii="宋体" w:hAnsi="宋体" w:eastAsia="宋体" w:cs="宋体"/>
          <w:bCs w:val="0"/>
          <w:color w:val="auto"/>
          <w:kern w:val="2"/>
          <w:sz w:val="21"/>
          <w:szCs w:val="21"/>
          <w:highlight w:val="none"/>
        </w:rPr>
      </w:pPr>
      <w:r>
        <w:rPr>
          <w:rFonts w:hint="eastAsia" w:ascii="宋体" w:hAnsi="宋体" w:eastAsia="宋体" w:cs="宋体"/>
          <w:bCs w:val="0"/>
          <w:color w:val="auto"/>
          <w:kern w:val="2"/>
          <w:sz w:val="21"/>
          <w:szCs w:val="21"/>
          <w:highlight w:val="none"/>
        </w:rPr>
        <w:t>（1）CPU支持：支持国产飞腾、鲲鹏、海光等国产处理器；支持兼容国产中间件（金蝶、东方通、宝兰德等）、国产数据库管理系统（达梦、人大金仓、南大通用、海量数据等）。</w:t>
      </w:r>
    </w:p>
    <w:p w14:paraId="3B119C02">
      <w:pPr>
        <w:pStyle w:val="6"/>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（2）为应对centos系统停止服务的风险，提供centos迁移至信创操作系统的方案。</w:t>
      </w:r>
    </w:p>
    <w:p w14:paraId="7A22BE6A">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bookmarkStart w:id="265" w:name="_Toc25171"/>
      <w:bookmarkStart w:id="266" w:name="_Toc9157"/>
      <w:bookmarkStart w:id="267" w:name="_Toc17229"/>
      <w:bookmarkStart w:id="268" w:name="_Toc256000089"/>
      <w:bookmarkStart w:id="269" w:name="_Toc21059"/>
      <w:bookmarkStart w:id="270" w:name="_Toc6259"/>
      <w:r>
        <w:rPr>
          <w:rFonts w:hint="eastAsia" w:ascii="宋体" w:hAnsi="宋体" w:eastAsia="宋体" w:cs="宋体"/>
          <w:bCs/>
          <w:color w:val="auto"/>
          <w:sz w:val="21"/>
          <w:szCs w:val="21"/>
          <w:highlight w:val="none"/>
        </w:rPr>
        <w:t>数据库软件服务</w:t>
      </w:r>
      <w:bookmarkEnd w:id="265"/>
      <w:bookmarkEnd w:id="266"/>
      <w:bookmarkEnd w:id="267"/>
      <w:bookmarkEnd w:id="268"/>
      <w:bookmarkEnd w:id="269"/>
      <w:bookmarkEnd w:id="270"/>
      <w:r>
        <w:rPr>
          <w:rFonts w:hint="eastAsia" w:ascii="宋体" w:hAnsi="宋体" w:eastAsia="宋体" w:cs="宋体"/>
          <w:bCs/>
          <w:color w:val="auto"/>
          <w:sz w:val="21"/>
          <w:szCs w:val="21"/>
          <w:highlight w:val="none"/>
          <w:lang w:eastAsia="zh-CN"/>
        </w:rPr>
        <w:t xml:space="preserve"> </w:t>
      </w:r>
    </w:p>
    <w:p w14:paraId="3E16A1EC">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bookmarkStart w:id="271" w:name="_Toc12075"/>
      <w:bookmarkStart w:id="272" w:name="_Toc19134"/>
      <w:bookmarkStart w:id="273" w:name="_Toc256000090"/>
      <w:bookmarkStart w:id="274" w:name="_Toc20807"/>
      <w:bookmarkStart w:id="275" w:name="_Toc2366"/>
      <w:bookmarkStart w:id="276" w:name="_Toc14074"/>
      <w:r>
        <w:rPr>
          <w:rFonts w:hint="eastAsia" w:ascii="宋体" w:hAnsi="宋体" w:eastAsia="宋体" w:cs="宋体"/>
          <w:b/>
          <w:bCs/>
          <w:color w:val="auto"/>
          <w:sz w:val="21"/>
          <w:szCs w:val="21"/>
          <w:highlight w:val="none"/>
        </w:rPr>
        <w:t>国产数据库</w:t>
      </w:r>
      <w:bookmarkEnd w:id="271"/>
      <w:bookmarkEnd w:id="272"/>
      <w:bookmarkEnd w:id="273"/>
      <w:bookmarkEnd w:id="274"/>
      <w:bookmarkEnd w:id="275"/>
      <w:bookmarkEnd w:id="276"/>
      <w:r>
        <w:rPr>
          <w:rFonts w:hint="eastAsia" w:ascii="宋体" w:hAnsi="宋体" w:eastAsia="宋体" w:cs="宋体"/>
          <w:bCs/>
          <w:color w:val="auto"/>
          <w:sz w:val="21"/>
          <w:szCs w:val="21"/>
          <w:highlight w:val="none"/>
          <w:lang w:eastAsia="zh-CN"/>
        </w:rPr>
        <w:t xml:space="preserve"> </w:t>
      </w:r>
    </w:p>
    <w:p w14:paraId="491E5ABB">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国产数据库软件</w:t>
      </w:r>
      <w:r>
        <w:rPr>
          <w:rFonts w:hint="eastAsia" w:ascii="宋体" w:hAnsi="宋体" w:eastAsia="宋体" w:cs="宋体"/>
          <w:bCs/>
          <w:color w:val="auto"/>
          <w:sz w:val="21"/>
          <w:szCs w:val="21"/>
          <w:highlight w:val="none"/>
          <w:lang w:eastAsia="zh-CN"/>
        </w:rPr>
        <w:t xml:space="preserve"> </w:t>
      </w:r>
    </w:p>
    <w:p w14:paraId="3CDD6F0A">
      <w:pPr>
        <w:pStyle w:val="5"/>
        <w:numPr>
          <w:ilvl w:val="0"/>
          <w:numId w:val="1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22C694B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3B93A43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正版数据库管理系统软件，通过中国信息安全测评中心测评的数据库（具体以《安全可靠测评结果公告》为准）均可。技术方案中需提供信创数据库的完整安装方案，需提供该数据库的原厂授权函和服务承诺。</w:t>
      </w:r>
    </w:p>
    <w:p w14:paraId="7F89D8F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（3）应用场景</w:t>
      </w:r>
    </w:p>
    <w:p w14:paraId="7880282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用于在物理机或虚拟机上直接安装数据库软件部署、使用需求场景。</w:t>
      </w:r>
    </w:p>
    <w:p w14:paraId="65B72240">
      <w:pPr>
        <w:pStyle w:val="5"/>
        <w:numPr>
          <w:ilvl w:val="0"/>
          <w:numId w:val="1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277BA88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（1）提供符合国测要求数据库管理系统软件。</w:t>
      </w:r>
    </w:p>
    <w:p w14:paraId="3B302BA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（2）提供数据库软件安装部署及维护，</w:t>
      </w:r>
      <w:r>
        <w:rPr>
          <w:rFonts w:hint="eastAsia" w:ascii="宋体" w:hAnsi="宋体" w:eastAsia="宋体" w:cs="宋体"/>
          <w:color w:val="auto"/>
          <w:sz w:val="21"/>
          <w:szCs w:val="21"/>
          <w:highlight w:val="none"/>
          <w:lang w:val="en-US" w:eastAsia="zh-CN"/>
        </w:rPr>
        <w:t>云服务商</w:t>
      </w:r>
      <w:r>
        <w:rPr>
          <w:rFonts w:hint="eastAsia" w:ascii="宋体" w:hAnsi="宋体" w:eastAsia="宋体" w:cs="宋体"/>
          <w:color w:val="auto"/>
          <w:sz w:val="21"/>
          <w:szCs w:val="21"/>
          <w:highlight w:val="none"/>
        </w:rPr>
        <w:t>交付给云</w:t>
      </w:r>
      <w:r>
        <w:rPr>
          <w:rFonts w:hint="eastAsia" w:ascii="宋体" w:hAnsi="宋体" w:eastAsia="宋体" w:cs="宋体"/>
          <w:color w:val="auto"/>
          <w:sz w:val="21"/>
          <w:szCs w:val="21"/>
          <w:highlight w:val="none"/>
          <w:lang w:val="en-US" w:eastAsia="zh-CN"/>
        </w:rPr>
        <w:t>使用单位</w:t>
      </w:r>
      <w:r>
        <w:rPr>
          <w:rFonts w:hint="eastAsia" w:ascii="宋体" w:hAnsi="宋体" w:eastAsia="宋体" w:cs="宋体"/>
          <w:color w:val="auto"/>
          <w:sz w:val="21"/>
          <w:szCs w:val="21"/>
          <w:highlight w:val="none"/>
        </w:rPr>
        <w:t>后，由云</w:t>
      </w:r>
      <w:r>
        <w:rPr>
          <w:rFonts w:hint="eastAsia" w:ascii="宋体" w:hAnsi="宋体" w:eastAsia="宋体" w:cs="宋体"/>
          <w:color w:val="auto"/>
          <w:sz w:val="21"/>
          <w:szCs w:val="21"/>
          <w:highlight w:val="none"/>
          <w:lang w:val="en-US" w:eastAsia="zh-CN"/>
        </w:rPr>
        <w:t>使用单位</w:t>
      </w:r>
      <w:r>
        <w:rPr>
          <w:rFonts w:hint="eastAsia" w:ascii="宋体" w:hAnsi="宋体" w:eastAsia="宋体" w:cs="宋体"/>
          <w:color w:val="auto"/>
          <w:sz w:val="21"/>
          <w:szCs w:val="21"/>
          <w:highlight w:val="none"/>
        </w:rPr>
        <w:t>管理其软件业务运维单位合理合规使用数据库。</w:t>
      </w:r>
    </w:p>
    <w:p w14:paraId="756BF8C6">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bookmarkStart w:id="277" w:name="_Toc18445"/>
      <w:bookmarkStart w:id="278" w:name="_Toc2216"/>
      <w:bookmarkStart w:id="279" w:name="_Toc256000091"/>
      <w:bookmarkStart w:id="280" w:name="_Toc31852"/>
      <w:bookmarkStart w:id="281" w:name="_Toc20173"/>
      <w:bookmarkStart w:id="282" w:name="_Toc14083"/>
      <w:r>
        <w:rPr>
          <w:rFonts w:hint="eastAsia" w:ascii="宋体" w:hAnsi="宋体" w:eastAsia="宋体" w:cs="宋体"/>
          <w:bCs/>
          <w:color w:val="auto"/>
          <w:sz w:val="21"/>
          <w:szCs w:val="21"/>
          <w:highlight w:val="none"/>
        </w:rPr>
        <w:t>云数据库服务</w:t>
      </w:r>
      <w:bookmarkEnd w:id="277"/>
      <w:bookmarkEnd w:id="278"/>
      <w:bookmarkEnd w:id="279"/>
      <w:bookmarkEnd w:id="280"/>
      <w:bookmarkEnd w:id="281"/>
      <w:bookmarkEnd w:id="282"/>
      <w:r>
        <w:rPr>
          <w:rFonts w:hint="eastAsia" w:ascii="宋体" w:hAnsi="宋体" w:eastAsia="宋体" w:cs="宋体"/>
          <w:bCs/>
          <w:color w:val="auto"/>
          <w:sz w:val="21"/>
          <w:szCs w:val="21"/>
          <w:highlight w:val="none"/>
          <w:lang w:eastAsia="zh-CN"/>
        </w:rPr>
        <w:t xml:space="preserve"> </w:t>
      </w:r>
    </w:p>
    <w:p w14:paraId="0C7A5345">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bookmarkStart w:id="283" w:name="_Toc256000092"/>
      <w:bookmarkStart w:id="284" w:name="_Toc12876"/>
      <w:bookmarkStart w:id="285" w:name="_Toc10144"/>
      <w:bookmarkStart w:id="286" w:name="_Toc19128"/>
      <w:bookmarkStart w:id="287" w:name="_Toc13909"/>
      <w:bookmarkStart w:id="288" w:name="_Toc18242"/>
      <w:r>
        <w:rPr>
          <w:rFonts w:hint="eastAsia" w:ascii="宋体" w:hAnsi="宋体" w:eastAsia="宋体" w:cs="宋体"/>
          <w:b/>
          <w:bCs/>
          <w:color w:val="auto"/>
          <w:sz w:val="21"/>
          <w:szCs w:val="21"/>
          <w:highlight w:val="none"/>
        </w:rPr>
        <w:t>国产云数据库</w:t>
      </w:r>
      <w:bookmarkEnd w:id="283"/>
      <w:bookmarkEnd w:id="284"/>
      <w:bookmarkEnd w:id="285"/>
      <w:bookmarkEnd w:id="286"/>
      <w:bookmarkEnd w:id="287"/>
      <w:bookmarkEnd w:id="288"/>
      <w:r>
        <w:rPr>
          <w:rFonts w:hint="eastAsia" w:ascii="宋体" w:hAnsi="宋体" w:eastAsia="宋体" w:cs="宋体"/>
          <w:bCs/>
          <w:color w:val="auto"/>
          <w:sz w:val="21"/>
          <w:szCs w:val="21"/>
          <w:highlight w:val="none"/>
          <w:lang w:eastAsia="zh-CN"/>
        </w:rPr>
        <w:t xml:space="preserve"> </w:t>
      </w:r>
    </w:p>
    <w:p w14:paraId="2202DB98">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国产关系型数据库</w:t>
      </w:r>
      <w:r>
        <w:rPr>
          <w:rFonts w:hint="eastAsia" w:ascii="宋体" w:hAnsi="宋体" w:eastAsia="宋体" w:cs="宋体"/>
          <w:bCs/>
          <w:color w:val="auto"/>
          <w:sz w:val="21"/>
          <w:szCs w:val="21"/>
          <w:highlight w:val="none"/>
          <w:lang w:eastAsia="zh-CN"/>
        </w:rPr>
        <w:t xml:space="preserve"> </w:t>
      </w:r>
    </w:p>
    <w:p w14:paraId="1B1212AB">
      <w:pPr>
        <w:pStyle w:val="5"/>
        <w:numPr>
          <w:ilvl w:val="0"/>
          <w:numId w:val="1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4B083CF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5A57624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国产关系型数据库提供国产安全的数据库管理系统的云化服务，内置的国产数据库管理系统需通过中国信息安全测评中心的安全可靠测评。</w:t>
      </w:r>
    </w:p>
    <w:p w14:paraId="1D39149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云数据库能够为政务云的用户提供即开即用、稳定可靠、可弹性伸缩的数据库服务，</w:t>
      </w:r>
      <w:r>
        <w:rPr>
          <w:rStyle w:val="14"/>
          <w:rFonts w:hint="eastAsia" w:ascii="宋体" w:hAnsi="宋体" w:eastAsia="宋体" w:cs="宋体"/>
          <w:color w:val="auto"/>
          <w:sz w:val="21"/>
          <w:szCs w:val="21"/>
          <w:highlight w:val="none"/>
        </w:rPr>
        <w:t>采用关系模型作为数据的组织方式，支持事务的ACID原则，即原子性（Atomicity）、一致性（Consistency）、隔离性（Isolation）、持久性（Durability）， 这</w:t>
      </w:r>
      <w:r>
        <w:rPr>
          <w:rStyle w:val="14"/>
          <w:rFonts w:hint="eastAsia" w:ascii="宋体" w:hAnsi="宋体" w:eastAsia="宋体" w:cs="宋体"/>
          <w:color w:val="auto"/>
          <w:sz w:val="21"/>
          <w:szCs w:val="21"/>
          <w:highlight w:val="none"/>
          <w:lang w:eastAsia="zh-CN"/>
        </w:rPr>
        <w:t>四项</w:t>
      </w:r>
      <w:r>
        <w:rPr>
          <w:rStyle w:val="14"/>
          <w:rFonts w:hint="eastAsia" w:ascii="宋体" w:hAnsi="宋体" w:eastAsia="宋体" w:cs="宋体"/>
          <w:color w:val="auto"/>
          <w:sz w:val="21"/>
          <w:szCs w:val="21"/>
          <w:highlight w:val="none"/>
        </w:rPr>
        <w:t>原则保证在事务过程当中数据的正确性。国产关系数据库用于提供存储和管理结构化数据的服务</w:t>
      </w:r>
      <w:r>
        <w:rPr>
          <w:rStyle w:val="14"/>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极大简化了数据库使用、管理和运维流程，提升了业务上线速度，同时降低投资成本。</w:t>
      </w:r>
    </w:p>
    <w:p w14:paraId="3D82E55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06EC7E6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数据库是政务云数据库统一管理、资源集约化和降低运维成本的有力工具。用于支撑政务内部的信息管理系统和对外的业务系统的高效运行，通过提供稳定、可靠的数据存储服务，保障政务数据的准确性和时效性。能够提供关系型数据库、主备集群、读写分类集群等多种数据库服务，按需适配各种业务场景。</w:t>
      </w:r>
    </w:p>
    <w:p w14:paraId="606B55BA">
      <w:pPr>
        <w:pStyle w:val="5"/>
        <w:numPr>
          <w:ilvl w:val="0"/>
          <w:numId w:val="1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0F54E9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（1）高可用：支持高可用服务，当单个服务或服务器出现故障时平台服务不受影响，保障生产环境运行的连续性和稳定性。同时数据库服务异常时，具备服务漂移能力，实现服务自愈。</w:t>
      </w:r>
    </w:p>
    <w:p w14:paraId="0A744B5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管理：支持基于云原生技术管理数据库服务实例，用户可以查看当前数据库服务的类型、版本、集群区域、运行状态和标签等，并可以对数据库服务进行快捷操作，如事件查看、管理、规格变更、重启、冻结、删除等。</w:t>
      </w:r>
    </w:p>
    <w:p w14:paraId="3516585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（3）多租户：支持多租户资源管理，不同租户的实例在资源、网络等方面是隔离的。</w:t>
      </w:r>
    </w:p>
    <w:p w14:paraId="4A82393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（4）芯片架构：支持C86或ARM芯片架构，可适配海光、飞腾、鲲鹏等主流处理器，支持主流国产操作系统。</w:t>
      </w:r>
    </w:p>
    <w:p w14:paraId="5FAE561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（5）日志及监控：支持对数据库实例的操作日志管理；支持数据库引擎监控和云主机监控，包括CPU使用率、内存使用情况、任务数、线程情况、会话数、SQL执行次数、吞吐量等。</w:t>
      </w:r>
    </w:p>
    <w:p w14:paraId="00DFB43C">
      <w:pPr>
        <w:pStyle w:val="5"/>
        <w:numPr>
          <w:ilvl w:val="0"/>
          <w:numId w:val="1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0F87B87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（1）支持100节点集群部署。</w:t>
      </w:r>
    </w:p>
    <w:p w14:paraId="238A0CA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（2）4核cpu+16GB内存规格的单数据库实例TPS值达到3400以上。</w:t>
      </w:r>
    </w:p>
    <w:p w14:paraId="30A25EB1">
      <w:pPr>
        <w:pStyle w:val="5"/>
        <w:numPr>
          <w:ilvl w:val="0"/>
          <w:numId w:val="1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3217796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（1）提供数据库操作平台，实现完整的日常数据库维护及开发功能。</w:t>
      </w:r>
    </w:p>
    <w:p w14:paraId="3488AE2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（2）提供原厂数据库迁移工具，全程配合云使用单位完成迁移工作。</w:t>
      </w:r>
    </w:p>
    <w:p w14:paraId="778E5EC3">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国产非关系型数据库（NoSQL Database Service）</w:t>
      </w:r>
    </w:p>
    <w:p w14:paraId="0C68CB93">
      <w:pPr>
        <w:pStyle w:val="5"/>
        <w:keepNext/>
        <w:keepLines/>
        <w:numPr>
          <w:ilvl w:val="5"/>
          <w:numId w:val="16"/>
        </w:numPr>
        <w:spacing w:line="360" w:lineRule="auto"/>
        <w:contextualSpacing/>
        <w:outlineLvl w:val="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文档数据库</w:t>
      </w:r>
      <w:r>
        <w:rPr>
          <w:rFonts w:hint="eastAsia" w:ascii="宋体" w:hAnsi="宋体" w:eastAsia="宋体" w:cs="宋体"/>
          <w:bCs/>
          <w:color w:val="auto"/>
          <w:sz w:val="21"/>
          <w:szCs w:val="21"/>
          <w:highlight w:val="none"/>
          <w:lang w:eastAsia="zh-CN"/>
        </w:rPr>
        <w:t xml:space="preserve"> </w:t>
      </w:r>
    </w:p>
    <w:p w14:paraId="530D9ABF">
      <w:pPr>
        <w:pStyle w:val="5"/>
        <w:numPr>
          <w:ilvl w:val="0"/>
          <w:numId w:val="2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5277EB9D">
      <w:pPr>
        <w:pStyle w:val="5"/>
        <w:numPr>
          <w:ilvl w:val="0"/>
          <w:numId w:val="21"/>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服务定义</w:t>
      </w:r>
    </w:p>
    <w:p w14:paraId="3527296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档数据库提供了一种灵活、可扩展的方式来处理结构化和非结构化的数据，支持多种数据类型，包括数字、字符串、数组、日期、布尔值、对象以及嵌套文档。能应对大规模数据存储的需求，支持具有多样性、高并发和实时性的数据管理诉求。允许存储结构化、半结构化、非结构化和多态数据。</w:t>
      </w:r>
    </w:p>
    <w:p w14:paraId="507F34E8">
      <w:pPr>
        <w:pStyle w:val="5"/>
        <w:numPr>
          <w:ilvl w:val="0"/>
          <w:numId w:val="21"/>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w:t>
      </w:r>
    </w:p>
    <w:p w14:paraId="17C03D1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1）内容管理</w:t>
      </w:r>
    </w:p>
    <w:p w14:paraId="7F2F901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用于存储和检索网页内容、用户评论、文章等。可以灵活地存储不同结构的文档，如文章、视频、图像等。</w:t>
      </w:r>
    </w:p>
    <w:p w14:paraId="7E19281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2）用户档案管理</w:t>
      </w:r>
    </w:p>
    <w:p w14:paraId="73A4A3F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存储用户个人资料、行为数据、偏好设置等。可以轻松地添加新的字段来扩展用户档案，而不需要修改数据库模式。</w:t>
      </w:r>
    </w:p>
    <w:p w14:paraId="4AFBF60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3）物联网（IoT）数据管理</w:t>
      </w:r>
    </w:p>
    <w:p w14:paraId="7D5D7A6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存储来自传感器的大量非结构化数据。可以快速地插入和查询设备状态、性能指标和实时数据。</w:t>
      </w:r>
    </w:p>
    <w:p w14:paraId="7882620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4）多租户应用程序</w:t>
      </w:r>
    </w:p>
    <w:p w14:paraId="2DD321C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每个租户的数据可以作为独立的文档存储，易于隔离和管理。可以为每个租户定制数据库模式，而不影响其他租户。</w:t>
      </w:r>
    </w:p>
    <w:p w14:paraId="3E859D2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5）实时数据分析和报告</w:t>
      </w:r>
    </w:p>
    <w:p w14:paraId="7CB9944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快速检索和分析文档，以生成实时报告和仪表板。支持复杂的查询，可以跨多个文档进行数据聚合。</w:t>
      </w:r>
    </w:p>
    <w:p w14:paraId="495EA314">
      <w:pPr>
        <w:pStyle w:val="5"/>
        <w:numPr>
          <w:ilvl w:val="0"/>
          <w:numId w:val="2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64ED9DC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（1）兼容MongoDB；支持单节点、副本集和集群三种部署方式，支持跨3AZ部署，支持不同虚机反亲和部署；支持集群、副本集扩容，支持规格变更。</w:t>
      </w:r>
    </w:p>
    <w:p w14:paraId="3B95CD8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（2）支持自动、手动主备切换；支持修改连接IP、公网访问，支持开启Shard IP和Config IP；支持自定义访问控制、支持SSL加密；数据可靠性达99.999%。</w:t>
      </w:r>
    </w:p>
    <w:p w14:paraId="238EACA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（3）支持监控告警，支持设置监控粒度和告警规则；支持查询慢日志、错误日志；支持管控及API下发的请求上报云审计服务。</w:t>
      </w:r>
    </w:p>
    <w:p w14:paraId="4F0A8D39">
      <w:pPr>
        <w:pStyle w:val="5"/>
        <w:numPr>
          <w:ilvl w:val="0"/>
          <w:numId w:val="2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0892B0D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（1）1000万数据模型，QPS峰值≥10000。</w:t>
      </w:r>
    </w:p>
    <w:p w14:paraId="7467FF6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可支持99.95%的服务可用性。</w:t>
      </w:r>
    </w:p>
    <w:p w14:paraId="7B6C66B3">
      <w:pPr>
        <w:pStyle w:val="5"/>
        <w:keepNext/>
        <w:keepLines/>
        <w:numPr>
          <w:ilvl w:val="5"/>
          <w:numId w:val="16"/>
        </w:numPr>
        <w:spacing w:line="360" w:lineRule="auto"/>
        <w:contextualSpacing/>
        <w:outlineLvl w:val="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缓存数据库</w:t>
      </w:r>
      <w:r>
        <w:rPr>
          <w:rFonts w:hint="eastAsia" w:ascii="宋体" w:hAnsi="宋体" w:eastAsia="宋体" w:cs="宋体"/>
          <w:bCs/>
          <w:color w:val="auto"/>
          <w:sz w:val="21"/>
          <w:szCs w:val="21"/>
          <w:highlight w:val="none"/>
          <w:lang w:eastAsia="zh-CN"/>
        </w:rPr>
        <w:t xml:space="preserve"> </w:t>
      </w:r>
    </w:p>
    <w:p w14:paraId="2829A085">
      <w:pPr>
        <w:pStyle w:val="5"/>
        <w:numPr>
          <w:ilvl w:val="0"/>
          <w:numId w:val="2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 服务说明</w:t>
      </w:r>
    </w:p>
    <w:p w14:paraId="368CACE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服务定义</w:t>
      </w:r>
    </w:p>
    <w:p w14:paraId="5851388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缓存数据库是兼容Redis的高速内存数据处理引擎，提供即开即用、安全可靠、弹性扩容、便捷管理的在线分布式缓存能力，满足用户高并发及数据快速访问的业务诉求。相比传统磁盘数据库，缓存数据库能够有效减少数据库磁盘IO，提高数据查询效率，减轻管理维护工作量，降低数据库存储成本。</w:t>
      </w:r>
    </w:p>
    <w:p w14:paraId="00B8D69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应用场景</w:t>
      </w:r>
    </w:p>
    <w:p w14:paraId="3DF238F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适用于大规模数据访问、对数据查询效率要求高、数据结构简单且不涉及太多关联查询的场景。</w:t>
      </w:r>
    </w:p>
    <w:p w14:paraId="571260C2">
      <w:pPr>
        <w:pStyle w:val="5"/>
        <w:numPr>
          <w:ilvl w:val="0"/>
          <w:numId w:val="2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10F85CD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实例管理：支持在数据库控制台创建应用场景的数据库实例。完成实例创建后，支持对实例进行重启、删除等操作。支持查看账号权限范围内，实例列表和实例详细信息，支持对目标实例进行变更实例规格（包括升/降配）、设置白名单的操作。</w:t>
      </w:r>
    </w:p>
    <w:p w14:paraId="2648441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（2）账号管理：支持对数据库账号进行创建、查看、删除、重置密码、修改权限等操作。</w:t>
      </w:r>
    </w:p>
    <w:p w14:paraId="4B6D70E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（3）库表管理：数据库创建完成后，支持对数据库进行管理，包括创建、清空数据操作。</w:t>
      </w:r>
    </w:p>
    <w:p w14:paraId="7A36E9F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（4）监控告警：支持对数据库实例的多项关键指标如数据量、资源统计等进行监控。</w:t>
      </w:r>
    </w:p>
    <w:p w14:paraId="56AD37C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（5）备份恢复：支持对数据库实例进行备份和恢复，以保证数据的可靠性。当数据库发生故障时，通过还原备份集将数据恢复到可用状态。</w:t>
      </w:r>
    </w:p>
    <w:p w14:paraId="55E8C7F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（6）芯片支持：支持C86或ARM芯片架构，可适配海光、飞腾等主流处理器，支持主流国产操作系统。</w:t>
      </w:r>
    </w:p>
    <w:p w14:paraId="6CB27C0E">
      <w:pPr>
        <w:pStyle w:val="5"/>
        <w:numPr>
          <w:ilvl w:val="0"/>
          <w:numId w:val="2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57357B6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QPS（Queries-per-second）即每秒查询率：QPS大于60000。</w:t>
      </w:r>
    </w:p>
    <w:p w14:paraId="6E9A04DA">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国产分布式数据库</w:t>
      </w:r>
      <w:r>
        <w:rPr>
          <w:rFonts w:hint="eastAsia" w:ascii="宋体" w:hAnsi="宋体" w:eastAsia="宋体" w:cs="宋体"/>
          <w:bCs/>
          <w:color w:val="auto"/>
          <w:sz w:val="21"/>
          <w:szCs w:val="21"/>
          <w:highlight w:val="none"/>
          <w:lang w:eastAsia="zh-CN"/>
        </w:rPr>
        <w:t xml:space="preserve"> </w:t>
      </w:r>
    </w:p>
    <w:p w14:paraId="0D700EEB">
      <w:pPr>
        <w:pStyle w:val="5"/>
        <w:numPr>
          <w:ilvl w:val="0"/>
          <w:numId w:val="2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2323D5D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3976B5B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将数据分散存储在多个节点上，通过网络连接进行协作和管理的数据库服务。</w:t>
      </w:r>
    </w:p>
    <w:p w14:paraId="54C9349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720218C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用于大规模数据存储和高并发的应用场景。</w:t>
      </w:r>
    </w:p>
    <w:p w14:paraId="6ECD54F8">
      <w:pPr>
        <w:pStyle w:val="5"/>
        <w:numPr>
          <w:ilvl w:val="0"/>
          <w:numId w:val="2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6DF877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高可用：支持三节点及以上高可用。发生单点故障时能够自动故障转移，数据不丢失，业务不中断；对发生故障的服务器、磁盘自动隔离，不影响服务继续运行；可通过自动搭建新从库的方式恢复高可用服务。</w:t>
      </w:r>
    </w:p>
    <w:p w14:paraId="6181588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（2）服务托管：基于云原生技术托管服务实例，用户可对产品实例进行自助管理，包括多种规格实例开通、释放、 配置变更、参数更新等操作。</w:t>
      </w:r>
    </w:p>
    <w:p w14:paraId="429E95A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（3）多租户：支持多租户资源管理，不同租户的实例在资源、网络等方面是隔离的。</w:t>
      </w:r>
    </w:p>
    <w:p w14:paraId="260017A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（4）弹性变配：可根据需求对实例进行弹性变配，包括对CPU、内存的升配和降配，可对存储空间扩容、支持自动扩展。</w:t>
      </w:r>
    </w:p>
    <w:p w14:paraId="564BC28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（5）芯片支持：支持C86或ARM芯片架构，可适配海光、飞腾、鲲鹏等主流处理器，支持主流国产操作系统。</w:t>
      </w:r>
    </w:p>
    <w:p w14:paraId="3A66938A">
      <w:pPr>
        <w:pStyle w:val="5"/>
        <w:numPr>
          <w:ilvl w:val="0"/>
          <w:numId w:val="2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5F536D6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（1）支持IOPS（Input/Output Operations Per Second）即每秒输入/输出操作数≥ 600；</w:t>
      </w:r>
    </w:p>
    <w:p w14:paraId="68E4462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（2）并发连接数≥1200。</w:t>
      </w:r>
    </w:p>
    <w:p w14:paraId="212741D8">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bookmarkStart w:id="289" w:name="_Toc9653"/>
      <w:bookmarkStart w:id="290" w:name="_Toc256000093"/>
      <w:bookmarkStart w:id="291" w:name="_Toc3568"/>
      <w:bookmarkStart w:id="292" w:name="_Toc13768"/>
      <w:bookmarkStart w:id="293" w:name="_Toc25251"/>
      <w:bookmarkStart w:id="294" w:name="_Toc3083"/>
      <w:r>
        <w:rPr>
          <w:rFonts w:hint="eastAsia" w:ascii="宋体" w:hAnsi="宋体" w:eastAsia="宋体" w:cs="宋体"/>
          <w:bCs/>
          <w:color w:val="auto"/>
          <w:sz w:val="21"/>
          <w:szCs w:val="21"/>
          <w:highlight w:val="none"/>
        </w:rPr>
        <w:t>中间件服务</w:t>
      </w:r>
      <w:bookmarkEnd w:id="289"/>
      <w:bookmarkEnd w:id="290"/>
      <w:bookmarkEnd w:id="291"/>
      <w:bookmarkEnd w:id="292"/>
      <w:bookmarkEnd w:id="293"/>
      <w:bookmarkEnd w:id="294"/>
    </w:p>
    <w:p w14:paraId="4C0D8655">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bookmarkStart w:id="295" w:name="_Toc25471"/>
      <w:bookmarkStart w:id="296" w:name="_Toc6877"/>
      <w:bookmarkStart w:id="297" w:name="_Toc5501"/>
      <w:bookmarkStart w:id="298" w:name="_Toc22147"/>
      <w:bookmarkStart w:id="299" w:name="_Toc24731"/>
      <w:bookmarkStart w:id="300" w:name="_Toc256000094"/>
      <w:r>
        <w:rPr>
          <w:rFonts w:hint="eastAsia" w:ascii="宋体" w:hAnsi="宋体" w:eastAsia="宋体" w:cs="宋体"/>
          <w:b/>
          <w:bCs/>
          <w:color w:val="auto"/>
          <w:sz w:val="21"/>
          <w:szCs w:val="21"/>
          <w:highlight w:val="none"/>
        </w:rPr>
        <w:t>国产中间服务</w:t>
      </w:r>
      <w:bookmarkEnd w:id="295"/>
      <w:bookmarkEnd w:id="296"/>
      <w:bookmarkEnd w:id="297"/>
      <w:bookmarkEnd w:id="298"/>
      <w:bookmarkEnd w:id="299"/>
      <w:bookmarkEnd w:id="300"/>
    </w:p>
    <w:p w14:paraId="03AB7BCD">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国产中间件软件</w:t>
      </w:r>
    </w:p>
    <w:p w14:paraId="17368165">
      <w:pPr>
        <w:pStyle w:val="5"/>
        <w:numPr>
          <w:ilvl w:val="0"/>
          <w:numId w:val="2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7E93D6D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5C0A1CB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提供正版国产化应用服务器中间件软件，如：金蝶天燕、东方通、宝兰德等。</w:t>
      </w:r>
    </w:p>
    <w:p w14:paraId="00D2C02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34E4AF9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用于在物理机或虚拟机上直接安装中间件软件部署、使用需求场景。技术方案中需提供中间件的完整安装方案，需提供该中间件的原厂授权函和服务承诺。</w:t>
      </w:r>
    </w:p>
    <w:p w14:paraId="17CDDDD8">
      <w:pPr>
        <w:pStyle w:val="5"/>
        <w:numPr>
          <w:ilvl w:val="0"/>
          <w:numId w:val="2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68895D1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（1）产品应遵循国际标准规范，须通过Java EE 5、6、7、8以及Jakarta EE9.1、10等标准规范的官方兼容认证，并逐个提供Java EE和Jakarta EE对上述标准兼容认证的查询网址及网页截图。</w:t>
      </w:r>
    </w:p>
    <w:p w14:paraId="2D1AB09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（2）要求提供满足安全基线要求的应用中间件软件。</w:t>
      </w:r>
    </w:p>
    <w:p w14:paraId="71E8C3C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（3）要求提供应用中间件软件租用、安装部署及维护。</w:t>
      </w:r>
    </w:p>
    <w:p w14:paraId="68392040">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bookmarkStart w:id="301" w:name="_Toc21144"/>
      <w:bookmarkStart w:id="302" w:name="_Toc14963"/>
      <w:bookmarkStart w:id="303" w:name="_Toc15612"/>
      <w:bookmarkStart w:id="304" w:name="_Toc7749"/>
      <w:bookmarkStart w:id="305" w:name="_Toc3474"/>
      <w:bookmarkStart w:id="306" w:name="_Toc256000095"/>
      <w:r>
        <w:rPr>
          <w:rFonts w:hint="eastAsia" w:ascii="宋体" w:hAnsi="宋体" w:eastAsia="宋体" w:cs="宋体"/>
          <w:bCs/>
          <w:color w:val="auto"/>
          <w:sz w:val="21"/>
          <w:szCs w:val="21"/>
          <w:highlight w:val="none"/>
        </w:rPr>
        <w:t>数据仓库服务</w:t>
      </w:r>
      <w:bookmarkEnd w:id="301"/>
      <w:bookmarkEnd w:id="302"/>
      <w:bookmarkEnd w:id="303"/>
      <w:bookmarkEnd w:id="304"/>
      <w:bookmarkEnd w:id="305"/>
      <w:bookmarkEnd w:id="306"/>
      <w:r>
        <w:rPr>
          <w:rFonts w:hint="eastAsia" w:ascii="宋体" w:hAnsi="宋体" w:eastAsia="宋体" w:cs="宋体"/>
          <w:bCs/>
          <w:color w:val="auto"/>
          <w:sz w:val="21"/>
          <w:szCs w:val="21"/>
          <w:highlight w:val="none"/>
          <w:lang w:eastAsia="zh-CN"/>
        </w:rPr>
        <w:t xml:space="preserve"> </w:t>
      </w:r>
    </w:p>
    <w:p w14:paraId="1466239C">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bookmarkStart w:id="307" w:name="_Toc22240"/>
      <w:bookmarkStart w:id="308" w:name="_Toc256000096"/>
      <w:bookmarkStart w:id="309" w:name="_Toc17271"/>
      <w:bookmarkStart w:id="310" w:name="_Toc6672"/>
      <w:bookmarkStart w:id="311" w:name="_Toc811"/>
      <w:bookmarkStart w:id="312" w:name="_Toc12367"/>
      <w:r>
        <w:rPr>
          <w:rFonts w:hint="eastAsia" w:ascii="宋体" w:hAnsi="宋体" w:eastAsia="宋体" w:cs="宋体"/>
          <w:b/>
          <w:bCs/>
          <w:color w:val="auto"/>
          <w:sz w:val="21"/>
          <w:szCs w:val="21"/>
          <w:highlight w:val="none"/>
        </w:rPr>
        <w:t>数据仓库</w:t>
      </w:r>
      <w:bookmarkEnd w:id="307"/>
      <w:bookmarkEnd w:id="308"/>
      <w:bookmarkEnd w:id="309"/>
      <w:bookmarkEnd w:id="310"/>
      <w:bookmarkEnd w:id="311"/>
      <w:bookmarkEnd w:id="312"/>
      <w:r>
        <w:rPr>
          <w:rFonts w:hint="eastAsia" w:ascii="宋体" w:hAnsi="宋体" w:eastAsia="宋体" w:cs="宋体"/>
          <w:bCs/>
          <w:color w:val="auto"/>
          <w:sz w:val="21"/>
          <w:szCs w:val="21"/>
          <w:highlight w:val="none"/>
          <w:lang w:eastAsia="zh-CN"/>
        </w:rPr>
        <w:t xml:space="preserve"> </w:t>
      </w:r>
    </w:p>
    <w:p w14:paraId="76AA4F4D">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分析型数据库</w:t>
      </w:r>
      <w:r>
        <w:rPr>
          <w:rFonts w:hint="eastAsia" w:ascii="宋体" w:hAnsi="宋体" w:eastAsia="宋体" w:cs="宋体"/>
          <w:bCs/>
          <w:color w:val="auto"/>
          <w:sz w:val="21"/>
          <w:szCs w:val="21"/>
          <w:highlight w:val="none"/>
          <w:lang w:eastAsia="zh-CN"/>
        </w:rPr>
        <w:t xml:space="preserve"> </w:t>
      </w:r>
    </w:p>
    <w:p w14:paraId="16F21EB4">
      <w:pPr>
        <w:pStyle w:val="5"/>
        <w:numPr>
          <w:ilvl w:val="0"/>
          <w:numId w:val="2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5486294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0AA8988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据仓库是一个面向主题的、集成的、非易失的且随时间变化的数据集合。传统的数据库系统中缺乏决策分析所需的大量历史数据信息，因为传统的数据库一般只保留当前或近期的数据信息。为了满足管理人员预测、决策分析的需要，在传统数据库的基础上产生了能够满足预测、决策分析需要的数据环境——数据仓库。用于存储和管理大规模结构化和非结构化数据的服务。</w:t>
      </w:r>
    </w:p>
    <w:p w14:paraId="52380D4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78B30C3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用于海量数据查询统计分析能力与事务处理能力以及各种大数据量、高并发的应用场景。</w:t>
      </w:r>
    </w:p>
    <w:p w14:paraId="41C9332C">
      <w:pPr>
        <w:pStyle w:val="5"/>
        <w:numPr>
          <w:ilvl w:val="0"/>
          <w:numId w:val="25"/>
        </w:numPr>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功能要求</w:t>
      </w:r>
    </w:p>
    <w:p w14:paraId="3FA0E4E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（1）支持高扩展性、支持分布式事务，支持海量数据存储、查询，支持增删改查等操作，支持自定义函数，提供集群监控能力和大并发响应能力等。</w:t>
      </w:r>
    </w:p>
    <w:p w14:paraId="1FB889E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（2）支持100TB级数据查询和分析支撑能力，可以高效处理百亿行多表复杂的数据连接查询，用于海量数据查询统计分析能力与事务处理能力。</w:t>
      </w:r>
    </w:p>
    <w:p w14:paraId="06CDDA7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（3）详单查询具备PB级数据负载能力，满足海量数据实时查询要求。</w:t>
      </w:r>
    </w:p>
    <w:p w14:paraId="567AA67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（4）支持与大数据生态组件的兼容性，例如 HDFS 文件系统、Kafka 流式计算等组件，兼容项目包括双向访问数据和双向数据操作。</w:t>
      </w:r>
    </w:p>
    <w:p w14:paraId="2E4A67FA">
      <w:pPr>
        <w:pStyle w:val="5"/>
        <w:pageBreakBefore w:val="0"/>
        <w:kinsoku/>
        <w:wordWrap/>
        <w:overflowPunct/>
        <w:topLinePunct w:val="0"/>
        <w:autoSpaceDE/>
        <w:autoSpaceDN/>
        <w:bidi w:val="0"/>
        <w:snapToGrid w:val="0"/>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（5）支持把复杂的多表关联查询转变为单表简单查询，提供图形化界面的数据库优化设计工具，支持对数据库进行全量优化设计和增量优化。</w:t>
      </w:r>
    </w:p>
    <w:p w14:paraId="3BAD97CC">
      <w:pPr>
        <w:pStyle w:val="5"/>
        <w:pageBreakBefore w:val="0"/>
        <w:kinsoku/>
        <w:wordWrap/>
        <w:overflowPunct/>
        <w:topLinePunct w:val="0"/>
        <w:autoSpaceDE/>
        <w:autoSpaceDN/>
        <w:bidi w:val="0"/>
        <w:snapToGrid w:val="0"/>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（6）具备存储、读取JSON 数据类型的功能，并支持 JSON 创建函数、处理函数，支持主存储及副本自动均衡。</w:t>
      </w:r>
    </w:p>
    <w:p w14:paraId="2183B1C5">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（7）支持C86、ARM芯片架构，适配鲲鹏、飞腾、海光等主流处理器，支持主流国产操作系统。</w:t>
      </w:r>
    </w:p>
    <w:p w14:paraId="53F898A0">
      <w:pPr>
        <w:pStyle w:val="5"/>
        <w:numPr>
          <w:ilvl w:val="0"/>
          <w:numId w:val="2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1B5772E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（1）数据量：支持存储数据量大于10TB，支持在线扩容。</w:t>
      </w:r>
    </w:p>
    <w:p w14:paraId="22CC198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（2）并发：支持大于30个并发的查询，并发能力随集群规模线性增加。</w:t>
      </w:r>
    </w:p>
    <w:p w14:paraId="03120669">
      <w:pPr>
        <w:pStyle w:val="5"/>
        <w:numPr>
          <w:ilvl w:val="0"/>
          <w:numId w:val="2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57EB19E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（1）提供相关技术培训，提供相关技术文档、最佳实践、开发指南等指导ISV厂商/用户进行数据仓库迁移。</w:t>
      </w:r>
    </w:p>
    <w:p w14:paraId="40C18D8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（2）提供相关数仓迁移工具，配合使用单位在不同云平台之间的数据仓库迁移，并配合应用侧完成迁移适配，保障业务快速迁移和部署。</w:t>
      </w:r>
    </w:p>
    <w:p w14:paraId="5F4E59C5">
      <w:pPr>
        <w:pStyle w:val="5"/>
        <w:keepNext/>
        <w:keepLines/>
        <w:numPr>
          <w:ilvl w:val="2"/>
          <w:numId w:val="16"/>
        </w:numPr>
        <w:adjustRightInd w:val="0"/>
        <w:snapToGrid w:val="0"/>
        <w:spacing w:before="156" w:after="156" w:line="360" w:lineRule="auto"/>
        <w:contextualSpacing/>
        <w:outlineLvl w:val="2"/>
        <w:rPr>
          <w:rFonts w:hint="eastAsia" w:ascii="宋体" w:hAnsi="宋体" w:eastAsia="宋体" w:cs="宋体"/>
          <w:bCs/>
          <w:color w:val="auto"/>
          <w:sz w:val="21"/>
          <w:szCs w:val="21"/>
          <w:highlight w:val="none"/>
        </w:rPr>
      </w:pPr>
      <w:bookmarkStart w:id="313" w:name="_Toc23314"/>
      <w:bookmarkStart w:id="314" w:name="_Toc4830"/>
      <w:bookmarkStart w:id="315" w:name="_Toc10330"/>
      <w:bookmarkStart w:id="316" w:name="_Toc972"/>
      <w:bookmarkStart w:id="317" w:name="_Toc256000097"/>
      <w:bookmarkStart w:id="318" w:name="_Toc6401"/>
      <w:r>
        <w:rPr>
          <w:rFonts w:hint="eastAsia" w:ascii="宋体" w:hAnsi="宋体" w:eastAsia="宋体" w:cs="宋体"/>
          <w:bCs/>
          <w:color w:val="auto"/>
          <w:sz w:val="21"/>
          <w:szCs w:val="21"/>
          <w:highlight w:val="none"/>
        </w:rPr>
        <w:t>商用密码服务</w:t>
      </w:r>
      <w:bookmarkEnd w:id="313"/>
      <w:bookmarkEnd w:id="314"/>
      <w:bookmarkEnd w:id="315"/>
      <w:bookmarkEnd w:id="316"/>
      <w:bookmarkEnd w:id="317"/>
      <w:bookmarkEnd w:id="318"/>
    </w:p>
    <w:p w14:paraId="3CF7087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云服务商在中标后须按照采购方的要求，在遵循国家密码标准和接口规范前提下，共同协商设计一个统一的密码接口规范，接口应具备清晰的文档说明和易于使用的 API，方便开发人员进行集成和调用，确保新增业务系统在不</w:t>
      </w:r>
      <w:r>
        <w:rPr>
          <w:rFonts w:hint="eastAsia" w:ascii="宋体" w:hAnsi="宋体" w:eastAsia="宋体" w:cs="宋体"/>
          <w:color w:val="auto"/>
          <w:sz w:val="21"/>
          <w:szCs w:val="21"/>
          <w:highlight w:val="none"/>
          <w:lang w:eastAsia="zh-CN"/>
        </w:rPr>
        <w:t>做</w:t>
      </w:r>
      <w:r>
        <w:rPr>
          <w:rFonts w:hint="eastAsia" w:ascii="宋体" w:hAnsi="宋体" w:eastAsia="宋体" w:cs="宋体"/>
          <w:color w:val="auto"/>
          <w:sz w:val="21"/>
          <w:szCs w:val="21"/>
          <w:highlight w:val="none"/>
        </w:rPr>
        <w:t>密码调用接口改造的前提下实现无缝跨云迁移。原则上各云服务商须采用标准的GM算法，不得做某种特定的优化修改，确保异构厂商加密算法和协议兼容，以满足不同业务场景的安全需求。云服务提供商不得将密码服务平台和云平台深度绑定，确保业务可实现无障碍跨云迁移。各云服务商密码平台支持多种操作系统、数据库和应用程序，确保在不同云环境下都能正常运行。密码服务的价格均已经包含了相关服务所需的云主机的费用，即密码服务中所需的云主机由云服务商提供，不需要另外单独采购。</w:t>
      </w:r>
    </w:p>
    <w:p w14:paraId="5790A7FC">
      <w:pPr>
        <w:pStyle w:val="5"/>
        <w:keepNext/>
        <w:keepLines/>
        <w:numPr>
          <w:ilvl w:val="3"/>
          <w:numId w:val="16"/>
        </w:numPr>
        <w:adjustRightInd w:val="0"/>
        <w:snapToGrid w:val="0"/>
        <w:spacing w:line="360" w:lineRule="auto"/>
        <w:contextualSpacing/>
        <w:outlineLvl w:val="3"/>
        <w:rPr>
          <w:rFonts w:hint="eastAsia" w:ascii="宋体" w:hAnsi="宋体" w:eastAsia="宋体" w:cs="宋体"/>
          <w:b/>
          <w:bCs/>
          <w:color w:val="auto"/>
          <w:sz w:val="21"/>
          <w:szCs w:val="21"/>
          <w:highlight w:val="none"/>
        </w:rPr>
      </w:pPr>
      <w:bookmarkStart w:id="319" w:name="_Toc14964"/>
      <w:bookmarkStart w:id="320" w:name="_Toc12694"/>
      <w:bookmarkStart w:id="321" w:name="_Toc30978"/>
      <w:bookmarkStart w:id="322" w:name="_Toc29253"/>
      <w:bookmarkStart w:id="323" w:name="_Toc28463"/>
      <w:bookmarkStart w:id="324" w:name="_Toc256000098"/>
      <w:r>
        <w:rPr>
          <w:rFonts w:hint="eastAsia" w:ascii="宋体" w:hAnsi="宋体" w:eastAsia="宋体" w:cs="宋体"/>
          <w:b/>
          <w:bCs/>
          <w:color w:val="auto"/>
          <w:sz w:val="21"/>
          <w:szCs w:val="21"/>
          <w:highlight w:val="none"/>
        </w:rPr>
        <w:t>安全网关服务</w:t>
      </w:r>
      <w:bookmarkEnd w:id="319"/>
      <w:bookmarkEnd w:id="320"/>
      <w:bookmarkEnd w:id="321"/>
      <w:bookmarkEnd w:id="322"/>
      <w:bookmarkEnd w:id="323"/>
      <w:bookmarkEnd w:id="324"/>
    </w:p>
    <w:p w14:paraId="03FF9E65">
      <w:pPr>
        <w:pStyle w:val="5"/>
        <w:numPr>
          <w:ilvl w:val="0"/>
          <w:numId w:val="2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604DC662">
      <w:pPr>
        <w:pStyle w:val="5"/>
        <w:numPr>
          <w:ilvl w:val="0"/>
          <w:numId w:val="27"/>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服务定义</w:t>
      </w:r>
    </w:p>
    <w:p w14:paraId="4334ACD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安全网关服务同时支持SSL VPN和IPSec VPN，使用SM2、SM3、SM4等国家商用密码算法，采用多框架密钥交换协议，支持基于口令、证书和标识的身份认证和密钥协商机制，同时结合网络封包截获和代理技术，在实现远程接入的基础上，利用国家密码管理局审批的密码算法对建立的链路进行安全的加密，在加密过程中使用硬件设备提升加密算法的速度，保护密钥的安全性，为用户提供安全上网和安全接入的保障。</w:t>
      </w:r>
    </w:p>
    <w:p w14:paraId="73C0FB34">
      <w:pPr>
        <w:pStyle w:val="5"/>
        <w:numPr>
          <w:ilvl w:val="0"/>
          <w:numId w:val="28"/>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w:t>
      </w:r>
    </w:p>
    <w:p w14:paraId="4FA3494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1）跨安全域加密传输：跨机房/安全域数据传输，采用商密标准IPSec VPN进行传输通道加密；</w:t>
      </w:r>
    </w:p>
    <w:p w14:paraId="38F6EF2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2）移动办公安全接入：满足用户远程办公需求，既要保证人员外出时可以安全访问组织内部网络进行日常工作办理，也要同时确保访问用户身份的合法性与数据的安全性；</w:t>
      </w:r>
    </w:p>
    <w:p w14:paraId="363E78B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3）核心系统平台安全接入：核心系统涉及组织重要敏感信息，信息安全级别要求较高，需要对核心系统进行安全加固，保障用户的安全上网和安全接入。</w:t>
      </w:r>
    </w:p>
    <w:p w14:paraId="7D6EE80E">
      <w:pPr>
        <w:pStyle w:val="5"/>
        <w:numPr>
          <w:ilvl w:val="0"/>
          <w:numId w:val="2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435B3D47">
      <w:pPr>
        <w:pStyle w:val="5"/>
        <w:numPr>
          <w:ilvl w:val="0"/>
          <w:numId w:val="2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支持国产化平台，支持SM2、SM3、SM4等国家商用密码算法。</w:t>
      </w:r>
    </w:p>
    <w:p w14:paraId="404D028D">
      <w:pPr>
        <w:pStyle w:val="5"/>
        <w:numPr>
          <w:ilvl w:val="0"/>
          <w:numId w:val="2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支持使用SM2算法进行密钥协商，建立IPSec隧道；支持OSPF OVER IPSec。支持定期监测网络状态；</w:t>
      </w:r>
    </w:p>
    <w:p w14:paraId="4B13C93A">
      <w:pPr>
        <w:pStyle w:val="5"/>
        <w:numPr>
          <w:ilvl w:val="0"/>
          <w:numId w:val="29"/>
        </w:numP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SSL兼容商密和非商密浏览器，通过配置端口兼容国家商用密码算法和国际算法，实现数据以HTTPS形式传输；</w:t>
      </w:r>
    </w:p>
    <w:p w14:paraId="2F99285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（4）支持“多因子”身份鉴别与访问控制。认证因子至少包含PIN码、数字证书和口令；</w:t>
      </w:r>
    </w:p>
    <w:p w14:paraId="76F4E52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（5）支持X.509证书体系，支持DER/PEM证书编码格式，支持PKCS12证书/私钥加密文件；</w:t>
      </w:r>
    </w:p>
    <w:p w14:paraId="435C7084">
      <w:pPr>
        <w:pStyle w:val="5"/>
        <w:numPr>
          <w:ilvl w:val="0"/>
          <w:numId w:val="2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7B87A0B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IPSec：密文吞吐率 ≥1Gbps、最大并发隧道数 ≥3000。</w:t>
      </w:r>
    </w:p>
    <w:p w14:paraId="77B77C3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SSL:密文吞吐率 ≥1Gbps、最大并发连接数 ≥5W、最大并发用户数 ≥10000、每秒新建连接数 ≥800。</w:t>
      </w:r>
    </w:p>
    <w:p w14:paraId="218DADF7">
      <w:pPr>
        <w:pStyle w:val="5"/>
        <w:numPr>
          <w:ilvl w:val="0"/>
          <w:numId w:val="2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185C410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（1）提供安全网关服务的产品需经商密局检测合格，符合《GM/T 0028 密码模块安全技术要求》安全等级二级的安全性认证，具有《商用密码产品认证证书》。</w:t>
      </w:r>
    </w:p>
    <w:p w14:paraId="40CF797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（2）安全接入网关需支持IPv4/IPv6双协议栈。</w:t>
      </w:r>
    </w:p>
    <w:p w14:paraId="67B9211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（3）云服务商</w:t>
      </w:r>
      <w:r>
        <w:rPr>
          <w:rFonts w:hint="eastAsia" w:ascii="宋体" w:hAnsi="宋体" w:eastAsia="宋体" w:cs="宋体"/>
          <w:color w:val="auto"/>
          <w:sz w:val="21"/>
          <w:szCs w:val="21"/>
          <w:highlight w:val="none"/>
          <w:lang w:val="en-US" w:eastAsia="zh-CN"/>
        </w:rPr>
        <w:t>在</w:t>
      </w:r>
      <w:r>
        <w:rPr>
          <w:rFonts w:hint="eastAsia" w:ascii="宋体" w:hAnsi="宋体" w:eastAsia="宋体" w:cs="宋体"/>
          <w:color w:val="auto"/>
          <w:sz w:val="21"/>
          <w:szCs w:val="21"/>
          <w:highlight w:val="none"/>
        </w:rPr>
        <w:t>政务外网业务区和互联网区</w:t>
      </w:r>
      <w:r>
        <w:rPr>
          <w:rFonts w:hint="eastAsia" w:ascii="宋体" w:hAnsi="宋体" w:eastAsia="宋体" w:cs="宋体"/>
          <w:color w:val="auto"/>
          <w:sz w:val="21"/>
          <w:szCs w:val="21"/>
          <w:highlight w:val="none"/>
          <w:lang w:val="en-US" w:eastAsia="zh-CN"/>
        </w:rPr>
        <w:t>均</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具备冗余能力的</w:t>
      </w:r>
      <w:r>
        <w:rPr>
          <w:rFonts w:hint="eastAsia" w:ascii="宋体" w:hAnsi="宋体" w:eastAsia="宋体" w:cs="宋体"/>
          <w:color w:val="auto"/>
          <w:sz w:val="21"/>
          <w:szCs w:val="21"/>
          <w:highlight w:val="none"/>
        </w:rPr>
        <w:t>安全网关</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（同时支持IPSec和SSL）</w:t>
      </w:r>
      <w:r>
        <w:rPr>
          <w:rFonts w:hint="eastAsia" w:ascii="宋体" w:hAnsi="宋体" w:eastAsia="宋体" w:cs="宋体"/>
          <w:color w:val="auto"/>
          <w:sz w:val="21"/>
          <w:szCs w:val="21"/>
          <w:highlight w:val="none"/>
          <w:lang w:eastAsia="zh-CN"/>
        </w:rPr>
        <w:t>。</w:t>
      </w:r>
    </w:p>
    <w:p w14:paraId="2331DF6A">
      <w:pPr>
        <w:pStyle w:val="5"/>
        <w:keepNext/>
        <w:keepLines/>
        <w:numPr>
          <w:ilvl w:val="3"/>
          <w:numId w:val="16"/>
        </w:numPr>
        <w:adjustRightInd w:val="0"/>
        <w:snapToGrid w:val="0"/>
        <w:spacing w:line="360" w:lineRule="auto"/>
        <w:contextualSpacing/>
        <w:outlineLvl w:val="3"/>
        <w:rPr>
          <w:rFonts w:hint="eastAsia" w:ascii="宋体" w:hAnsi="宋体" w:eastAsia="宋体" w:cs="宋体"/>
          <w:b/>
          <w:bCs/>
          <w:color w:val="auto"/>
          <w:sz w:val="21"/>
          <w:szCs w:val="21"/>
          <w:highlight w:val="none"/>
        </w:rPr>
      </w:pPr>
      <w:bookmarkStart w:id="325" w:name="_Toc256000099"/>
      <w:bookmarkStart w:id="326" w:name="_Toc31198"/>
      <w:bookmarkStart w:id="327" w:name="_Toc7002"/>
      <w:bookmarkStart w:id="328" w:name="_Toc22861"/>
      <w:bookmarkStart w:id="329" w:name="_Toc1588"/>
      <w:bookmarkStart w:id="330" w:name="_Toc24229"/>
      <w:r>
        <w:rPr>
          <w:rFonts w:hint="eastAsia" w:ascii="宋体" w:hAnsi="宋体" w:eastAsia="宋体" w:cs="宋体"/>
          <w:b/>
          <w:bCs/>
          <w:color w:val="auto"/>
          <w:sz w:val="21"/>
          <w:szCs w:val="21"/>
          <w:highlight w:val="none"/>
        </w:rPr>
        <w:t>数字签名服务</w:t>
      </w:r>
      <w:bookmarkEnd w:id="325"/>
      <w:bookmarkEnd w:id="326"/>
      <w:bookmarkEnd w:id="327"/>
      <w:bookmarkEnd w:id="328"/>
      <w:bookmarkEnd w:id="329"/>
      <w:bookmarkEnd w:id="330"/>
    </w:p>
    <w:p w14:paraId="12960D1C">
      <w:pPr>
        <w:pStyle w:val="5"/>
        <w:keepNext/>
        <w:keepLines/>
        <w:numPr>
          <w:ilvl w:val="4"/>
          <w:numId w:val="16"/>
        </w:numPr>
        <w:snapToGrid w:val="0"/>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云数字签名服务</w:t>
      </w:r>
    </w:p>
    <w:p w14:paraId="1BFF0C8E">
      <w:pPr>
        <w:pStyle w:val="5"/>
        <w:numPr>
          <w:ilvl w:val="0"/>
          <w:numId w:val="3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3C785CD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09B1CF1B">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虚拟机方式。基于数字签名、验证签名技术，为政务信息系统提供应用级数字签名、验证签名等服务。</w:t>
      </w:r>
    </w:p>
    <w:p w14:paraId="6D88CC6D">
      <w:pPr>
        <w:pStyle w:val="5"/>
        <w:numPr>
          <w:ilvl w:val="0"/>
          <w:numId w:val="27"/>
        </w:numPr>
        <w:adjustRightInd w:val="0"/>
        <w:snapToGrid w:val="0"/>
        <w:spacing w:line="360" w:lineRule="auto"/>
        <w:ind w:firstLine="48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w:t>
      </w:r>
    </w:p>
    <w:p w14:paraId="6FFFD278">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1）通用服务：一般类型的数据签名验签场景，提供基于密码机的数据签名验签服务。</w:t>
      </w:r>
    </w:p>
    <w:p w14:paraId="666DEA1E">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2）政务服务：应用于政府机关的网上申报、办公审批、电子公文、CA 系统。通过数字签名服务提供权责分离的管理体系和基于证书的身份认证能力，满足等保要求，打造安全可控系统；</w:t>
      </w:r>
    </w:p>
    <w:p w14:paraId="244F209A">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3）企业信息系统：应用于大型企、事业单位的 OA、财务、人力等自动化办公系统和企业信息化建设。通过数字签名服务生成和管理各类密钥，对传输数据进行加密/解密、签名/验签操作，提供身份认证和数据保护服务，保障系统安全。</w:t>
      </w:r>
    </w:p>
    <w:p w14:paraId="25142D8B">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电子票据：应用于税务、银行、保险和医疗系统等领域的电子发票、电子合同、电子保单、电子病例。通过数字签名服务提供证书签发、身份认证、数据加密/解密、数据/文件的签名/验签服务，确认用户身份真实性，确保票据在生产、传输、流转、存储等环节中的安全性和完整性。</w:t>
      </w:r>
    </w:p>
    <w:p w14:paraId="21B4EAA7">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5）金融支付：应用于电子交易、网上缴费、POS 收单、预付费卡支付、P2P等第三方支付应用。通过数字签名服务生成终端通讯主密钥，提供全周期的加密传输和信息验证，支持对用户身份、支付介质、交易凭证的认证，防止刷单、交易欺骗、抵赖等行为，保障业务安全。</w:t>
      </w:r>
    </w:p>
    <w:p w14:paraId="6B120BE7">
      <w:pPr>
        <w:pStyle w:val="5"/>
        <w:numPr>
          <w:ilvl w:val="0"/>
          <w:numId w:val="3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3A539C1">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（1）支持国产化平台，支持SM2、SM3、SM4等国家商用密码算法。</w:t>
      </w:r>
    </w:p>
    <w:p w14:paraId="0755624F">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（2）签名验签格式支持PKCS#1、PKCS#7 Attach、PKCS#7 Detach、XML等格式的数据签名、签名验证功能；</w:t>
      </w:r>
    </w:p>
    <w:p w14:paraId="4883955E">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（3）密钥备份及恢复功能支持基于备份密钥保护下的密钥备份和恢复，保证系统的安全性和可靠性；</w:t>
      </w:r>
    </w:p>
    <w:p w14:paraId="343E91C7">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（4）可灵活配置CA、CRL、OCSP级别验证证书，并可以配置外部地址或者从证书获取地址等方式验证证书，支持多CA认证模式；</w:t>
      </w:r>
    </w:p>
    <w:p w14:paraId="3B8BA450">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（5）具有用户管理功能，对访问用户分级管理，提高自身的安全性；</w:t>
      </w:r>
    </w:p>
    <w:p w14:paraId="049A38BA">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（6）通道安全：业务服务和管理页面均支持GMSSL协议，支持单向或双向认证，支持在BS模式下基于商密证书的商密浏览器双向SSL安全通信；</w:t>
      </w:r>
    </w:p>
    <w:p w14:paraId="74A92E03">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（7）安全隔离功能：数字签名物理服务器密码机可虚拟成多个独立的签名验签服务单元，为应用提供签名验签服务，并确保各应用对应使用的密码资源安全隔离，同时保持密钥和运算的安全隔离。</w:t>
      </w:r>
    </w:p>
    <w:p w14:paraId="037E6344">
      <w:pPr>
        <w:pStyle w:val="5"/>
        <w:numPr>
          <w:ilvl w:val="0"/>
          <w:numId w:val="3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2BCB1D72">
      <w:pPr>
        <w:pStyle w:val="5"/>
        <w:numPr>
          <w:ilvl w:val="0"/>
          <w:numId w:val="31"/>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会话连接数≥128个</w:t>
      </w:r>
    </w:p>
    <w:p w14:paraId="7FCA678C">
      <w:pPr>
        <w:pStyle w:val="5"/>
        <w:numPr>
          <w:ilvl w:val="0"/>
          <w:numId w:val="31"/>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SM2签名≥2300次/秒</w:t>
      </w:r>
    </w:p>
    <w:p w14:paraId="51183EC2">
      <w:pPr>
        <w:pStyle w:val="5"/>
        <w:numPr>
          <w:ilvl w:val="0"/>
          <w:numId w:val="31"/>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SM2验签≥1000次/秒</w:t>
      </w:r>
    </w:p>
    <w:p w14:paraId="7B23D6B1">
      <w:pPr>
        <w:pStyle w:val="5"/>
        <w:numPr>
          <w:ilvl w:val="0"/>
          <w:numId w:val="31"/>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SM3≥150Mbps</w:t>
      </w:r>
    </w:p>
    <w:p w14:paraId="70C8E96F">
      <w:pPr>
        <w:pStyle w:val="5"/>
        <w:numPr>
          <w:ilvl w:val="0"/>
          <w:numId w:val="3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60A8F850">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（1）提供云数字签名服务的云服务器密码机需经商密局检测合格，符合《GM/T 0028 密码模块安全技术要求》安全等级二级的安全性认证，具有《商用密码产品认证证书》；</w:t>
      </w:r>
    </w:p>
    <w:p w14:paraId="66687F5E">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（2）需支持IPv4/IPv6双协议栈；</w:t>
      </w:r>
    </w:p>
    <w:p w14:paraId="26206A98">
      <w:pPr>
        <w:pStyle w:val="5"/>
        <w:keepNext/>
        <w:keepLines/>
        <w:numPr>
          <w:ilvl w:val="4"/>
          <w:numId w:val="16"/>
        </w:numPr>
        <w:snapToGrid w:val="0"/>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数字签名服务-标准版</w:t>
      </w:r>
    </w:p>
    <w:p w14:paraId="4A8658C2">
      <w:pPr>
        <w:pStyle w:val="5"/>
        <w:numPr>
          <w:ilvl w:val="0"/>
          <w:numId w:val="3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742F80C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76C1E9B0">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基于数字签名、验证签名技术，为政务信息系统提供应用级数字签名、验证签名等服务。</w:t>
      </w:r>
    </w:p>
    <w:p w14:paraId="505DDBC5">
      <w:pPr>
        <w:pStyle w:val="5"/>
        <w:adjustRightInd w:val="0"/>
        <w:snapToGrid w:val="0"/>
        <w:spacing w:line="360" w:lineRule="auto"/>
        <w:ind w:left="48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63535565">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1）通用服务：一般类型的数据签名验签场景，提供基于密码机的数据签名验签服务。</w:t>
      </w:r>
    </w:p>
    <w:p w14:paraId="3D01C5C4">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2）政务服务：应用于政府机关的网上申报、办公审批、电子公文、CA 系统。通过数字签名服务提供权责分离的管理体系和基于证书的身份认证能力，满足等保要求，打造安全可控系统；</w:t>
      </w:r>
    </w:p>
    <w:p w14:paraId="3FD2C17D">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3）企业信息系统：应用于大型企、事业单位的 OA、财务、人力等自动化办公系统和企业信息化建设。通过数字签名服务生成和管理各类密钥，对传输数据进行加密/解密、签名/验签操作，提供身份认证和数据保护服务，保障系统安全。</w:t>
      </w:r>
    </w:p>
    <w:p w14:paraId="7CCC7A59">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电子票据：应用于税务、银行、保险和医疗系统等领域的电子发票、电子合同、电子保单、电子病例。通过数字签名服务提供证书签发、身份认证、数据加密/解密、数据/文件的签名/验签服务，确认用户身份真实性，确保票据在生产、传输、流转、存储等环节中的安全性和完整性。</w:t>
      </w:r>
    </w:p>
    <w:p w14:paraId="13C30BC2">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5）金融支付：应用于电子交易、网上缴费、POS 收单、预付费卡支付、P2P等第三方支付应用。通过数字签名服务生成终端通讯主密钥，提供全周期的加密传输和信息验证，支持对用户身份、支付介质、交易凭证的认证，防止刷单、交易欺骗、抵赖等行为，保障业务安全。</w:t>
      </w:r>
    </w:p>
    <w:p w14:paraId="42C2F5B1">
      <w:pPr>
        <w:pStyle w:val="5"/>
        <w:numPr>
          <w:ilvl w:val="0"/>
          <w:numId w:val="3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40376171">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（1）支持国产化平台，支持SM2、SM3、SM4等国家商用密码算法。</w:t>
      </w:r>
    </w:p>
    <w:p w14:paraId="5FAD3AD4">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（2）签名验签格式支持PKCS#1、PKCS#7 Attach、PKCS#7 Detach、XML等格式的数据签名、签名验证功能；</w:t>
      </w:r>
    </w:p>
    <w:p w14:paraId="64D71BE6">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（3）密钥备份及恢复功能支持基于备份密钥保护下的密钥备份和恢复，保证系统的安全性和可靠性；</w:t>
      </w:r>
    </w:p>
    <w:p w14:paraId="6BEEF8D3">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（4）可灵活配置CA、CRL、OCSP级别验证证书，并可以配置外部地址或者从证书获取地址等方式验证证书，支持多CA认证模式；</w:t>
      </w:r>
    </w:p>
    <w:p w14:paraId="5FE5A6AF">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（5）具有用户管理功能，对访问用户分级管理，提高自身的安全性；</w:t>
      </w:r>
    </w:p>
    <w:p w14:paraId="4C3D45F5">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（6）通道安全：业务服务和管理页面均支持GMSSL协议，支持单向或双向认证，支持在BS模式下基于商密证书的商密浏览器双向SSL安全通信；</w:t>
      </w:r>
    </w:p>
    <w:p w14:paraId="1176B3E0">
      <w:pPr>
        <w:pStyle w:val="5"/>
        <w:numPr>
          <w:ilvl w:val="0"/>
          <w:numId w:val="3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73FA0209">
      <w:pPr>
        <w:pStyle w:val="5"/>
        <w:numPr>
          <w:ilvl w:val="0"/>
          <w:numId w:val="3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会话连接数≥1024个</w:t>
      </w:r>
    </w:p>
    <w:p w14:paraId="5021075E">
      <w:pPr>
        <w:pStyle w:val="5"/>
        <w:numPr>
          <w:ilvl w:val="0"/>
          <w:numId w:val="3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SM1计算速度≥10Mbps</w:t>
      </w:r>
    </w:p>
    <w:p w14:paraId="4307BE16">
      <w:pPr>
        <w:pStyle w:val="5"/>
        <w:numPr>
          <w:ilvl w:val="0"/>
          <w:numId w:val="3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SM2签名速度≥20000次/秒</w:t>
      </w:r>
    </w:p>
    <w:p w14:paraId="27A6F56D">
      <w:pPr>
        <w:pStyle w:val="5"/>
        <w:numPr>
          <w:ilvl w:val="0"/>
          <w:numId w:val="3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SM2验签速度≥10000次/秒</w:t>
      </w:r>
    </w:p>
    <w:p w14:paraId="0353823A">
      <w:pPr>
        <w:pStyle w:val="5"/>
        <w:numPr>
          <w:ilvl w:val="0"/>
          <w:numId w:val="3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SM3计算速度≥800Mbps</w:t>
      </w:r>
    </w:p>
    <w:p w14:paraId="3811D5CF">
      <w:pPr>
        <w:pStyle w:val="5"/>
        <w:numPr>
          <w:ilvl w:val="0"/>
          <w:numId w:val="3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SM4加解密速度≥800Mbps</w:t>
      </w:r>
    </w:p>
    <w:p w14:paraId="0C2832FA">
      <w:pPr>
        <w:pStyle w:val="5"/>
        <w:numPr>
          <w:ilvl w:val="0"/>
          <w:numId w:val="3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4D02D6FF">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（1）提供数字签名服务的产品需经商密局检测合格，符合《GM/T 0028 密码模块安全技术要求》安全等级二级的安全性认证，具有《商用密码产品认证证书》；</w:t>
      </w:r>
    </w:p>
    <w:p w14:paraId="661FA640">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（2）需支持IPv4/IPv6双协议栈；</w:t>
      </w:r>
    </w:p>
    <w:p w14:paraId="18EBEC02">
      <w:pPr>
        <w:pStyle w:val="5"/>
        <w:keepNext/>
        <w:keepLines/>
        <w:numPr>
          <w:ilvl w:val="4"/>
          <w:numId w:val="16"/>
        </w:numPr>
        <w:snapToGrid w:val="0"/>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数字签名服务-增强版</w:t>
      </w:r>
    </w:p>
    <w:p w14:paraId="2EA49938">
      <w:pPr>
        <w:pStyle w:val="5"/>
        <w:numPr>
          <w:ilvl w:val="0"/>
          <w:numId w:val="3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3F652D1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54704289">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基于数字签名、验证签名技术，为政务信息系统提供应用级数字签名、验证签名等服务。</w:t>
      </w:r>
    </w:p>
    <w:p w14:paraId="61046E44">
      <w:pPr>
        <w:pStyle w:val="5"/>
        <w:adjustRightInd w:val="0"/>
        <w:snapToGrid w:val="0"/>
        <w:spacing w:line="360" w:lineRule="auto"/>
        <w:ind w:left="48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47C25D5B">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1）通用服务：一般类型的数据签名验签场景，提供基于密码机的数据签名验签服务。</w:t>
      </w:r>
    </w:p>
    <w:p w14:paraId="720CE5CC">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2）政务服务：应用于政府机关的网上申报、办公审批、电子公文、CA 系统。通过数字签名服务提供权责分离的管理体系和基于证书的身份认证能力，满足等保要求，打造安全可控系统；</w:t>
      </w:r>
    </w:p>
    <w:p w14:paraId="5E0704BC">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3）企业信息系统：应用于大型企、事业单位的 OA、财务、人力等自动化办公系统和企业信息化建设。通过数字签名服务生成和管理各类密钥，对传输数据进行加密/解密、签名/验签操作，提供身份认证和数据保护服务，保障系统安全。</w:t>
      </w:r>
    </w:p>
    <w:p w14:paraId="2A6B452E">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电子票据：应用于税务、银行、保险和医疗系统等领域的电子发票、电子合同、电子保单、电子病例。通过数字签名服务提供证书签发、身份认证、数据加密/解密、数据/文件的签名/验签服务，确认用户身份真实性，确保票据在生产、传输、流转、存储等环节中的安全性和完整性。</w:t>
      </w:r>
    </w:p>
    <w:p w14:paraId="1A2DD837">
      <w:pPr>
        <w:pStyle w:val="5"/>
        <w:adjustRightInd w:val="0"/>
        <w:snapToGrid w:val="0"/>
        <w:spacing w:line="360" w:lineRule="auto"/>
        <w:ind w:firstLine="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5）金融支付：应用于电子交易、网上缴费、POS 收单、预付费卡支付、P2P等第三方支付应用。通过数字签名服务生成终端通讯主密钥，提供全周期的加密传输和信息验证，支持对用户身份、支付介质、交易凭证的认证，防止刷单、交易欺骗、抵赖等行为，保障业务安全。</w:t>
      </w:r>
    </w:p>
    <w:p w14:paraId="6B2CF68F">
      <w:pPr>
        <w:pStyle w:val="5"/>
        <w:numPr>
          <w:ilvl w:val="0"/>
          <w:numId w:val="3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24FE7305">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（1）支持国产化平台，支持SM2、SM3、SM4等国家商用密码算法。</w:t>
      </w:r>
    </w:p>
    <w:p w14:paraId="45C70DDD">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（2）签名验签格式支持PKCS#1、PKCS#7 Attach、PKCS#7 Detach、XML等格式的数据签名、签名验证功能；</w:t>
      </w:r>
    </w:p>
    <w:p w14:paraId="6AF9EAAC">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（3）密钥备份及恢复功能支持基于备份密钥保护下的密钥备份和恢复，保证系统的安全性和可靠性；</w:t>
      </w:r>
    </w:p>
    <w:p w14:paraId="70F91F56">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（4）可灵活配置CA、CRL、OCSP级别验证证书，并可以配置外部地址或者从证书获取地址等方式验证证书，支持多CA认证模式；</w:t>
      </w:r>
    </w:p>
    <w:p w14:paraId="46CCE4B9">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（5）具有用户管理功能，对访问用户分级管理，提高自身的安全性；</w:t>
      </w:r>
    </w:p>
    <w:p w14:paraId="129D4D28">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（6）通道安全：业务服务和管理页面均支持GMSSL协议，支持单向或双向认证，支持在BS模式下基于商密证书的商密浏览器双向SSL安全通信；</w:t>
      </w:r>
    </w:p>
    <w:p w14:paraId="240FC32F">
      <w:pPr>
        <w:pStyle w:val="5"/>
        <w:numPr>
          <w:ilvl w:val="0"/>
          <w:numId w:val="3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456A4FFA">
      <w:pPr>
        <w:pStyle w:val="5"/>
        <w:numPr>
          <w:ilvl w:val="0"/>
          <w:numId w:val="35"/>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SM1加解密≥870Mbps；</w:t>
      </w:r>
    </w:p>
    <w:p w14:paraId="0C0CDCF3">
      <w:pPr>
        <w:pStyle w:val="5"/>
        <w:numPr>
          <w:ilvl w:val="0"/>
          <w:numId w:val="35"/>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SM2加密/解密≥35000/51000tps</w:t>
      </w:r>
    </w:p>
    <w:p w14:paraId="60A4DCE2">
      <w:pPr>
        <w:pStyle w:val="5"/>
        <w:numPr>
          <w:ilvl w:val="0"/>
          <w:numId w:val="35"/>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SM2签名/验签≥67000/67000tps</w:t>
      </w:r>
    </w:p>
    <w:p w14:paraId="4A24C48F">
      <w:pPr>
        <w:pStyle w:val="5"/>
        <w:numPr>
          <w:ilvl w:val="0"/>
          <w:numId w:val="35"/>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SM2密钥生成≥67000tps</w:t>
      </w:r>
    </w:p>
    <w:p w14:paraId="2976A2B9">
      <w:pPr>
        <w:pStyle w:val="5"/>
        <w:numPr>
          <w:ilvl w:val="0"/>
          <w:numId w:val="35"/>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SM3杂凑算法≥870Mbps</w:t>
      </w:r>
    </w:p>
    <w:p w14:paraId="5C382E68">
      <w:pPr>
        <w:pStyle w:val="5"/>
        <w:numPr>
          <w:ilvl w:val="0"/>
          <w:numId w:val="35"/>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SM4 加解密≥870Mbps</w:t>
      </w:r>
    </w:p>
    <w:p w14:paraId="14A43BDF">
      <w:pPr>
        <w:pStyle w:val="5"/>
        <w:numPr>
          <w:ilvl w:val="0"/>
          <w:numId w:val="35"/>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随机数生成≥44Mbps</w:t>
      </w:r>
    </w:p>
    <w:p w14:paraId="1212EAD3">
      <w:pPr>
        <w:pStyle w:val="5"/>
        <w:numPr>
          <w:ilvl w:val="0"/>
          <w:numId w:val="3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1F9C104A">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（1）提供数字签名服务的产品需经商密局检测合格，符合《GM/T 0028 密码模块安全技术要求》安全等级二级的安全性认证，具有《商用密码产品认证证书》；</w:t>
      </w:r>
    </w:p>
    <w:p w14:paraId="62C5BF49">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（2）需支持IPv4/IPv6双协议栈。</w:t>
      </w:r>
    </w:p>
    <w:p w14:paraId="22875201">
      <w:pPr>
        <w:pStyle w:val="5"/>
        <w:keepNext/>
        <w:keepLines/>
        <w:numPr>
          <w:ilvl w:val="3"/>
          <w:numId w:val="16"/>
        </w:numPr>
        <w:adjustRightInd w:val="0"/>
        <w:snapToGrid w:val="0"/>
        <w:spacing w:line="360" w:lineRule="auto"/>
        <w:contextualSpacing/>
        <w:outlineLvl w:val="3"/>
        <w:rPr>
          <w:rFonts w:hint="eastAsia" w:ascii="宋体" w:hAnsi="宋体" w:eastAsia="宋体" w:cs="宋体"/>
          <w:b/>
          <w:bCs/>
          <w:color w:val="auto"/>
          <w:sz w:val="21"/>
          <w:szCs w:val="21"/>
          <w:highlight w:val="none"/>
        </w:rPr>
      </w:pPr>
      <w:bookmarkStart w:id="331" w:name="_Toc256000100"/>
      <w:bookmarkStart w:id="332" w:name="_Toc29121"/>
      <w:bookmarkStart w:id="333" w:name="_Toc17984"/>
      <w:bookmarkStart w:id="334" w:name="_Toc5907"/>
      <w:bookmarkStart w:id="335" w:name="_Toc7393"/>
      <w:bookmarkStart w:id="336" w:name="_Toc4659"/>
      <w:r>
        <w:rPr>
          <w:rFonts w:hint="eastAsia" w:ascii="宋体" w:hAnsi="宋体" w:eastAsia="宋体" w:cs="宋体"/>
          <w:b/>
          <w:bCs/>
          <w:color w:val="auto"/>
          <w:sz w:val="21"/>
          <w:szCs w:val="21"/>
          <w:highlight w:val="none"/>
        </w:rPr>
        <w:t>协同签名服务（含扫码认证服务）</w:t>
      </w:r>
      <w:bookmarkEnd w:id="331"/>
      <w:bookmarkEnd w:id="332"/>
      <w:bookmarkEnd w:id="333"/>
      <w:bookmarkEnd w:id="334"/>
      <w:bookmarkEnd w:id="335"/>
      <w:bookmarkEnd w:id="336"/>
    </w:p>
    <w:p w14:paraId="5440440D">
      <w:pPr>
        <w:pStyle w:val="5"/>
        <w:numPr>
          <w:ilvl w:val="0"/>
          <w:numId w:val="3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48C1D30D">
      <w:pPr>
        <w:pStyle w:val="5"/>
        <w:numPr>
          <w:ilvl w:val="0"/>
          <w:numId w:val="37"/>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服务定义</w:t>
      </w:r>
    </w:p>
    <w:p w14:paraId="1224FB0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协同签名服务解决传统USB Key在移动互联网应用中使用不便的问题，使用手机替代USB Key，基于SM2的协同签名算法，将用户密钥分片处理，分别存储于移动端和政务云互联网业务区，形成移动终端+政务云互联网业务区的立体保护，确保用户密钥安全，提供易用和高安全性的数字证书和签名验签、加密解密等基础密码接口服务。同时复用协同签名服务的SDK免费提供扫码认证服务。</w:t>
      </w:r>
    </w:p>
    <w:p w14:paraId="0D69F9BC">
      <w:pPr>
        <w:pStyle w:val="5"/>
        <w:numPr>
          <w:ilvl w:val="0"/>
          <w:numId w:val="38"/>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w:t>
      </w:r>
    </w:p>
    <w:p w14:paraId="6073448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1）协同签名系统可用于移动端的安全认证、数字签名等安全应用的场景。</w:t>
      </w:r>
    </w:p>
    <w:p w14:paraId="45F8071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2）政府机构应用：政府部门需要处理各种文件和合同，包括各类采购合同、雇佣合同等；</w:t>
      </w:r>
    </w:p>
    <w:p w14:paraId="49D5E8C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3）企业合同签署：在企业环境中，不同部门或不同地区的员工需要在移动端签署合同或文件；</w:t>
      </w:r>
    </w:p>
    <w:p w14:paraId="5BC72CB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4）金融行业应用：银行、保险公司等金融机构需要处理大量的客户文件和合同；</w:t>
      </w:r>
    </w:p>
    <w:p w14:paraId="199857F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5）教育行业应用：学校或其他教育机构需要处理学生注册、奖学金合同等文件签署工作等。</w:t>
      </w:r>
    </w:p>
    <w:p w14:paraId="3BF7A2B7">
      <w:pPr>
        <w:pStyle w:val="5"/>
        <w:numPr>
          <w:ilvl w:val="0"/>
          <w:numId w:val="3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8A8425F">
      <w:pPr>
        <w:pStyle w:val="5"/>
        <w:numPr>
          <w:ilvl w:val="0"/>
          <w:numId w:val="3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移动端SDK：支持Android、iOS操作系统、微信小程序；</w:t>
      </w:r>
    </w:p>
    <w:p w14:paraId="5184FE6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（2）支持国产化平台，使用SM2、SM3、SM4等国家商用密码算法；</w:t>
      </w:r>
    </w:p>
    <w:p w14:paraId="338216A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（3）使用符合GM/T0009预处理后数据的协同签名验签、数据原文协同签名验签；</w:t>
      </w:r>
    </w:p>
    <w:p w14:paraId="2056E83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（4）协同签名结果使用PKCS#1，PKCS#7格式签名；</w:t>
      </w:r>
    </w:p>
    <w:p w14:paraId="0CEFDD6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（5）服务端与客户端协同创建密钥分片，并保存密钥分片。</w:t>
      </w:r>
    </w:p>
    <w:p w14:paraId="02C4DE3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（6）移动终端安全密码模块集成到移动APP中，支持包括PIN码、人脸、指纹、扫码登录等多种基于SM2的认证模式。</w:t>
      </w:r>
    </w:p>
    <w:p w14:paraId="5566FC46">
      <w:pPr>
        <w:pStyle w:val="5"/>
        <w:numPr>
          <w:ilvl w:val="0"/>
          <w:numId w:val="3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3FF77F5D">
      <w:pPr>
        <w:pStyle w:val="5"/>
        <w:numPr>
          <w:ilvl w:val="0"/>
          <w:numId w:val="40"/>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128字节数据SM2协同签名≥8次/秒；</w:t>
      </w:r>
    </w:p>
    <w:p w14:paraId="476A9B35">
      <w:pPr>
        <w:pStyle w:val="5"/>
        <w:numPr>
          <w:ilvl w:val="0"/>
          <w:numId w:val="40"/>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SM3摘要≥30M字节/秒；</w:t>
      </w:r>
    </w:p>
    <w:p w14:paraId="3E2D6920">
      <w:pPr>
        <w:pStyle w:val="5"/>
        <w:numPr>
          <w:ilvl w:val="0"/>
          <w:numId w:val="40"/>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SM4加解密≥20M字节/秒。</w:t>
      </w:r>
    </w:p>
    <w:p w14:paraId="4036CF72">
      <w:pPr>
        <w:pStyle w:val="5"/>
        <w:numPr>
          <w:ilvl w:val="0"/>
          <w:numId w:val="40"/>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每个应用支持客户端（Andriod和IOS）并发数量≥100个。</w:t>
      </w:r>
    </w:p>
    <w:p w14:paraId="3275F69B">
      <w:pPr>
        <w:pStyle w:val="5"/>
        <w:numPr>
          <w:ilvl w:val="0"/>
          <w:numId w:val="3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6434811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（1）提供协同签名服务的产品需经商密局检测合格，符合《GM/T 0028 密码模块安全技术要求》安全等级二级的安全性认证，具有《商用密码产品认证证书》；</w:t>
      </w:r>
    </w:p>
    <w:p w14:paraId="4B585B6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（2）需支持IPv4/IPv6双协议栈；</w:t>
      </w:r>
    </w:p>
    <w:p w14:paraId="458A08C7">
      <w:pPr>
        <w:pStyle w:val="5"/>
        <w:keepNext/>
        <w:keepLines/>
        <w:numPr>
          <w:ilvl w:val="3"/>
          <w:numId w:val="16"/>
        </w:numPr>
        <w:adjustRightInd w:val="0"/>
        <w:snapToGrid w:val="0"/>
        <w:spacing w:line="360" w:lineRule="auto"/>
        <w:contextualSpacing/>
        <w:outlineLvl w:val="3"/>
        <w:rPr>
          <w:rFonts w:hint="eastAsia" w:ascii="宋体" w:hAnsi="宋体" w:eastAsia="宋体" w:cs="宋体"/>
          <w:b/>
          <w:bCs/>
          <w:color w:val="auto"/>
          <w:sz w:val="21"/>
          <w:szCs w:val="21"/>
          <w:highlight w:val="none"/>
        </w:rPr>
      </w:pPr>
      <w:bookmarkStart w:id="337" w:name="_Toc20764"/>
      <w:bookmarkStart w:id="338" w:name="_Toc8519"/>
      <w:bookmarkStart w:id="339" w:name="_Toc256000101"/>
      <w:bookmarkStart w:id="340" w:name="_Toc14656"/>
      <w:bookmarkStart w:id="341" w:name="_Toc17609"/>
      <w:bookmarkStart w:id="342" w:name="_Toc25900"/>
      <w:r>
        <w:rPr>
          <w:rFonts w:hint="eastAsia" w:ascii="宋体" w:hAnsi="宋体" w:eastAsia="宋体" w:cs="宋体"/>
          <w:b/>
          <w:bCs/>
          <w:color w:val="auto"/>
          <w:sz w:val="21"/>
          <w:szCs w:val="21"/>
          <w:highlight w:val="none"/>
        </w:rPr>
        <w:t>站点证书服务</w:t>
      </w:r>
      <w:bookmarkEnd w:id="337"/>
      <w:bookmarkEnd w:id="338"/>
      <w:bookmarkEnd w:id="339"/>
      <w:bookmarkEnd w:id="340"/>
      <w:bookmarkEnd w:id="341"/>
      <w:bookmarkEnd w:id="342"/>
    </w:p>
    <w:p w14:paraId="0E747B68">
      <w:pPr>
        <w:pStyle w:val="5"/>
        <w:numPr>
          <w:ilvl w:val="0"/>
          <w:numId w:val="4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6F1B8A3E">
      <w:pPr>
        <w:pStyle w:val="5"/>
        <w:numPr>
          <w:ilvl w:val="0"/>
          <w:numId w:val="42"/>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服务定义</w:t>
      </w:r>
    </w:p>
    <w:p w14:paraId="33B00CF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站点证书由权威认证机构颁发，通过使用SSL（安全套接字层）协议，提供了一种加密的数据传输方式，确保数据在传输过程中不被第三方截获或篡改。支持用户验证网站的身份，确保访问的是真实可信的网站。‌</w:t>
      </w:r>
    </w:p>
    <w:p w14:paraId="1BC03328">
      <w:pPr>
        <w:pStyle w:val="5"/>
        <w:numPr>
          <w:ilvl w:val="0"/>
          <w:numId w:val="43"/>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w:t>
      </w:r>
    </w:p>
    <w:p w14:paraId="2AC6D1D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1）网站安全：‌通过安装SSL证书，‌可以为网站提供一个加密的连接，‌确保用户数据在传输过程中的安全性，‌防止数据被截获或篡改；</w:t>
      </w:r>
    </w:p>
    <w:p w14:paraId="7A14DDC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2）数据加密：SSL证书通过在客户端和服务器之间建立一个加密的通信通道，‌对传输的数据进行加密处理</w:t>
      </w:r>
      <w:r>
        <w:rPr>
          <w:rFonts w:hint="eastAsia" w:ascii="宋体" w:hAnsi="宋体" w:eastAsia="宋体" w:cs="宋体"/>
          <w:color w:val="auto"/>
          <w:sz w:val="21"/>
          <w:szCs w:val="21"/>
          <w:highlight w:val="none"/>
          <w:lang w:eastAsia="zh-CN"/>
        </w:rPr>
        <w:t>；</w:t>
      </w:r>
    </w:p>
    <w:p w14:paraId="2A1A156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3）身份认证：SSL证书不仅加密数据传输，‌还提供服务器身份验证。‌通过验证服务器的身份，‌用户可以确认他们正在访问的是真实的网站，‌而不是被伪造的网站。</w:t>
      </w:r>
    </w:p>
    <w:p w14:paraId="65DF8DEA">
      <w:pPr>
        <w:pStyle w:val="5"/>
        <w:numPr>
          <w:ilvl w:val="0"/>
          <w:numId w:val="4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5E3CE4EC">
      <w:pPr>
        <w:pStyle w:val="5"/>
        <w:numPr>
          <w:ilvl w:val="0"/>
          <w:numId w:val="44"/>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证书包含SM2等算法；</w:t>
      </w:r>
    </w:p>
    <w:p w14:paraId="55D1D574">
      <w:pPr>
        <w:pStyle w:val="5"/>
        <w:numPr>
          <w:ilvl w:val="0"/>
          <w:numId w:val="44"/>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证书格式标准遵循ITU X.509 Version3标准；</w:t>
      </w:r>
    </w:p>
    <w:p w14:paraId="6C300F9D">
      <w:pPr>
        <w:pStyle w:val="5"/>
        <w:numPr>
          <w:ilvl w:val="0"/>
          <w:numId w:val="44"/>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具备存放介质（如服务器）的能力；</w:t>
      </w:r>
    </w:p>
    <w:p w14:paraId="73D125A2">
      <w:pPr>
        <w:pStyle w:val="5"/>
        <w:numPr>
          <w:ilvl w:val="0"/>
          <w:numId w:val="44"/>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能自定义证书扩展域管理。</w:t>
      </w:r>
    </w:p>
    <w:p w14:paraId="1A8577AF">
      <w:pPr>
        <w:pStyle w:val="5"/>
        <w:numPr>
          <w:ilvl w:val="0"/>
          <w:numId w:val="4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05E8222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站点证书服务不涉及性能要求。</w:t>
      </w:r>
    </w:p>
    <w:p w14:paraId="74DF741E">
      <w:pPr>
        <w:pStyle w:val="5"/>
        <w:numPr>
          <w:ilvl w:val="0"/>
          <w:numId w:val="4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3EF71F7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（1）签发的站点证书必须符合国家或行业的相关标准和规范，包括但不限于加密算法、证书格式、有效期等方面的要求。</w:t>
      </w:r>
    </w:p>
    <w:p w14:paraId="3993AAC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（2）证书应使用足够强度的国家商用密码的加密算法，以确保数据传输过程中的机密性和完整性。</w:t>
      </w:r>
    </w:p>
    <w:p w14:paraId="55DD762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（3）证书应包含完整的信任链信息，即从根证书到最终用户证书的完整路径。</w:t>
      </w:r>
    </w:p>
    <w:p w14:paraId="73C1D40C">
      <w:pPr>
        <w:pStyle w:val="5"/>
        <w:keepNext/>
        <w:keepLines/>
        <w:numPr>
          <w:ilvl w:val="3"/>
          <w:numId w:val="16"/>
        </w:numPr>
        <w:adjustRightInd w:val="0"/>
        <w:snapToGrid w:val="0"/>
        <w:spacing w:line="360" w:lineRule="auto"/>
        <w:contextualSpacing/>
        <w:outlineLvl w:val="3"/>
        <w:rPr>
          <w:rFonts w:hint="eastAsia" w:ascii="宋体" w:hAnsi="宋体" w:eastAsia="宋体" w:cs="宋体"/>
          <w:b/>
          <w:bCs/>
          <w:color w:val="auto"/>
          <w:sz w:val="21"/>
          <w:szCs w:val="21"/>
          <w:highlight w:val="none"/>
        </w:rPr>
      </w:pPr>
      <w:bookmarkStart w:id="343" w:name="_Toc2534"/>
      <w:bookmarkStart w:id="344" w:name="_Toc256000102"/>
      <w:bookmarkStart w:id="345" w:name="_Toc25049"/>
      <w:bookmarkStart w:id="346" w:name="_Toc4810"/>
      <w:bookmarkStart w:id="347" w:name="_Toc20580"/>
      <w:bookmarkStart w:id="348" w:name="_Toc21802"/>
      <w:r>
        <w:rPr>
          <w:rFonts w:hint="eastAsia" w:ascii="宋体" w:hAnsi="宋体" w:eastAsia="宋体" w:cs="宋体"/>
          <w:b/>
          <w:bCs/>
          <w:color w:val="auto"/>
          <w:sz w:val="21"/>
          <w:szCs w:val="21"/>
          <w:highlight w:val="none"/>
        </w:rPr>
        <w:t>基础密码服务</w:t>
      </w:r>
      <w:bookmarkEnd w:id="343"/>
      <w:bookmarkEnd w:id="344"/>
      <w:bookmarkEnd w:id="345"/>
      <w:bookmarkEnd w:id="346"/>
      <w:bookmarkEnd w:id="347"/>
      <w:bookmarkEnd w:id="348"/>
    </w:p>
    <w:p w14:paraId="553AA3E0">
      <w:pPr>
        <w:pStyle w:val="5"/>
        <w:keepNext/>
        <w:keepLines/>
        <w:numPr>
          <w:ilvl w:val="4"/>
          <w:numId w:val="16"/>
        </w:numPr>
        <w:snapToGrid w:val="0"/>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云基础密码服务</w:t>
      </w:r>
    </w:p>
    <w:p w14:paraId="766610CF">
      <w:pPr>
        <w:pStyle w:val="5"/>
        <w:numPr>
          <w:ilvl w:val="0"/>
          <w:numId w:val="4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4BCF40B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26359DC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通过虚拟机的形式，提供基于GM算法的数据加解密服务。</w:t>
      </w:r>
    </w:p>
    <w:p w14:paraId="14972A2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434F8D3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1）数据加解密场景：对业务系统重要/敏感数据提供加解密服务，确保存储在政务云的数据不会被非法获取。</w:t>
      </w:r>
    </w:p>
    <w:p w14:paraId="0FA908D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2）密钥管理场景</w:t>
      </w:r>
    </w:p>
    <w:p w14:paraId="7A694AA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针对用户需要便捷、安全的管理所有密钥场景，提供统一的密钥管理入口，对用户所有密钥从生成到销毁进行全生命周期的管理，通过密钥备用库、在用库和历史库的管理整合密钥资源池，实现密钥的按需分配。</w:t>
      </w:r>
    </w:p>
    <w:p w14:paraId="1B2A2C73">
      <w:pPr>
        <w:pStyle w:val="5"/>
        <w:numPr>
          <w:ilvl w:val="0"/>
          <w:numId w:val="4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06203116">
      <w:pPr>
        <w:pStyle w:val="5"/>
        <w:numPr>
          <w:ilvl w:val="0"/>
          <w:numId w:val="46"/>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提供对称算法、非对称算法和杂凑算法等密码算法服务。对称算法主要包括SM1/SM4国产算法，非对称算法包括SM2国产算法，杂凑算法支持SM3国产算法，完整性校验算法支持HMAC、CBC-MAC等，可以满足不同强度的要求；</w:t>
      </w:r>
    </w:p>
    <w:p w14:paraId="42E19D4E">
      <w:pPr>
        <w:pStyle w:val="5"/>
        <w:numPr>
          <w:ilvl w:val="0"/>
          <w:numId w:val="46"/>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权限管理功能：服务器密码机权限管理功能包括管理员和操作员登录、替换管理员、添加操作员、删除操作员以及管理员和操作员的口令修改、证书更新等；</w:t>
      </w:r>
    </w:p>
    <w:p w14:paraId="5618860A">
      <w:pPr>
        <w:pStyle w:val="5"/>
        <w:numPr>
          <w:ilvl w:val="0"/>
          <w:numId w:val="46"/>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密钥备份恢复功能：密钥的备份与恢复功能主要包括备份服务器密码机内部密钥以及敏感信息，以密文形式导出、将备份密钥恢复到服务器密码机内；</w:t>
      </w:r>
    </w:p>
    <w:p w14:paraId="1F7FEE0F">
      <w:pPr>
        <w:pStyle w:val="5"/>
        <w:numPr>
          <w:ilvl w:val="0"/>
          <w:numId w:val="46"/>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安全隔离功能：物理服务器密码机可虚拟成多个独立的密码服务单元，为应用提供密码服务，并确保各应用对应使用的密码资源安全隔离，同时保持密钥和运算的安全隔离。</w:t>
      </w:r>
    </w:p>
    <w:p w14:paraId="618B133A">
      <w:pPr>
        <w:pStyle w:val="5"/>
        <w:numPr>
          <w:ilvl w:val="0"/>
          <w:numId w:val="4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3AF53C4A">
      <w:pPr>
        <w:pStyle w:val="5"/>
        <w:numPr>
          <w:ilvl w:val="0"/>
          <w:numId w:val="40"/>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并发请求数≥128次/秒</w:t>
      </w:r>
    </w:p>
    <w:p w14:paraId="13A326AD">
      <w:pPr>
        <w:pStyle w:val="5"/>
        <w:numPr>
          <w:ilvl w:val="0"/>
          <w:numId w:val="40"/>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SM1≥15Mbps</w:t>
      </w:r>
    </w:p>
    <w:p w14:paraId="15040048">
      <w:pPr>
        <w:pStyle w:val="5"/>
        <w:numPr>
          <w:ilvl w:val="0"/>
          <w:numId w:val="40"/>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SM2加密≥2300次/秒</w:t>
      </w:r>
    </w:p>
    <w:p w14:paraId="3BB6D9D3">
      <w:pPr>
        <w:pStyle w:val="5"/>
        <w:numPr>
          <w:ilvl w:val="0"/>
          <w:numId w:val="40"/>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SM2解密≥1000次/秒</w:t>
      </w:r>
    </w:p>
    <w:p w14:paraId="4C2ED5D8">
      <w:pPr>
        <w:pStyle w:val="5"/>
        <w:numPr>
          <w:ilvl w:val="0"/>
          <w:numId w:val="40"/>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SM4≥150Mbps。</w:t>
      </w:r>
    </w:p>
    <w:p w14:paraId="0AD6B0FE">
      <w:pPr>
        <w:pStyle w:val="5"/>
        <w:numPr>
          <w:ilvl w:val="0"/>
          <w:numId w:val="4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r>
        <w:rPr>
          <w:rFonts w:hint="eastAsia" w:ascii="宋体" w:hAnsi="宋体" w:eastAsia="宋体" w:cs="宋体"/>
          <w:b/>
          <w:bCs/>
          <w:color w:val="auto"/>
          <w:sz w:val="21"/>
          <w:szCs w:val="21"/>
          <w:highlight w:val="none"/>
        </w:rPr>
        <w:tab/>
      </w:r>
    </w:p>
    <w:p w14:paraId="4C1E6AB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（1）提供基础密码服务的云服务器密码机需经商密局检测合格，符合《GM/T 0028 密码模块安全技术要求》安全等级二级的安全性认证，具有《商用密码产品认证证书》。</w:t>
      </w:r>
    </w:p>
    <w:p w14:paraId="35D5947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（2）需支持IPv4/IPv6双协议栈；</w:t>
      </w:r>
    </w:p>
    <w:p w14:paraId="6177415C">
      <w:pPr>
        <w:pStyle w:val="5"/>
        <w:keepNext/>
        <w:keepLines/>
        <w:numPr>
          <w:ilvl w:val="4"/>
          <w:numId w:val="16"/>
        </w:numPr>
        <w:snapToGrid w:val="0"/>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基础密码服务-标准版</w:t>
      </w:r>
    </w:p>
    <w:p w14:paraId="5274440E">
      <w:pPr>
        <w:pStyle w:val="5"/>
        <w:numPr>
          <w:ilvl w:val="0"/>
          <w:numId w:val="4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2DC4827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726B61E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为各类应用提供非对称/对称数据加解密运算、完整性校验、真随机数生成、密钥生成和管理等服务，确保用户数据的机密性、真实性、完整性和有效性。密码机可以独立为业务系统提供高性能的数据加/解密服务，也可作为身份认证系统、密钥管理系统等系统的主要密码设备和核心构件，具有广泛的系统应用潜力。同时提供安全、完善的密钥管理机制，采用三层的密钥管理机制和基于USBkey的分级权限管理机制，充分保证了系统的安全性。</w:t>
      </w:r>
    </w:p>
    <w:p w14:paraId="207068C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密钥管理服务是为政务云密码租用单位、个人等用户提供密钥管理相关的支持活动，如密钥生成、分发、密钥安全隔离和存储服务、密钥安全访问服务、密钥的策略控制服务、基于托管密钥的简单加解密服务等。</w:t>
      </w:r>
    </w:p>
    <w:p w14:paraId="45E3949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4F16873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1）数据加解密场景：对业务系统重要/敏感数据提供加解密服务，确保存储在政务云的数据不会被非法获取。</w:t>
      </w:r>
    </w:p>
    <w:p w14:paraId="7154526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2）密钥管理场景</w:t>
      </w:r>
    </w:p>
    <w:p w14:paraId="2B1C53B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针对用户需要便捷、</w:t>
      </w:r>
      <w:r>
        <w:rPr>
          <w:rFonts w:hint="eastAsia" w:ascii="宋体" w:hAnsi="宋体" w:eastAsia="宋体" w:cs="宋体"/>
          <w:color w:val="auto"/>
          <w:sz w:val="21"/>
          <w:szCs w:val="21"/>
          <w:highlight w:val="none"/>
          <w:lang w:eastAsia="zh-CN"/>
        </w:rPr>
        <w:t>安全地</w:t>
      </w:r>
      <w:r>
        <w:rPr>
          <w:rFonts w:hint="eastAsia" w:ascii="宋体" w:hAnsi="宋体" w:eastAsia="宋体" w:cs="宋体"/>
          <w:color w:val="auto"/>
          <w:sz w:val="21"/>
          <w:szCs w:val="21"/>
          <w:highlight w:val="none"/>
        </w:rPr>
        <w:t>管理所有密钥的场景，提供统一的密钥管理入口，对用户所有密钥从生成到销毁进行全生命周期的管理，通过密钥备用库、在用库和历史库的管理整合密钥资源池，实现密钥的按需分配。</w:t>
      </w:r>
    </w:p>
    <w:p w14:paraId="287DE95B">
      <w:pPr>
        <w:pStyle w:val="5"/>
        <w:numPr>
          <w:ilvl w:val="0"/>
          <w:numId w:val="4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7B4B9BFA">
      <w:pPr>
        <w:pStyle w:val="5"/>
        <w:numPr>
          <w:ilvl w:val="0"/>
          <w:numId w:val="48"/>
        </w:num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提供对称算法、非对称算法和杂凑算法等密码算法服务。对称算法主要包括SM1/SM4国产算法，非对称算法包括SM2国产算法，杂凑算法支持SM3国产算法，完整性校验算法支持HMAC、CBC-MAC等，可以满足不同强度的要求；</w:t>
      </w:r>
    </w:p>
    <w:p w14:paraId="41CBD205">
      <w:pPr>
        <w:pStyle w:val="5"/>
        <w:numPr>
          <w:ilvl w:val="0"/>
          <w:numId w:val="48"/>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权限管理功能：服务器密码机权限管理功能包括管理员和操作员登录、替换管理员、添加操作员、删除操作员以及管理员和操作员的口令修改、证书更新等；</w:t>
      </w:r>
    </w:p>
    <w:p w14:paraId="5FAE04EB">
      <w:pPr>
        <w:pStyle w:val="5"/>
        <w:numPr>
          <w:ilvl w:val="0"/>
          <w:numId w:val="48"/>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密钥备份恢复功能：密钥的备份与恢复功能主要包括备份服务器密码机内部密钥以及敏感信息，以密文形式导出、将备份密钥恢复到服务器密码机内；</w:t>
      </w:r>
    </w:p>
    <w:p w14:paraId="4C6D9712">
      <w:pPr>
        <w:pStyle w:val="5"/>
        <w:numPr>
          <w:ilvl w:val="0"/>
          <w:numId w:val="4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36C05268">
      <w:pPr>
        <w:pStyle w:val="5"/>
        <w:numPr>
          <w:ilvl w:val="0"/>
          <w:numId w:val="49"/>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SM2加密/解密≥2100/3600tps</w:t>
      </w:r>
    </w:p>
    <w:p w14:paraId="5CDED2EA">
      <w:pPr>
        <w:pStyle w:val="5"/>
        <w:numPr>
          <w:ilvl w:val="0"/>
          <w:numId w:val="49"/>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SM2签名/验签≥4300/2800tps</w:t>
      </w:r>
    </w:p>
    <w:p w14:paraId="0F794701">
      <w:pPr>
        <w:pStyle w:val="5"/>
        <w:numPr>
          <w:ilvl w:val="0"/>
          <w:numId w:val="49"/>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SM2密钥生成≥4800tps</w:t>
      </w:r>
    </w:p>
    <w:p w14:paraId="5FEE2E4C">
      <w:pPr>
        <w:pStyle w:val="5"/>
        <w:numPr>
          <w:ilvl w:val="0"/>
          <w:numId w:val="49"/>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SM3杂凑算法≥589Mbps</w:t>
      </w:r>
    </w:p>
    <w:p w14:paraId="69AAA026">
      <w:pPr>
        <w:pStyle w:val="5"/>
        <w:numPr>
          <w:ilvl w:val="0"/>
          <w:numId w:val="49"/>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SM4 加解密≥170Mbps</w:t>
      </w:r>
    </w:p>
    <w:p w14:paraId="7F3A239A">
      <w:pPr>
        <w:pStyle w:val="5"/>
        <w:numPr>
          <w:ilvl w:val="0"/>
          <w:numId w:val="49"/>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随机数生成≥9Mbps</w:t>
      </w:r>
    </w:p>
    <w:p w14:paraId="3D368F3F">
      <w:pPr>
        <w:pStyle w:val="5"/>
        <w:numPr>
          <w:ilvl w:val="0"/>
          <w:numId w:val="4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r>
        <w:rPr>
          <w:rFonts w:hint="eastAsia" w:ascii="宋体" w:hAnsi="宋体" w:eastAsia="宋体" w:cs="宋体"/>
          <w:b/>
          <w:bCs/>
          <w:color w:val="auto"/>
          <w:sz w:val="21"/>
          <w:szCs w:val="21"/>
          <w:highlight w:val="none"/>
        </w:rPr>
        <w:tab/>
      </w:r>
    </w:p>
    <w:p w14:paraId="42AB2F3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（1）提供基础密码服务的产品需经商密局检测合格，符合《GM/T 0028 密码模块安全技术要求》安全等级二级的安全性认证，具有《商用密码产品认证证书》。</w:t>
      </w:r>
    </w:p>
    <w:p w14:paraId="5EDDE82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（2）需支持IPv4/IPv6双协议栈；</w:t>
      </w:r>
    </w:p>
    <w:p w14:paraId="4142F1AD">
      <w:pPr>
        <w:pStyle w:val="5"/>
        <w:keepNext/>
        <w:keepLines/>
        <w:numPr>
          <w:ilvl w:val="4"/>
          <w:numId w:val="16"/>
        </w:numPr>
        <w:snapToGrid w:val="0"/>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基础密码服务-增强版</w:t>
      </w:r>
    </w:p>
    <w:p w14:paraId="02DEDD6F">
      <w:pPr>
        <w:pStyle w:val="5"/>
        <w:numPr>
          <w:ilvl w:val="0"/>
          <w:numId w:val="5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06644E9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190731A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为各类应用提供非对称/对称数据加解密运算、完整性校验、真随机数生成、密钥生成和管理等服务，确保用户数据的机密性、真实性、完整性和有效性。密码机可以独立为业务系统提供高性能的数据加/解密服务，也可作为身份认证系统、密钥管理系统等系统的主要密码设备和核心构件，具有广泛的系统应用潜力。同时提供安全、完善的密钥管理机制，采用三层的密钥管理机制和基于USBkey的分级权限管理机制，充分保证了系统的安全性。</w:t>
      </w:r>
    </w:p>
    <w:p w14:paraId="438E81E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密钥管理服务是为政务云密码租用单位、个人等用户提供密钥管理相关的支持活动，如密钥生成、分发、密钥安全隔离和存储服务、密钥安全访问服务、密钥的策略控制服务、基于托管密钥的简单加解密服务等。</w:t>
      </w:r>
    </w:p>
    <w:p w14:paraId="6618FDB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379A1CC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1）数据加解密场景：对业务系统重要/敏感数据提供加解密服务，确保存储在政务云的数据不会被非法获取。</w:t>
      </w:r>
    </w:p>
    <w:p w14:paraId="0F3F1B9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2）密钥管理场景</w:t>
      </w:r>
    </w:p>
    <w:p w14:paraId="6BC2801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针对用户需要便捷、</w:t>
      </w:r>
      <w:r>
        <w:rPr>
          <w:rFonts w:hint="eastAsia" w:ascii="宋体" w:hAnsi="宋体" w:eastAsia="宋体" w:cs="宋体"/>
          <w:color w:val="auto"/>
          <w:sz w:val="21"/>
          <w:szCs w:val="21"/>
          <w:highlight w:val="none"/>
          <w:lang w:eastAsia="zh-CN"/>
        </w:rPr>
        <w:t>安全地</w:t>
      </w:r>
      <w:r>
        <w:rPr>
          <w:rFonts w:hint="eastAsia" w:ascii="宋体" w:hAnsi="宋体" w:eastAsia="宋体" w:cs="宋体"/>
          <w:color w:val="auto"/>
          <w:sz w:val="21"/>
          <w:szCs w:val="21"/>
          <w:highlight w:val="none"/>
        </w:rPr>
        <w:t>管理所有密钥的场景，提供统一的密钥管理入口，对用户所有密钥从生成到销毁进行全生命周期的管理，通过密钥备用库、在用库和历史库的管理整合密钥资源池，实现密钥的按需分配。</w:t>
      </w:r>
    </w:p>
    <w:p w14:paraId="496F83B9">
      <w:pPr>
        <w:pStyle w:val="5"/>
        <w:numPr>
          <w:ilvl w:val="0"/>
          <w:numId w:val="5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6A355599">
      <w:pPr>
        <w:pStyle w:val="5"/>
        <w:numPr>
          <w:ilvl w:val="0"/>
          <w:numId w:val="51"/>
        </w:num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提供对称算法、非对称算法和杂凑算法等密码算法服务。对称算法主要包括SM1/SM4国产算法，非对称算法包括SM2国产算法，杂凑算法支持SM3国产算法，完整性校验算法支持HMAC、CBC-MAC等，可以满足不同强度的要求；</w:t>
      </w:r>
    </w:p>
    <w:p w14:paraId="45BD0180">
      <w:pPr>
        <w:pStyle w:val="5"/>
        <w:numPr>
          <w:ilvl w:val="0"/>
          <w:numId w:val="51"/>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权限管理功能：服务器密码机权限管理功能包括管理员和操作员登录、替换管理员、添加操作员、删除操作员以及管理员和操作员的口令修改、证书更新等；</w:t>
      </w:r>
    </w:p>
    <w:p w14:paraId="05D8FA25">
      <w:pPr>
        <w:pStyle w:val="5"/>
        <w:numPr>
          <w:ilvl w:val="0"/>
          <w:numId w:val="51"/>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密钥备份恢复功能：密钥的备份与恢复功能主要包括备份服务器密码机内部密钥以及敏感信息，以密文形式导出、将备份密钥恢复到服务器密码机内；</w:t>
      </w:r>
    </w:p>
    <w:p w14:paraId="629C0545">
      <w:pPr>
        <w:pStyle w:val="5"/>
        <w:numPr>
          <w:ilvl w:val="0"/>
          <w:numId w:val="5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57F7F172">
      <w:pPr>
        <w:pStyle w:val="5"/>
        <w:numPr>
          <w:ilvl w:val="0"/>
          <w:numId w:val="52"/>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SM1加解密≥870Mbps</w:t>
      </w:r>
    </w:p>
    <w:p w14:paraId="29815B86">
      <w:pPr>
        <w:pStyle w:val="5"/>
        <w:numPr>
          <w:ilvl w:val="0"/>
          <w:numId w:val="52"/>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SM2加密/解密≥35000/51000tps</w:t>
      </w:r>
    </w:p>
    <w:p w14:paraId="01C07537">
      <w:pPr>
        <w:pStyle w:val="5"/>
        <w:numPr>
          <w:ilvl w:val="0"/>
          <w:numId w:val="52"/>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SM2签名/验签≥67000/67000tps</w:t>
      </w:r>
    </w:p>
    <w:p w14:paraId="2145CD8F">
      <w:pPr>
        <w:pStyle w:val="5"/>
        <w:numPr>
          <w:ilvl w:val="0"/>
          <w:numId w:val="52"/>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SM2密钥生成≥67000tps</w:t>
      </w:r>
    </w:p>
    <w:p w14:paraId="5D7CA704">
      <w:pPr>
        <w:pStyle w:val="5"/>
        <w:numPr>
          <w:ilvl w:val="0"/>
          <w:numId w:val="52"/>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SM3杂凑算法≥870Mbps</w:t>
      </w:r>
    </w:p>
    <w:p w14:paraId="39A8C080">
      <w:pPr>
        <w:pStyle w:val="5"/>
        <w:numPr>
          <w:ilvl w:val="0"/>
          <w:numId w:val="52"/>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SM4 加解密≥870Mbps</w:t>
      </w:r>
    </w:p>
    <w:p w14:paraId="2B089C5D">
      <w:pPr>
        <w:pStyle w:val="5"/>
        <w:numPr>
          <w:ilvl w:val="0"/>
          <w:numId w:val="52"/>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随机数生成≥44Mbps</w:t>
      </w:r>
    </w:p>
    <w:p w14:paraId="41E1B894">
      <w:pPr>
        <w:pStyle w:val="5"/>
        <w:numPr>
          <w:ilvl w:val="0"/>
          <w:numId w:val="5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r>
        <w:rPr>
          <w:rFonts w:hint="eastAsia" w:ascii="宋体" w:hAnsi="宋体" w:eastAsia="宋体" w:cs="宋体"/>
          <w:b/>
          <w:bCs/>
          <w:color w:val="auto"/>
          <w:sz w:val="21"/>
          <w:szCs w:val="21"/>
          <w:highlight w:val="none"/>
        </w:rPr>
        <w:tab/>
      </w:r>
    </w:p>
    <w:p w14:paraId="22DC47A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（1）提供基础密码服务的产品需经商密局检测合格，符合《GM/T 0028 密码模块安全技术要求》安全等级二级的安全性认证，具有《商用密码产品认证证书》。</w:t>
      </w:r>
    </w:p>
    <w:p w14:paraId="7A1A431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（2）需支持IPv4/IPv6双协议栈；</w:t>
      </w:r>
    </w:p>
    <w:p w14:paraId="7EFFD2EE">
      <w:pPr>
        <w:pStyle w:val="5"/>
        <w:keepNext/>
        <w:keepLines/>
        <w:numPr>
          <w:ilvl w:val="3"/>
          <w:numId w:val="16"/>
        </w:numPr>
        <w:adjustRightInd w:val="0"/>
        <w:snapToGrid w:val="0"/>
        <w:spacing w:line="360" w:lineRule="auto"/>
        <w:contextualSpacing/>
        <w:outlineLvl w:val="3"/>
        <w:rPr>
          <w:rFonts w:hint="eastAsia" w:ascii="宋体" w:hAnsi="宋体" w:eastAsia="宋体" w:cs="宋体"/>
          <w:b/>
          <w:bCs/>
          <w:color w:val="auto"/>
          <w:sz w:val="21"/>
          <w:szCs w:val="21"/>
          <w:highlight w:val="none"/>
        </w:rPr>
      </w:pPr>
      <w:bookmarkStart w:id="349" w:name="_Toc256000103"/>
      <w:bookmarkStart w:id="350" w:name="_Toc13879"/>
      <w:bookmarkStart w:id="351" w:name="_Toc19135"/>
      <w:bookmarkStart w:id="352" w:name="_Toc24907"/>
      <w:bookmarkStart w:id="353" w:name="_Toc26723"/>
      <w:bookmarkStart w:id="354" w:name="_Toc6888"/>
      <w:r>
        <w:rPr>
          <w:rFonts w:hint="eastAsia" w:ascii="宋体" w:hAnsi="宋体" w:eastAsia="宋体" w:cs="宋体"/>
          <w:b/>
          <w:bCs/>
          <w:color w:val="auto"/>
          <w:sz w:val="21"/>
          <w:szCs w:val="21"/>
          <w:highlight w:val="none"/>
        </w:rPr>
        <w:t>时间戳服务</w:t>
      </w:r>
      <w:bookmarkEnd w:id="349"/>
      <w:bookmarkEnd w:id="350"/>
      <w:bookmarkEnd w:id="351"/>
      <w:bookmarkEnd w:id="352"/>
      <w:bookmarkEnd w:id="353"/>
      <w:bookmarkEnd w:id="354"/>
    </w:p>
    <w:p w14:paraId="6A3019CC">
      <w:pPr>
        <w:pStyle w:val="5"/>
        <w:numPr>
          <w:ilvl w:val="0"/>
          <w:numId w:val="5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012D469C">
      <w:pPr>
        <w:pStyle w:val="5"/>
        <w:numPr>
          <w:ilvl w:val="0"/>
          <w:numId w:val="54"/>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服务定义</w:t>
      </w:r>
    </w:p>
    <w:p w14:paraId="15C69FF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戳服务使用公钥加密技术、数字签名、数字证书和数据摘要技术，从国家标准时间发布机构获取标准时间，从第三方可信CA机构获得服务器证书，为用户的信息数据签发权威、可信的时间戳，提供可信的时间源，保证云上业务应用获取权威、统一、精准的时间信息。</w:t>
      </w:r>
    </w:p>
    <w:p w14:paraId="24F09DF8">
      <w:pPr>
        <w:pStyle w:val="5"/>
        <w:numPr>
          <w:ilvl w:val="0"/>
          <w:numId w:val="55"/>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w:t>
      </w:r>
    </w:p>
    <w:p w14:paraId="76A02FB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为业务系统提供时间戳签发和验证服务，确保业务系统关键数据时间可信，防止在生成数据时间</w:t>
      </w:r>
      <w:r>
        <w:rPr>
          <w:rFonts w:hint="eastAsia" w:ascii="宋体" w:hAnsi="宋体" w:eastAsia="宋体" w:cs="宋体"/>
          <w:color w:val="auto"/>
          <w:sz w:val="21"/>
          <w:szCs w:val="21"/>
          <w:highlight w:val="none"/>
          <w:lang w:eastAsia="zh-CN"/>
        </w:rPr>
        <w:t>方面</w:t>
      </w:r>
      <w:r>
        <w:rPr>
          <w:rFonts w:hint="eastAsia" w:ascii="宋体" w:hAnsi="宋体" w:eastAsia="宋体" w:cs="宋体"/>
          <w:color w:val="auto"/>
          <w:sz w:val="21"/>
          <w:szCs w:val="21"/>
          <w:highlight w:val="none"/>
        </w:rPr>
        <w:t>进行抵赖。</w:t>
      </w:r>
    </w:p>
    <w:p w14:paraId="584E9E6C">
      <w:pPr>
        <w:pStyle w:val="5"/>
        <w:numPr>
          <w:ilvl w:val="0"/>
          <w:numId w:val="5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7A410ABF">
      <w:pPr>
        <w:pStyle w:val="5"/>
        <w:numPr>
          <w:ilvl w:val="0"/>
          <w:numId w:val="56"/>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提供基于SM2等算法的时间戳服务，基于可信时间源为业务系统提供时间戳签发、验证服务，实现对数据、消息、文件等多种格式原文数据的时间戳服务；</w:t>
      </w:r>
    </w:p>
    <w:p w14:paraId="3DAE5073">
      <w:pPr>
        <w:pStyle w:val="5"/>
        <w:numPr>
          <w:ilvl w:val="0"/>
          <w:numId w:val="56"/>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支持时间同步功能，支持NTP协议，支持多个第三方时间源的配置管理。</w:t>
      </w:r>
    </w:p>
    <w:p w14:paraId="4F3E5326">
      <w:pPr>
        <w:pStyle w:val="5"/>
        <w:numPr>
          <w:ilvl w:val="0"/>
          <w:numId w:val="5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47CCCB0F">
      <w:pPr>
        <w:pStyle w:val="5"/>
        <w:numPr>
          <w:ilvl w:val="0"/>
          <w:numId w:val="57"/>
        </w:numPr>
        <w:spacing w:line="360" w:lineRule="auto"/>
        <w:ind w:left="0" w:firstLine="5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SM2时间戳签发≥4552次/秒；</w:t>
      </w:r>
    </w:p>
    <w:p w14:paraId="5872165B">
      <w:pPr>
        <w:pStyle w:val="5"/>
        <w:numPr>
          <w:ilvl w:val="0"/>
          <w:numId w:val="57"/>
        </w:numPr>
        <w:spacing w:line="360" w:lineRule="auto"/>
        <w:ind w:left="0" w:firstLine="5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SM2时间戳验证≥7530次/秒；</w:t>
      </w:r>
    </w:p>
    <w:p w14:paraId="5D12EABA">
      <w:pPr>
        <w:pStyle w:val="5"/>
        <w:numPr>
          <w:ilvl w:val="0"/>
          <w:numId w:val="57"/>
        </w:numPr>
        <w:spacing w:line="360" w:lineRule="auto"/>
        <w:ind w:left="0" w:firstLine="5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授时精度≤15ms；</w:t>
      </w:r>
    </w:p>
    <w:p w14:paraId="704E5291">
      <w:pPr>
        <w:pStyle w:val="5"/>
        <w:numPr>
          <w:ilvl w:val="0"/>
          <w:numId w:val="5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656B9A7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（1）提供时间戳服务的产品需经商密局检测合格，符合《GM/T 0028 密码模块安全技术要求》安全等级二级的安全性认证，具有《商用密码产品认证证书》。</w:t>
      </w:r>
    </w:p>
    <w:p w14:paraId="70FF897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（2）云服务商</w:t>
      </w:r>
      <w:r>
        <w:rPr>
          <w:rFonts w:hint="eastAsia" w:ascii="宋体" w:hAnsi="宋体" w:eastAsia="宋体" w:cs="宋体"/>
          <w:color w:val="auto"/>
          <w:sz w:val="21"/>
          <w:szCs w:val="21"/>
          <w:highlight w:val="none"/>
          <w:lang w:val="en-US" w:eastAsia="zh-CN"/>
        </w:rPr>
        <w:t>在</w:t>
      </w:r>
      <w:r>
        <w:rPr>
          <w:rFonts w:hint="eastAsia" w:ascii="宋体" w:hAnsi="宋体" w:eastAsia="宋体" w:cs="宋体"/>
          <w:color w:val="auto"/>
          <w:sz w:val="21"/>
          <w:szCs w:val="21"/>
          <w:highlight w:val="none"/>
        </w:rPr>
        <w:t>政务外网业务区和互联网区</w:t>
      </w:r>
      <w:r>
        <w:rPr>
          <w:rFonts w:hint="eastAsia" w:ascii="宋体" w:hAnsi="宋体" w:eastAsia="宋体" w:cs="宋体"/>
          <w:color w:val="auto"/>
          <w:sz w:val="21"/>
          <w:szCs w:val="21"/>
          <w:highlight w:val="none"/>
          <w:lang w:val="en-US" w:eastAsia="zh-CN"/>
        </w:rPr>
        <w:t>均需</w:t>
      </w:r>
      <w:r>
        <w:rPr>
          <w:rFonts w:hint="eastAsia" w:ascii="宋体" w:hAnsi="宋体" w:eastAsia="宋体" w:cs="宋体"/>
          <w:color w:val="auto"/>
          <w:sz w:val="21"/>
          <w:szCs w:val="21"/>
          <w:highlight w:val="none"/>
        </w:rPr>
        <w:t>提供时间戳服务</w:t>
      </w:r>
      <w:r>
        <w:rPr>
          <w:rFonts w:hint="eastAsia" w:ascii="宋体" w:hAnsi="宋体" w:eastAsia="宋体" w:cs="宋体"/>
          <w:color w:val="auto"/>
          <w:sz w:val="21"/>
          <w:szCs w:val="21"/>
          <w:highlight w:val="none"/>
          <w:lang w:eastAsia="zh-CN"/>
        </w:rPr>
        <w:t>。</w:t>
      </w:r>
    </w:p>
    <w:p w14:paraId="3B67F827">
      <w:pPr>
        <w:pStyle w:val="5"/>
        <w:keepNext/>
        <w:keepLines/>
        <w:numPr>
          <w:ilvl w:val="3"/>
          <w:numId w:val="16"/>
        </w:numPr>
        <w:adjustRightInd w:val="0"/>
        <w:snapToGrid w:val="0"/>
        <w:spacing w:line="360" w:lineRule="auto"/>
        <w:contextualSpacing/>
        <w:outlineLvl w:val="3"/>
        <w:rPr>
          <w:rFonts w:hint="eastAsia" w:ascii="宋体" w:hAnsi="宋体" w:eastAsia="宋体" w:cs="宋体"/>
          <w:b/>
          <w:bCs/>
          <w:color w:val="auto"/>
          <w:sz w:val="21"/>
          <w:szCs w:val="21"/>
          <w:highlight w:val="none"/>
        </w:rPr>
      </w:pPr>
      <w:bookmarkStart w:id="355" w:name="_Toc256000104"/>
      <w:bookmarkStart w:id="356" w:name="_Toc18297"/>
      <w:bookmarkStart w:id="357" w:name="_Toc32139"/>
      <w:bookmarkStart w:id="358" w:name="_Toc148"/>
      <w:bookmarkStart w:id="359" w:name="_Toc6897"/>
      <w:bookmarkStart w:id="360" w:name="_Toc30584"/>
      <w:r>
        <w:rPr>
          <w:rFonts w:hint="eastAsia" w:ascii="宋体" w:hAnsi="宋体" w:eastAsia="宋体" w:cs="宋体"/>
          <w:b/>
          <w:bCs/>
          <w:color w:val="auto"/>
          <w:sz w:val="21"/>
          <w:szCs w:val="21"/>
          <w:highlight w:val="none"/>
        </w:rPr>
        <w:t>GM浏览器</w:t>
      </w:r>
      <w:bookmarkEnd w:id="355"/>
      <w:bookmarkEnd w:id="356"/>
      <w:bookmarkEnd w:id="357"/>
      <w:bookmarkEnd w:id="358"/>
      <w:bookmarkEnd w:id="359"/>
      <w:bookmarkEnd w:id="360"/>
    </w:p>
    <w:p w14:paraId="2F6F96E6">
      <w:pPr>
        <w:pStyle w:val="5"/>
        <w:numPr>
          <w:ilvl w:val="0"/>
          <w:numId w:val="5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136E47A3">
      <w:pPr>
        <w:pStyle w:val="5"/>
        <w:numPr>
          <w:ilvl w:val="0"/>
          <w:numId w:val="5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服务定义</w:t>
      </w:r>
    </w:p>
    <w:p w14:paraId="7FBC956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商密浏览器基于SM2、SM3、SM4 等算法及系列国家密码标准，实现国家商用密码算法SSL 安全链接功能，供内部办公、运维人员使用，提供基于国家商用密码算法SSL/TLS安全传输服务。</w:t>
      </w:r>
    </w:p>
    <w:p w14:paraId="10F46DDD">
      <w:pPr>
        <w:pStyle w:val="5"/>
        <w:numPr>
          <w:ilvl w:val="0"/>
          <w:numId w:val="60"/>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应用场景</w:t>
      </w:r>
    </w:p>
    <w:p w14:paraId="6D3A826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1）政企办公：‌商密浏览器适用于政府和企业内部的办公网络，‌提供安全的网络访问和数据处理环境；</w:t>
      </w:r>
    </w:p>
    <w:p w14:paraId="7EDD4AF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2）商密改造：‌在需要改造或新建使用国家商用密码算法的系统时，‌商密浏览器提供了对SM2、‌SM3、‌SM4等国家商用密码算法的支持，‌确保系统的安全性；</w:t>
      </w:r>
    </w:p>
    <w:p w14:paraId="3DD3093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3）大型企业复杂场景：‌对于大型企业来说，‌商密浏览器能够适应其复杂的网络环境和业务需求，‌提供安全、‌高效的解决方案。</w:t>
      </w:r>
    </w:p>
    <w:p w14:paraId="5F387151">
      <w:pPr>
        <w:pStyle w:val="5"/>
        <w:numPr>
          <w:ilvl w:val="0"/>
          <w:numId w:val="5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2FC24F84">
      <w:pPr>
        <w:pStyle w:val="5"/>
        <w:numPr>
          <w:ilvl w:val="0"/>
          <w:numId w:val="61"/>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支持SM2、SM3、SM4等密码算法，支持基于国家商用密码算法的SSL协议；</w:t>
      </w:r>
    </w:p>
    <w:p w14:paraId="158151E3">
      <w:pPr>
        <w:pStyle w:val="5"/>
        <w:numPr>
          <w:ilvl w:val="0"/>
          <w:numId w:val="61"/>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应用兼容，支持用户采用Chrome内核或者Firefox内核充分保证浏览器应用的显示效果、性能和安全性；</w:t>
      </w:r>
    </w:p>
    <w:p w14:paraId="0DAA8EF8">
      <w:pPr>
        <w:pStyle w:val="5"/>
        <w:numPr>
          <w:ilvl w:val="0"/>
          <w:numId w:val="61"/>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支持统一管控功能，可以实现应用、控件和驱动的统一管理、统一升级、安全策略的统一管控。</w:t>
      </w:r>
    </w:p>
    <w:p w14:paraId="2AE371D0">
      <w:pPr>
        <w:pStyle w:val="5"/>
        <w:numPr>
          <w:ilvl w:val="0"/>
          <w:numId w:val="5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029D8641">
      <w:pPr>
        <w:pStyle w:val="5"/>
        <w:spacing w:line="36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基于 SSL 隧道，吞吐率≥10Mbps。</w:t>
      </w:r>
    </w:p>
    <w:p w14:paraId="701D279B">
      <w:pPr>
        <w:pStyle w:val="5"/>
        <w:numPr>
          <w:ilvl w:val="0"/>
          <w:numId w:val="58"/>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669AFBD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商密浏览器需支持国家商用密码算法，支持我国网络自主信任体系。提供的产品需经商密局检测合格，符合《GM/T 0028 密码模块安全技术要求》安全等级二级的安全性认证，具有《商用密码产品认证证书》。</w:t>
      </w:r>
    </w:p>
    <w:p w14:paraId="63EB0687">
      <w:pPr>
        <w:pStyle w:val="5"/>
        <w:keepNext/>
        <w:keepLines/>
        <w:numPr>
          <w:ilvl w:val="3"/>
          <w:numId w:val="16"/>
        </w:numPr>
        <w:adjustRightInd w:val="0"/>
        <w:snapToGrid w:val="0"/>
        <w:spacing w:line="360" w:lineRule="auto"/>
        <w:contextualSpacing/>
        <w:outlineLvl w:val="3"/>
        <w:rPr>
          <w:rFonts w:hint="eastAsia" w:ascii="宋体" w:hAnsi="宋体" w:eastAsia="宋体" w:cs="宋体"/>
          <w:b/>
          <w:bCs/>
          <w:color w:val="auto"/>
          <w:sz w:val="21"/>
          <w:szCs w:val="21"/>
          <w:highlight w:val="none"/>
        </w:rPr>
      </w:pPr>
      <w:bookmarkStart w:id="361" w:name="_Toc936"/>
      <w:bookmarkStart w:id="362" w:name="_Toc8051"/>
      <w:bookmarkStart w:id="363" w:name="_Toc32480"/>
      <w:bookmarkStart w:id="364" w:name="_Toc256000105"/>
      <w:bookmarkStart w:id="365" w:name="_Toc24858"/>
      <w:bookmarkStart w:id="366" w:name="_Toc24575"/>
      <w:r>
        <w:rPr>
          <w:rFonts w:hint="eastAsia" w:ascii="宋体" w:hAnsi="宋体" w:eastAsia="宋体" w:cs="宋体"/>
          <w:b/>
          <w:bCs/>
          <w:color w:val="auto"/>
          <w:sz w:val="21"/>
          <w:szCs w:val="21"/>
          <w:highlight w:val="none"/>
        </w:rPr>
        <w:t>密钥管理服务</w:t>
      </w:r>
      <w:bookmarkEnd w:id="361"/>
      <w:bookmarkEnd w:id="362"/>
      <w:bookmarkEnd w:id="363"/>
      <w:bookmarkEnd w:id="364"/>
      <w:bookmarkEnd w:id="365"/>
      <w:bookmarkEnd w:id="366"/>
    </w:p>
    <w:p w14:paraId="45EBBEA1">
      <w:pPr>
        <w:pStyle w:val="5"/>
        <w:numPr>
          <w:ilvl w:val="0"/>
          <w:numId w:val="6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414F384B">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374734BB">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提供密码服务平台管理系统（含</w:t>
      </w:r>
      <w:r>
        <w:rPr>
          <w:rFonts w:hint="eastAsia" w:ascii="宋体" w:hAnsi="宋体" w:eastAsia="宋体" w:cs="宋体"/>
          <w:color w:val="auto"/>
          <w:sz w:val="21"/>
          <w:szCs w:val="21"/>
          <w:highlight w:val="none"/>
          <w:lang w:eastAsia="zh-CN"/>
        </w:rPr>
        <w:t>密钥</w:t>
      </w:r>
      <w:r>
        <w:rPr>
          <w:rFonts w:hint="eastAsia" w:ascii="宋体" w:hAnsi="宋体" w:eastAsia="宋体" w:cs="宋体"/>
          <w:color w:val="auto"/>
          <w:sz w:val="21"/>
          <w:szCs w:val="21"/>
          <w:highlight w:val="none"/>
        </w:rPr>
        <w:t>管理系统），根据密码接入规范和标准管理协议，为政务信息系统提供密钥生成、存储、更新、备份、恢复及归档等密钥全生命周期管理，支持 SM1、SM2、SM3、SM4 等算法。</w:t>
      </w:r>
    </w:p>
    <w:p w14:paraId="447878D7">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0E6824D2">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1）金融等行业敏感数据保护：</w:t>
      </w:r>
    </w:p>
    <w:p w14:paraId="7B138880">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金融等行业机构的通信和存储数据具有高价值性和高保密性，需要考虑加密的安全性及合规性。通过信封加密对协议通信内容、重要文件和资料提供加密服务及密钥保护和权限管理，满足安全性及合规性要求。</w:t>
      </w:r>
    </w:p>
    <w:p w14:paraId="0C80DAB8">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2）后台服务开发配置信息保护：</w:t>
      </w:r>
    </w:p>
    <w:p w14:paraId="77FC774B">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应用开发配置文件需要进行加密以保护程序数据安全。通过KMS对敏感配置信息、数据库连接信息、数据库密码、登录密钥、后台服务的配置信息进行加密及完整性保护。</w:t>
      </w:r>
    </w:p>
    <w:p w14:paraId="25DF9323">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3）企业核心数据保护：</w:t>
      </w:r>
    </w:p>
    <w:p w14:paraId="2CE0442F">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核心知识产权、用户手机号、身份证号、银行账号、口令等隐私数据需要严格保护。以信封加密方式，将所有核心数据通过数据密钥加密，数据密钥再经过KMS加密，为核心数据提供双重保护。</w:t>
      </w:r>
    </w:p>
    <w:p w14:paraId="65BFF49A">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4）网站或应用开发安全：</w:t>
      </w:r>
    </w:p>
    <w:p w14:paraId="1504AF32">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HTTPS等服务时需要使用到证书、密钥，这些信息若以明文保存本地，攻击者可以轻易获取。通过KMS对密钥进行加解密，加密后本地保存密钥的密文文件，使用时解密且不保存本地，使得攻击者难以获取，从而保证网页和应用的安全性</w:t>
      </w:r>
      <w:r>
        <w:rPr>
          <w:rFonts w:hint="eastAsia" w:ascii="宋体" w:hAnsi="宋体" w:eastAsia="宋体" w:cs="宋体"/>
          <w:color w:val="auto"/>
          <w:sz w:val="21"/>
          <w:szCs w:val="21"/>
          <w:highlight w:val="none"/>
          <w:lang w:eastAsia="zh-CN"/>
        </w:rPr>
        <w:t>。</w:t>
      </w:r>
    </w:p>
    <w:p w14:paraId="694DA8BC">
      <w:pPr>
        <w:pStyle w:val="5"/>
        <w:numPr>
          <w:ilvl w:val="0"/>
          <w:numId w:val="6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1A277C9">
      <w:pPr>
        <w:pStyle w:val="5"/>
        <w:numPr>
          <w:ilvl w:val="0"/>
          <w:numId w:val="6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 SM2、SM3、SM4 系列国密算法密钥服务；</w:t>
      </w:r>
    </w:p>
    <w:p w14:paraId="07D5C888">
      <w:pPr>
        <w:pStyle w:val="5"/>
        <w:numPr>
          <w:ilvl w:val="0"/>
          <w:numId w:val="6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平台支持数据加解密、签名验签、随机数、哈希、MAC 等运算；</w:t>
      </w:r>
    </w:p>
    <w:p w14:paraId="4555AB76">
      <w:pPr>
        <w:pStyle w:val="5"/>
        <w:numPr>
          <w:ilvl w:val="0"/>
          <w:numId w:val="6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系统支持系统审计，包括日志查询、日志审计、日志下载功能；</w:t>
      </w:r>
    </w:p>
    <w:p w14:paraId="614A45C9">
      <w:pPr>
        <w:pStyle w:val="5"/>
        <w:numPr>
          <w:ilvl w:val="0"/>
          <w:numId w:val="6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支持密钥管理支持KMIP标准规范，对称密钥和非对称密钥的激活、撤销、更新、销毁、归档、恢复等生命周期管理功能。</w:t>
      </w:r>
    </w:p>
    <w:p w14:paraId="1A273A10">
      <w:pPr>
        <w:pStyle w:val="5"/>
        <w:numPr>
          <w:ilvl w:val="0"/>
          <w:numId w:val="6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密码应用的管理，包括应用注册、编辑、审核、删除等操作，便于统计和掌握密码应用侧的情况，支持应用与密钥相互关联。支持物理密码设备包括服务器密码机、签名验签服务器、时间戳服务器、协同签名服务器等和虚拟化密码设备包括云服务器密码机的管理和监控功能。</w:t>
      </w:r>
    </w:p>
    <w:p w14:paraId="541908D3">
      <w:pPr>
        <w:pStyle w:val="5"/>
        <w:numPr>
          <w:ilvl w:val="0"/>
          <w:numId w:val="6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备独立租户页面，租户管理首页可查看当前租户运行时间、应用数量、异常服务等内容；具备租户应用管理、租户密钥管理、租户证书管理等功能；管理平台无法查看和管理租户密钥详细信息，保障租户密钥的安全管理。</w:t>
      </w:r>
    </w:p>
    <w:p w14:paraId="019CA5AE">
      <w:pPr>
        <w:pStyle w:val="5"/>
        <w:numPr>
          <w:ilvl w:val="0"/>
          <w:numId w:val="63"/>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支持租户自助管理应用，包含创建应用、修改应用、删除应用等。支持申请应用密码资源，申请密码资源时可添加多个服务信息，即对应用进行重复下单。支持修改增加新的签名验签、电子签章等密码服务。</w:t>
      </w:r>
    </w:p>
    <w:p w14:paraId="70E69E97">
      <w:pPr>
        <w:pStyle w:val="5"/>
        <w:numPr>
          <w:ilvl w:val="0"/>
          <w:numId w:val="6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1040134D">
      <w:pPr>
        <w:pStyle w:val="5"/>
        <w:numPr>
          <w:ilvl w:val="0"/>
          <w:numId w:val="64"/>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并发请求数≥100次/秒</w:t>
      </w:r>
    </w:p>
    <w:p w14:paraId="5CBFD035">
      <w:pPr>
        <w:pStyle w:val="5"/>
        <w:numPr>
          <w:ilvl w:val="0"/>
          <w:numId w:val="64"/>
        </w:numPr>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密钥存储量≥10000个</w:t>
      </w:r>
    </w:p>
    <w:p w14:paraId="57E6FB7C">
      <w:pPr>
        <w:pStyle w:val="5"/>
        <w:numPr>
          <w:ilvl w:val="0"/>
          <w:numId w:val="6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3D2F3A5A">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（1）提供密钥管理服务的密码服务平台管理系统（含</w:t>
      </w:r>
      <w:r>
        <w:rPr>
          <w:rFonts w:hint="eastAsia" w:ascii="宋体" w:hAnsi="宋体" w:eastAsia="宋体" w:cs="宋体"/>
          <w:color w:val="auto"/>
          <w:sz w:val="21"/>
          <w:szCs w:val="21"/>
          <w:highlight w:val="none"/>
          <w:lang w:eastAsia="zh-CN"/>
        </w:rPr>
        <w:t>密钥</w:t>
      </w:r>
      <w:r>
        <w:rPr>
          <w:rFonts w:hint="eastAsia" w:ascii="宋体" w:hAnsi="宋体" w:eastAsia="宋体" w:cs="宋体"/>
          <w:color w:val="auto"/>
          <w:sz w:val="21"/>
          <w:szCs w:val="21"/>
          <w:highlight w:val="none"/>
        </w:rPr>
        <w:t>管理系统）需经商密局检测合格，符合《GM/T 0028 密码模块安全技术要求》安全等级二级的安全性认证，具有《商用密码产品认证证书》。</w:t>
      </w:r>
    </w:p>
    <w:p w14:paraId="7A324F31">
      <w:pPr>
        <w:pStyle w:val="5"/>
        <w:widowControl/>
        <w:adjustRightInd w:val="0"/>
        <w:snapToGrid w:val="0"/>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（2）云服务商</w:t>
      </w:r>
      <w:r>
        <w:rPr>
          <w:rFonts w:hint="eastAsia" w:ascii="宋体" w:hAnsi="宋体" w:eastAsia="宋体" w:cs="宋体"/>
          <w:color w:val="auto"/>
          <w:sz w:val="21"/>
          <w:szCs w:val="21"/>
          <w:highlight w:val="none"/>
          <w:lang w:val="en-US" w:eastAsia="zh-CN"/>
        </w:rPr>
        <w:t>在</w:t>
      </w:r>
      <w:r>
        <w:rPr>
          <w:rFonts w:hint="eastAsia" w:ascii="宋体" w:hAnsi="宋体" w:eastAsia="宋体" w:cs="宋体"/>
          <w:color w:val="auto"/>
          <w:sz w:val="21"/>
          <w:szCs w:val="21"/>
          <w:highlight w:val="none"/>
        </w:rPr>
        <w:t>政务外网业务区和互联网业务区</w:t>
      </w:r>
      <w:r>
        <w:rPr>
          <w:rFonts w:hint="eastAsia" w:ascii="宋体" w:hAnsi="宋体" w:eastAsia="宋体" w:cs="宋体"/>
          <w:color w:val="auto"/>
          <w:sz w:val="21"/>
          <w:szCs w:val="21"/>
          <w:highlight w:val="none"/>
          <w:lang w:val="en-US" w:eastAsia="zh-CN"/>
        </w:rPr>
        <w:t>均提供</w:t>
      </w:r>
      <w:r>
        <w:rPr>
          <w:rFonts w:hint="eastAsia" w:ascii="宋体" w:hAnsi="宋体" w:eastAsia="宋体" w:cs="宋体"/>
          <w:color w:val="auto"/>
          <w:sz w:val="21"/>
          <w:szCs w:val="21"/>
          <w:highlight w:val="none"/>
        </w:rPr>
        <w:t>密码服务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密钥管理服务</w:t>
      </w:r>
      <w:r>
        <w:rPr>
          <w:rFonts w:hint="eastAsia" w:ascii="宋体" w:hAnsi="宋体" w:eastAsia="宋体" w:cs="宋体"/>
          <w:color w:val="auto"/>
          <w:sz w:val="21"/>
          <w:szCs w:val="21"/>
          <w:highlight w:val="none"/>
          <w:lang w:eastAsia="zh-CN"/>
        </w:rPr>
        <w:t>）。</w:t>
      </w:r>
    </w:p>
    <w:p w14:paraId="2C085FD1">
      <w:pPr>
        <w:pStyle w:val="5"/>
        <w:keepNext/>
        <w:keepLines/>
        <w:numPr>
          <w:ilvl w:val="1"/>
          <w:numId w:val="16"/>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367" w:name="_Toc5022"/>
      <w:bookmarkStart w:id="368" w:name="_Toc19507"/>
      <w:bookmarkStart w:id="369" w:name="_Toc256000106"/>
      <w:bookmarkStart w:id="370" w:name="_Toc17595"/>
      <w:bookmarkStart w:id="371" w:name="_Toc28628"/>
      <w:bookmarkStart w:id="372" w:name="_Toc12634"/>
      <w:r>
        <w:rPr>
          <w:rFonts w:hint="eastAsia" w:ascii="宋体" w:hAnsi="宋体" w:eastAsia="宋体" w:cs="宋体"/>
          <w:bCs/>
          <w:color w:val="auto"/>
          <w:sz w:val="21"/>
          <w:szCs w:val="21"/>
          <w:highlight w:val="none"/>
        </w:rPr>
        <w:t>SaaS服务</w:t>
      </w:r>
      <w:bookmarkEnd w:id="367"/>
      <w:bookmarkEnd w:id="368"/>
      <w:bookmarkEnd w:id="369"/>
      <w:bookmarkEnd w:id="370"/>
      <w:bookmarkEnd w:id="371"/>
      <w:bookmarkEnd w:id="372"/>
    </w:p>
    <w:p w14:paraId="17AC393F">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bookmarkStart w:id="373" w:name="_Toc403"/>
      <w:bookmarkStart w:id="374" w:name="_Toc6287"/>
      <w:bookmarkStart w:id="375" w:name="_Toc4618"/>
      <w:bookmarkStart w:id="376" w:name="_Toc24861"/>
      <w:bookmarkStart w:id="377" w:name="_Toc256000107"/>
      <w:bookmarkStart w:id="378" w:name="_Toc17241"/>
      <w:r>
        <w:rPr>
          <w:rFonts w:hint="eastAsia" w:ascii="宋体" w:hAnsi="宋体" w:eastAsia="宋体" w:cs="宋体"/>
          <w:bCs/>
          <w:color w:val="auto"/>
          <w:sz w:val="21"/>
          <w:szCs w:val="21"/>
          <w:highlight w:val="none"/>
        </w:rPr>
        <w:t>CDN 服务</w:t>
      </w:r>
      <w:bookmarkEnd w:id="373"/>
      <w:bookmarkEnd w:id="374"/>
      <w:bookmarkEnd w:id="375"/>
      <w:bookmarkEnd w:id="376"/>
      <w:bookmarkEnd w:id="377"/>
      <w:bookmarkEnd w:id="378"/>
    </w:p>
    <w:p w14:paraId="23EC7492">
      <w:pPr>
        <w:pStyle w:val="5"/>
        <w:numPr>
          <w:ilvl w:val="0"/>
          <w:numId w:val="65"/>
        </w:numPr>
        <w:spacing w:line="360" w:lineRule="auto"/>
        <w:ind w:left="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603CBA0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3C0ACFE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CDN的全称是Content Delivery Network，即内容分发网络。CDN系统能够实时地根据网络流量和各节点的连接、负载状况以及到用户的距离和响应时间等综合信息将用户的请求重新导向离用户最近的服务节点上。目的是使用户可就近取得所需内容，解决网络拥挤的状况，提高用户访问的响应速度。</w:t>
      </w:r>
    </w:p>
    <w:p w14:paraId="081CC0E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29FEB5D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适用于互联网区的业务应用访问加速、文件下载加速、网络多媒体加速。</w:t>
      </w:r>
    </w:p>
    <w:p w14:paraId="494ED628">
      <w:pPr>
        <w:pStyle w:val="5"/>
        <w:numPr>
          <w:ilvl w:val="0"/>
          <w:numId w:val="6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66E5ED1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（1）智能调度：要求支持实时获取CDN节点的健康状况，并根据用户所在位置和运营商来分配最佳接入节点，以便取得最佳接入效果。</w:t>
      </w:r>
    </w:p>
    <w:p w14:paraId="70AA64A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（2）智能传输链路：要求支持通过协议优化、连接优化等措施来降低总体时延、提高传输速度，尤其是提高弱网环境下的传输速度。</w:t>
      </w:r>
    </w:p>
    <w:p w14:paraId="33707DD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（3）访问控制：要求支持Referer防盗链、URL鉴权、IP黑/白名单、UA黑/白名单、远程鉴权等功能。</w:t>
      </w:r>
    </w:p>
    <w:p w14:paraId="2B92FAB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（4）流量限制：要求支持通过配置带宽封顶，控制用户访问该域名的带宽上限值，减少因突发流量导致的损失。</w:t>
      </w:r>
    </w:p>
    <w:p w14:paraId="6DB0BC9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（5）资源监控：要求支持流量带宽、访问次数/QPS、HTTPCode、命中率等统计查询。</w:t>
      </w:r>
    </w:p>
    <w:p w14:paraId="14BFB5A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（6）一键接入：要求支持一键开通 CDN 服务并添加域名，域名服务商添加对应 CNAME 记录，即可正式启用加速服务，无需业务侧做任何调整。</w:t>
      </w:r>
    </w:p>
    <w:p w14:paraId="608EDA5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（7）域名管理：支持对加速的域名进行管理，包括添加、启用、停用、移除、下线。</w:t>
      </w:r>
    </w:p>
    <w:p w14:paraId="62FE395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（8）统计分析：可以生成统计报表，可以查看并分析相关数据，及时发现异常、调整业务。</w:t>
      </w:r>
    </w:p>
    <w:p w14:paraId="196F3D49">
      <w:pPr>
        <w:pStyle w:val="5"/>
        <w:numPr>
          <w:ilvl w:val="0"/>
          <w:numId w:val="6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1EF9458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（1）DNS解析时延≤0.3s</w:t>
      </w:r>
    </w:p>
    <w:p w14:paraId="638B678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（2）首包用时≤0.4s</w:t>
      </w:r>
    </w:p>
    <w:p w14:paraId="0E882EC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（3）SSL用时≤0.6s</w:t>
      </w:r>
    </w:p>
    <w:p w14:paraId="5664BC1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（4）延时≤30ms，丢包率≤8%</w:t>
      </w:r>
    </w:p>
    <w:p w14:paraId="27A3FCC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（5）域名管理：支持带宽封顶功能：当统计周期（5分钟）产生的平均带宽超出所设置的带宽最大值时，为了保护域名安全，此时域名会自动下线，所有的请求会回到源站。</w:t>
      </w:r>
    </w:p>
    <w:p w14:paraId="735D5015">
      <w:pPr>
        <w:pStyle w:val="5"/>
        <w:numPr>
          <w:ilvl w:val="0"/>
          <w:numId w:val="6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2552D29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（1）要求提供电信级服务保障，7*24小时全网监控与工单响应；服务可用性达99.9%；支持全网HTTPS安全传输，网站防盗链等高级安全控制功能能力。</w:t>
      </w:r>
    </w:p>
    <w:p w14:paraId="432B19F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（2）要求支持按日峰值带宽、按流量计费；按需付费，用多少计多少。</w:t>
      </w:r>
    </w:p>
    <w:p w14:paraId="3BCB802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（3）要求提供海量资源储备，包括加速节点、带宽资源等，有效解决因跨运营商、跨地域带来的网络不稳定，访问延迟高等问题。</w:t>
      </w:r>
    </w:p>
    <w:p w14:paraId="0463612D">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bookmarkStart w:id="379" w:name="_Toc23632"/>
      <w:bookmarkStart w:id="380" w:name="_Toc29995"/>
      <w:bookmarkStart w:id="381" w:name="_Toc25668"/>
      <w:bookmarkStart w:id="382" w:name="_Toc21443"/>
      <w:bookmarkStart w:id="383" w:name="_Toc4750"/>
      <w:bookmarkStart w:id="384" w:name="_Toc256000108"/>
      <w:r>
        <w:rPr>
          <w:rFonts w:hint="eastAsia" w:ascii="宋体" w:hAnsi="宋体" w:eastAsia="宋体" w:cs="宋体"/>
          <w:bCs/>
          <w:color w:val="auto"/>
          <w:sz w:val="21"/>
          <w:szCs w:val="21"/>
          <w:highlight w:val="none"/>
        </w:rPr>
        <w:t>负载均衡</w:t>
      </w:r>
      <w:bookmarkEnd w:id="379"/>
      <w:bookmarkEnd w:id="380"/>
      <w:bookmarkEnd w:id="381"/>
      <w:bookmarkEnd w:id="382"/>
      <w:bookmarkEnd w:id="383"/>
      <w:bookmarkEnd w:id="384"/>
    </w:p>
    <w:p w14:paraId="79192531">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bookmarkStart w:id="385" w:name="_Toc1315"/>
      <w:bookmarkStart w:id="386" w:name="_Toc256000109"/>
      <w:bookmarkStart w:id="387" w:name="_Toc24668"/>
      <w:bookmarkStart w:id="388" w:name="_Toc18536"/>
      <w:bookmarkStart w:id="389" w:name="_Toc30996"/>
      <w:bookmarkStart w:id="390" w:name="_Toc77"/>
      <w:r>
        <w:rPr>
          <w:rFonts w:hint="eastAsia" w:ascii="宋体" w:hAnsi="宋体" w:eastAsia="宋体" w:cs="宋体"/>
          <w:b/>
          <w:bCs/>
          <w:color w:val="auto"/>
          <w:sz w:val="21"/>
          <w:szCs w:val="21"/>
          <w:highlight w:val="none"/>
        </w:rPr>
        <w:t>负载均衡服务</w:t>
      </w:r>
      <w:bookmarkEnd w:id="385"/>
      <w:bookmarkEnd w:id="386"/>
      <w:bookmarkEnd w:id="387"/>
      <w:bookmarkEnd w:id="388"/>
      <w:bookmarkEnd w:id="389"/>
      <w:bookmarkEnd w:id="390"/>
    </w:p>
    <w:p w14:paraId="63CD3AE8">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应用负载均衡</w:t>
      </w:r>
    </w:p>
    <w:p w14:paraId="4151584E">
      <w:pPr>
        <w:pStyle w:val="5"/>
        <w:numPr>
          <w:ilvl w:val="0"/>
          <w:numId w:val="6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3ED4822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37F75695">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将所有真实</w:t>
      </w:r>
      <w:r>
        <w:rPr>
          <w:rStyle w:val="14"/>
          <w:rFonts w:hint="eastAsia" w:ascii="宋体" w:hAnsi="宋体" w:eastAsia="宋体" w:cs="宋体"/>
          <w:color w:val="auto"/>
          <w:sz w:val="21"/>
          <w:szCs w:val="21"/>
          <w:highlight w:val="none"/>
          <w:lang w:val="en-US" w:eastAsia="zh-CN"/>
        </w:rPr>
        <w:t>业务</w:t>
      </w:r>
      <w:r>
        <w:rPr>
          <w:rStyle w:val="14"/>
          <w:rFonts w:hint="eastAsia" w:ascii="宋体" w:hAnsi="宋体" w:eastAsia="宋体" w:cs="宋体"/>
          <w:color w:val="auto"/>
          <w:sz w:val="21"/>
          <w:szCs w:val="21"/>
          <w:highlight w:val="none"/>
        </w:rPr>
        <w:t>服务器配置成虚拟服务来实现负载均衡，对外直接发布一个虚拟服务IP。同时</w:t>
      </w:r>
      <w:r>
        <w:rPr>
          <w:rStyle w:val="14"/>
          <w:rFonts w:hint="eastAsia" w:ascii="宋体" w:hAnsi="宋体" w:eastAsia="宋体" w:cs="宋体"/>
          <w:color w:val="auto"/>
          <w:sz w:val="21"/>
          <w:szCs w:val="21"/>
          <w:highlight w:val="none"/>
          <w:lang w:val="en-US" w:eastAsia="zh-CN"/>
        </w:rPr>
        <w:t>负载均衡</w:t>
      </w:r>
      <w:r>
        <w:rPr>
          <w:rStyle w:val="14"/>
          <w:rFonts w:hint="eastAsia" w:ascii="宋体" w:hAnsi="宋体" w:eastAsia="宋体" w:cs="宋体"/>
          <w:color w:val="auto"/>
          <w:sz w:val="21"/>
          <w:szCs w:val="21"/>
          <w:highlight w:val="none"/>
        </w:rPr>
        <w:t>可持续检查服务器的健康状态，一旦发现</w:t>
      </w:r>
      <w:r>
        <w:rPr>
          <w:rStyle w:val="14"/>
          <w:rFonts w:hint="eastAsia" w:ascii="宋体" w:hAnsi="宋体" w:eastAsia="宋体" w:cs="宋体"/>
          <w:color w:val="auto"/>
          <w:sz w:val="21"/>
          <w:szCs w:val="21"/>
          <w:highlight w:val="none"/>
          <w:lang w:val="en-US" w:eastAsia="zh-CN"/>
        </w:rPr>
        <w:t>负载阻内的业务</w:t>
      </w:r>
      <w:r>
        <w:rPr>
          <w:rStyle w:val="14"/>
          <w:rFonts w:hint="eastAsia" w:ascii="宋体" w:hAnsi="宋体" w:eastAsia="宋体" w:cs="宋体"/>
          <w:color w:val="auto"/>
          <w:sz w:val="21"/>
          <w:szCs w:val="21"/>
          <w:highlight w:val="none"/>
        </w:rPr>
        <w:t>服务器故障，则将其从负载均衡组中移除。</w:t>
      </w:r>
    </w:p>
    <w:p w14:paraId="10481BE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77B80DF0">
      <w:pPr>
        <w:pStyle w:val="5"/>
        <w:spacing w:line="360" w:lineRule="auto"/>
        <w:ind w:firstLine="420" w:firstLineChars="200"/>
        <w:rPr>
          <w:rFonts w:hint="eastAsia" w:ascii="宋体" w:hAnsi="宋体" w:eastAsia="宋体" w:cs="宋体"/>
          <w:color w:val="auto"/>
          <w:sz w:val="21"/>
          <w:szCs w:val="21"/>
          <w:highlight w:val="none"/>
          <w:lang w:eastAsia="zh-CN"/>
        </w:rPr>
      </w:pPr>
      <w:r>
        <w:rPr>
          <w:rStyle w:val="14"/>
          <w:rFonts w:hint="eastAsia" w:ascii="宋体" w:hAnsi="宋体" w:eastAsia="宋体" w:cs="宋体"/>
          <w:color w:val="auto"/>
          <w:sz w:val="21"/>
          <w:szCs w:val="21"/>
          <w:highlight w:val="none"/>
        </w:rPr>
        <w:t>负载均衡系统可以对服务器的运行状况做出准确判断，确保提供</w:t>
      </w:r>
      <w:r>
        <w:rPr>
          <w:rStyle w:val="14"/>
          <w:rFonts w:hint="eastAsia" w:ascii="宋体" w:hAnsi="宋体" w:eastAsia="宋体" w:cs="宋体"/>
          <w:color w:val="auto"/>
          <w:sz w:val="21"/>
          <w:szCs w:val="21"/>
          <w:highlight w:val="none"/>
          <w:lang w:val="en-US" w:eastAsia="zh-CN"/>
        </w:rPr>
        <w:t>软件业务系统</w:t>
      </w:r>
      <w:r>
        <w:rPr>
          <w:rStyle w:val="14"/>
          <w:rFonts w:hint="eastAsia" w:ascii="宋体" w:hAnsi="宋体" w:eastAsia="宋体" w:cs="宋体"/>
          <w:color w:val="auto"/>
          <w:sz w:val="21"/>
          <w:szCs w:val="21"/>
          <w:highlight w:val="none"/>
        </w:rPr>
        <w:t>服务的正确。全面的健康检查机制不仅可以</w:t>
      </w:r>
      <w:r>
        <w:rPr>
          <w:rStyle w:val="14"/>
          <w:rFonts w:hint="eastAsia" w:ascii="宋体" w:hAnsi="宋体" w:eastAsia="宋体" w:cs="宋体"/>
          <w:color w:val="auto"/>
          <w:sz w:val="21"/>
          <w:szCs w:val="21"/>
          <w:highlight w:val="none"/>
          <w:lang w:eastAsia="zh-CN"/>
        </w:rPr>
        <w:t>有效地</w:t>
      </w:r>
      <w:r>
        <w:rPr>
          <w:rStyle w:val="14"/>
          <w:rFonts w:hint="eastAsia" w:ascii="宋体" w:hAnsi="宋体" w:eastAsia="宋体" w:cs="宋体"/>
          <w:color w:val="auto"/>
          <w:sz w:val="21"/>
          <w:szCs w:val="21"/>
          <w:highlight w:val="none"/>
        </w:rPr>
        <w:t>监控到</w:t>
      </w:r>
      <w:r>
        <w:rPr>
          <w:rStyle w:val="14"/>
          <w:rFonts w:hint="eastAsia" w:ascii="宋体" w:hAnsi="宋体" w:eastAsia="宋体" w:cs="宋体"/>
          <w:color w:val="auto"/>
          <w:sz w:val="21"/>
          <w:szCs w:val="21"/>
          <w:highlight w:val="none"/>
          <w:lang w:val="en-US" w:eastAsia="zh-CN"/>
        </w:rPr>
        <w:t>软件业务系统</w:t>
      </w:r>
      <w:r>
        <w:rPr>
          <w:rStyle w:val="14"/>
          <w:rFonts w:hint="eastAsia" w:ascii="宋体" w:hAnsi="宋体" w:eastAsia="宋体" w:cs="宋体"/>
          <w:color w:val="auto"/>
          <w:sz w:val="21"/>
          <w:szCs w:val="21"/>
          <w:highlight w:val="none"/>
        </w:rPr>
        <w:t>服务进程的有效性，即对应用端口提供服务的能力进行健康检查，而且对于应用程序运行错误也同样可以提供有效的检查机制，从而避免了客户端可以访问到服务器，但得不到响应的情况的出现</w:t>
      </w:r>
      <w:r>
        <w:rPr>
          <w:rStyle w:val="14"/>
          <w:rFonts w:hint="eastAsia" w:ascii="宋体" w:hAnsi="宋体" w:eastAsia="宋体" w:cs="宋体"/>
          <w:color w:val="auto"/>
          <w:sz w:val="21"/>
          <w:szCs w:val="21"/>
          <w:highlight w:val="none"/>
          <w:lang w:eastAsia="zh-CN"/>
        </w:rPr>
        <w:t>。</w:t>
      </w:r>
    </w:p>
    <w:p w14:paraId="0BA66019">
      <w:pPr>
        <w:pStyle w:val="5"/>
        <w:numPr>
          <w:ilvl w:val="0"/>
          <w:numId w:val="0"/>
        </w:numPr>
        <w:spacing w:line="360" w:lineRule="auto"/>
        <w:ind w:left="0"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695C7E31">
      <w:pPr>
        <w:pStyle w:val="5"/>
        <w:spacing w:line="360" w:lineRule="auto"/>
        <w:ind w:firstLine="420" w:firstLineChars="200"/>
        <w:jc w:val="left"/>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1</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软件业务系统服务器负载均衡：</w:t>
      </w:r>
      <w:r>
        <w:rPr>
          <w:rStyle w:val="14"/>
          <w:rFonts w:hint="eastAsia" w:ascii="宋体" w:hAnsi="宋体" w:eastAsia="宋体" w:cs="宋体"/>
          <w:color w:val="auto"/>
          <w:sz w:val="21"/>
          <w:szCs w:val="21"/>
          <w:highlight w:val="none"/>
        </w:rPr>
        <w:t>支持轮询、加权轮询、按主机加权轮询、加权最小连接、按主机加权最小连接、动态反馈、最快响应</w:t>
      </w:r>
      <w:r>
        <w:rPr>
          <w:rStyle w:val="14"/>
          <w:rFonts w:hint="eastAsia" w:ascii="宋体" w:hAnsi="宋体" w:eastAsia="宋体" w:cs="宋体"/>
          <w:color w:val="auto"/>
          <w:sz w:val="21"/>
          <w:szCs w:val="21"/>
          <w:highlight w:val="none"/>
          <w:lang w:val="en-US" w:eastAsia="zh-Hans"/>
        </w:rPr>
        <w:t>时间</w:t>
      </w:r>
      <w:r>
        <w:rPr>
          <w:rStyle w:val="14"/>
          <w:rFonts w:hint="eastAsia" w:ascii="宋体" w:hAnsi="宋体" w:eastAsia="宋体" w:cs="宋体"/>
          <w:color w:val="auto"/>
          <w:sz w:val="21"/>
          <w:szCs w:val="21"/>
          <w:highlight w:val="none"/>
        </w:rPr>
        <w:t>、加权最小流量、最小流量、最少连接、主机-最小流量、主机-最少连接调度、</w:t>
      </w:r>
      <w:r>
        <w:rPr>
          <w:rStyle w:val="14"/>
          <w:rFonts w:hint="eastAsia" w:ascii="宋体" w:hAnsi="宋体" w:eastAsia="宋体" w:cs="宋体"/>
          <w:color w:val="auto"/>
          <w:sz w:val="21"/>
          <w:szCs w:val="21"/>
          <w:highlight w:val="none"/>
          <w:lang w:val="en-US" w:eastAsia="zh-CN"/>
        </w:rPr>
        <w:t>动态反馈、</w:t>
      </w:r>
      <w:r>
        <w:rPr>
          <w:rStyle w:val="14"/>
          <w:rFonts w:hint="eastAsia" w:ascii="宋体" w:hAnsi="宋体" w:eastAsia="宋体" w:cs="宋体"/>
          <w:color w:val="auto"/>
          <w:sz w:val="21"/>
          <w:szCs w:val="21"/>
          <w:highlight w:val="none"/>
        </w:rPr>
        <w:t>按主机加权最小流量、</w:t>
      </w:r>
      <w:r>
        <w:rPr>
          <w:rStyle w:val="14"/>
          <w:rFonts w:hint="eastAsia" w:ascii="宋体" w:hAnsi="宋体" w:eastAsia="宋体" w:cs="宋体"/>
          <w:color w:val="auto"/>
          <w:sz w:val="21"/>
          <w:szCs w:val="21"/>
          <w:highlight w:val="none"/>
          <w:lang w:val="en-US" w:eastAsia="zh-Hans"/>
        </w:rPr>
        <w:t>源IP源端口哈希</w:t>
      </w:r>
      <w:r>
        <w:rPr>
          <w:rStyle w:val="14"/>
          <w:rFonts w:hint="eastAsia" w:ascii="宋体" w:hAnsi="宋体" w:eastAsia="宋体" w:cs="宋体"/>
          <w:color w:val="auto"/>
          <w:sz w:val="21"/>
          <w:szCs w:val="21"/>
          <w:highlight w:val="none"/>
          <w:lang w:eastAsia="zh-Hans"/>
        </w:rPr>
        <w:t>、</w:t>
      </w:r>
      <w:r>
        <w:rPr>
          <w:rStyle w:val="14"/>
          <w:rFonts w:hint="eastAsia" w:ascii="宋体" w:hAnsi="宋体" w:eastAsia="宋体" w:cs="宋体"/>
          <w:color w:val="auto"/>
          <w:sz w:val="21"/>
          <w:szCs w:val="21"/>
          <w:highlight w:val="none"/>
          <w:lang w:val="en-US" w:eastAsia="zh-Hans"/>
        </w:rPr>
        <w:t>源IP哈希</w:t>
      </w:r>
      <w:r>
        <w:rPr>
          <w:rStyle w:val="14"/>
          <w:rFonts w:hint="eastAsia" w:ascii="宋体" w:hAnsi="宋体" w:eastAsia="宋体" w:cs="宋体"/>
          <w:color w:val="auto"/>
          <w:sz w:val="21"/>
          <w:szCs w:val="21"/>
          <w:highlight w:val="none"/>
          <w:lang w:eastAsia="zh-Hans"/>
        </w:rPr>
        <w:t>、</w:t>
      </w:r>
      <w:r>
        <w:rPr>
          <w:rStyle w:val="14"/>
          <w:rFonts w:hint="eastAsia" w:ascii="宋体" w:hAnsi="宋体" w:eastAsia="宋体" w:cs="宋体"/>
          <w:color w:val="auto"/>
          <w:sz w:val="21"/>
          <w:szCs w:val="21"/>
          <w:highlight w:val="none"/>
          <w:lang w:val="en-US" w:eastAsia="zh-Hans"/>
        </w:rPr>
        <w:t>URI哈希和HOST哈希等</w:t>
      </w:r>
      <w:r>
        <w:rPr>
          <w:rStyle w:val="14"/>
          <w:rFonts w:hint="eastAsia" w:ascii="宋体" w:hAnsi="宋体" w:eastAsia="宋体" w:cs="宋体"/>
          <w:color w:val="auto"/>
          <w:sz w:val="21"/>
          <w:szCs w:val="21"/>
          <w:highlight w:val="none"/>
        </w:rPr>
        <w:t>；</w:t>
      </w:r>
    </w:p>
    <w:p w14:paraId="0237B914">
      <w:pPr>
        <w:pStyle w:val="5"/>
        <w:spacing w:line="360" w:lineRule="auto"/>
        <w:ind w:firstLine="420" w:firstLineChars="200"/>
        <w:jc w:val="left"/>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2</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rPr>
        <w:t>支持基于五元组条件（源IP地址，源端口，目的IP地址，目的端口，传输层协议号）来进行出站访问的流量调度分发；</w:t>
      </w:r>
    </w:p>
    <w:p w14:paraId="6F9BBA17">
      <w:pPr>
        <w:pStyle w:val="5"/>
        <w:spacing w:line="360" w:lineRule="auto"/>
        <w:ind w:firstLine="420" w:firstLineChars="200"/>
        <w:jc w:val="left"/>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3</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rPr>
        <w:t>支持常见的主动式健康检查功能，提供基于SNMP、ICMP、</w:t>
      </w:r>
      <w:r>
        <w:rPr>
          <w:rStyle w:val="14"/>
          <w:rFonts w:hint="eastAsia" w:ascii="宋体" w:hAnsi="宋体" w:eastAsia="宋体" w:cs="宋体"/>
          <w:color w:val="auto"/>
          <w:sz w:val="21"/>
          <w:szCs w:val="21"/>
          <w:highlight w:val="none"/>
          <w:lang w:val="en-US" w:eastAsia="zh-Hans"/>
        </w:rPr>
        <w:t>SIP</w:t>
      </w:r>
      <w:r>
        <w:rPr>
          <w:rStyle w:val="14"/>
          <w:rFonts w:hint="eastAsia" w:ascii="宋体" w:hAnsi="宋体" w:eastAsia="宋体" w:cs="宋体"/>
          <w:color w:val="auto"/>
          <w:sz w:val="21"/>
          <w:szCs w:val="21"/>
          <w:highlight w:val="none"/>
          <w:lang w:eastAsia="zh-Hans"/>
        </w:rPr>
        <w:t>、</w:t>
      </w:r>
      <w:r>
        <w:rPr>
          <w:rStyle w:val="14"/>
          <w:rFonts w:hint="eastAsia" w:ascii="宋体" w:hAnsi="宋体" w:eastAsia="宋体" w:cs="宋体"/>
          <w:color w:val="auto"/>
          <w:sz w:val="21"/>
          <w:szCs w:val="21"/>
          <w:highlight w:val="none"/>
          <w:lang w:val="en-US" w:eastAsia="zh-Hans"/>
        </w:rPr>
        <w:t>ICMPv</w:t>
      </w:r>
      <w:r>
        <w:rPr>
          <w:rStyle w:val="14"/>
          <w:rFonts w:hint="eastAsia" w:ascii="宋体" w:hAnsi="宋体" w:eastAsia="宋体" w:cs="宋体"/>
          <w:color w:val="auto"/>
          <w:sz w:val="21"/>
          <w:szCs w:val="21"/>
          <w:highlight w:val="none"/>
          <w:lang w:eastAsia="zh-Hans"/>
        </w:rPr>
        <w:t>6、</w:t>
      </w:r>
      <w:r>
        <w:rPr>
          <w:rStyle w:val="14"/>
          <w:rFonts w:hint="eastAsia" w:ascii="宋体" w:hAnsi="宋体" w:eastAsia="宋体" w:cs="宋体"/>
          <w:color w:val="auto"/>
          <w:sz w:val="21"/>
          <w:szCs w:val="21"/>
          <w:highlight w:val="none"/>
        </w:rPr>
        <w:t>TCP、UDP、FTP、HTTP、DNS、RADIUS、</w:t>
      </w:r>
      <w:r>
        <w:rPr>
          <w:rStyle w:val="14"/>
          <w:rFonts w:hint="eastAsia" w:ascii="宋体" w:hAnsi="宋体" w:eastAsia="宋体" w:cs="宋体"/>
          <w:color w:val="auto"/>
          <w:sz w:val="21"/>
          <w:szCs w:val="21"/>
          <w:highlight w:val="none"/>
          <w:lang w:val="en-US" w:eastAsia="zh-Hans"/>
        </w:rPr>
        <w:t>HTTPS</w:t>
      </w:r>
      <w:r>
        <w:rPr>
          <w:rStyle w:val="14"/>
          <w:rFonts w:hint="eastAsia" w:ascii="宋体" w:hAnsi="宋体" w:eastAsia="宋体" w:cs="宋体"/>
          <w:color w:val="auto"/>
          <w:sz w:val="21"/>
          <w:szCs w:val="21"/>
          <w:highlight w:val="none"/>
          <w:lang w:eastAsia="zh-Hans"/>
        </w:rPr>
        <w:t>、</w:t>
      </w:r>
      <w:r>
        <w:rPr>
          <w:rStyle w:val="14"/>
          <w:rFonts w:hint="eastAsia" w:ascii="宋体" w:hAnsi="宋体" w:eastAsia="宋体" w:cs="宋体"/>
          <w:color w:val="auto"/>
          <w:sz w:val="21"/>
          <w:szCs w:val="21"/>
          <w:highlight w:val="none"/>
          <w:lang w:val="en-US" w:eastAsia="zh-Hans"/>
        </w:rPr>
        <w:t>LDAP</w:t>
      </w:r>
      <w:r>
        <w:rPr>
          <w:rStyle w:val="14"/>
          <w:rFonts w:hint="eastAsia" w:ascii="宋体" w:hAnsi="宋体" w:eastAsia="宋体" w:cs="宋体"/>
          <w:color w:val="auto"/>
          <w:sz w:val="21"/>
          <w:szCs w:val="21"/>
          <w:highlight w:val="none"/>
          <w:lang w:eastAsia="zh-Hans"/>
        </w:rPr>
        <w:t>、</w:t>
      </w:r>
      <w:r>
        <w:rPr>
          <w:rStyle w:val="14"/>
          <w:rFonts w:hint="eastAsia" w:ascii="宋体" w:hAnsi="宋体" w:eastAsia="宋体" w:cs="宋体"/>
          <w:color w:val="auto"/>
          <w:sz w:val="21"/>
          <w:szCs w:val="21"/>
          <w:highlight w:val="none"/>
          <w:lang w:val="en-US" w:eastAsia="zh-Hans"/>
        </w:rPr>
        <w:t>HTTP</w:t>
      </w:r>
      <w:r>
        <w:rPr>
          <w:rStyle w:val="14"/>
          <w:rFonts w:hint="eastAsia" w:ascii="宋体" w:hAnsi="宋体" w:eastAsia="宋体" w:cs="宋体"/>
          <w:color w:val="auto"/>
          <w:sz w:val="21"/>
          <w:szCs w:val="21"/>
          <w:highlight w:val="none"/>
          <w:lang w:eastAsia="zh-Hans"/>
        </w:rPr>
        <w:t>2、</w:t>
      </w:r>
      <w:r>
        <w:rPr>
          <w:rStyle w:val="14"/>
          <w:rFonts w:hint="eastAsia" w:ascii="宋体" w:hAnsi="宋体" w:eastAsia="宋体" w:cs="宋体"/>
          <w:color w:val="auto"/>
          <w:sz w:val="21"/>
          <w:szCs w:val="21"/>
          <w:highlight w:val="none"/>
        </w:rPr>
        <w:t>ORACLE、MSSQL、MYSQL数据库等多种类型的探测判断机制；</w:t>
      </w:r>
    </w:p>
    <w:p w14:paraId="7E04F9C4">
      <w:pPr>
        <w:pStyle w:val="5"/>
        <w:spacing w:line="360" w:lineRule="auto"/>
        <w:ind w:firstLine="420" w:firstLineChars="200"/>
        <w:jc w:val="left"/>
        <w:rPr>
          <w:rStyle w:val="14"/>
          <w:rFonts w:hint="eastAsia" w:ascii="宋体" w:hAnsi="宋体" w:eastAsia="宋体" w:cs="宋体"/>
          <w:b w:val="0"/>
          <w:bCs/>
          <w:color w:val="auto"/>
          <w:sz w:val="21"/>
          <w:szCs w:val="21"/>
          <w:highlight w:val="none"/>
          <w:lang w:val="en-US" w:eastAsia="zh-CN"/>
        </w:rPr>
      </w:pP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4</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b w:val="0"/>
          <w:bCs/>
          <w:color w:val="auto"/>
          <w:sz w:val="21"/>
          <w:szCs w:val="21"/>
          <w:highlight w:val="none"/>
          <w:lang w:val="en-US" w:eastAsia="zh-CN"/>
        </w:rPr>
        <w:t>支持TLS1.3算法，并完整支持对应的TLS1.3_AES_128_GCM_SHA256、TLS1.3_AES_256_GCM_SHA384、TLS1.3_CHACHA20_POLY1305_SHA256、TLS1.3_AES_128_CCM_SHA256、TLS1.3_AES_128_CCM_8_SHA256加密套件；</w:t>
      </w:r>
    </w:p>
    <w:p w14:paraId="0D1B3E1B">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5</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rPr>
        <w:t>支持标准的RESTful形式的API接口，可实现与第三方应用平台的集成与二次开发；</w:t>
      </w:r>
    </w:p>
    <w:p w14:paraId="68626133">
      <w:pPr>
        <w:pStyle w:val="5"/>
        <w:spacing w:line="360" w:lineRule="auto"/>
        <w:ind w:firstLine="420" w:firstLineChars="200"/>
        <w:rPr>
          <w:rStyle w:val="14"/>
          <w:rFonts w:hint="eastAsia" w:ascii="宋体" w:hAnsi="宋体" w:eastAsia="宋体" w:cs="宋体"/>
          <w:color w:val="auto"/>
          <w:sz w:val="21"/>
          <w:szCs w:val="21"/>
          <w:highlight w:val="none"/>
          <w:lang w:val="en-US"/>
        </w:rPr>
      </w:pP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6</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具备SSL卸载能力。</w:t>
      </w:r>
    </w:p>
    <w:p w14:paraId="63A50D17">
      <w:pPr>
        <w:pStyle w:val="5"/>
        <w:numPr>
          <w:ilvl w:val="0"/>
          <w:numId w:val="0"/>
        </w:numPr>
        <w:spacing w:line="360" w:lineRule="auto"/>
        <w:ind w:left="0"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5E930EF0">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（1）高性能</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单实例负载组≥</w:t>
      </w:r>
      <w:r>
        <w:rPr>
          <w:rStyle w:val="14"/>
          <w:rFonts w:hint="eastAsia" w:ascii="宋体" w:hAnsi="宋体" w:eastAsia="宋体" w:cs="宋体"/>
          <w:color w:val="auto"/>
          <w:sz w:val="21"/>
          <w:szCs w:val="21"/>
          <w:highlight w:val="none"/>
        </w:rPr>
        <w:t>10000并发连接，</w:t>
      </w:r>
      <w:r>
        <w:rPr>
          <w:rStyle w:val="14"/>
          <w:rFonts w:hint="eastAsia" w:ascii="宋体" w:hAnsi="宋体" w:eastAsia="宋体" w:cs="宋体"/>
          <w:color w:val="auto"/>
          <w:sz w:val="21"/>
          <w:szCs w:val="21"/>
          <w:highlight w:val="none"/>
          <w:lang w:val="en-US" w:eastAsia="zh-CN"/>
        </w:rPr>
        <w:t>可</w:t>
      </w:r>
      <w:r>
        <w:rPr>
          <w:rStyle w:val="14"/>
          <w:rFonts w:hint="eastAsia" w:ascii="宋体" w:hAnsi="宋体" w:eastAsia="宋体" w:cs="宋体"/>
          <w:color w:val="auto"/>
          <w:sz w:val="21"/>
          <w:szCs w:val="21"/>
          <w:highlight w:val="none"/>
        </w:rPr>
        <w:t>满足用户的海量业务访问需求。</w:t>
      </w:r>
    </w:p>
    <w:p w14:paraId="5E72F02F">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（2）高可用：支持双机热备部署方式，可自动同步配置并提供连接会话的镜像功能，实现无缝故障切换</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rPr>
        <w:t>完善的健康检查机制，保障业务实时在线。</w:t>
      </w:r>
    </w:p>
    <w:p w14:paraId="72D5D507">
      <w:pPr>
        <w:pStyle w:val="5"/>
        <w:spacing w:line="360" w:lineRule="auto"/>
        <w:ind w:firstLine="420" w:firstLineChars="200"/>
        <w:rPr>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（3）多协议：支持TCP/UDP/HTTP/HTTPS，满足不同协议接入需求。</w:t>
      </w:r>
    </w:p>
    <w:p w14:paraId="3A15551F">
      <w:pPr>
        <w:pStyle w:val="5"/>
        <w:numPr>
          <w:ilvl w:val="0"/>
          <w:numId w:val="6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3F0D2E8C">
      <w:pPr>
        <w:pStyle w:val="5"/>
        <w:spacing w:line="360" w:lineRule="auto"/>
        <w:ind w:firstLine="420" w:firstLineChars="200"/>
        <w:rPr>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val="en-US" w:eastAsia="zh-CN"/>
        </w:rPr>
        <w:t>负载均衡实例支持纳管</w:t>
      </w:r>
      <w:r>
        <w:rPr>
          <w:rStyle w:val="14"/>
          <w:rFonts w:hint="eastAsia" w:ascii="宋体" w:hAnsi="宋体" w:eastAsia="宋体" w:cs="宋体"/>
          <w:color w:val="auto"/>
          <w:sz w:val="21"/>
          <w:szCs w:val="21"/>
          <w:highlight w:val="none"/>
        </w:rPr>
        <w:t>云主机、裸金属、容器</w:t>
      </w:r>
      <w:r>
        <w:rPr>
          <w:rStyle w:val="14"/>
          <w:rFonts w:hint="eastAsia" w:ascii="宋体" w:hAnsi="宋体" w:eastAsia="宋体" w:cs="宋体"/>
          <w:color w:val="auto"/>
          <w:sz w:val="21"/>
          <w:szCs w:val="21"/>
          <w:highlight w:val="none"/>
          <w:lang w:val="en-US" w:eastAsia="zh-CN"/>
        </w:rPr>
        <w:t>的云服务业务地址。负载均衡的负载地址按采购方规划进行配置。</w:t>
      </w:r>
    </w:p>
    <w:p w14:paraId="0A1CC212">
      <w:pPr>
        <w:pStyle w:val="5"/>
        <w:keepNext/>
        <w:keepLines/>
        <w:numPr>
          <w:ilvl w:val="1"/>
          <w:numId w:val="16"/>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391" w:name="_Toc10840"/>
      <w:bookmarkStart w:id="392" w:name="_Toc22009"/>
      <w:bookmarkStart w:id="393" w:name="_Toc2550"/>
      <w:bookmarkStart w:id="394" w:name="_Toc10942"/>
      <w:bookmarkStart w:id="395" w:name="_Toc9123"/>
      <w:bookmarkStart w:id="396" w:name="_Toc256000110"/>
      <w:r>
        <w:rPr>
          <w:rFonts w:hint="eastAsia" w:ascii="宋体" w:hAnsi="宋体" w:eastAsia="宋体" w:cs="宋体"/>
          <w:bCs/>
          <w:color w:val="auto"/>
          <w:sz w:val="21"/>
          <w:szCs w:val="21"/>
          <w:highlight w:val="none"/>
        </w:rPr>
        <w:t>租户安全服务</w:t>
      </w:r>
      <w:bookmarkEnd w:id="391"/>
      <w:bookmarkEnd w:id="392"/>
      <w:bookmarkEnd w:id="393"/>
      <w:bookmarkEnd w:id="394"/>
      <w:bookmarkEnd w:id="395"/>
      <w:bookmarkEnd w:id="396"/>
    </w:p>
    <w:p w14:paraId="01F6C0D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租户安全所有服务的价格均已经包含了相关服务所需的云主机的费用，即租户安全服务中所需的云主机由云服务商提供，不需要另外单独采购。</w:t>
      </w:r>
    </w:p>
    <w:p w14:paraId="78F615CC">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bookmarkStart w:id="397" w:name="_Toc27933"/>
      <w:bookmarkStart w:id="398" w:name="_Toc27782"/>
      <w:bookmarkStart w:id="399" w:name="_Toc256000111"/>
      <w:bookmarkStart w:id="400" w:name="_Toc1765"/>
      <w:bookmarkStart w:id="401" w:name="_Toc10498"/>
      <w:bookmarkStart w:id="402" w:name="_Toc20705"/>
      <w:r>
        <w:rPr>
          <w:rFonts w:hint="eastAsia" w:ascii="宋体" w:hAnsi="宋体" w:eastAsia="宋体" w:cs="宋体"/>
          <w:bCs/>
          <w:color w:val="auto"/>
          <w:sz w:val="21"/>
          <w:szCs w:val="21"/>
          <w:highlight w:val="none"/>
        </w:rPr>
        <w:t>租户安全（资源型）</w:t>
      </w:r>
      <w:bookmarkEnd w:id="397"/>
      <w:bookmarkEnd w:id="398"/>
      <w:bookmarkEnd w:id="399"/>
      <w:bookmarkEnd w:id="400"/>
      <w:bookmarkEnd w:id="401"/>
      <w:bookmarkEnd w:id="402"/>
    </w:p>
    <w:p w14:paraId="0675D96D">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bookmarkStart w:id="403" w:name="_Toc11084"/>
      <w:bookmarkStart w:id="404" w:name="_Toc23887"/>
      <w:bookmarkStart w:id="405" w:name="_Toc8249"/>
      <w:bookmarkStart w:id="406" w:name="_Toc31821"/>
      <w:bookmarkStart w:id="407" w:name="_Toc20985"/>
      <w:bookmarkStart w:id="408" w:name="_Toc256000112"/>
      <w:r>
        <w:rPr>
          <w:rFonts w:hint="eastAsia" w:ascii="宋体" w:hAnsi="宋体" w:eastAsia="宋体" w:cs="宋体"/>
          <w:b/>
          <w:bCs/>
          <w:color w:val="auto"/>
          <w:sz w:val="21"/>
          <w:szCs w:val="21"/>
          <w:highlight w:val="none"/>
        </w:rPr>
        <w:t>租户网络安全</w:t>
      </w:r>
      <w:bookmarkEnd w:id="403"/>
      <w:bookmarkEnd w:id="404"/>
      <w:bookmarkEnd w:id="405"/>
      <w:bookmarkEnd w:id="406"/>
      <w:bookmarkEnd w:id="407"/>
      <w:bookmarkEnd w:id="408"/>
    </w:p>
    <w:p w14:paraId="1938AEC0">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云防火墙</w:t>
      </w:r>
    </w:p>
    <w:p w14:paraId="4A05B3EB">
      <w:pPr>
        <w:pStyle w:val="5"/>
        <w:numPr>
          <w:ilvl w:val="0"/>
          <w:numId w:val="6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12A6BBC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1283AFC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云防火墙，实现不同安全域之间的访问控制，可以达到等级保护中要求根据会话状态信息为数据流提供明确的允许拒绝访问的能力，控制粒度为端口级，保护服务器脆弱的服务、控制对系统的访问、实现区域划分和阻止网络攻击，包含基础防火墙、入侵防御IPS防病毒AV等能力。</w:t>
      </w:r>
    </w:p>
    <w:p w14:paraId="43E54C9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6A5032B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1）业务出口综合防护，用作出口处的综合安全网关，执行基本的网络隔离和访问控制，集成入侵防御（IPS）、防病毒（AV）等功能，</w:t>
      </w:r>
      <w:r>
        <w:rPr>
          <w:rFonts w:hint="eastAsia" w:ascii="宋体" w:hAnsi="宋体" w:eastAsia="宋体" w:cs="宋体"/>
          <w:color w:val="auto"/>
          <w:sz w:val="21"/>
          <w:szCs w:val="21"/>
          <w:highlight w:val="none"/>
          <w:lang w:eastAsia="zh-CN"/>
        </w:rPr>
        <w:t>应对</w:t>
      </w:r>
      <w:r>
        <w:rPr>
          <w:rFonts w:hint="eastAsia" w:ascii="宋体" w:hAnsi="宋体" w:eastAsia="宋体" w:cs="宋体"/>
          <w:color w:val="auto"/>
          <w:sz w:val="21"/>
          <w:szCs w:val="21"/>
          <w:highlight w:val="none"/>
        </w:rPr>
        <w:t>外部的各种威胁。</w:t>
      </w:r>
    </w:p>
    <w:p w14:paraId="4A1B02A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2）协同联动，在安全事件响应流程中，云防火墙作为核心组件参与自动化阻断，如阻断恶意IP、放行合法请求等，与其他安全设备协同工作。</w:t>
      </w:r>
    </w:p>
    <w:p w14:paraId="369B8562">
      <w:pPr>
        <w:pStyle w:val="5"/>
        <w:numPr>
          <w:ilvl w:val="0"/>
          <w:numId w:val="6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2D250FE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（1）访问控制功能</w:t>
      </w:r>
    </w:p>
    <w:p w14:paraId="01AA6348">
      <w:pPr>
        <w:pStyle w:val="5"/>
        <w:spacing w:line="360" w:lineRule="auto"/>
        <w:ind w:firstLine="420" w:firstLineChars="200"/>
        <w:rPr>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支持路由类型、协议类型、网络对象、国家地区等条件进行自动选路的策略路由，支持不少于3种的调度算法，至少包括带宽比例、加权流量、线路优先等。</w:t>
      </w:r>
      <w:r>
        <w:rPr>
          <w:rFonts w:hint="eastAsia" w:ascii="宋体" w:hAnsi="宋体" w:eastAsia="宋体" w:cs="宋体"/>
          <w:color w:val="auto"/>
          <w:sz w:val="21"/>
          <w:szCs w:val="21"/>
          <w:highlight w:val="none"/>
        </w:rPr>
        <w:t>（2）入侵防御（IPS）功能</w:t>
      </w:r>
    </w:p>
    <w:p w14:paraId="59CC93CC">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支持对SMTP、HTTP、FTP、SMB、POP3、HTTPS、IMAP等协议进行病毒防御</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rPr>
        <w:t>产品内置不低于15000种漏洞规则，同时支持在控制台界面通过漏洞ID、漏洞名称、危险等级、漏洞CVE标识、漏洞描述等条件查询漏洞特征信息，支持用户自定义IPS规则。</w:t>
      </w:r>
    </w:p>
    <w:p w14:paraId="542EEDF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（3）病毒防护（AV）功能</w:t>
      </w:r>
    </w:p>
    <w:p w14:paraId="1E975A99">
      <w:pPr>
        <w:pStyle w:val="5"/>
        <w:spacing w:line="360" w:lineRule="auto"/>
        <w:ind w:firstLine="420" w:firstLineChars="200"/>
        <w:rPr>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产品支持对压缩病毒文件进行检测和拦截，压缩层数支持15层及以上。</w:t>
      </w:r>
    </w:p>
    <w:p w14:paraId="4D34AFAB">
      <w:pPr>
        <w:pStyle w:val="5"/>
        <w:numPr>
          <w:ilvl w:val="0"/>
          <w:numId w:val="6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7A24057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单套不低于500M吞吐量，包含FW/IPS/AV功能模块。</w:t>
      </w:r>
    </w:p>
    <w:p w14:paraId="1D799388">
      <w:pPr>
        <w:pStyle w:val="5"/>
        <w:numPr>
          <w:ilvl w:val="0"/>
          <w:numId w:val="6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7856FE2A">
      <w:pPr>
        <w:pStyle w:val="5"/>
        <w:numPr>
          <w:ilvl w:val="0"/>
          <w:numId w:val="68"/>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服务期间提供软件版本升级服务</w:t>
      </w:r>
    </w:p>
    <w:p w14:paraId="4A2BBD13">
      <w:pPr>
        <w:pStyle w:val="5"/>
        <w:numPr>
          <w:ilvl w:val="0"/>
          <w:numId w:val="68"/>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服务期间提供特征库升级服务。</w:t>
      </w:r>
    </w:p>
    <w:p w14:paraId="17B913A9">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Web应用防火墙</w:t>
      </w:r>
    </w:p>
    <w:p w14:paraId="1C5E7819">
      <w:pPr>
        <w:pStyle w:val="5"/>
        <w:numPr>
          <w:ilvl w:val="0"/>
          <w:numId w:val="6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4A6B885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77D0935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云Web应用防火墙，支持Web应用安全防护与阻断、CC防护、机器学习、语义分析等能力，缓解网站及Web业务系统面临如OWASPTop10中定义的常见威胁，快速地应对恶意攻击者对Web业务带来的冲击，对网站进行有效的安全加固。</w:t>
      </w:r>
    </w:p>
    <w:p w14:paraId="4897E29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7414375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1）内外部Web业务系统防护，防止内部用户访问web业务系统发起的攻击。</w:t>
      </w:r>
    </w:p>
    <w:p w14:paraId="3F5D95A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2）外部黑客攻击防护，当外部黑客试图利用Web应用或数据库漏洞发起攻击时，云Web应用防火墙可以防御SQL注入、跨站脚本等常见攻击手段，保护Web应用和数据库不受侵害。</w:t>
      </w:r>
    </w:p>
    <w:p w14:paraId="2AB66550">
      <w:pPr>
        <w:pStyle w:val="5"/>
        <w:numPr>
          <w:ilvl w:val="0"/>
          <w:numId w:val="6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4A712160">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产品内置超过4</w:t>
      </w:r>
      <w:r>
        <w:rPr>
          <w:rStyle w:val="14"/>
          <w:rFonts w:hint="eastAsia" w:ascii="宋体" w:hAnsi="宋体" w:eastAsia="宋体" w:cs="宋体"/>
          <w:color w:val="auto"/>
          <w:sz w:val="21"/>
          <w:szCs w:val="21"/>
          <w:highlight w:val="none"/>
          <w:lang w:val="en-US" w:eastAsia="zh-CN"/>
        </w:rPr>
        <w:t>00</w:t>
      </w:r>
      <w:r>
        <w:rPr>
          <w:rStyle w:val="14"/>
          <w:rFonts w:hint="eastAsia" w:ascii="宋体" w:hAnsi="宋体" w:eastAsia="宋体" w:cs="宋体"/>
          <w:color w:val="auto"/>
          <w:sz w:val="21"/>
          <w:szCs w:val="21"/>
          <w:highlight w:val="none"/>
        </w:rPr>
        <w:t>0种WEB应用攻击特征，支持对跨站脚本（XSS）攻击、SQL注入、文件包含攻击、信息泄露攻击、WEBSHELL、网站扫描、网页木马等攻击类型进行防护。</w:t>
      </w:r>
    </w:p>
    <w:p w14:paraId="761A8F0D">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支持X-Forworded-For字段检测，并对非法源IP进行日志记录和联动封锁。</w:t>
      </w:r>
    </w:p>
    <w:p w14:paraId="6E1846D7">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支持服务器漏洞防扫描功能，并对扫描源IP进行日志记录和联动封锁。</w:t>
      </w:r>
    </w:p>
    <w:p w14:paraId="2D924294">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rPr>
        <w:t>支持Cookie攻击防护功能，并通过日志记录Cookie被篡改。</w:t>
      </w:r>
    </w:p>
    <w:p w14:paraId="1EB64653">
      <w:pPr>
        <w:pStyle w:val="5"/>
        <w:numPr>
          <w:ilvl w:val="0"/>
          <w:numId w:val="6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51736FE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单套应用层防护不低于50M吞吐量</w:t>
      </w:r>
      <w:r>
        <w:rPr>
          <w:rFonts w:hint="eastAsia" w:ascii="宋体" w:hAnsi="宋体" w:eastAsia="宋体" w:cs="宋体"/>
          <w:color w:val="auto"/>
          <w:sz w:val="21"/>
          <w:szCs w:val="21"/>
          <w:highlight w:val="none"/>
          <w:lang w:eastAsia="zh-CN"/>
        </w:rPr>
        <w:t>。</w:t>
      </w:r>
    </w:p>
    <w:p w14:paraId="5C0C2308">
      <w:pPr>
        <w:pStyle w:val="5"/>
        <w:numPr>
          <w:ilvl w:val="0"/>
          <w:numId w:val="69"/>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1304870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（1）服务期间提供软件版本升级服务</w:t>
      </w:r>
    </w:p>
    <w:p w14:paraId="2B1D5E0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（2）服务期间提供特征库升级服务。</w:t>
      </w:r>
    </w:p>
    <w:p w14:paraId="55DD1259">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主机安全（EDR）</w:t>
      </w:r>
    </w:p>
    <w:p w14:paraId="44C53C81">
      <w:pPr>
        <w:pStyle w:val="5"/>
        <w:numPr>
          <w:ilvl w:val="0"/>
          <w:numId w:val="7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7A432E9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0BADF54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提供云主机安全（EDR），支持系统防护与加固、网络隔离防护与加固、恶意代码防护、病毒查杀、漏洞管理、性能监控等能力，有效防御针对主机的已知、未知勒索及相关病毒行为，保护主机安全。</w:t>
      </w:r>
    </w:p>
    <w:p w14:paraId="07E2FAF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561D7D1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主机可能面临的威胁包括暴力破解、非法访问、数据泄露、未及时更新补丁导致的漏洞利用、不安全配置、非法端口访问、资源过度消耗等问题。为了应对这些威胁，可以采用云主机安全防护措施，如勒索病毒防护、东西向流量微隔离、补丁管理、文件审计等，提升整体安全防护水平。</w:t>
      </w:r>
    </w:p>
    <w:p w14:paraId="6D38B810">
      <w:pPr>
        <w:pStyle w:val="5"/>
        <w:numPr>
          <w:ilvl w:val="0"/>
          <w:numId w:val="7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2D9F62AB">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（1）多维度威胁展示</w:t>
      </w:r>
    </w:p>
    <w:p w14:paraId="240D1BC1">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提供勒索病毒整体防护体系入口，直观展示最近七天勒索病毒防护效果，包括已处置的恶意文件数量、已拦截可疑行为次数、已阻止的未知进程操作次数、已阻止的暴力破解攻击次数。</w:t>
      </w:r>
    </w:p>
    <w:p w14:paraId="40ABE8F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（2）资产管理</w:t>
      </w:r>
    </w:p>
    <w:p w14:paraId="1FABA64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支持对系统账号信息进行梳理，了解账号权限分布概况以及风险账号分布情况，可按照隐藏账号、可疑root权限账号、长期未使用账号、夜间登录、多IP登录进行账号分类查看，支持统计最近一年未修改密码的账户。</w:t>
      </w:r>
    </w:p>
    <w:p w14:paraId="6FCD8D26">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（3）勒索病毒专防</w:t>
      </w:r>
    </w:p>
    <w:p w14:paraId="1C661516">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基于勒索病毒攻击过程，建立多维度立体防护机制，提供事前入侵防御-事中反加密-事后检测响应的完整防护体系，展示勒索病毒处置情况，对勒索病毒及变种实现专门有效防御。</w:t>
      </w:r>
    </w:p>
    <w:p w14:paraId="2AB247D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（4）病毒防护</w:t>
      </w:r>
    </w:p>
    <w:p w14:paraId="60330B4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支持对恶意程序检测，包括后门、木马、病毒、挖矿、蠕虫、rootkit程序等，并提供隔离查杀能力；支持低资源占用模式，并具备扫描缓存加速能力。</w:t>
      </w:r>
    </w:p>
    <w:p w14:paraId="563F96E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（5）漏洞管理</w:t>
      </w:r>
    </w:p>
    <w:p w14:paraId="5304DD6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支持扫描的漏洞类型包括但不限于操作系统漏洞、数据库漏洞、Web服务器漏洞及其他组件漏洞。</w:t>
      </w:r>
    </w:p>
    <w:p w14:paraId="4CD871D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（6）微隔离</w:t>
      </w:r>
    </w:p>
    <w:p w14:paraId="1946B7B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支持内核级防火墙（业务间流量东西向隔离）功能，包括IP、端口、协议、流向等细粒度权限控制。</w:t>
      </w:r>
    </w:p>
    <w:p w14:paraId="7529008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（7）支持主流国产操作系统</w:t>
      </w:r>
    </w:p>
    <w:p w14:paraId="6C0D5DAA">
      <w:pPr>
        <w:pStyle w:val="5"/>
        <w:numPr>
          <w:ilvl w:val="0"/>
          <w:numId w:val="7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58157C3A">
      <w:pPr>
        <w:pStyle w:val="5"/>
        <w:spacing w:line="360" w:lineRule="auto"/>
        <w:ind w:left="7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单套规格为1台主机安全防护及管理。</w:t>
      </w:r>
    </w:p>
    <w:p w14:paraId="212C8A05">
      <w:pPr>
        <w:pStyle w:val="5"/>
        <w:numPr>
          <w:ilvl w:val="0"/>
          <w:numId w:val="7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6D517EB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（1）服务期间提供软件版本升级服务</w:t>
      </w:r>
    </w:p>
    <w:p w14:paraId="2D7D782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（2）服务期间提供特征库升级服务。</w:t>
      </w:r>
    </w:p>
    <w:p w14:paraId="23F934D9">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日志审计</w:t>
      </w:r>
    </w:p>
    <w:p w14:paraId="3AA3F5F4">
      <w:pPr>
        <w:pStyle w:val="5"/>
        <w:numPr>
          <w:ilvl w:val="0"/>
          <w:numId w:val="7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46BFDB7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239835F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云日志审计，支持日志收集、关联分析、图形报表等能力，通过对客户网络设备、安全设备、主机和业务系统日志进行全面的标准化处理，通过基于国际标准化的关联分析引擎，为客户提供全维度、跨设备、细粒度的关联分析，提供集中化的统一管理平台，将日志信息收集到平台中，实现信息资产的统一管理，监控资产的运行状况，协助用户全面审计信息系统整体安全状况。</w:t>
      </w:r>
    </w:p>
    <w:p w14:paraId="358E605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56D0622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1）满足网络安全法、等保2.0第三级要求以及其他行业法规关于日志审计要求；</w:t>
      </w:r>
    </w:p>
    <w:p w14:paraId="03E4DD6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2）通过关联分析挖掘潜在威胁，监控实时告警，分析取证，追踪溯源，快速定位故障，提高运维效率；</w:t>
      </w:r>
    </w:p>
    <w:p w14:paraId="16A53D3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3）解析维度丰富多样，提供多维度分析，为安全建设提供依据。</w:t>
      </w:r>
    </w:p>
    <w:p w14:paraId="61BB008D">
      <w:pPr>
        <w:pStyle w:val="5"/>
        <w:numPr>
          <w:ilvl w:val="0"/>
          <w:numId w:val="7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67E7B589">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（1）日志采集</w:t>
      </w:r>
    </w:p>
    <w:p w14:paraId="3A00D1FC">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1）支持主动、被动相结合的数据采集方式，支持通过Agent采集日志数据，支持通过syslog、SNMP Trap、JDBC、WMI、webservice、FTP、SFTP、文件\文件夹读取、Kafka等多种方式完成日志收集</w:t>
      </w:r>
      <w:r>
        <w:rPr>
          <w:rStyle w:val="14"/>
          <w:rFonts w:hint="eastAsia" w:ascii="宋体" w:hAnsi="宋体" w:eastAsia="宋体" w:cs="宋体"/>
          <w:color w:val="auto"/>
          <w:sz w:val="21"/>
          <w:szCs w:val="21"/>
          <w:highlight w:val="none"/>
          <w:lang w:eastAsia="zh-CN"/>
        </w:rPr>
        <w:t>；</w:t>
      </w:r>
    </w:p>
    <w:p w14:paraId="48C2CE4B">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2）支持对每个日志源设置过滤条件规则，自动过滤无用日志，满足根据实际业务需求减少采集对象发送到核心服务器的安全事件数，减少对网络带宽和数据库存储空间的占用。</w:t>
      </w:r>
    </w:p>
    <w:p w14:paraId="6946C0E3">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（2）日志分析</w:t>
      </w:r>
    </w:p>
    <w:p w14:paraId="2E94AAF8">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支持网站攻击、漏洞利用、C&amp;C通信、暴力破解、拒绝服务、主机脆弱性、主机异常、恶意软件、账号异常、权限异常、侦查探测等内置关联分析规则，内置关联分析规则数量达到350条以上，支持自定义关联分析规则。</w:t>
      </w:r>
    </w:p>
    <w:p w14:paraId="4E8E9393">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2）支持预置审计策略模板，包括：Windows主机类审计策略模板、Linux/Unix主机类审计策略模板、数据库系统类审计策略模板等，内置审计规则数量不少于40条。</w:t>
      </w:r>
    </w:p>
    <w:p w14:paraId="2359D57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3）支持主流解析规则，并具备对收集日志进行多维度的解析，解析规则可以根据客户要求定制扩展。</w:t>
      </w:r>
    </w:p>
    <w:p w14:paraId="5A94B86B">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w:t>
      </w:r>
      <w:r>
        <w:rPr>
          <w:rStyle w:val="14"/>
          <w:rFonts w:hint="eastAsia" w:ascii="宋体" w:hAnsi="宋体" w:eastAsia="宋体" w:cs="宋体"/>
          <w:color w:val="auto"/>
          <w:sz w:val="21"/>
          <w:szCs w:val="21"/>
          <w:highlight w:val="none"/>
          <w:lang w:val="en-US" w:eastAsia="zh-CN"/>
        </w:rPr>
        <w:t>3</w:t>
      </w:r>
      <w:r>
        <w:rPr>
          <w:rStyle w:val="14"/>
          <w:rFonts w:hint="eastAsia" w:ascii="宋体" w:hAnsi="宋体" w:eastAsia="宋体" w:cs="宋体"/>
          <w:color w:val="auto"/>
          <w:sz w:val="21"/>
          <w:szCs w:val="21"/>
          <w:highlight w:val="none"/>
        </w:rPr>
        <w:t>）首页可视</w:t>
      </w:r>
    </w:p>
    <w:p w14:paraId="77E7C329">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1）支持可视化展示，包括数据分布、安全事件趋势图、关联规则告警趋势图、接入设备概况等，可提供设备专项分析场景。</w:t>
      </w:r>
    </w:p>
    <w:p w14:paraId="42AF76C7">
      <w:pPr>
        <w:pStyle w:val="5"/>
        <w:numPr>
          <w:ilvl w:val="0"/>
          <w:numId w:val="7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5A63A5E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单套支持1个日志源收集和分析。</w:t>
      </w:r>
    </w:p>
    <w:p w14:paraId="37974EC9">
      <w:pPr>
        <w:pStyle w:val="5"/>
        <w:numPr>
          <w:ilvl w:val="0"/>
          <w:numId w:val="71"/>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707A30C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（1）服务期间提供软件版本升级服务；</w:t>
      </w:r>
    </w:p>
    <w:p w14:paraId="54EE708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（2）服务期间提供特征库升级服务。</w:t>
      </w:r>
    </w:p>
    <w:p w14:paraId="7AC9A1E1">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数据库审计</w:t>
      </w:r>
    </w:p>
    <w:p w14:paraId="0AA4DA84">
      <w:pPr>
        <w:pStyle w:val="5"/>
        <w:numPr>
          <w:ilvl w:val="0"/>
          <w:numId w:val="7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39E8448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7C7C1D8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数据库审计，支持针对多种数据库操作的细粒度协议解析、双向操作和结果集审计、应用三层关联审计、全方位风险控制，全面记录数据库访问行为，针对异常登录、口令攻击撞库、高危操作、删库、恶意SQL注入、批量数据下载操作等违规行为进行风险告警，从访问来源、操作行为、风险、语句、会话及库资产等多个维度进行深度分析，支持数十种检索条件完成风险事件 追踪溯源，满足等级保护中的数据操作审计要求。</w:t>
      </w:r>
    </w:p>
    <w:p w14:paraId="4D6F1FE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7037937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1）数据违规事件溯源，可以帮助用户通过精确的数据库协议分析，快速定位异常点和异常行为，追溯风险来源。</w:t>
      </w:r>
    </w:p>
    <w:p w14:paraId="400BE58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2）记录、分析、追查数据库安全事件，通过数据库性能诊断，追踪危险事件和不安全操作，有效发现程序后门，降低数据泄密风险。</w:t>
      </w:r>
    </w:p>
    <w:p w14:paraId="70C63B0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3）防范数据泄露，内置安全规则，精准识别可能导致数据泄露的安全问题，并在数据泄露发生的初始阶段进行告警。</w:t>
      </w:r>
    </w:p>
    <w:p w14:paraId="5A680694">
      <w:pPr>
        <w:pStyle w:val="5"/>
        <w:numPr>
          <w:ilvl w:val="0"/>
          <w:numId w:val="7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E5B002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（1）数据库支持</w:t>
      </w:r>
    </w:p>
    <w:p w14:paraId="4B54DAD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1）支持GaussDB、达梦、金仓等国产主流数据库的审计，国产数据库以中国信息安全测评中心发布的《安全可靠测评结果公告》为准。</w:t>
      </w:r>
    </w:p>
    <w:p w14:paraId="1A3AEA0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2）支持国产云</w:t>
      </w:r>
      <w:r>
        <w:rPr>
          <w:rFonts w:hint="eastAsia" w:ascii="宋体" w:hAnsi="宋体" w:eastAsia="宋体" w:cs="宋体"/>
          <w:color w:val="auto"/>
          <w:sz w:val="21"/>
          <w:szCs w:val="21"/>
          <w:highlight w:val="none"/>
          <w:lang w:eastAsia="zh-CN"/>
        </w:rPr>
        <w:t>数据库</w:t>
      </w:r>
      <w:r>
        <w:rPr>
          <w:rFonts w:hint="eastAsia" w:ascii="宋体" w:hAnsi="宋体" w:eastAsia="宋体" w:cs="宋体"/>
          <w:color w:val="auto"/>
          <w:sz w:val="21"/>
          <w:szCs w:val="21"/>
          <w:highlight w:val="none"/>
        </w:rPr>
        <w:t>的审计。</w:t>
      </w:r>
    </w:p>
    <w:p w14:paraId="6577C9C9">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lang w:val="en-US" w:eastAsia="zh-CN"/>
        </w:rPr>
        <w:t>3）支持云租户模式部署，可对租户数据进行安全隔离，包括对租户的流量数据处理进行引擎级隔离，审计业务数据和配置数据进行库级隔离，审计日志查询进行接口隔离，报表文件数据进行存储空间隔离。</w:t>
      </w:r>
    </w:p>
    <w:p w14:paraId="6C13D529">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lang w:val="en-US" w:eastAsia="zh-CN"/>
        </w:rPr>
        <w:t>4）对租户的业务处理资源和审计数据进行分别回收，不会因为资源回收导致租户的数据立即删除。</w:t>
      </w:r>
    </w:p>
    <w:p w14:paraId="08007DB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（2）审计功能</w:t>
      </w:r>
    </w:p>
    <w:p w14:paraId="59F2107F">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1）审计信息能够记录执行时长，影响行数、执行结果描述与返回结果集。</w:t>
      </w:r>
    </w:p>
    <w:p w14:paraId="618F74BB">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2）支持数据库请求和返回的双向审计，特别是返回字段和结果集、执行状态、返回行数、执行时长、客户端工具、主机名等内容。</w:t>
      </w:r>
    </w:p>
    <w:p w14:paraId="0B763FF0">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lang w:val="en-US" w:eastAsia="zh-CN"/>
        </w:rPr>
        <w:t>3）支持使用客户自身的数据库进行审计系统安装部署、使用，外接的数据库需要有国产数据库人大金仓、达梦。</w:t>
      </w:r>
    </w:p>
    <w:p w14:paraId="303AF1F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（3）安全审计</w:t>
      </w:r>
    </w:p>
    <w:p w14:paraId="23552D31">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支持</w:t>
      </w:r>
      <w:r>
        <w:rPr>
          <w:rStyle w:val="14"/>
          <w:rFonts w:hint="eastAsia" w:ascii="宋体" w:hAnsi="宋体" w:eastAsia="宋体" w:cs="宋体"/>
          <w:color w:val="auto"/>
          <w:sz w:val="21"/>
          <w:szCs w:val="21"/>
          <w:highlight w:val="none"/>
          <w:lang w:val="en-US" w:eastAsia="zh-CN"/>
        </w:rPr>
        <w:t>自定义风险</w:t>
      </w:r>
      <w:r>
        <w:rPr>
          <w:rStyle w:val="14"/>
          <w:rFonts w:hint="eastAsia" w:ascii="宋体" w:hAnsi="宋体" w:eastAsia="宋体" w:cs="宋体"/>
          <w:color w:val="auto"/>
          <w:sz w:val="21"/>
          <w:szCs w:val="21"/>
          <w:highlight w:val="none"/>
        </w:rPr>
        <w:t>规则</w:t>
      </w:r>
      <w:r>
        <w:rPr>
          <w:rStyle w:val="14"/>
          <w:rFonts w:hint="eastAsia" w:ascii="宋体" w:hAnsi="宋体" w:eastAsia="宋体" w:cs="宋体"/>
          <w:color w:val="auto"/>
          <w:sz w:val="21"/>
          <w:szCs w:val="21"/>
          <w:highlight w:val="none"/>
          <w:lang w:val="en-US" w:eastAsia="zh-CN"/>
        </w:rPr>
        <w:t>配置，规则类型可设置风险级别、策略动作、数据库账号、策略周期、来源IP、客户端工具、命令、操作对象、SQL关键字、执行结果、行数、执行时长、时间周期、SQL语句等条件，并可依据规则通过kafka、syslog告警日志外发，且周期定时生成风险规则告警报表自动通过邮件外发。</w:t>
      </w:r>
    </w:p>
    <w:p w14:paraId="613EF3E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（4）Agent管理</w:t>
      </w:r>
    </w:p>
    <w:p w14:paraId="5C31C570">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rPr>
        <w:t>1）</w:t>
      </w:r>
      <w:r>
        <w:rPr>
          <w:rStyle w:val="14"/>
          <w:rFonts w:hint="eastAsia" w:ascii="宋体" w:hAnsi="宋体" w:eastAsia="宋体" w:cs="宋体"/>
          <w:color w:val="auto"/>
          <w:sz w:val="21"/>
          <w:szCs w:val="21"/>
          <w:highlight w:val="none"/>
          <w:lang w:val="en-US" w:eastAsia="zh-CN"/>
        </w:rPr>
        <w:t>支持Agent所在数据库服务器的CPU、内存、宽带利用率与Agent自身占用的CPU利用率、内存利用率、磁盘空间占用、带宽进行监控，并可设置阈值，当超过阈值时审计采集插件自动休眠，临时暂停抓包工作，避免与数据库服务器抢占资源。</w:t>
      </w:r>
    </w:p>
    <w:p w14:paraId="080C68C7">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val="en-US" w:eastAsia="zh-CN"/>
        </w:rPr>
        <w:t>2</w:t>
      </w:r>
      <w:r>
        <w:rPr>
          <w:rStyle w:val="14"/>
          <w:rFonts w:hint="eastAsia" w:ascii="宋体" w:hAnsi="宋体" w:eastAsia="宋体" w:cs="宋体"/>
          <w:color w:val="auto"/>
          <w:sz w:val="21"/>
          <w:szCs w:val="21"/>
          <w:highlight w:val="none"/>
        </w:rPr>
        <w:t>）</w:t>
      </w:r>
      <w:r>
        <w:rPr>
          <w:rStyle w:val="14"/>
          <w:rFonts w:hint="eastAsia" w:ascii="宋体" w:hAnsi="宋体" w:eastAsia="宋体" w:cs="宋体"/>
          <w:color w:val="auto"/>
          <w:sz w:val="21"/>
          <w:szCs w:val="21"/>
          <w:highlight w:val="none"/>
          <w:lang w:val="en-US" w:eastAsia="zh-CN"/>
        </w:rPr>
        <w:t>支持指定</w:t>
      </w:r>
      <w:r>
        <w:rPr>
          <w:rStyle w:val="14"/>
          <w:rFonts w:hint="eastAsia" w:ascii="宋体" w:hAnsi="宋体" w:eastAsia="宋体" w:cs="宋体"/>
          <w:color w:val="auto"/>
          <w:sz w:val="21"/>
          <w:szCs w:val="21"/>
          <w:highlight w:val="none"/>
        </w:rPr>
        <w:t>Agent</w:t>
      </w:r>
      <w:r>
        <w:rPr>
          <w:rStyle w:val="14"/>
          <w:rFonts w:hint="eastAsia" w:ascii="宋体" w:hAnsi="宋体" w:eastAsia="宋体" w:cs="宋体"/>
          <w:color w:val="auto"/>
          <w:sz w:val="21"/>
          <w:szCs w:val="21"/>
          <w:highlight w:val="none"/>
          <w:lang w:val="en-US" w:eastAsia="zh-CN"/>
        </w:rPr>
        <w:t>配置，可将注册到统一管理平台的插件指定到某台审计设备。</w:t>
      </w:r>
    </w:p>
    <w:p w14:paraId="194335B7">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val="en-US" w:eastAsia="zh-CN"/>
        </w:rPr>
        <w:t>3</w:t>
      </w:r>
      <w:r>
        <w:rPr>
          <w:rStyle w:val="14"/>
          <w:rFonts w:hint="eastAsia" w:ascii="宋体" w:hAnsi="宋体" w:eastAsia="宋体" w:cs="宋体"/>
          <w:color w:val="auto"/>
          <w:sz w:val="21"/>
          <w:szCs w:val="21"/>
          <w:highlight w:val="none"/>
        </w:rPr>
        <w:t>）Agent</w:t>
      </w:r>
      <w:r>
        <w:rPr>
          <w:rStyle w:val="14"/>
          <w:rFonts w:hint="eastAsia" w:ascii="宋体" w:hAnsi="宋体" w:eastAsia="宋体" w:cs="宋体"/>
          <w:color w:val="auto"/>
          <w:sz w:val="21"/>
          <w:szCs w:val="21"/>
          <w:highlight w:val="none"/>
          <w:lang w:val="en-US" w:eastAsia="zh-CN"/>
        </w:rPr>
        <w:t>支持迁移，可将连接某一审计节点上的插件切换到另外一台审计上。</w:t>
      </w:r>
    </w:p>
    <w:p w14:paraId="417B24A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（5）查询分析</w:t>
      </w:r>
    </w:p>
    <w:p w14:paraId="266C46F5">
      <w:pPr>
        <w:pStyle w:val="5"/>
        <w:spacing w:line="360" w:lineRule="auto"/>
        <w:ind w:firstLine="420" w:firstLineChars="200"/>
        <w:rPr>
          <w:rStyle w:val="14"/>
          <w:rFonts w:hint="eastAsia" w:ascii="宋体" w:hAnsi="宋体" w:eastAsia="宋体" w:cs="宋体"/>
          <w:color w:val="auto"/>
          <w:sz w:val="21"/>
          <w:szCs w:val="21"/>
          <w:highlight w:val="none"/>
          <w:lang w:eastAsia="zh-CN"/>
        </w:rPr>
      </w:pPr>
      <w:r>
        <w:rPr>
          <w:rStyle w:val="14"/>
          <w:rFonts w:hint="eastAsia" w:ascii="宋体" w:hAnsi="宋体" w:eastAsia="宋体" w:cs="宋体"/>
          <w:color w:val="auto"/>
          <w:sz w:val="21"/>
          <w:szCs w:val="21"/>
          <w:highlight w:val="none"/>
        </w:rPr>
        <w:t>1）可针对原始日志进行关联查询，支持日志全文检索、支持多客户端IP、数据库用户名、影响行数、操作类型、SQL语句关键字、响应时间、影响行数等多种条件组合查询。</w:t>
      </w:r>
    </w:p>
    <w:p w14:paraId="46C01936">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lang w:val="en-US" w:eastAsia="zh-CN"/>
        </w:rPr>
        <w:t>2</w:t>
      </w:r>
      <w:r>
        <w:rPr>
          <w:rStyle w:val="14"/>
          <w:rFonts w:hint="eastAsia" w:ascii="宋体" w:hAnsi="宋体" w:eastAsia="宋体" w:cs="宋体"/>
          <w:color w:val="auto"/>
          <w:sz w:val="21"/>
          <w:szCs w:val="21"/>
          <w:highlight w:val="none"/>
        </w:rPr>
        <w:t>）</w:t>
      </w:r>
      <w:r>
        <w:rPr>
          <w:rStyle w:val="14"/>
          <w:rFonts w:hint="eastAsia" w:ascii="宋体" w:hAnsi="宋体" w:eastAsia="宋体" w:cs="宋体"/>
          <w:color w:val="auto"/>
          <w:sz w:val="21"/>
          <w:szCs w:val="21"/>
          <w:highlight w:val="none"/>
          <w:lang w:val="en-US" w:eastAsia="zh-CN"/>
        </w:rPr>
        <w:t>支持发现数据库所在的服务器的异常网络通讯行为，包括访问数据库服务器上的非数据库协议通讯审计全记录、数据库服务器主动外联通讯行为，异常网络通讯行为结果全记录可追溯。</w:t>
      </w:r>
    </w:p>
    <w:p w14:paraId="07FF3FA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（6）隐私数据保护</w:t>
      </w:r>
    </w:p>
    <w:p w14:paraId="103E846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支持用户通过内置规则（包括护照号、军官证号、民族、银行卡号、身份证号、GPS信息等类型）或自定义规则对审计平台存储和展示的敏感信息脱敏。</w:t>
      </w:r>
    </w:p>
    <w:p w14:paraId="76287137">
      <w:pPr>
        <w:pStyle w:val="5"/>
        <w:numPr>
          <w:ilvl w:val="0"/>
          <w:numId w:val="7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1752400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单套支持1个数据实例审计。</w:t>
      </w:r>
    </w:p>
    <w:p w14:paraId="3EDE9B5B">
      <w:pPr>
        <w:pStyle w:val="5"/>
        <w:numPr>
          <w:ilvl w:val="0"/>
          <w:numId w:val="72"/>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68E42D6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（1）服务期间提供软件版本升级服务</w:t>
      </w:r>
    </w:p>
    <w:p w14:paraId="6AE2706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（2）服务期间提供特征库升级服务。</w:t>
      </w:r>
    </w:p>
    <w:p w14:paraId="0ECDA009">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云堡垒机</w:t>
      </w:r>
    </w:p>
    <w:p w14:paraId="70C9C37E">
      <w:pPr>
        <w:pStyle w:val="5"/>
        <w:numPr>
          <w:ilvl w:val="0"/>
          <w:numId w:val="7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2BBCE7E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2EBC163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提供云堡垒机，支持运维审计、多因素认证、工单审批、H5运维等功能，提供完整的运维审计日志信息，通过资产管理、账号管理、身份认证、资源授权、审计回放等功能增强运维管理的安全性。</w:t>
      </w:r>
    </w:p>
    <w:p w14:paraId="4A94F78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5CC400D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1）作为统一运维入口。</w:t>
      </w:r>
    </w:p>
    <w:p w14:paraId="1A6612C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2）进行运维权限精细化控制。</w:t>
      </w:r>
    </w:p>
    <w:p w14:paraId="3AC3DC4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3）作为内部资产管理系统，托管账号密码。</w:t>
      </w:r>
    </w:p>
    <w:p w14:paraId="0564CD2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4）用于运维操作的审计系统。</w:t>
      </w:r>
    </w:p>
    <w:p w14:paraId="2720829B">
      <w:pPr>
        <w:pStyle w:val="5"/>
        <w:numPr>
          <w:ilvl w:val="0"/>
          <w:numId w:val="7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2B4A6F3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（1）用户管理</w:t>
      </w:r>
    </w:p>
    <w:p w14:paraId="40490B19">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1）用户</w:t>
      </w:r>
      <w:r>
        <w:rPr>
          <w:rStyle w:val="14"/>
          <w:rFonts w:hint="eastAsia" w:ascii="宋体" w:hAnsi="宋体" w:eastAsia="宋体" w:cs="宋体"/>
          <w:color w:val="auto"/>
          <w:sz w:val="21"/>
          <w:szCs w:val="21"/>
          <w:highlight w:val="none"/>
          <w:lang w:eastAsia="zh-CN"/>
        </w:rPr>
        <w:t>登录</w:t>
      </w:r>
      <w:r>
        <w:rPr>
          <w:rStyle w:val="14"/>
          <w:rFonts w:hint="eastAsia" w:ascii="宋体" w:hAnsi="宋体" w:eastAsia="宋体" w:cs="宋体"/>
          <w:color w:val="auto"/>
          <w:sz w:val="21"/>
          <w:szCs w:val="21"/>
          <w:highlight w:val="none"/>
        </w:rPr>
        <w:t>认证方式支持静态口令认证、手机动态口令认证、Usbkey（数字证书）认证、短信认证（移动云mas)、AD域/LADP认证、Radius认证等认证方式；并支持各种认证方式和静态口令组合认证。</w:t>
      </w:r>
    </w:p>
    <w:p w14:paraId="676946BE">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2）内置三员角色的同时支持角色灵活自定义，可根据用户实际的管理特性或特殊的安全管理组织架构，划分管理角色的管理范畴。</w:t>
      </w:r>
    </w:p>
    <w:p w14:paraId="65BC44E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（2）身份认证</w:t>
      </w:r>
    </w:p>
    <w:p w14:paraId="6A2B295B">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支持首次使用手机动态口令由用户自行扫码配置。</w:t>
      </w:r>
    </w:p>
    <w:p w14:paraId="31CC2CE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（3）运维方式</w:t>
      </w:r>
    </w:p>
    <w:p w14:paraId="2009744C">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1）支持批量导入、导出用户信息；支持用户手动添加、删除、编辑、设定角色、单独指定</w:t>
      </w:r>
      <w:r>
        <w:rPr>
          <w:rStyle w:val="14"/>
          <w:rFonts w:hint="eastAsia" w:ascii="宋体" w:hAnsi="宋体" w:eastAsia="宋体" w:cs="宋体"/>
          <w:color w:val="auto"/>
          <w:sz w:val="21"/>
          <w:szCs w:val="21"/>
          <w:highlight w:val="none"/>
          <w:lang w:eastAsia="zh-CN"/>
        </w:rPr>
        <w:t>登录</w:t>
      </w:r>
      <w:r>
        <w:rPr>
          <w:rStyle w:val="14"/>
          <w:rFonts w:hint="eastAsia" w:ascii="宋体" w:hAnsi="宋体" w:eastAsia="宋体" w:cs="宋体"/>
          <w:color w:val="auto"/>
          <w:sz w:val="21"/>
          <w:szCs w:val="21"/>
          <w:highlight w:val="none"/>
        </w:rPr>
        <w:t>认证方式、设定用户有效期。</w:t>
      </w:r>
    </w:p>
    <w:p w14:paraId="6DAAFD76">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val="en-US" w:eastAsia="zh-CN"/>
        </w:rPr>
        <w:t>2</w:t>
      </w:r>
      <w:r>
        <w:rPr>
          <w:rStyle w:val="14"/>
          <w:rFonts w:hint="eastAsia" w:ascii="宋体" w:hAnsi="宋体" w:eastAsia="宋体" w:cs="宋体"/>
          <w:color w:val="auto"/>
          <w:sz w:val="21"/>
          <w:szCs w:val="21"/>
          <w:highlight w:val="none"/>
        </w:rPr>
        <w:t>）支持命令审批规则，用户执行高危命令时需要管理员审批后才允许执行；命令审批规则可以指定运维人员、访问设备、设备账号及命令审批人</w:t>
      </w:r>
    </w:p>
    <w:p w14:paraId="3561EA6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）安全审计</w:t>
      </w:r>
    </w:p>
    <w:p w14:paraId="57C6A49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1）支持对运维操作会话的在线监控、实时阻断；支持录像回放、支持记录起止时间、来源用户、来源IP、目标设备、协议/应用类型、命令记录、操作内容等详细行为日志。</w:t>
      </w:r>
    </w:p>
    <w:p w14:paraId="6AEC41C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2）支持对资产操作的命令审计；支持高危命令审计；支持对文件的上传、下载记录进行审计。</w:t>
      </w:r>
    </w:p>
    <w:p w14:paraId="7F4C44B6">
      <w:pPr>
        <w:pStyle w:val="5"/>
        <w:spacing w:line="360" w:lineRule="auto"/>
        <w:ind w:firstLine="420" w:firstLineChars="200"/>
        <w:rPr>
          <w:rStyle w:val="14"/>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Style w:val="14"/>
          <w:rFonts w:hint="eastAsia" w:ascii="宋体" w:hAnsi="宋体" w:eastAsia="宋体" w:cs="宋体"/>
          <w:color w:val="auto"/>
          <w:sz w:val="21"/>
          <w:szCs w:val="21"/>
          <w:highlight w:val="none"/>
        </w:rPr>
        <w:t>支持运维水印、录像水印、监控水印开启；</w:t>
      </w:r>
    </w:p>
    <w:p w14:paraId="23840238">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4）图形资源访问时，支持键盘、剪切板、窗口标题、文件传输记录，并且对图形资源的审计回放时，可以从某个键盘、剪切板、窗口标题、文件传输记录的指定位置开始回放。</w:t>
      </w:r>
    </w:p>
    <w:p w14:paraId="00B550F3">
      <w:pPr>
        <w:pStyle w:val="5"/>
        <w:numPr>
          <w:ilvl w:val="0"/>
          <w:numId w:val="7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1A06C20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单套支持1个资产管理。</w:t>
      </w:r>
    </w:p>
    <w:p w14:paraId="378ED467">
      <w:pPr>
        <w:pStyle w:val="5"/>
        <w:numPr>
          <w:ilvl w:val="0"/>
          <w:numId w:val="73"/>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71077EB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（1）服务期间提供软件版本升级服务</w:t>
      </w:r>
    </w:p>
    <w:p w14:paraId="3EE1535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（2）服务期间提供特征库升级服务。</w:t>
      </w:r>
    </w:p>
    <w:p w14:paraId="7504DDE5">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bookmarkStart w:id="409" w:name="_Toc17751"/>
      <w:bookmarkStart w:id="410" w:name="_Toc23693"/>
      <w:bookmarkStart w:id="411" w:name="_Toc17807"/>
      <w:bookmarkStart w:id="412" w:name="_Toc256000113"/>
      <w:bookmarkStart w:id="413" w:name="_Toc2882"/>
      <w:bookmarkStart w:id="414" w:name="_Toc25653"/>
      <w:r>
        <w:rPr>
          <w:rFonts w:hint="eastAsia" w:ascii="宋体" w:hAnsi="宋体" w:eastAsia="宋体" w:cs="宋体"/>
          <w:b/>
          <w:bCs/>
          <w:color w:val="auto"/>
          <w:sz w:val="21"/>
          <w:szCs w:val="21"/>
          <w:highlight w:val="none"/>
        </w:rPr>
        <w:t>租户数据安全</w:t>
      </w:r>
      <w:bookmarkEnd w:id="409"/>
      <w:bookmarkEnd w:id="410"/>
      <w:bookmarkEnd w:id="411"/>
      <w:bookmarkEnd w:id="412"/>
      <w:bookmarkEnd w:id="413"/>
      <w:bookmarkEnd w:id="414"/>
    </w:p>
    <w:p w14:paraId="792D7F0A">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数据安全网关</w:t>
      </w:r>
    </w:p>
    <w:p w14:paraId="424D1E5A">
      <w:pPr>
        <w:pStyle w:val="5"/>
        <w:numPr>
          <w:ilvl w:val="0"/>
          <w:numId w:val="7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0DF6765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6302480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提供数据安全网关，通过代理方式为应用访问数据库、管理员访问数据库提供安全防护能力，通过访问控制、攻击防护、动态脱敏等手段，杜绝数据使用过程中越权、攻击、泄漏等问题发生。</w:t>
      </w:r>
    </w:p>
    <w:p w14:paraId="0FDE9FD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01EE242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1）数据库综合防护，支持数据库精细化访问控制，做权限控制，支持虚拟补丁，能够识别利用数据库漏洞攻击行为，进行拦截。</w:t>
      </w:r>
    </w:p>
    <w:p w14:paraId="1B70E93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2）提供数据库运维操作审批流程，做到数据运维关键操作命令审批管控。</w:t>
      </w:r>
    </w:p>
    <w:p w14:paraId="63702625">
      <w:pPr>
        <w:pStyle w:val="5"/>
        <w:numPr>
          <w:ilvl w:val="0"/>
          <w:numId w:val="7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09EE310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（1）访问控制</w:t>
      </w:r>
    </w:p>
    <w:p w14:paraId="250ADE2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1）支持多种数据来源筛选管控，包括IP、客户端主机名、操作系统用户名、客户端工具名、客户端端口、数据库账号、数据库名、对象组、数据风险级别、操作类型、SQL关键字、SQL执行时间、SQL执行耗时 、影响行数、返回结果集等。</w:t>
      </w:r>
    </w:p>
    <w:p w14:paraId="14B10CF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2）对于越权的动作可以选择：阻断、拦截、放行，审计或告警审计。</w:t>
      </w:r>
    </w:p>
    <w:p w14:paraId="764FC8D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（2）运维审批</w:t>
      </w:r>
    </w:p>
    <w:p w14:paraId="04156035">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支持申请运维任务通过邮件发送且通过邮件正文的链接审批；支持运维申请手动配置运维对象或者选择对象组；支持手动添加运维SQL和导入SQL文件；运维任务支持运维资产、运维对象、运维人员和运维时间等维度；支持运维任务的两级审批。</w:t>
      </w:r>
    </w:p>
    <w:p w14:paraId="33E92652">
      <w:pPr>
        <w:pStyle w:val="5"/>
        <w:spacing w:line="360" w:lineRule="auto"/>
        <w:ind w:firstLine="420" w:firstLineChars="200"/>
        <w:rPr>
          <w:rStyle w:val="14"/>
          <w:rFonts w:hint="eastAsia" w:ascii="宋体" w:hAnsi="宋体" w:eastAsia="宋体" w:cs="宋体"/>
          <w:color w:val="auto"/>
          <w:sz w:val="21"/>
          <w:szCs w:val="21"/>
          <w:highlight w:val="none"/>
          <w:lang w:eastAsia="zh-CN"/>
        </w:rPr>
      </w:pPr>
      <w:r>
        <w:rPr>
          <w:rStyle w:val="14"/>
          <w:rFonts w:hint="eastAsia" w:ascii="宋体" w:hAnsi="宋体" w:eastAsia="宋体" w:cs="宋体"/>
          <w:color w:val="auto"/>
          <w:sz w:val="21"/>
          <w:szCs w:val="21"/>
          <w:highlight w:val="none"/>
          <w:lang w:val="en-US" w:eastAsia="zh-CN"/>
        </w:rPr>
        <w:t>2</w:t>
      </w:r>
      <w:r>
        <w:rPr>
          <w:rStyle w:val="14"/>
          <w:rFonts w:hint="eastAsia" w:ascii="宋体" w:hAnsi="宋体" w:eastAsia="宋体" w:cs="宋体"/>
          <w:color w:val="auto"/>
          <w:sz w:val="21"/>
          <w:szCs w:val="21"/>
          <w:highlight w:val="none"/>
        </w:rPr>
        <w:t>）支持为数据库运维人员提供数据库密码代填，</w:t>
      </w:r>
      <w:r>
        <w:rPr>
          <w:rStyle w:val="14"/>
          <w:rFonts w:hint="eastAsia" w:ascii="宋体" w:hAnsi="宋体" w:eastAsia="宋体" w:cs="宋体"/>
          <w:color w:val="auto"/>
          <w:sz w:val="21"/>
          <w:szCs w:val="21"/>
          <w:highlight w:val="none"/>
          <w:lang w:val="en-US" w:eastAsia="zh-CN"/>
        </w:rPr>
        <w:t>同时可通过</w:t>
      </w:r>
      <w:r>
        <w:rPr>
          <w:rStyle w:val="14"/>
          <w:rFonts w:hint="eastAsia" w:ascii="宋体" w:hAnsi="宋体" w:eastAsia="宋体" w:cs="宋体"/>
          <w:color w:val="auto"/>
          <w:sz w:val="21"/>
          <w:szCs w:val="21"/>
          <w:highlight w:val="none"/>
        </w:rPr>
        <w:t>授权码控制数据库管理员访问</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rPr>
        <w:t>在不影响运维操作的前提下，防止运维人员获知数据库鉴权密码，实现权责分离</w:t>
      </w:r>
      <w:r>
        <w:rPr>
          <w:rStyle w:val="14"/>
          <w:rFonts w:hint="eastAsia" w:ascii="宋体" w:hAnsi="宋体" w:eastAsia="宋体" w:cs="宋体"/>
          <w:color w:val="auto"/>
          <w:sz w:val="21"/>
          <w:szCs w:val="21"/>
          <w:highlight w:val="none"/>
          <w:lang w:eastAsia="zh-CN"/>
        </w:rPr>
        <w:t>。</w:t>
      </w:r>
    </w:p>
    <w:p w14:paraId="5A806982">
      <w:pPr>
        <w:pStyle w:val="5"/>
        <w:spacing w:line="360" w:lineRule="auto"/>
        <w:ind w:firstLine="420" w:firstLineChars="200"/>
        <w:rPr>
          <w:rStyle w:val="14"/>
          <w:rFonts w:hint="eastAsia" w:ascii="宋体" w:hAnsi="宋体" w:eastAsia="宋体" w:cs="宋体"/>
          <w:color w:val="auto"/>
          <w:sz w:val="21"/>
          <w:szCs w:val="21"/>
          <w:highlight w:val="none"/>
          <w:lang w:eastAsia="zh-CN"/>
        </w:rPr>
      </w:pPr>
      <w:r>
        <w:rPr>
          <w:rStyle w:val="14"/>
          <w:rFonts w:hint="eastAsia" w:ascii="宋体" w:hAnsi="宋体" w:eastAsia="宋体" w:cs="宋体"/>
          <w:color w:val="auto"/>
          <w:sz w:val="21"/>
          <w:szCs w:val="21"/>
          <w:highlight w:val="none"/>
          <w:lang w:val="en-US" w:eastAsia="zh-CN"/>
        </w:rPr>
        <w:t>3</w:t>
      </w:r>
      <w:r>
        <w:rPr>
          <w:rStyle w:val="14"/>
          <w:rFonts w:hint="eastAsia" w:ascii="宋体" w:hAnsi="宋体" w:eastAsia="宋体" w:cs="宋体"/>
          <w:color w:val="auto"/>
          <w:sz w:val="21"/>
          <w:szCs w:val="21"/>
          <w:highlight w:val="none"/>
        </w:rPr>
        <w:t>）提供WEB安全客户端，运维人员可直接通过Web页面进行运维操作，结合运维</w:t>
      </w:r>
      <w:r>
        <w:rPr>
          <w:rStyle w:val="14"/>
          <w:rFonts w:hint="eastAsia" w:ascii="宋体" w:hAnsi="宋体" w:eastAsia="宋体" w:cs="宋体"/>
          <w:color w:val="auto"/>
          <w:sz w:val="21"/>
          <w:szCs w:val="21"/>
          <w:highlight w:val="none"/>
          <w:lang w:eastAsia="zh-CN"/>
        </w:rPr>
        <w:t>账号密码</w:t>
      </w:r>
      <w:r>
        <w:rPr>
          <w:rStyle w:val="14"/>
          <w:rFonts w:hint="eastAsia" w:ascii="宋体" w:hAnsi="宋体" w:eastAsia="宋体" w:cs="宋体"/>
          <w:color w:val="auto"/>
          <w:sz w:val="21"/>
          <w:szCs w:val="21"/>
          <w:highlight w:val="none"/>
        </w:rPr>
        <w:t>代填进行免密</w:t>
      </w:r>
      <w:r>
        <w:rPr>
          <w:rStyle w:val="14"/>
          <w:rFonts w:hint="eastAsia" w:ascii="宋体" w:hAnsi="宋体" w:eastAsia="宋体" w:cs="宋体"/>
          <w:color w:val="auto"/>
          <w:sz w:val="21"/>
          <w:szCs w:val="21"/>
          <w:highlight w:val="none"/>
          <w:lang w:eastAsia="zh-CN"/>
        </w:rPr>
        <w:t>登录</w:t>
      </w:r>
      <w:r>
        <w:rPr>
          <w:rStyle w:val="14"/>
          <w:rFonts w:hint="eastAsia" w:ascii="宋体" w:hAnsi="宋体" w:eastAsia="宋体" w:cs="宋体"/>
          <w:color w:val="auto"/>
          <w:sz w:val="21"/>
          <w:szCs w:val="21"/>
          <w:highlight w:val="none"/>
        </w:rPr>
        <w:t>，实现运维权限细粒度管理，免安装、防假冒、防篡改</w:t>
      </w:r>
      <w:r>
        <w:rPr>
          <w:rStyle w:val="14"/>
          <w:rFonts w:hint="eastAsia" w:ascii="宋体" w:hAnsi="宋体" w:eastAsia="宋体" w:cs="宋体"/>
          <w:color w:val="auto"/>
          <w:sz w:val="21"/>
          <w:szCs w:val="21"/>
          <w:highlight w:val="none"/>
          <w:lang w:eastAsia="zh-CN"/>
        </w:rPr>
        <w:t>。</w:t>
      </w:r>
    </w:p>
    <w:p w14:paraId="210AEF30">
      <w:pPr>
        <w:pStyle w:val="5"/>
        <w:spacing w:line="360" w:lineRule="auto"/>
        <w:ind w:firstLine="420" w:firstLineChars="200"/>
        <w:rPr>
          <w:rStyle w:val="14"/>
          <w:rFonts w:hint="eastAsia" w:ascii="宋体" w:hAnsi="宋体" w:eastAsia="宋体" w:cs="宋体"/>
          <w:color w:val="auto"/>
          <w:sz w:val="21"/>
          <w:szCs w:val="21"/>
          <w:highlight w:val="none"/>
          <w:lang w:eastAsia="zh-CN"/>
        </w:rPr>
      </w:pPr>
      <w:r>
        <w:rPr>
          <w:rStyle w:val="14"/>
          <w:rFonts w:hint="eastAsia" w:ascii="宋体" w:hAnsi="宋体" w:eastAsia="宋体" w:cs="宋体"/>
          <w:color w:val="auto"/>
          <w:sz w:val="21"/>
          <w:szCs w:val="21"/>
          <w:highlight w:val="none"/>
          <w:lang w:val="en-US" w:eastAsia="zh-CN"/>
        </w:rPr>
        <w:t>4</w:t>
      </w:r>
      <w:r>
        <w:rPr>
          <w:rStyle w:val="14"/>
          <w:rFonts w:hint="eastAsia" w:ascii="宋体" w:hAnsi="宋体" w:eastAsia="宋体" w:cs="宋体"/>
          <w:color w:val="auto"/>
          <w:sz w:val="21"/>
          <w:szCs w:val="21"/>
          <w:highlight w:val="none"/>
        </w:rPr>
        <w:t>）提供</w:t>
      </w:r>
      <w:r>
        <w:rPr>
          <w:rStyle w:val="14"/>
          <w:rFonts w:hint="eastAsia" w:ascii="宋体" w:hAnsi="宋体" w:eastAsia="宋体" w:cs="宋体"/>
          <w:color w:val="auto"/>
          <w:sz w:val="21"/>
          <w:szCs w:val="21"/>
          <w:highlight w:val="none"/>
          <w:lang w:val="en-US" w:eastAsia="zh-CN"/>
        </w:rPr>
        <w:t>运维</w:t>
      </w:r>
      <w:r>
        <w:rPr>
          <w:rStyle w:val="14"/>
          <w:rFonts w:hint="eastAsia" w:ascii="宋体" w:hAnsi="宋体" w:eastAsia="宋体" w:cs="宋体"/>
          <w:color w:val="auto"/>
          <w:sz w:val="21"/>
          <w:szCs w:val="21"/>
          <w:highlight w:val="none"/>
        </w:rPr>
        <w:t>客户端下载，通过该客户端，运维人员使用navicat、dbeaver、plsql等常用运维工具时可直接免密</w:t>
      </w:r>
      <w:r>
        <w:rPr>
          <w:rStyle w:val="14"/>
          <w:rFonts w:hint="eastAsia" w:ascii="宋体" w:hAnsi="宋体" w:eastAsia="宋体" w:cs="宋体"/>
          <w:color w:val="auto"/>
          <w:sz w:val="21"/>
          <w:szCs w:val="21"/>
          <w:highlight w:val="none"/>
          <w:lang w:eastAsia="zh-CN"/>
        </w:rPr>
        <w:t>登录</w:t>
      </w:r>
      <w:r>
        <w:rPr>
          <w:rStyle w:val="14"/>
          <w:rFonts w:hint="eastAsia" w:ascii="宋体" w:hAnsi="宋体" w:eastAsia="宋体" w:cs="宋体"/>
          <w:color w:val="auto"/>
          <w:sz w:val="21"/>
          <w:szCs w:val="21"/>
          <w:highlight w:val="none"/>
        </w:rPr>
        <w:t>，避免因数据库账号共享而发生数据被破坏或泄露等风险</w:t>
      </w:r>
      <w:r>
        <w:rPr>
          <w:rStyle w:val="14"/>
          <w:rFonts w:hint="eastAsia" w:ascii="宋体" w:hAnsi="宋体" w:eastAsia="宋体" w:cs="宋体"/>
          <w:color w:val="auto"/>
          <w:sz w:val="21"/>
          <w:szCs w:val="21"/>
          <w:highlight w:val="none"/>
          <w:lang w:eastAsia="zh-CN"/>
        </w:rPr>
        <w:t>。</w:t>
      </w:r>
    </w:p>
    <w:p w14:paraId="7042D00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（3）安全防护</w:t>
      </w:r>
    </w:p>
    <w:p w14:paraId="4E528F7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1）支持内置的特征策略包含缓冲区溢出、SQL注入、提权等常见攻击特征，内置多种数据库安全规则。</w:t>
      </w:r>
    </w:p>
    <w:p w14:paraId="207F579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2）自定义规则支持根据账号、数据库名、客户端工具、操作系统用户名、客户端IP、操作类型、SQL关键字等制定防护策略。</w:t>
      </w:r>
    </w:p>
    <w:p w14:paraId="3DBF396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3）支持基于一定时间范围内基于同一会话、同一</w:t>
      </w:r>
      <w:r>
        <w:rPr>
          <w:rFonts w:hint="eastAsia" w:ascii="宋体" w:hAnsi="宋体" w:eastAsia="宋体" w:cs="宋体"/>
          <w:color w:val="auto"/>
          <w:sz w:val="21"/>
          <w:szCs w:val="21"/>
          <w:highlight w:val="none"/>
          <w:lang w:val="en-US" w:eastAsia="zh-CN"/>
        </w:rPr>
        <w:t>IP</w:t>
      </w:r>
      <w:r>
        <w:rPr>
          <w:rFonts w:hint="eastAsia" w:ascii="宋体" w:hAnsi="宋体" w:eastAsia="宋体" w:cs="宋体"/>
          <w:color w:val="auto"/>
          <w:sz w:val="21"/>
          <w:szCs w:val="21"/>
          <w:highlight w:val="none"/>
        </w:rPr>
        <w:t>、同一用户、同一工具等维度对数据库访问操作行为及返回行数的限制。</w:t>
      </w:r>
    </w:p>
    <w:p w14:paraId="0B43890F">
      <w:pPr>
        <w:pStyle w:val="5"/>
        <w:spacing w:line="360" w:lineRule="auto"/>
        <w:ind w:firstLine="420" w:firstLineChars="200"/>
        <w:rPr>
          <w:rStyle w:val="14"/>
          <w:rFonts w:hint="eastAsia" w:ascii="宋体" w:hAnsi="宋体" w:eastAsia="宋体" w:cs="宋体"/>
          <w:color w:val="auto"/>
          <w:sz w:val="21"/>
          <w:szCs w:val="21"/>
          <w:highlight w:val="none"/>
          <w:lang w:eastAsia="zh-CN"/>
        </w:rPr>
      </w:pPr>
      <w:r>
        <w:rPr>
          <w:rStyle w:val="14"/>
          <w:rFonts w:hint="eastAsia" w:ascii="宋体" w:hAnsi="宋体" w:eastAsia="宋体" w:cs="宋体"/>
          <w:color w:val="auto"/>
          <w:sz w:val="21"/>
          <w:szCs w:val="21"/>
          <w:highlight w:val="none"/>
          <w:lang w:val="en-US" w:eastAsia="zh-CN"/>
        </w:rPr>
        <w:t>4</w:t>
      </w:r>
      <w:r>
        <w:rPr>
          <w:rStyle w:val="14"/>
          <w:rFonts w:hint="eastAsia" w:ascii="宋体" w:hAnsi="宋体" w:eastAsia="宋体" w:cs="宋体"/>
          <w:color w:val="auto"/>
          <w:sz w:val="21"/>
          <w:szCs w:val="21"/>
          <w:highlight w:val="none"/>
        </w:rPr>
        <w:t>）支持用户配置业务IP、业务账号、业务操作、业务操作对象四个维度对应的业务语句，为用户查询日志时提供经过翻译更易读的SQL语句，业务字典配置可通过模板导入，快速配置</w:t>
      </w:r>
      <w:r>
        <w:rPr>
          <w:rStyle w:val="14"/>
          <w:rFonts w:hint="eastAsia" w:ascii="宋体" w:hAnsi="宋体" w:eastAsia="宋体" w:cs="宋体"/>
          <w:color w:val="auto"/>
          <w:sz w:val="21"/>
          <w:szCs w:val="21"/>
          <w:highlight w:val="none"/>
          <w:lang w:eastAsia="zh-CN"/>
        </w:rPr>
        <w:t>。</w:t>
      </w:r>
    </w:p>
    <w:p w14:paraId="74936210">
      <w:pPr>
        <w:pStyle w:val="5"/>
        <w:numPr>
          <w:ilvl w:val="0"/>
          <w:numId w:val="7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6FADD77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单套支持1个数据库实例。</w:t>
      </w:r>
    </w:p>
    <w:p w14:paraId="6337B207">
      <w:pPr>
        <w:pStyle w:val="5"/>
        <w:numPr>
          <w:ilvl w:val="0"/>
          <w:numId w:val="74"/>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6374A03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（1）服务期间提供软件版本升级服务</w:t>
      </w:r>
    </w:p>
    <w:p w14:paraId="156A974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（2）服务期间提供特征库升级服务。</w:t>
      </w:r>
    </w:p>
    <w:p w14:paraId="09412EF7">
      <w:pPr>
        <w:pStyle w:val="5"/>
        <w:keepNext/>
        <w:keepLines/>
        <w:numPr>
          <w:ilvl w:val="4"/>
          <w:numId w:val="16"/>
        </w:numPr>
        <w:spacing w:line="360" w:lineRule="auto"/>
        <w:contextualSpacing/>
        <w:outlineLvl w:val="4"/>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数据库加密</w:t>
      </w:r>
    </w:p>
    <w:p w14:paraId="18DEC954">
      <w:pPr>
        <w:pStyle w:val="5"/>
        <w:numPr>
          <w:ilvl w:val="0"/>
          <w:numId w:val="7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1741915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39ED69B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提供数据库加密，支持对数据库文件进行加密，实现对数据库文件的存储机密性、完整性保护。</w:t>
      </w:r>
    </w:p>
    <w:p w14:paraId="2C46E80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06B8120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在处理公民个人信息和敏感数据时，使用数据库加密确保数据的安全存储和合法使用，防止数据被非法获取或滥用。</w:t>
      </w:r>
    </w:p>
    <w:p w14:paraId="07DA4AEB">
      <w:pPr>
        <w:pStyle w:val="5"/>
        <w:numPr>
          <w:ilvl w:val="0"/>
          <w:numId w:val="7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3974BB8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（1）部署模式</w:t>
      </w:r>
    </w:p>
    <w:p w14:paraId="272C334B">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支持对数据库</w:t>
      </w:r>
      <w:r>
        <w:rPr>
          <w:rStyle w:val="14"/>
          <w:rFonts w:hint="eastAsia" w:ascii="宋体" w:hAnsi="宋体" w:eastAsia="宋体" w:cs="宋体"/>
          <w:color w:val="auto"/>
          <w:sz w:val="21"/>
          <w:szCs w:val="21"/>
          <w:highlight w:val="none"/>
          <w:lang w:val="en-US" w:eastAsia="zh-CN"/>
        </w:rPr>
        <w:t>敏感信息</w:t>
      </w:r>
      <w:r>
        <w:rPr>
          <w:rStyle w:val="14"/>
          <w:rFonts w:hint="eastAsia" w:ascii="宋体" w:hAnsi="宋体" w:eastAsia="宋体" w:cs="宋体"/>
          <w:color w:val="auto"/>
          <w:sz w:val="21"/>
          <w:szCs w:val="21"/>
          <w:highlight w:val="none"/>
        </w:rPr>
        <w:t>进行加密；为满足数据库加密不影响数据库日常运维的要求，</w:t>
      </w:r>
      <w:r>
        <w:rPr>
          <w:rStyle w:val="14"/>
          <w:rFonts w:hint="eastAsia" w:ascii="宋体" w:hAnsi="宋体" w:eastAsia="宋体" w:cs="宋体"/>
          <w:color w:val="auto"/>
          <w:sz w:val="21"/>
          <w:szCs w:val="21"/>
          <w:highlight w:val="none"/>
          <w:lang w:val="en-US" w:eastAsia="zh-CN"/>
        </w:rPr>
        <w:t>且</w:t>
      </w:r>
      <w:r>
        <w:rPr>
          <w:rStyle w:val="14"/>
          <w:rFonts w:hint="eastAsia" w:ascii="宋体" w:hAnsi="宋体" w:eastAsia="宋体" w:cs="宋体"/>
          <w:color w:val="auto"/>
          <w:sz w:val="21"/>
          <w:szCs w:val="21"/>
          <w:highlight w:val="none"/>
        </w:rPr>
        <w:t>应用系统免开发改造</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rPr>
        <w:t>无需在应用系统或者数据库上安装任何插件。</w:t>
      </w:r>
    </w:p>
    <w:p w14:paraId="2BC23EE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（2）保护对象</w:t>
      </w:r>
    </w:p>
    <w:p w14:paraId="7E83891C">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支持以表</w:t>
      </w:r>
      <w:r>
        <w:rPr>
          <w:rStyle w:val="14"/>
          <w:rFonts w:hint="eastAsia" w:ascii="宋体" w:hAnsi="宋体" w:eastAsia="宋体" w:cs="宋体"/>
          <w:color w:val="auto"/>
          <w:sz w:val="21"/>
          <w:szCs w:val="21"/>
          <w:highlight w:val="none"/>
          <w:lang w:eastAsia="zh-CN"/>
        </w:rPr>
        <w:t>、</w:t>
      </w:r>
      <w:r>
        <w:rPr>
          <w:rStyle w:val="14"/>
          <w:rFonts w:hint="eastAsia" w:ascii="宋体" w:hAnsi="宋体" w:eastAsia="宋体" w:cs="宋体"/>
          <w:color w:val="auto"/>
          <w:sz w:val="21"/>
          <w:szCs w:val="21"/>
          <w:highlight w:val="none"/>
          <w:lang w:val="en-US" w:eastAsia="zh-CN"/>
        </w:rPr>
        <w:t>字段</w:t>
      </w:r>
      <w:r>
        <w:rPr>
          <w:rStyle w:val="14"/>
          <w:rFonts w:hint="eastAsia" w:ascii="宋体" w:hAnsi="宋体" w:eastAsia="宋体" w:cs="宋体"/>
          <w:color w:val="auto"/>
          <w:sz w:val="21"/>
          <w:szCs w:val="21"/>
          <w:highlight w:val="none"/>
        </w:rPr>
        <w:t>为单位进行数据加密，加密表</w:t>
      </w:r>
      <w:r>
        <w:rPr>
          <w:rStyle w:val="14"/>
          <w:rFonts w:hint="eastAsia" w:ascii="宋体" w:hAnsi="宋体" w:eastAsia="宋体" w:cs="宋体"/>
          <w:color w:val="auto"/>
          <w:sz w:val="21"/>
          <w:szCs w:val="21"/>
          <w:highlight w:val="none"/>
          <w:lang w:val="en-US" w:eastAsia="zh-CN"/>
        </w:rPr>
        <w:t>或字段</w:t>
      </w:r>
      <w:r>
        <w:rPr>
          <w:rStyle w:val="14"/>
          <w:rFonts w:hint="eastAsia" w:ascii="宋体" w:hAnsi="宋体" w:eastAsia="宋体" w:cs="宋体"/>
          <w:color w:val="auto"/>
          <w:sz w:val="21"/>
          <w:szCs w:val="21"/>
          <w:highlight w:val="none"/>
        </w:rPr>
        <w:t>的数据在数据库中以密文格式存储。</w:t>
      </w:r>
    </w:p>
    <w:p w14:paraId="05B86BFA">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rPr>
        <w:t>（3）</w:t>
      </w:r>
      <w:r>
        <w:rPr>
          <w:rStyle w:val="14"/>
          <w:rFonts w:hint="eastAsia" w:ascii="宋体" w:hAnsi="宋体" w:eastAsia="宋体" w:cs="宋体"/>
          <w:color w:val="auto"/>
          <w:sz w:val="21"/>
          <w:szCs w:val="21"/>
          <w:highlight w:val="none"/>
          <w:lang w:eastAsia="zh-Hans"/>
        </w:rPr>
        <w:t>密文管理</w:t>
      </w:r>
    </w:p>
    <w:p w14:paraId="7CF1D0D7">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1）支持自动和手动创建密文索引，支持在管理页面上创建密文索引，并可自定义索引长度，以提升数据加密后的查询效率。</w:t>
      </w:r>
    </w:p>
    <w:p w14:paraId="5483D20F">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val="en-US" w:eastAsia="zh-CN"/>
        </w:rPr>
        <w:t>2</w:t>
      </w:r>
      <w:r>
        <w:rPr>
          <w:rStyle w:val="14"/>
          <w:rFonts w:hint="eastAsia" w:ascii="宋体" w:hAnsi="宋体" w:eastAsia="宋体" w:cs="宋体"/>
          <w:color w:val="auto"/>
          <w:sz w:val="21"/>
          <w:szCs w:val="21"/>
          <w:highlight w:val="none"/>
        </w:rPr>
        <w:t>）支持对密文列数据进行密文模糊查询</w:t>
      </w:r>
    </w:p>
    <w:p w14:paraId="5F3E6D14">
      <w:pPr>
        <w:pStyle w:val="5"/>
        <w:spacing w:line="360" w:lineRule="auto"/>
        <w:ind w:firstLine="420" w:firstLineChars="200"/>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lang w:val="en-US" w:eastAsia="zh-CN"/>
        </w:rPr>
        <w:t>3</w:t>
      </w:r>
      <w:r>
        <w:rPr>
          <w:rStyle w:val="14"/>
          <w:rFonts w:hint="eastAsia" w:ascii="宋体" w:hAnsi="宋体" w:eastAsia="宋体" w:cs="宋体"/>
          <w:color w:val="auto"/>
          <w:sz w:val="21"/>
          <w:szCs w:val="21"/>
          <w:highlight w:val="none"/>
        </w:rPr>
        <w:t>）支持使用离线密文恢复工具将密文恢复成明文，防止不可预测原因导致系统宕机后数据库数据不可解密，支持对单表进行密文恢复</w:t>
      </w:r>
    </w:p>
    <w:p w14:paraId="56600A53">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rPr>
        <w:t>（</w:t>
      </w:r>
      <w:r>
        <w:rPr>
          <w:rStyle w:val="14"/>
          <w:rFonts w:hint="eastAsia" w:ascii="宋体" w:hAnsi="宋体" w:eastAsia="宋体" w:cs="宋体"/>
          <w:color w:val="auto"/>
          <w:sz w:val="21"/>
          <w:szCs w:val="21"/>
          <w:highlight w:val="none"/>
          <w:lang w:val="en-US" w:eastAsia="zh-CN"/>
        </w:rPr>
        <w:t>4</w:t>
      </w:r>
      <w:r>
        <w:rPr>
          <w:rStyle w:val="14"/>
          <w:rFonts w:hint="eastAsia" w:ascii="宋体" w:hAnsi="宋体" w:eastAsia="宋体" w:cs="宋体"/>
          <w:color w:val="auto"/>
          <w:sz w:val="21"/>
          <w:szCs w:val="21"/>
          <w:highlight w:val="none"/>
        </w:rPr>
        <w:t>）</w:t>
      </w:r>
      <w:r>
        <w:rPr>
          <w:rStyle w:val="14"/>
          <w:rFonts w:hint="eastAsia" w:ascii="宋体" w:hAnsi="宋体" w:eastAsia="宋体" w:cs="宋体"/>
          <w:color w:val="auto"/>
          <w:sz w:val="21"/>
          <w:szCs w:val="21"/>
          <w:highlight w:val="none"/>
          <w:lang w:val="en-US" w:eastAsia="zh-CN"/>
        </w:rPr>
        <w:t>业务分析</w:t>
      </w:r>
    </w:p>
    <w:p w14:paraId="725C2B7D">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rPr>
        <w:t>1）</w:t>
      </w:r>
      <w:r>
        <w:rPr>
          <w:rStyle w:val="14"/>
          <w:rFonts w:hint="eastAsia" w:ascii="宋体" w:hAnsi="宋体" w:eastAsia="宋体" w:cs="宋体"/>
          <w:color w:val="auto"/>
          <w:sz w:val="21"/>
          <w:szCs w:val="21"/>
          <w:highlight w:val="none"/>
          <w:lang w:val="en-US" w:eastAsia="zh-CN"/>
        </w:rPr>
        <w:t>支持业务进行加密、解密仿真测试，提前模拟真实加密和解密过程，加密和解密过程测试结果提供页面可视化查看</w:t>
      </w:r>
    </w:p>
    <w:p w14:paraId="1853F138">
      <w:pPr>
        <w:pStyle w:val="5"/>
        <w:spacing w:line="360" w:lineRule="auto"/>
        <w:ind w:firstLine="420" w:firstLineChars="200"/>
        <w:rPr>
          <w:rStyle w:val="14"/>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sz w:val="21"/>
          <w:szCs w:val="21"/>
          <w:highlight w:val="none"/>
          <w:lang w:val="en-US" w:eastAsia="zh-CN"/>
        </w:rPr>
        <w:t>2</w:t>
      </w:r>
      <w:r>
        <w:rPr>
          <w:rStyle w:val="14"/>
          <w:rFonts w:hint="eastAsia" w:ascii="宋体" w:hAnsi="宋体" w:eastAsia="宋体" w:cs="宋体"/>
          <w:color w:val="auto"/>
          <w:sz w:val="21"/>
          <w:szCs w:val="21"/>
          <w:highlight w:val="none"/>
        </w:rPr>
        <w:t>）</w:t>
      </w:r>
      <w:r>
        <w:rPr>
          <w:rStyle w:val="14"/>
          <w:rFonts w:hint="eastAsia" w:ascii="宋体" w:hAnsi="宋体" w:eastAsia="宋体" w:cs="宋体"/>
          <w:color w:val="auto"/>
          <w:sz w:val="21"/>
          <w:szCs w:val="21"/>
          <w:highlight w:val="none"/>
          <w:lang w:val="en-US" w:eastAsia="zh-CN"/>
        </w:rPr>
        <w:t>支持对加密的业务数据库进行在线无感分析测试，可自动生成数据加密对业务的影响结果报表；支持加密表的预分析，自动生成加密策略建议</w:t>
      </w:r>
    </w:p>
    <w:p w14:paraId="5D0067A7">
      <w:pPr>
        <w:pStyle w:val="5"/>
        <w:numPr>
          <w:ilvl w:val="0"/>
          <w:numId w:val="7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741292C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单套支持1个数据库实例。</w:t>
      </w:r>
    </w:p>
    <w:p w14:paraId="1C6F5E37">
      <w:pPr>
        <w:pStyle w:val="5"/>
        <w:numPr>
          <w:ilvl w:val="0"/>
          <w:numId w:val="75"/>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4F9F69B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（1）服务期间提供软件版本升级服务</w:t>
      </w:r>
    </w:p>
    <w:p w14:paraId="63FFF94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（2）服务期间提供特征库升级服务。</w:t>
      </w:r>
    </w:p>
    <w:p w14:paraId="157630BA">
      <w:pPr>
        <w:pStyle w:val="5"/>
        <w:keepNext/>
        <w:keepLines/>
        <w:numPr>
          <w:ilvl w:val="1"/>
          <w:numId w:val="16"/>
        </w:numPr>
        <w:spacing w:before="156" w:beforeLines="50" w:after="156" w:afterLines="50" w:line="360" w:lineRule="auto"/>
        <w:contextualSpacing/>
        <w:outlineLvl w:val="1"/>
        <w:rPr>
          <w:rFonts w:hint="eastAsia" w:ascii="宋体" w:hAnsi="宋体" w:eastAsia="宋体" w:cs="宋体"/>
          <w:bCs/>
          <w:color w:val="auto"/>
          <w:sz w:val="21"/>
          <w:szCs w:val="21"/>
          <w:highlight w:val="none"/>
        </w:rPr>
      </w:pPr>
      <w:bookmarkStart w:id="415" w:name="_Toc21071"/>
      <w:bookmarkStart w:id="416" w:name="_Toc11461"/>
      <w:bookmarkStart w:id="417" w:name="_Toc27337"/>
      <w:bookmarkStart w:id="418" w:name="_Toc26441"/>
      <w:bookmarkStart w:id="419" w:name="_Toc256000114"/>
      <w:bookmarkStart w:id="420" w:name="_Toc18273"/>
      <w:r>
        <w:rPr>
          <w:rFonts w:hint="eastAsia" w:ascii="宋体" w:hAnsi="宋体" w:eastAsia="宋体" w:cs="宋体"/>
          <w:bCs/>
          <w:color w:val="auto"/>
          <w:sz w:val="21"/>
          <w:szCs w:val="21"/>
          <w:highlight w:val="none"/>
        </w:rPr>
        <w:t>灾备服务</w:t>
      </w:r>
      <w:bookmarkEnd w:id="415"/>
      <w:bookmarkEnd w:id="416"/>
      <w:bookmarkEnd w:id="417"/>
      <w:bookmarkEnd w:id="418"/>
      <w:bookmarkEnd w:id="419"/>
      <w:bookmarkEnd w:id="420"/>
      <w:r>
        <w:rPr>
          <w:rFonts w:hint="eastAsia" w:ascii="宋体" w:hAnsi="宋体" w:eastAsia="宋体" w:cs="宋体"/>
          <w:bCs/>
          <w:color w:val="auto"/>
          <w:sz w:val="21"/>
          <w:szCs w:val="21"/>
          <w:highlight w:val="none"/>
          <w:lang w:eastAsia="zh-CN"/>
        </w:rPr>
        <w:t xml:space="preserve"> </w:t>
      </w:r>
    </w:p>
    <w:p w14:paraId="18A62A72">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bookmarkStart w:id="421" w:name="_Toc27613"/>
      <w:bookmarkStart w:id="422" w:name="_Toc10397"/>
      <w:bookmarkStart w:id="423" w:name="_Toc22833"/>
      <w:bookmarkStart w:id="424" w:name="_Toc19747"/>
      <w:bookmarkStart w:id="425" w:name="_Toc11690"/>
      <w:bookmarkStart w:id="426" w:name="_Toc256000115"/>
      <w:r>
        <w:rPr>
          <w:rFonts w:hint="eastAsia" w:ascii="宋体" w:hAnsi="宋体" w:eastAsia="宋体" w:cs="宋体"/>
          <w:bCs/>
          <w:color w:val="auto"/>
          <w:sz w:val="21"/>
          <w:szCs w:val="21"/>
          <w:highlight w:val="none"/>
        </w:rPr>
        <w:t>本地（同城）灾备</w:t>
      </w:r>
      <w:bookmarkEnd w:id="421"/>
      <w:bookmarkEnd w:id="422"/>
      <w:bookmarkEnd w:id="423"/>
      <w:bookmarkEnd w:id="424"/>
      <w:bookmarkEnd w:id="425"/>
      <w:bookmarkEnd w:id="426"/>
      <w:r>
        <w:rPr>
          <w:rFonts w:hint="eastAsia" w:ascii="宋体" w:hAnsi="宋体" w:eastAsia="宋体" w:cs="宋体"/>
          <w:bCs/>
          <w:color w:val="auto"/>
          <w:sz w:val="21"/>
          <w:szCs w:val="21"/>
          <w:highlight w:val="none"/>
          <w:lang w:eastAsia="zh-CN"/>
        </w:rPr>
        <w:t xml:space="preserve"> </w:t>
      </w:r>
    </w:p>
    <w:p w14:paraId="46BAF7C5">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bookmarkStart w:id="427" w:name="_Toc256000118"/>
      <w:bookmarkStart w:id="428" w:name="_Toc31730"/>
      <w:bookmarkStart w:id="429" w:name="_Toc24626"/>
      <w:bookmarkStart w:id="430" w:name="_Toc9189"/>
      <w:bookmarkStart w:id="431" w:name="_Toc23842"/>
      <w:r>
        <w:rPr>
          <w:rFonts w:hint="eastAsia" w:ascii="宋体" w:hAnsi="宋体" w:eastAsia="宋体" w:cs="宋体"/>
          <w:b/>
          <w:bCs/>
          <w:color w:val="auto"/>
          <w:sz w:val="21"/>
          <w:szCs w:val="21"/>
          <w:highlight w:val="none"/>
        </w:rPr>
        <w:t>本地（同城）备份服务</w:t>
      </w:r>
      <w:r>
        <w:rPr>
          <w:rFonts w:hint="eastAsia" w:ascii="宋体" w:hAnsi="宋体" w:eastAsia="宋体" w:cs="宋体"/>
          <w:bCs/>
          <w:color w:val="auto"/>
          <w:sz w:val="21"/>
          <w:szCs w:val="21"/>
          <w:highlight w:val="none"/>
          <w:lang w:eastAsia="zh-CN"/>
        </w:rPr>
        <w:t xml:space="preserve"> </w:t>
      </w:r>
    </w:p>
    <w:p w14:paraId="21783DA6">
      <w:pPr>
        <w:pStyle w:val="5"/>
        <w:numPr>
          <w:ilvl w:val="0"/>
          <w:numId w:val="7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44CE8D5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服务定义</w:t>
      </w:r>
    </w:p>
    <w:p w14:paraId="380678C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政务云上承载的应用程序、数据库、云主机、文件提供多样的备份策略和备份方式，按照定期的备份频率与保留周期策略，将重要数据备份到备份服务平台中，确保发生系统故障、硬件故障、人为错误或数据逻辑错误、感染勒索病毒时，数据仍然可用且可以迅速恢复，保障重要业务数据的安全性和可靠性，满足数据安全合规性要求。</w:t>
      </w:r>
    </w:p>
    <w:p w14:paraId="4A8B6DF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应用场景</w:t>
      </w:r>
    </w:p>
    <w:p w14:paraId="5784922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政务云数据备份和恢复以及业务快速迁移和部署的场景，包括数据备份和恢复、黑客攻击或病毒入侵恢复、数据被误删恢复、应用程序更新出错恢复、云主机宕机恢复等。确保数字政府的数据安全和业务连续性，在面临数据丢失、系统故障或灾难性事件时，能够迅速从本地备份中恢复数据，维持政府机构的正常运作。</w:t>
      </w:r>
    </w:p>
    <w:p w14:paraId="13A5361B">
      <w:pPr>
        <w:pStyle w:val="5"/>
        <w:numPr>
          <w:ilvl w:val="0"/>
          <w:numId w:val="7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5B744B5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（1）功能架构要求</w:t>
      </w:r>
    </w:p>
    <w:p w14:paraId="69CBD4F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提供本地备份服务的备份系统须独立于生产系统运行，且采用专属设备存放，不得与生产存储共用。</w:t>
      </w:r>
    </w:p>
    <w:p w14:paraId="0A9339B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2）组成备份系统的所有节点无单点故障瓶颈且均可负载均衡的提供备份恢复能力。具备分布式集群高可用和弹性扩展能力，支持EC纠删码或三副本，所有的备份节点可组成一个统一的备份资源池。</w:t>
      </w:r>
    </w:p>
    <w:p w14:paraId="02BC02D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3）支持定时备份、副本数据管理、实时备份的存储引擎统一，实现介质共用一个存储池，减少备份空间损耗。</w:t>
      </w:r>
    </w:p>
    <w:p w14:paraId="4FB788D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备份系统应具备统一备份存储池的能力，单一存储池可同时存储不同网络环境下（LAN和FC）的备份数据，包括支持定时备份、副本数据管理、实时备份及重删指纹的所有数据，实现介质共用一个存储池，简化存储管理，减少备份空间损耗。</w:t>
      </w:r>
    </w:p>
    <w:p w14:paraId="38B16FB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5）备份系统应采用流式备份技术，而非云平台的快照技术。</w:t>
      </w:r>
    </w:p>
    <w:p w14:paraId="29A54C5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‌（2）兼容性要求</w:t>
      </w:r>
    </w:p>
    <w:p w14:paraId="7E9221B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1）支持统信UOS、麒麟、openEuler等国产操作系统，满足IT系统复杂性和兼容性需求，在各种操作系统上，具有相同的操作界面。</w:t>
      </w:r>
    </w:p>
    <w:p w14:paraId="6AD037D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2）支持数据库、应用、云平台、虚拟机在线备份功能，如达梦、南大通用、人大金仓等多种数据库或业务系统。</w:t>
      </w:r>
    </w:p>
    <w:p w14:paraId="4C06205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（3）节约备份存储空间及降低带宽</w:t>
      </w:r>
    </w:p>
    <w:p w14:paraId="33E6C99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支持源端重删、目标端重删、并行重删，并支持动态自动调整重删参数，提升数据重删比以降低异地灾备的带宽压力。</w:t>
      </w:r>
    </w:p>
    <w:p w14:paraId="043CCB6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（4）远程复制能力</w:t>
      </w:r>
    </w:p>
    <w:p w14:paraId="13FB1D1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支持将本地备份数据基于备份任务一对一或一对多远程复制到异地备份中心，且可将反向复制过来的备份数据直接恢复到本地的数据库、云平台等业务环境中，数据可正常使用和访问，无丢失。</w:t>
      </w:r>
    </w:p>
    <w:p w14:paraId="6916C28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（5）备份数据安全性</w:t>
      </w:r>
    </w:p>
    <w:p w14:paraId="29982D0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备份系统具备防范勒索病毒能力，拥有不可变存储、强制数据保留及内置病毒查杀引擎功能，通过备份系统调度配置界面进行病毒查杀演练。</w:t>
      </w:r>
    </w:p>
    <w:p w14:paraId="332E84E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支持病毒查杀，可针对备份数据，通过挂载恢复和数据恢复两种方式进行病毒扫描，针对已被病毒感染的备份数据可自动发现病毒文件并隔离，同时生成干净未被感染的备份数据，用于安全恢复。</w:t>
      </w:r>
    </w:p>
    <w:p w14:paraId="174D4C7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（6）支持多租户灾备服务</w:t>
      </w:r>
    </w:p>
    <w:p w14:paraId="5431EB7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以多租户方式提供灾备服务，支持租户自定义备份策略、恢复策略；提供面向云主机、操作系统、应用程序、文件、数据库等在线热备份服务；数据库支持数据库备份接口的流式备份，云主机支持无代理备份且同时支持在同构或异构云平台之间进行相互恢复。</w:t>
      </w:r>
    </w:p>
    <w:p w14:paraId="76ED275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2）支持全量备份、日志备份、永久增量备份、副本数据管理等多种数据灾备技术备份方式。</w:t>
      </w:r>
    </w:p>
    <w:p w14:paraId="529781A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（7）本地备份须与异地备份统一管理平台对接</w:t>
      </w:r>
    </w:p>
    <w:p w14:paraId="6B471E0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云服务商在本地须设置本地备份系统，同时本地备份系统须能与异地备份统一管理平台对接，实现集中界面管理，备份服务目录管理、备份任务查看、数据恢复、策略查询、服务计量、日志监控等功能。</w:t>
      </w:r>
    </w:p>
    <w:p w14:paraId="42171DC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（8）本地备份系统须具备与长期归档介质对接能力</w:t>
      </w:r>
    </w:p>
    <w:p w14:paraId="42519F5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1）支持将备份数据长期归档至磁带、对象存储、蓝光介质中，支持文件以原格式归档，支持永久增量归档。</w:t>
      </w:r>
    </w:p>
    <w:p w14:paraId="31E10CE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2）支持将归档数据直接恢复至备份服务器或客户端中。</w:t>
      </w:r>
    </w:p>
    <w:p w14:paraId="0DD5081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（9）具备灾备监控与分析能力</w:t>
      </w:r>
    </w:p>
    <w:p w14:paraId="471B202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备提供灾备监控与分析能力，包括但不限于对备份系统备份任务、备份存储资源监控、备份网络流量、灾备站点、备份操作员登录及操作日志审计以及与灾备系统相关的网络、中间件、数据库、主机、云平台等设备的统一日志存储收集与运行情况监控分析，对全局灾备作业的RPO、RTO以及未来资源使用预测提供态势分析展示。</w:t>
      </w:r>
    </w:p>
    <w:p w14:paraId="592BD43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云服务商提供的备份系统须能够与异地备份系统的灾备监控与分析模块对接，由异地灾备中心进行集中监控（包括RPO&amp;RTO指标、灾备节点性能、灾备资源使用率、网络流量、灾备告警的监控分析、用户登录审计、自动巡检等），达到全局灾备可观测的能力。</w:t>
      </w:r>
    </w:p>
    <w:p w14:paraId="63389F8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（10）具备自动化编排的灾难恢复演练能力</w:t>
      </w:r>
    </w:p>
    <w:p w14:paraId="4E28EE3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可自动化编排的灾难恢复演练能力，可根据使用单位需要，制定备份恢复演练计划和演练方案，可在平台中自动化编排恢复演练计划与方案的执行并自动输出可导出的Word、PDF等形式的恢复演练报告，报告内容应呈现灾难恢复结果、数据恢复结果、应用可用性、病毒查杀结果、RTO和RPO等内容。可根据需求对</w:t>
      </w:r>
      <w:r>
        <w:rPr>
          <w:rFonts w:hint="eastAsia" w:ascii="宋体" w:hAnsi="宋体" w:eastAsia="宋体" w:cs="宋体"/>
          <w:color w:val="auto"/>
          <w:sz w:val="21"/>
          <w:szCs w:val="21"/>
          <w:highlight w:val="none"/>
          <w:lang w:eastAsia="zh-CN"/>
        </w:rPr>
        <w:t>模板</w:t>
      </w:r>
      <w:r>
        <w:rPr>
          <w:rFonts w:hint="eastAsia" w:ascii="宋体" w:hAnsi="宋体" w:eastAsia="宋体" w:cs="宋体"/>
          <w:color w:val="auto"/>
          <w:sz w:val="21"/>
          <w:szCs w:val="21"/>
          <w:highlight w:val="none"/>
        </w:rPr>
        <w:t>内容和格式进行自定义，满足组织与上级监管要求。</w:t>
      </w:r>
    </w:p>
    <w:p w14:paraId="2ED7E6DB">
      <w:pPr>
        <w:pStyle w:val="5"/>
        <w:numPr>
          <w:ilvl w:val="0"/>
          <w:numId w:val="7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2BE7A787">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（1）备份系统吞吐能力</w:t>
      </w:r>
    </w:p>
    <w:p w14:paraId="62A1FAE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1）备份系统吞吐能力方面，要求单节点单副本场景下整体备份速度不低于300M/s、恢复速度不低于300M/s。</w:t>
      </w:r>
    </w:p>
    <w:p w14:paraId="3737FED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2）三节点三副本场景下整体备份速度不低于</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GB/s、恢复速度不低于</w:t>
      </w:r>
      <w:r>
        <w:rPr>
          <w:rFonts w:hint="eastAsia" w:ascii="宋体" w:hAnsi="宋体" w:eastAsia="宋体" w:cs="宋体"/>
          <w:color w:val="auto"/>
          <w:sz w:val="21"/>
          <w:szCs w:val="21"/>
          <w:highlight w:val="none"/>
          <w:lang w:val="en-US" w:eastAsia="zh-CN"/>
        </w:rPr>
        <w:t>0.8</w:t>
      </w:r>
      <w:r>
        <w:rPr>
          <w:rFonts w:hint="eastAsia" w:ascii="宋体" w:hAnsi="宋体" w:eastAsia="宋体" w:cs="宋体"/>
          <w:color w:val="auto"/>
          <w:sz w:val="21"/>
          <w:szCs w:val="21"/>
          <w:highlight w:val="none"/>
        </w:rPr>
        <w:t>GB/s。</w:t>
      </w:r>
    </w:p>
    <w:p w14:paraId="125FF9D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3）EC纠删码场景下整体备份速度不低于</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GB/s、恢复速度不低于</w:t>
      </w:r>
      <w:r>
        <w:rPr>
          <w:rFonts w:hint="eastAsia" w:ascii="宋体" w:hAnsi="宋体" w:eastAsia="宋体" w:cs="宋体"/>
          <w:color w:val="auto"/>
          <w:sz w:val="21"/>
          <w:szCs w:val="21"/>
          <w:highlight w:val="none"/>
          <w:lang w:val="en-US" w:eastAsia="zh-CN"/>
        </w:rPr>
        <w:t>0.8</w:t>
      </w:r>
      <w:r>
        <w:rPr>
          <w:rFonts w:hint="eastAsia" w:ascii="宋体" w:hAnsi="宋体" w:eastAsia="宋体" w:cs="宋体"/>
          <w:color w:val="auto"/>
          <w:sz w:val="21"/>
          <w:szCs w:val="21"/>
          <w:highlight w:val="none"/>
        </w:rPr>
        <w:t>GB/s。</w:t>
      </w:r>
    </w:p>
    <w:p w14:paraId="1D6ECE9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（2）IO缓存加速性能</w:t>
      </w:r>
    </w:p>
    <w:p w14:paraId="59D7B00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备份系统应具备缓存加速能力，如通过类似NVMe </w:t>
      </w:r>
      <w:r>
        <w:rPr>
          <w:rFonts w:hint="eastAsia" w:ascii="宋体" w:hAnsi="宋体" w:cs="宋体"/>
          <w:color w:val="auto"/>
          <w:sz w:val="21"/>
          <w:szCs w:val="21"/>
          <w:highlight w:val="none"/>
          <w:lang w:eastAsia="zh-CN"/>
        </w:rPr>
        <w:t>SSD</w:t>
      </w:r>
      <w:r>
        <w:rPr>
          <w:rFonts w:hint="eastAsia" w:ascii="宋体" w:hAnsi="宋体" w:eastAsia="宋体" w:cs="宋体"/>
          <w:color w:val="auto"/>
          <w:sz w:val="21"/>
          <w:szCs w:val="21"/>
          <w:highlight w:val="none"/>
        </w:rPr>
        <w:t>进行元数据、索引及重删加速，提升备份和恢复效率。</w:t>
      </w:r>
    </w:p>
    <w:p w14:paraId="50E42F9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（3）性能监控与分析</w:t>
      </w:r>
    </w:p>
    <w:p w14:paraId="4BBB89A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具备性能监控与分析能力，通过采集备份系统的性能指标，包括磁盘分区可用率、IOPS、网络流量、服务的进行监控等，实时监测系统的运行状态。</w:t>
      </w:r>
    </w:p>
    <w:p w14:paraId="74352F07">
      <w:pPr>
        <w:pStyle w:val="5"/>
        <w:numPr>
          <w:ilvl w:val="0"/>
          <w:numId w:val="76"/>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p w14:paraId="32ADFE2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要求云服务商提供的备份服务须满足GB 42250-2022《信息安全技术 网络安全专用产品安全技术要求》相关标准规范要求，并具备“网络安全专用产品安全检测认证”或“中国国家信息安全产品认证”的数据备份与恢复产品增强级认证证书。</w:t>
      </w:r>
    </w:p>
    <w:p w14:paraId="51E0237B">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（2）提供灾备咨询和培训服务，包括备份需求调研、备份需求分析、备份策略、恢复策略及备份副本保留策略制定等咨询，提供灾备技能培训等。</w:t>
      </w:r>
    </w:p>
    <w:p w14:paraId="745531B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（3）根据用户需求，配合用户制定对应的备份策略，设定合理的备份频率、保留周期，满足对RPO与RTO指标的要求。</w:t>
      </w:r>
    </w:p>
    <w:p w14:paraId="3011195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（4）提供备份恢复与验证服务</w:t>
      </w:r>
    </w:p>
    <w:p w14:paraId="392E544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每季度免费提供一次本地备份恢复验证演练服务，根据使用单位需要，制定备份恢复演练计划和演练方案，设计特定的演练场景，执行数据恢复与验证，撰写备份数据恢复验证报告、总结恢复演练中的问题及策略优化整改。  </w:t>
      </w:r>
    </w:p>
    <w:p w14:paraId="70A6807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（5）异地备份中心对接要求</w:t>
      </w:r>
    </w:p>
    <w:p w14:paraId="1D986D1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本次投标的云服务商需承诺</w:t>
      </w:r>
      <w:r>
        <w:rPr>
          <w:rFonts w:hint="eastAsia" w:ascii="宋体" w:hAnsi="宋体" w:eastAsia="宋体" w:cs="宋体"/>
          <w:color w:val="auto"/>
          <w:sz w:val="21"/>
          <w:szCs w:val="21"/>
          <w:highlight w:val="none"/>
          <w:lang w:val="en-US" w:eastAsia="zh-CN"/>
        </w:rPr>
        <w:t>签订合同</w:t>
      </w:r>
      <w:r>
        <w:rPr>
          <w:rFonts w:hint="eastAsia" w:ascii="宋体" w:hAnsi="宋体" w:eastAsia="宋体" w:cs="宋体"/>
          <w:color w:val="auto"/>
          <w:sz w:val="21"/>
          <w:szCs w:val="21"/>
          <w:highlight w:val="none"/>
        </w:rPr>
        <w:t>后，提供</w:t>
      </w:r>
      <w:r>
        <w:rPr>
          <w:rFonts w:hint="eastAsia" w:ascii="宋体" w:hAnsi="宋体" w:eastAsia="宋体" w:cs="宋体"/>
          <w:color w:val="auto"/>
          <w:sz w:val="21"/>
          <w:szCs w:val="21"/>
          <w:highlight w:val="none"/>
          <w:lang w:val="en-US" w:eastAsia="zh-CN"/>
        </w:rPr>
        <w:t>位于省级政务云异地灾备中心的</w:t>
      </w:r>
      <w:r>
        <w:rPr>
          <w:rFonts w:hint="eastAsia" w:ascii="宋体" w:hAnsi="宋体" w:eastAsia="宋体" w:cs="宋体"/>
          <w:color w:val="auto"/>
          <w:sz w:val="21"/>
          <w:szCs w:val="21"/>
          <w:highlight w:val="none"/>
        </w:rPr>
        <w:t>异地备份资源，供云资源使用单位申请、使用。</w:t>
      </w:r>
    </w:p>
    <w:p w14:paraId="1D16DF55">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（6）服务能力保障要求</w:t>
      </w:r>
    </w:p>
    <w:p w14:paraId="4EEE112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服务商需提供素质高、专业性强、经验丰富、稳定的灾备运维团队，提供7*24小时的现场值班值守和监控服务。</w:t>
      </w:r>
    </w:p>
    <w:p w14:paraId="3ECA3674">
      <w:pPr>
        <w:pStyle w:val="5"/>
        <w:keepNext/>
        <w:keepLines/>
        <w:numPr>
          <w:ilvl w:val="2"/>
          <w:numId w:val="16"/>
        </w:numPr>
        <w:spacing w:line="360" w:lineRule="auto"/>
        <w:contextualSpacing/>
        <w:outlineLvl w:val="2"/>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异地灾备</w:t>
      </w:r>
    </w:p>
    <w:p w14:paraId="389969E1">
      <w:pPr>
        <w:pStyle w:val="5"/>
        <w:keepNext/>
        <w:keepLines/>
        <w:numPr>
          <w:ilvl w:val="3"/>
          <w:numId w:val="16"/>
        </w:numPr>
        <w:spacing w:line="360" w:lineRule="auto"/>
        <w:contextualSpacing/>
        <w:outlineLvl w:val="3"/>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异地备份服务</w:t>
      </w:r>
      <w:bookmarkEnd w:id="427"/>
      <w:bookmarkEnd w:id="428"/>
      <w:bookmarkEnd w:id="429"/>
      <w:bookmarkEnd w:id="430"/>
      <w:bookmarkEnd w:id="431"/>
    </w:p>
    <w:p w14:paraId="1A246402">
      <w:pPr>
        <w:pStyle w:val="5"/>
        <w:numPr>
          <w:ilvl w:val="0"/>
          <w:numId w:val="7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服务说明</w:t>
      </w:r>
    </w:p>
    <w:p w14:paraId="78FD8C92">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（1）服务定义</w:t>
      </w:r>
    </w:p>
    <w:p w14:paraId="6B3E17BD">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在政务云环境下，将政务关键数据、系统或应用程序等资源通过安全的方式传输并存储到远离生产数据中心的异地备份中心。在灾难发生时，确保政府机构能够迅速从异地备份中心恢复数据，恢复业务运行。</w:t>
      </w:r>
    </w:p>
    <w:p w14:paraId="0A5C5EB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（2）应用场景</w:t>
      </w:r>
    </w:p>
    <w:p w14:paraId="3591904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地备份提供备份数据远程复制传输能力，将本地备份数据基于备份任务通过网络实时传输到异地灾备中心备份资源池中，确保在发生区域灾难性事件（如火灾、洪水、地震等）或数据丢失的情况下，保护数据免受损害。可以确保备份数据在主数据中心的损失或损坏时仍然可用，提供备份副本数据快速恢复业务的能力，实现快速的灾难恢复，减少灾难事件下的系统故障或数据丢失风险。</w:t>
      </w:r>
    </w:p>
    <w:p w14:paraId="190783C7">
      <w:pPr>
        <w:pStyle w:val="5"/>
        <w:numPr>
          <w:ilvl w:val="0"/>
          <w:numId w:val="7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功能要求</w:t>
      </w:r>
    </w:p>
    <w:p w14:paraId="1553D6E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总体要求</w:t>
      </w:r>
    </w:p>
    <w:p w14:paraId="7BA0ED9A">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确保异地灾备数据服务的可恢复性，异地备份服务的相关备份数据须由本地备份服务数据产生，而非其它数据来源。异地备份系统须采用存算一体融合部署的专属设备架构，组成备份系统的所有节点无单点故障瓶颈且均可负载均衡的提供备份恢复能力。具备分布式集群高可用和弹性扩展能力，支持EC纠删码或三副本，所有的备份节点可组成一个统一的备份资源池。支持定时备份、副本数据管理、实时备份的存储引擎统一，实现介质共用一个存储池，减少备份空间损耗。具备统一备份管理平台。</w:t>
      </w:r>
    </w:p>
    <w:p w14:paraId="133FE2EC">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（2）异地备份接收能力要求</w:t>
      </w:r>
    </w:p>
    <w:p w14:paraId="3187EA12">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将本地备份数据基于备份任务一对多全量或部分远程复制到异地现有和新建的备份资源池，且支持将异地现有备份资源池中的备份数据基于备份任务复制到异地新建备份资源池中。传输到异地的备份数据可直接恢复到数据库、云平台等业务环境中，应用数据可正常使用和访问，数据无丢失 。</w:t>
      </w:r>
    </w:p>
    <w:p w14:paraId="0C07FD20">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2）支持将异地备份数据基于备份任务反向复制到本地备份资源池，且可将反向复制过来的备份数据直接恢复到本地的数据库、云平台等业务环境中，数据可正常使用和访问，无丢失。</w:t>
      </w:r>
    </w:p>
    <w:p w14:paraId="7BFEDCA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（3）兼容性功能要求</w:t>
      </w:r>
    </w:p>
    <w:p w14:paraId="54EAF48C">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1）支持统信UOS、麒麟、openEuler等国产操作系统，满足IT系统复杂性和兼容性需求，在各种操作系统上，具有相同的操作界面。</w:t>
      </w:r>
    </w:p>
    <w:p w14:paraId="0A403E38">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2）支持数据库、应用、云平台、虚拟机在线备份功能，如达梦、南大通用、人大金仓等多种数据库或业务系统。</w:t>
      </w:r>
    </w:p>
    <w:p w14:paraId="137DCB92">
      <w:pPr>
        <w:pStyle w:val="5"/>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3）支持对存量政务华三cas7.0、华为hcso24.3版本、华为FusionCompute 8.6.0 SPH5 云主机无代理备份。</w:t>
      </w:r>
    </w:p>
    <w:p w14:paraId="2FB66AFF">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（4）异地备份数据安全性要求</w:t>
      </w:r>
    </w:p>
    <w:p w14:paraId="2A371F4C">
      <w:pPr>
        <w:pStyle w:val="5"/>
        <w:adjustRightInd w:val="0"/>
        <w:snapToGri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异地备份系统须具备防范勒索病毒能力，拥有不可变存储、强制数据保留及内置病毒查杀引擎功能，可通过备份系统调度配置界面进行病毒查杀演练、不可变存储与强制数据保留的策略设置，防止备份数据</w:t>
      </w:r>
      <w:r>
        <w:rPr>
          <w:rFonts w:hint="eastAsia" w:ascii="宋体" w:hAnsi="宋体" w:eastAsia="宋体" w:cs="宋体"/>
          <w:color w:val="auto"/>
          <w:sz w:val="21"/>
          <w:szCs w:val="21"/>
          <w:highlight w:val="none"/>
          <w:lang w:eastAsia="zh-CN"/>
        </w:rPr>
        <w:t>被</w:t>
      </w:r>
      <w:r>
        <w:rPr>
          <w:rFonts w:hint="eastAsia" w:ascii="宋体" w:hAnsi="宋体" w:eastAsia="宋体" w:cs="宋体"/>
          <w:color w:val="auto"/>
          <w:sz w:val="21"/>
          <w:szCs w:val="21"/>
          <w:highlight w:val="none"/>
        </w:rPr>
        <w:t>篡改、删除等。</w:t>
      </w:r>
    </w:p>
    <w:p w14:paraId="42D4C32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支持病毒查杀，可针对备份数据，通过挂载恢复和数据恢复两种方式进行病毒扫描，针对已被病毒感染的备份数据可自动发现病毒文件并隔离，同时生成干净未被感染的备份数据，用于安全恢复。</w:t>
      </w:r>
    </w:p>
    <w:p w14:paraId="5D141073">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（5）具备多租户灾备服务能力</w:t>
      </w:r>
    </w:p>
    <w:p w14:paraId="0B4D7029">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支持以多租户方式提供灾备服务，支持租户自定义恢复策略；提供异地备份数据的恢复。</w:t>
      </w:r>
    </w:p>
    <w:p w14:paraId="2E89625D">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（6）具备统一灾备管理能力</w:t>
      </w:r>
    </w:p>
    <w:p w14:paraId="241B0E03">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云服务商须负责与本地备份系统统一灾备管理平台及湖南省政务云异地备份系统统一灾备管理平台的对接，以实现统一化集中管理界面，实现备份服务目录管理、备份复制任务查看、策略查询、服务计量、日志监控、订单管理、在线灾备服务申请审批、服务撤销、服务计量、计费操作等能力。</w:t>
      </w:r>
    </w:p>
    <w:p w14:paraId="79139014">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（7）具备统一灾备监控与分析能力对接功能</w:t>
      </w:r>
    </w:p>
    <w:p w14:paraId="6C878351">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统一灾备监控与分析能力，云服务商须负责与本地备份系统灾备监控分析模块及湖南省政务云异地备份系统灾备监控分析模块的对接，包括对本异地备份系统的备份任务与复制任务、灾备存储资源使用率与容量预测分析、备份网络流量、灾备站点健康度、备份操作员登录及操作日志审计以及与灾备系统相关的网络、中间件、数据库、主机、云平台等设备的统一日志存储收集与运行情况监控分析，对全局灾备作业的RPO&amp;RTO以及未来资源使用预测提供态势分析展示。</w:t>
      </w:r>
    </w:p>
    <w:p w14:paraId="5324F2B8">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（8）具备自动化编排的灾难恢复演练功能</w:t>
      </w:r>
    </w:p>
    <w:p w14:paraId="4595659D">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提供可自动化编排的灾难恢复演练能力，可根据使用单位需要，制定备份恢复演练计划和演练方案，可在平台中自动化编排恢复演练计划与方案的执行并自动输出可导出的Word、PDF等形式的恢复演练报告。</w:t>
      </w:r>
    </w:p>
    <w:p w14:paraId="517B5386">
      <w:pPr>
        <w:pStyle w:val="5"/>
        <w:numPr>
          <w:ilvl w:val="0"/>
          <w:numId w:val="77"/>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性能要求</w:t>
      </w:r>
    </w:p>
    <w:p w14:paraId="33DA2D9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（1）备份系统吞吐能力</w:t>
      </w:r>
    </w:p>
    <w:p w14:paraId="06F02066">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1）备份系统吞吐能力方面，要求单节点单副本场景下整体备份速度不低于300M/s、恢复速度不低于300M/s。</w:t>
      </w:r>
    </w:p>
    <w:p w14:paraId="305305CF">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2）三节点三副本场景下整体备份速度不低于</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GB/s、恢复速度不低于</w:t>
      </w:r>
      <w:r>
        <w:rPr>
          <w:rFonts w:hint="eastAsia" w:ascii="宋体" w:hAnsi="宋体" w:eastAsia="宋体" w:cs="宋体"/>
          <w:color w:val="auto"/>
          <w:sz w:val="21"/>
          <w:szCs w:val="21"/>
          <w:highlight w:val="none"/>
          <w:lang w:val="en-US" w:eastAsia="zh-CN"/>
        </w:rPr>
        <w:t>0.8</w:t>
      </w:r>
      <w:r>
        <w:rPr>
          <w:rFonts w:hint="eastAsia" w:ascii="宋体" w:hAnsi="宋体" w:eastAsia="宋体" w:cs="宋体"/>
          <w:color w:val="auto"/>
          <w:sz w:val="21"/>
          <w:szCs w:val="21"/>
          <w:highlight w:val="none"/>
        </w:rPr>
        <w:t>GB/s。</w:t>
      </w:r>
    </w:p>
    <w:p w14:paraId="5F608D53">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3）EC纠删码场景下整体备份速度不低于</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GB/s、恢复速度不低于</w:t>
      </w:r>
      <w:r>
        <w:rPr>
          <w:rFonts w:hint="eastAsia" w:ascii="宋体" w:hAnsi="宋体" w:eastAsia="宋体" w:cs="宋体"/>
          <w:color w:val="auto"/>
          <w:sz w:val="21"/>
          <w:szCs w:val="21"/>
          <w:highlight w:val="none"/>
          <w:lang w:val="en-US" w:eastAsia="zh-CN"/>
        </w:rPr>
        <w:t>0.8</w:t>
      </w:r>
      <w:r>
        <w:rPr>
          <w:rFonts w:hint="eastAsia" w:ascii="宋体" w:hAnsi="宋体" w:eastAsia="宋体" w:cs="宋体"/>
          <w:color w:val="auto"/>
          <w:sz w:val="21"/>
          <w:szCs w:val="21"/>
          <w:highlight w:val="none"/>
        </w:rPr>
        <w:t>GB/s。</w:t>
      </w:r>
    </w:p>
    <w:p w14:paraId="6356DCE4">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（2）IO缓存加速</w:t>
      </w:r>
    </w:p>
    <w:p w14:paraId="70EBC909">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备份系统应具备缓存加速能力，如通过类似NVMe </w:t>
      </w:r>
      <w:r>
        <w:rPr>
          <w:rFonts w:hint="eastAsia" w:ascii="宋体" w:hAnsi="宋体" w:cs="宋体"/>
          <w:color w:val="auto"/>
          <w:sz w:val="21"/>
          <w:szCs w:val="21"/>
          <w:highlight w:val="none"/>
          <w:lang w:eastAsia="zh-CN"/>
        </w:rPr>
        <w:t>SSD</w:t>
      </w:r>
      <w:r>
        <w:rPr>
          <w:rFonts w:hint="eastAsia" w:ascii="宋体" w:hAnsi="宋体" w:eastAsia="宋体" w:cs="宋体"/>
          <w:color w:val="auto"/>
          <w:sz w:val="21"/>
          <w:szCs w:val="21"/>
          <w:highlight w:val="none"/>
        </w:rPr>
        <w:t>进行元数据、索引及重删加速，提升备份和恢复效率。</w:t>
      </w:r>
    </w:p>
    <w:p w14:paraId="037CDE6E">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（3）性能监控与分析</w:t>
      </w:r>
    </w:p>
    <w:p w14:paraId="43358141">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具备性能监控与分析能力，通过采集备份系统的性能指标，包括磁盘分区可用率、IOPS、网络流量、服务的进行监控等，实时监测系统的运行状态。</w:t>
      </w:r>
    </w:p>
    <w:p w14:paraId="69E1D2C9">
      <w:pPr>
        <w:pStyle w:val="5"/>
        <w:numPr>
          <w:ilvl w:val="0"/>
          <w:numId w:val="77"/>
        </w:numPr>
        <w:spacing w:line="360" w:lineRule="auto"/>
        <w:contextualSpacing/>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服务要求</w:t>
      </w:r>
    </w:p>
    <w:p w14:paraId="4EBBA3B6">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要求云服务商提供的备份服务须满足GB 42250-2022《信息安全技术 网络安全专用产品安全技术要求》相关标准规范要求，并具备“网络安全专用产品安全检测认证”或“中国国家信息安全产品认证”的数据备份与恢复产品增强级认证证书。</w:t>
      </w:r>
    </w:p>
    <w:p w14:paraId="574E3601">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（2）提供灾备咨询和培训服务，包括备份需求调研、备份需求分析、备份策略、恢复策略及备份副本保留策略制定等咨询，提供灾备技能培训等。</w:t>
      </w:r>
    </w:p>
    <w:p w14:paraId="277BF1ED">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（3）根据用户需求，配合用户制定对应的异地备份策略，设定合理的备份频率、保留周期，满足对RPO与RTO指标的要求。</w:t>
      </w:r>
    </w:p>
    <w:p w14:paraId="6E0A5C96">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（4）提供备份恢复与验证服务</w:t>
      </w:r>
    </w:p>
    <w:p w14:paraId="4CFDF1ED">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季度免费提供一次异地灾难恢复验证演练服务，根据使用单位需要，制定备份恢复演练计划和演练方案，设计特定的演练场景，执行数据恢复与验证，撰写备份数据恢复验证报告、总结恢复演练中的问题及策略优化整改。</w:t>
      </w:r>
    </w:p>
    <w:p w14:paraId="44C090F3">
      <w:pPr>
        <w:pStyle w:val="5"/>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（5）服务能力保障要求</w:t>
      </w:r>
    </w:p>
    <w:p w14:paraId="779F0840">
      <w:pPr>
        <w:pStyle w:val="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服务商需提供素质高、专业性强、经验丰富、稳定的灾备运维团队，提供 7*24 小时的现场值班值守和监控服务。</w:t>
      </w:r>
    </w:p>
    <w:p w14:paraId="3FF3E156">
      <w:pPr>
        <w:pStyle w:val="5"/>
        <w:keepNext/>
        <w:keepLines/>
        <w:numPr>
          <w:ilvl w:val="0"/>
          <w:numId w:val="2"/>
        </w:numPr>
        <w:snapToGrid/>
        <w:spacing w:before="312" w:beforeLines="100" w:after="312" w:afterLines="100" w:line="360" w:lineRule="auto"/>
        <w:contextualSpacing/>
        <w:jc w:val="center"/>
        <w:outlineLvl w:val="0"/>
        <w:rPr>
          <w:rStyle w:val="14"/>
          <w:rFonts w:hint="eastAsia" w:ascii="宋体" w:hAnsi="宋体" w:eastAsia="宋体" w:cs="宋体"/>
          <w:b/>
          <w:bCs/>
          <w:color w:val="auto"/>
          <w:kern w:val="44"/>
          <w:sz w:val="21"/>
          <w:szCs w:val="21"/>
          <w:highlight w:val="none"/>
          <w:lang w:val="en-US" w:eastAsia="zh-CN" w:bidi="ar-SA"/>
        </w:rPr>
      </w:pPr>
      <w:bookmarkStart w:id="432" w:name="_Toc19764"/>
      <w:bookmarkStart w:id="433" w:name="_Toc23725"/>
      <w:bookmarkStart w:id="434" w:name="_Toc22776"/>
      <w:bookmarkStart w:id="435" w:name="_Toc29365"/>
      <w:bookmarkStart w:id="436" w:name="_Toc6525"/>
      <w:bookmarkStart w:id="437" w:name="_Toc256000119"/>
      <w:r>
        <w:rPr>
          <w:rStyle w:val="14"/>
          <w:rFonts w:hint="eastAsia" w:ascii="宋体" w:hAnsi="宋体" w:eastAsia="宋体" w:cs="宋体"/>
          <w:b/>
          <w:bCs/>
          <w:color w:val="auto"/>
          <w:kern w:val="44"/>
          <w:sz w:val="21"/>
          <w:szCs w:val="21"/>
          <w:highlight w:val="none"/>
          <w:lang w:val="en-US" w:eastAsia="zh-CN" w:bidi="ar-SA"/>
        </w:rPr>
        <w:t>云服务商云平台运维运营要求</w:t>
      </w:r>
      <w:bookmarkEnd w:id="432"/>
      <w:bookmarkEnd w:id="433"/>
      <w:bookmarkEnd w:id="434"/>
      <w:bookmarkEnd w:id="435"/>
      <w:bookmarkEnd w:id="436"/>
      <w:bookmarkEnd w:id="437"/>
    </w:p>
    <w:p w14:paraId="363538C8">
      <w:pPr>
        <w:pStyle w:val="5"/>
        <w:keepNext/>
        <w:keepLines/>
        <w:numPr>
          <w:ilvl w:val="1"/>
          <w:numId w:val="2"/>
        </w:numPr>
        <w:snapToGrid/>
        <w:spacing w:before="156" w:beforeLines="50" w:after="156" w:afterLines="50" w:line="360" w:lineRule="auto"/>
        <w:contextualSpacing/>
        <w:jc w:val="both"/>
        <w:outlineLvl w:val="1"/>
        <w:rPr>
          <w:rStyle w:val="14"/>
          <w:rFonts w:hint="eastAsia" w:ascii="宋体" w:hAnsi="宋体" w:eastAsia="宋体" w:cs="宋体"/>
          <w:bCs/>
          <w:color w:val="auto"/>
          <w:kern w:val="2"/>
          <w:sz w:val="21"/>
          <w:szCs w:val="21"/>
          <w:highlight w:val="none"/>
          <w:lang w:val="en-US" w:eastAsia="zh-CN" w:bidi="ar-SA"/>
        </w:rPr>
      </w:pPr>
      <w:bookmarkStart w:id="438" w:name="_Toc256000120"/>
      <w:bookmarkStart w:id="439" w:name="_Toc9767"/>
      <w:bookmarkStart w:id="440" w:name="_Toc13193"/>
      <w:bookmarkStart w:id="441" w:name="_Toc3233"/>
      <w:bookmarkStart w:id="442" w:name="_Toc6976"/>
      <w:bookmarkStart w:id="443" w:name="_Toc4210"/>
      <w:r>
        <w:rPr>
          <w:rStyle w:val="14"/>
          <w:rFonts w:hint="eastAsia" w:ascii="宋体" w:hAnsi="宋体" w:eastAsia="宋体" w:cs="宋体"/>
          <w:bCs/>
          <w:color w:val="auto"/>
          <w:kern w:val="2"/>
          <w:sz w:val="21"/>
          <w:szCs w:val="21"/>
          <w:highlight w:val="none"/>
          <w:lang w:val="en-US" w:eastAsia="zh-CN" w:bidi="ar-SA"/>
        </w:rPr>
        <w:t>云平台运维要求</w:t>
      </w:r>
      <w:bookmarkEnd w:id="438"/>
      <w:bookmarkEnd w:id="439"/>
      <w:bookmarkEnd w:id="440"/>
      <w:bookmarkEnd w:id="441"/>
      <w:bookmarkEnd w:id="442"/>
      <w:bookmarkEnd w:id="443"/>
    </w:p>
    <w:p w14:paraId="5CD2B651">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444" w:name="_Toc15555"/>
      <w:bookmarkStart w:id="445" w:name="_Toc5066"/>
      <w:bookmarkStart w:id="446" w:name="_Toc1786"/>
      <w:bookmarkStart w:id="447" w:name="_Toc10635"/>
      <w:bookmarkStart w:id="448" w:name="_Toc30237"/>
      <w:bookmarkStart w:id="449" w:name="_Toc256000121"/>
      <w:r>
        <w:rPr>
          <w:rStyle w:val="14"/>
          <w:rFonts w:hint="eastAsia" w:ascii="宋体" w:hAnsi="宋体" w:eastAsia="宋体" w:cs="宋体"/>
          <w:bCs/>
          <w:color w:val="auto"/>
          <w:kern w:val="2"/>
          <w:sz w:val="21"/>
          <w:szCs w:val="21"/>
          <w:highlight w:val="none"/>
          <w:lang w:val="en-US" w:eastAsia="zh-CN" w:bidi="ar-SA"/>
        </w:rPr>
        <w:t>运维总体要求</w:t>
      </w:r>
      <w:bookmarkEnd w:id="444"/>
      <w:bookmarkEnd w:id="445"/>
      <w:bookmarkEnd w:id="446"/>
      <w:bookmarkEnd w:id="447"/>
      <w:bookmarkEnd w:id="448"/>
      <w:bookmarkEnd w:id="449"/>
    </w:p>
    <w:p w14:paraId="1AD43063">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要以保障网络正常通信、保证业务正常开展为目标，遵循市级政务云平台架构设计规范和等级保护制度要求，通过对云平台软硬件和网络进行科学运维运营，提高整体运行维护水平，确保平台安全、可靠运行。运维管理对象包括：机房、网络、物理设备、虚拟设备、云平台相关软件等。</w:t>
      </w:r>
    </w:p>
    <w:p w14:paraId="03231F56">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云服务商应制定运维工作方案。方案明确运维流程标准，并进行详细的流程说明，确保运维活动遵循标准的方法、程序和规则，且有记录可追踪，降低运维活动对本项目服务质量的负面影响。</w:t>
      </w:r>
    </w:p>
    <w:p w14:paraId="69DF76D9">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云服务商应建立运维管理规范。包括机房管理、 资产管理、设备管理、介质管理、系统运维管理、用户账号及权限管理和风险管理。</w:t>
      </w:r>
    </w:p>
    <w:p w14:paraId="4F126C1F">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云服务商应制定云平台备份运维规范，包括备份系统运行维护技术服务规范、基本流程的服务规范。</w:t>
      </w:r>
    </w:p>
    <w:p w14:paraId="73F901DE">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云服务商应建立云平台应急事件处理机制。对云平台应急保障的总体组织架构进行划分，并明确各岗位相应的职责。同时应制定标准的应急事件响应、处置流程以及应急预案演练流程。</w:t>
      </w:r>
    </w:p>
    <w:p w14:paraId="4AD4A50F">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450" w:name="_Toc256000122"/>
      <w:bookmarkStart w:id="451" w:name="_Toc28262"/>
      <w:bookmarkStart w:id="452" w:name="_Toc11893"/>
      <w:bookmarkStart w:id="453" w:name="_Toc5261"/>
      <w:bookmarkStart w:id="454" w:name="_Toc28162"/>
      <w:bookmarkStart w:id="455" w:name="_Toc13056"/>
      <w:r>
        <w:rPr>
          <w:rStyle w:val="14"/>
          <w:rFonts w:hint="eastAsia" w:ascii="宋体" w:hAnsi="宋体" w:eastAsia="宋体" w:cs="宋体"/>
          <w:bCs/>
          <w:color w:val="auto"/>
          <w:kern w:val="2"/>
          <w:sz w:val="21"/>
          <w:szCs w:val="21"/>
          <w:highlight w:val="none"/>
          <w:lang w:val="en-US" w:eastAsia="zh-CN" w:bidi="ar-SA"/>
        </w:rPr>
        <w:t>服务团队要求</w:t>
      </w:r>
      <w:bookmarkEnd w:id="450"/>
      <w:bookmarkEnd w:id="451"/>
      <w:bookmarkEnd w:id="452"/>
      <w:bookmarkEnd w:id="453"/>
      <w:bookmarkEnd w:id="454"/>
      <w:bookmarkEnd w:id="455"/>
    </w:p>
    <w:p w14:paraId="17FCB73B">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应组建专职服务团队负责云服务平台运行管理维护工作，应组建涵盖云服务涉及的各个技术领域的技术团队，组织能力应包括技术服务与运营、平台运维与安全，具备云平台服务相关的经验和专业技能。提供不少于8人的专业技术服务团队，不少于5人的驻场服务人员。</w:t>
      </w:r>
    </w:p>
    <w:p w14:paraId="375F29A1">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运维服务队伍要求组织结构合理、岗位明确、职责清楚。要求云服务商应至少设置专职项目经理、云平台工程师、数通工程师、安全工程师、IT设备运维工程师等重要岗位。</w:t>
      </w:r>
    </w:p>
    <w:p w14:paraId="68268AAC">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项目实施过程中，应保证驻场人员不随意变更，如若变更，云服务商需提前15天向采购方申请，在征得采购方同意后方能变更，且变更后的人员能力及资质不得低于原水平要求，除采购方要求更换人员的情况除外。对于云服务商的本地驻场运维人员，要求提供5*8小时的驻场维护服务，提供7*24小时的服务和不间断技术服务。具体运维服务团队人员要求详见下表：</w:t>
      </w:r>
    </w:p>
    <w:p w14:paraId="29225D7B">
      <w:pPr>
        <w:pStyle w:val="4"/>
        <w:keepNext/>
        <w:spacing w:line="360" w:lineRule="auto"/>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 xml:space="preserve">表 </w:t>
      </w:r>
      <w:r>
        <w:rPr>
          <w:rStyle w:val="14"/>
          <w:rFonts w:hint="eastAsia" w:ascii="宋体" w:hAnsi="宋体" w:eastAsia="宋体" w:cs="宋体"/>
          <w:color w:val="auto"/>
          <w:sz w:val="21"/>
          <w:szCs w:val="21"/>
          <w:highlight w:val="none"/>
        </w:rPr>
        <w:fldChar w:fldCharType="begin"/>
      </w:r>
      <w:r>
        <w:rPr>
          <w:rStyle w:val="14"/>
          <w:rFonts w:hint="eastAsia" w:ascii="宋体" w:hAnsi="宋体" w:eastAsia="宋体" w:cs="宋体"/>
          <w:color w:val="auto"/>
          <w:sz w:val="21"/>
          <w:szCs w:val="21"/>
          <w:highlight w:val="none"/>
        </w:rPr>
        <w:instrText xml:space="preserve"> STYLEREF 2 \s </w:instrText>
      </w:r>
      <w:r>
        <w:rPr>
          <w:rStyle w:val="14"/>
          <w:rFonts w:hint="eastAsia" w:ascii="宋体" w:hAnsi="宋体" w:eastAsia="宋体" w:cs="宋体"/>
          <w:color w:val="auto"/>
          <w:sz w:val="21"/>
          <w:szCs w:val="21"/>
          <w:highlight w:val="none"/>
        </w:rPr>
        <w:fldChar w:fldCharType="separate"/>
      </w:r>
      <w:r>
        <w:rPr>
          <w:rStyle w:val="14"/>
          <w:rFonts w:hint="eastAsia" w:ascii="宋体" w:hAnsi="宋体" w:eastAsia="宋体" w:cs="宋体"/>
          <w:color w:val="auto"/>
          <w:sz w:val="21"/>
          <w:szCs w:val="21"/>
          <w:highlight w:val="none"/>
        </w:rPr>
        <w:fldChar w:fldCharType="end"/>
      </w:r>
      <w:r>
        <w:rPr>
          <w:rStyle w:val="14"/>
          <w:rFonts w:hint="eastAsia" w:ascii="宋体" w:hAnsi="宋体" w:eastAsia="宋体" w:cs="宋体"/>
          <w:color w:val="auto"/>
          <w:sz w:val="21"/>
          <w:szCs w:val="21"/>
          <w:highlight w:val="none"/>
        </w:rPr>
        <w:noBreakHyphen/>
      </w:r>
      <w:r>
        <w:rPr>
          <w:rStyle w:val="14"/>
          <w:rFonts w:hint="eastAsia" w:ascii="宋体" w:hAnsi="宋体" w:eastAsia="宋体" w:cs="宋体"/>
          <w:color w:val="auto"/>
          <w:sz w:val="21"/>
          <w:szCs w:val="21"/>
          <w:highlight w:val="none"/>
        </w:rPr>
        <w:fldChar w:fldCharType="begin"/>
      </w:r>
      <w:r>
        <w:rPr>
          <w:rStyle w:val="14"/>
          <w:rFonts w:hint="eastAsia" w:ascii="宋体" w:hAnsi="宋体" w:eastAsia="宋体" w:cs="宋体"/>
          <w:color w:val="auto"/>
          <w:sz w:val="21"/>
          <w:szCs w:val="21"/>
          <w:highlight w:val="none"/>
        </w:rPr>
        <w:instrText xml:space="preserve"> SEQ 表格 \* ARABIC \s 2 </w:instrText>
      </w:r>
      <w:r>
        <w:rPr>
          <w:rStyle w:val="14"/>
          <w:rFonts w:hint="eastAsia" w:ascii="宋体" w:hAnsi="宋体" w:eastAsia="宋体" w:cs="宋体"/>
          <w:color w:val="auto"/>
          <w:sz w:val="21"/>
          <w:szCs w:val="21"/>
          <w:highlight w:val="none"/>
        </w:rPr>
        <w:fldChar w:fldCharType="separate"/>
      </w:r>
      <w:r>
        <w:rPr>
          <w:rStyle w:val="14"/>
          <w:rFonts w:hint="eastAsia" w:ascii="宋体" w:hAnsi="宋体" w:eastAsia="宋体" w:cs="宋体"/>
          <w:color w:val="auto"/>
          <w:sz w:val="21"/>
          <w:szCs w:val="21"/>
          <w:highlight w:val="none"/>
        </w:rPr>
        <w:t>1</w:t>
      </w:r>
      <w:r>
        <w:rPr>
          <w:rStyle w:val="14"/>
          <w:rFonts w:hint="eastAsia" w:ascii="宋体" w:hAnsi="宋体" w:eastAsia="宋体" w:cs="宋体"/>
          <w:color w:val="auto"/>
          <w:sz w:val="21"/>
          <w:szCs w:val="21"/>
          <w:highlight w:val="none"/>
        </w:rPr>
        <w:fldChar w:fldCharType="end"/>
      </w:r>
      <w:r>
        <w:rPr>
          <w:rStyle w:val="14"/>
          <w:rFonts w:hint="eastAsia" w:ascii="宋体" w:hAnsi="宋体" w:eastAsia="宋体" w:cs="宋体"/>
          <w:color w:val="auto"/>
          <w:sz w:val="21"/>
          <w:szCs w:val="21"/>
          <w:highlight w:val="none"/>
        </w:rPr>
        <w:t>运维服务团队人员</w:t>
      </w:r>
    </w:p>
    <w:tbl>
      <w:tblPr>
        <w:tblStyle w:val="17"/>
        <w:tblW w:w="49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864"/>
        <w:gridCol w:w="4924"/>
        <w:gridCol w:w="827"/>
        <w:gridCol w:w="1105"/>
      </w:tblGrid>
      <w:tr w14:paraId="75F6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pct"/>
            <w:noWrap w:val="0"/>
            <w:vAlign w:val="center"/>
          </w:tcPr>
          <w:p w14:paraId="7AD458AB">
            <w:pPr>
              <w:pStyle w:val="5"/>
              <w:adjustRightInd/>
              <w:snapToGrid/>
              <w:spacing w:line="240" w:lineRule="auto"/>
              <w:ind w:firstLine="0" w:firstLineChars="0"/>
              <w:contextualSpacing/>
              <w:jc w:val="center"/>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序号</w:t>
            </w:r>
          </w:p>
        </w:tc>
        <w:tc>
          <w:tcPr>
            <w:tcW w:w="512" w:type="pct"/>
            <w:noWrap w:val="0"/>
            <w:vAlign w:val="center"/>
          </w:tcPr>
          <w:p w14:paraId="242265BF">
            <w:pPr>
              <w:pStyle w:val="5"/>
              <w:adjustRightInd/>
              <w:snapToGrid/>
              <w:spacing w:line="240" w:lineRule="auto"/>
              <w:ind w:firstLine="0" w:firstLineChars="0"/>
              <w:contextualSpacing/>
              <w:jc w:val="center"/>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角色</w:t>
            </w:r>
          </w:p>
        </w:tc>
        <w:tc>
          <w:tcPr>
            <w:tcW w:w="2919" w:type="pct"/>
            <w:noWrap w:val="0"/>
            <w:vAlign w:val="center"/>
          </w:tcPr>
          <w:p w14:paraId="06892901">
            <w:pPr>
              <w:pStyle w:val="5"/>
              <w:adjustRightInd/>
              <w:snapToGrid/>
              <w:spacing w:line="240" w:lineRule="auto"/>
              <w:ind w:firstLine="0" w:firstLineChars="0"/>
              <w:contextualSpacing/>
              <w:jc w:val="center"/>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人员要求</w:t>
            </w:r>
          </w:p>
        </w:tc>
        <w:tc>
          <w:tcPr>
            <w:tcW w:w="490" w:type="pct"/>
            <w:noWrap w:val="0"/>
            <w:vAlign w:val="center"/>
          </w:tcPr>
          <w:p w14:paraId="2CE6FCA2">
            <w:pPr>
              <w:pStyle w:val="5"/>
              <w:adjustRightInd/>
              <w:snapToGrid/>
              <w:spacing w:line="240" w:lineRule="auto"/>
              <w:ind w:firstLine="0" w:firstLineChars="0"/>
              <w:contextualSpacing/>
              <w:jc w:val="center"/>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人数</w:t>
            </w:r>
          </w:p>
        </w:tc>
        <w:tc>
          <w:tcPr>
            <w:tcW w:w="655" w:type="pct"/>
            <w:noWrap w:val="0"/>
            <w:vAlign w:val="center"/>
          </w:tcPr>
          <w:p w14:paraId="661870FC">
            <w:pPr>
              <w:pStyle w:val="5"/>
              <w:adjustRightInd/>
              <w:snapToGrid/>
              <w:spacing w:line="240" w:lineRule="auto"/>
              <w:ind w:firstLine="0" w:firstLineChars="0"/>
              <w:contextualSpacing/>
              <w:jc w:val="center"/>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响应时间</w:t>
            </w:r>
          </w:p>
        </w:tc>
      </w:tr>
      <w:tr w14:paraId="5CBF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pct"/>
            <w:noWrap w:val="0"/>
            <w:vAlign w:val="center"/>
          </w:tcPr>
          <w:p w14:paraId="577BED91">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w:t>
            </w:r>
          </w:p>
        </w:tc>
        <w:tc>
          <w:tcPr>
            <w:tcW w:w="512" w:type="pct"/>
            <w:noWrap w:val="0"/>
            <w:vAlign w:val="center"/>
          </w:tcPr>
          <w:p w14:paraId="0B6F7169">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专职项目经理</w:t>
            </w:r>
          </w:p>
        </w:tc>
        <w:tc>
          <w:tcPr>
            <w:tcW w:w="2919" w:type="pct"/>
            <w:noWrap w:val="0"/>
            <w:vAlign w:val="center"/>
          </w:tcPr>
          <w:p w14:paraId="6D9C01E0">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负责运维服务组织管理、整体监控、服务策略制定、优化及执行管控工作，以及机房运营商、运维服务商、厂商、应用的总体协调和管理，负责对云服务商运维管理团队的整体管理，负责对技术和商务问题的总体协调与管理，对整个运维结果负责。</w:t>
            </w:r>
          </w:p>
          <w:p w14:paraId="340B7A1A">
            <w:pPr>
              <w:pStyle w:val="5"/>
              <w:contextualSpacing/>
              <w:rPr>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kern w:val="2"/>
                <w:sz w:val="21"/>
                <w:szCs w:val="21"/>
                <w:highlight w:val="none"/>
                <w:lang w:val="en-US" w:eastAsia="zh-CN" w:bidi="ar-SA"/>
              </w:rPr>
              <w:t>2.负责服务器、存储、网络、云计算、数据库、安全等技术领域资源运行和效率提升。</w:t>
            </w:r>
          </w:p>
        </w:tc>
        <w:tc>
          <w:tcPr>
            <w:tcW w:w="490" w:type="pct"/>
            <w:noWrap w:val="0"/>
            <w:vAlign w:val="center"/>
          </w:tcPr>
          <w:p w14:paraId="4AD3B29F">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w:t>
            </w:r>
          </w:p>
        </w:tc>
        <w:tc>
          <w:tcPr>
            <w:tcW w:w="655" w:type="pct"/>
            <w:noWrap w:val="0"/>
            <w:vAlign w:val="center"/>
          </w:tcPr>
          <w:p w14:paraId="3191D314">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7*24小时</w:t>
            </w:r>
          </w:p>
        </w:tc>
      </w:tr>
      <w:tr w14:paraId="4FFF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pct"/>
            <w:noWrap w:val="0"/>
            <w:vAlign w:val="center"/>
          </w:tcPr>
          <w:p w14:paraId="3B54D393">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w:t>
            </w:r>
          </w:p>
        </w:tc>
        <w:tc>
          <w:tcPr>
            <w:tcW w:w="512" w:type="pct"/>
            <w:noWrap w:val="0"/>
            <w:vAlign w:val="center"/>
          </w:tcPr>
          <w:p w14:paraId="62194CA4">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云平台工程师</w:t>
            </w:r>
          </w:p>
        </w:tc>
        <w:tc>
          <w:tcPr>
            <w:tcW w:w="2919" w:type="pct"/>
            <w:noWrap w:val="0"/>
            <w:vAlign w:val="center"/>
          </w:tcPr>
          <w:p w14:paraId="6D3D0E61">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1.负责云平台资源管理和发放；</w:t>
            </w:r>
          </w:p>
          <w:p w14:paraId="7C6425F2">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2.负责云平台监控指标设置和优化；</w:t>
            </w:r>
          </w:p>
          <w:p w14:paraId="5F78C8D2">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3.定期对资源池运行状况进行评估，提出服务和技术优化建议；</w:t>
            </w:r>
          </w:p>
          <w:p w14:paraId="1FCA8CD8">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4.配合上云业务部署；</w:t>
            </w:r>
          </w:p>
          <w:p w14:paraId="0A1D98E4">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5.计划、实施云平台各系统变更和补丁升级；</w:t>
            </w:r>
          </w:p>
          <w:p w14:paraId="57CEA6F1">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6.处理来自服务台的资源咨询的工单，为用户提供云资源申请和使用的技术问题；</w:t>
            </w:r>
          </w:p>
          <w:p w14:paraId="033A8579">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7.处理来自服务台的用户问题报障工单，负责云计算平台用户上报事件/问题/故障处理；</w:t>
            </w:r>
          </w:p>
          <w:p w14:paraId="4331B695">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8.处理租户关于微服务和容器等云原生服务咨询等工作；</w:t>
            </w:r>
          </w:p>
          <w:p w14:paraId="06606801">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9.配合进行云计算平台应急演练；</w:t>
            </w:r>
          </w:p>
          <w:p w14:paraId="23598E56">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10.平台的日常运营监控、虚拟机故障处理。</w:t>
            </w:r>
          </w:p>
        </w:tc>
        <w:tc>
          <w:tcPr>
            <w:tcW w:w="490" w:type="pct"/>
            <w:noWrap w:val="0"/>
            <w:vAlign w:val="center"/>
          </w:tcPr>
          <w:p w14:paraId="189AE87E">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w:t>
            </w:r>
          </w:p>
        </w:tc>
        <w:tc>
          <w:tcPr>
            <w:tcW w:w="655" w:type="pct"/>
            <w:noWrap w:val="0"/>
            <w:vAlign w:val="center"/>
          </w:tcPr>
          <w:p w14:paraId="66DD4D8E">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7*24小时</w:t>
            </w:r>
          </w:p>
        </w:tc>
      </w:tr>
      <w:tr w14:paraId="2659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pct"/>
            <w:noWrap w:val="0"/>
            <w:vAlign w:val="center"/>
          </w:tcPr>
          <w:p w14:paraId="7FA5B3B0">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w:t>
            </w:r>
          </w:p>
        </w:tc>
        <w:tc>
          <w:tcPr>
            <w:tcW w:w="512" w:type="pct"/>
            <w:noWrap w:val="0"/>
            <w:vAlign w:val="center"/>
          </w:tcPr>
          <w:p w14:paraId="662F3339">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数通工程师</w:t>
            </w:r>
          </w:p>
        </w:tc>
        <w:tc>
          <w:tcPr>
            <w:tcW w:w="2919" w:type="pct"/>
            <w:noWrap w:val="0"/>
            <w:vAlign w:val="center"/>
          </w:tcPr>
          <w:p w14:paraId="4B18E52D">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处理网络设备故障，日常网络性能、网络风险分析，编制分析报告，提出网络优化建议并组织实施；网络资源规划、分析和需求管理、网络服务日常保障；业务和服务资料的管理。</w:t>
            </w:r>
          </w:p>
        </w:tc>
        <w:tc>
          <w:tcPr>
            <w:tcW w:w="490" w:type="pct"/>
            <w:noWrap w:val="0"/>
            <w:vAlign w:val="center"/>
          </w:tcPr>
          <w:p w14:paraId="073C3348">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w:t>
            </w:r>
          </w:p>
        </w:tc>
        <w:tc>
          <w:tcPr>
            <w:tcW w:w="655" w:type="pct"/>
            <w:noWrap w:val="0"/>
            <w:vAlign w:val="center"/>
          </w:tcPr>
          <w:p w14:paraId="32D86068">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7*24小时</w:t>
            </w:r>
          </w:p>
        </w:tc>
      </w:tr>
      <w:tr w14:paraId="3724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pct"/>
            <w:noWrap w:val="0"/>
            <w:vAlign w:val="center"/>
          </w:tcPr>
          <w:p w14:paraId="1150EF74">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4</w:t>
            </w:r>
          </w:p>
        </w:tc>
        <w:tc>
          <w:tcPr>
            <w:tcW w:w="512" w:type="pct"/>
            <w:noWrap w:val="0"/>
            <w:vAlign w:val="center"/>
          </w:tcPr>
          <w:p w14:paraId="38CAB5D6">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安全工程师</w:t>
            </w:r>
          </w:p>
        </w:tc>
        <w:tc>
          <w:tcPr>
            <w:tcW w:w="2919" w:type="pct"/>
            <w:noWrap w:val="0"/>
            <w:vAlign w:val="center"/>
          </w:tcPr>
          <w:p w14:paraId="07A54959">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提供云平台环境管理、资产管理、介质管理、设备维护管理、漏洞和风险管理、网络和系统安全管理、恶意代码防范管理、配置管理、密码管理、变更管理、备份与恢复管理、安全事件处置、应急预案管理等云平台安全运维管理工作。</w:t>
            </w:r>
          </w:p>
          <w:p w14:paraId="6AE0D3B4">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2、并定期进行常规的安全检查，检查系统日常运行、系统漏洞、数据备份以及安全技术的有效性和策略配置的一致性等，形成检查报告，并对检查情况进行通报。</w:t>
            </w:r>
          </w:p>
        </w:tc>
        <w:tc>
          <w:tcPr>
            <w:tcW w:w="490" w:type="pct"/>
            <w:noWrap w:val="0"/>
            <w:vAlign w:val="center"/>
          </w:tcPr>
          <w:p w14:paraId="745CC890">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w:t>
            </w:r>
          </w:p>
        </w:tc>
        <w:tc>
          <w:tcPr>
            <w:tcW w:w="655" w:type="pct"/>
            <w:noWrap w:val="0"/>
            <w:vAlign w:val="center"/>
          </w:tcPr>
          <w:p w14:paraId="2C31BF07">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7*24小时</w:t>
            </w:r>
          </w:p>
        </w:tc>
      </w:tr>
      <w:tr w14:paraId="4067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pct"/>
            <w:noWrap w:val="0"/>
            <w:vAlign w:val="center"/>
          </w:tcPr>
          <w:p w14:paraId="42234C9F">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5</w:t>
            </w:r>
          </w:p>
        </w:tc>
        <w:tc>
          <w:tcPr>
            <w:tcW w:w="512" w:type="pct"/>
            <w:noWrap w:val="0"/>
            <w:vAlign w:val="center"/>
          </w:tcPr>
          <w:p w14:paraId="6ADBF3AD">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IT设备运维工程师</w:t>
            </w:r>
          </w:p>
        </w:tc>
        <w:tc>
          <w:tcPr>
            <w:tcW w:w="2919" w:type="pct"/>
            <w:noWrap w:val="0"/>
            <w:vAlign w:val="center"/>
          </w:tcPr>
          <w:p w14:paraId="5DD815F8">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负责云计算平台IT设备管理：</w:t>
            </w:r>
          </w:p>
          <w:p w14:paraId="42DEDAEB">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1.负责服务器、存储、网络环境的管理、排错、维护；</w:t>
            </w:r>
          </w:p>
          <w:p w14:paraId="6FCF4851">
            <w:pPr>
              <w:pStyle w:val="5"/>
              <w:adjustRightInd/>
              <w:snapToGrid/>
              <w:spacing w:line="240" w:lineRule="auto"/>
              <w:ind w:firstLine="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2．负责服务器、存储、网络设备的配置、管理，同时定期更新和提供设备的维护方案</w:t>
            </w:r>
          </w:p>
          <w:p w14:paraId="79327A1C">
            <w:pPr>
              <w:pStyle w:val="6"/>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3、负责机房7*24小时轮值工作。</w:t>
            </w:r>
          </w:p>
          <w:p w14:paraId="2953604D">
            <w:pPr>
              <w:pStyle w:val="5"/>
              <w:rPr>
                <w:rFonts w:hint="eastAsia" w:ascii="宋体" w:hAnsi="宋体" w:eastAsia="宋体" w:cs="宋体"/>
                <w:color w:val="auto"/>
                <w:sz w:val="21"/>
                <w:szCs w:val="21"/>
                <w:highlight w:val="none"/>
                <w:lang w:val="en-US" w:eastAsia="zh-CN"/>
              </w:rPr>
            </w:pPr>
            <w:r>
              <w:rPr>
                <w:rStyle w:val="14"/>
                <w:rFonts w:hint="eastAsia" w:ascii="宋体" w:hAnsi="宋体" w:eastAsia="宋体" w:cs="宋体"/>
                <w:color w:val="auto"/>
                <w:kern w:val="2"/>
                <w:sz w:val="21"/>
                <w:szCs w:val="21"/>
                <w:highlight w:val="none"/>
                <w:lang w:val="en-US" w:eastAsia="zh-CN" w:bidi="ar-SA"/>
              </w:rPr>
              <w:t>4、平台运行监控，服务接口（查询、咨询、故障、投诉受理）和一站服务受理及工单处理。</w:t>
            </w:r>
          </w:p>
        </w:tc>
        <w:tc>
          <w:tcPr>
            <w:tcW w:w="490" w:type="pct"/>
            <w:noWrap w:val="0"/>
            <w:vAlign w:val="center"/>
          </w:tcPr>
          <w:p w14:paraId="4D3573EF">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w:t>
            </w:r>
          </w:p>
        </w:tc>
        <w:tc>
          <w:tcPr>
            <w:tcW w:w="655" w:type="pct"/>
            <w:noWrap w:val="0"/>
            <w:vAlign w:val="center"/>
          </w:tcPr>
          <w:p w14:paraId="7268B270">
            <w:pPr>
              <w:pStyle w:val="5"/>
              <w:adjustRightInd/>
              <w:snapToGrid/>
              <w:spacing w:line="240" w:lineRule="auto"/>
              <w:ind w:firstLine="0" w:firstLineChars="0"/>
              <w:contextualSpacing/>
              <w:jc w:val="center"/>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7*24小时</w:t>
            </w:r>
          </w:p>
        </w:tc>
      </w:tr>
    </w:tbl>
    <w:p w14:paraId="7DAAD819">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在后续运维过程中，云服务商需根据实际情况进行动态增补，保障平台正常稳定运行。</w:t>
      </w:r>
    </w:p>
    <w:p w14:paraId="6055A5D5">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456" w:name="_Toc8230"/>
      <w:bookmarkStart w:id="457" w:name="_Toc17095"/>
      <w:bookmarkStart w:id="458" w:name="_Toc26530"/>
      <w:bookmarkStart w:id="459" w:name="_Toc30436"/>
      <w:bookmarkStart w:id="460" w:name="_Toc256000123"/>
      <w:bookmarkStart w:id="461" w:name="_Toc8248"/>
      <w:r>
        <w:rPr>
          <w:rStyle w:val="14"/>
          <w:rFonts w:hint="eastAsia" w:ascii="宋体" w:hAnsi="宋体" w:eastAsia="宋体" w:cs="宋体"/>
          <w:bCs/>
          <w:color w:val="auto"/>
          <w:kern w:val="2"/>
          <w:sz w:val="21"/>
          <w:szCs w:val="21"/>
          <w:highlight w:val="none"/>
          <w:lang w:val="en-US" w:eastAsia="zh-CN" w:bidi="ar-SA"/>
        </w:rPr>
        <w:t>服务交付要求</w:t>
      </w:r>
      <w:bookmarkEnd w:id="456"/>
      <w:bookmarkEnd w:id="457"/>
      <w:bookmarkEnd w:id="458"/>
      <w:bookmarkEnd w:id="459"/>
      <w:bookmarkEnd w:id="460"/>
      <w:bookmarkEnd w:id="461"/>
    </w:p>
    <w:p w14:paraId="1E76819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 云服务商须遵照国家、省、市政务云相关标准规范、管理办法和管理要求，结合自身的项目管理制度和经验，根据实际的业务需求情况，建立完善的云服务运行管理机制以及问题和风险处理机制，采购单位有权对整个项目实施过程进行监督检查，云服务商必须给予积极支持和配合，不得以任何理由回避采购单位或监管单位的监督检查。</w:t>
      </w:r>
    </w:p>
    <w:p w14:paraId="208EDAA4">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制定详细的服务方法和流程，并明确项目各阶段交付物。投标时需提供以下主要文档模板包括但不限于：《云平台建设部署实施方案》、《云平台服务方案》、《云平台资产清单》、《云平台软件组件物料清单》、《云平台软件供应链安全评估报告》、《云平台漏洞扫描报告》、《云平台渗透测试报告》、《云平台安全基线检查报告》、《服务人员清单及能力说明》、《运维管理制度》、《运维服务周报》、《云平台运行分析月报》、《年度服务总结报告》、《故障分析报告》、 《应急预案》、《应急演练报告》等。</w:t>
      </w:r>
    </w:p>
    <w:p w14:paraId="12761940">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462" w:name="_Toc17739"/>
      <w:bookmarkStart w:id="463" w:name="_Toc8641"/>
      <w:bookmarkStart w:id="464" w:name="_Toc256000124"/>
      <w:bookmarkStart w:id="465" w:name="_Toc14237"/>
      <w:bookmarkStart w:id="466" w:name="_Toc11865"/>
      <w:bookmarkStart w:id="467" w:name="_Toc119"/>
      <w:r>
        <w:rPr>
          <w:rStyle w:val="14"/>
          <w:rFonts w:hint="eastAsia" w:ascii="宋体" w:hAnsi="宋体" w:eastAsia="宋体" w:cs="宋体"/>
          <w:bCs/>
          <w:color w:val="auto"/>
          <w:kern w:val="2"/>
          <w:sz w:val="21"/>
          <w:szCs w:val="21"/>
          <w:highlight w:val="none"/>
          <w:lang w:val="en-US" w:eastAsia="zh-CN" w:bidi="ar-SA"/>
        </w:rPr>
        <w:t>重要活动保障服务要求</w:t>
      </w:r>
      <w:bookmarkEnd w:id="462"/>
      <w:bookmarkEnd w:id="463"/>
      <w:bookmarkEnd w:id="464"/>
      <w:bookmarkEnd w:id="465"/>
      <w:bookmarkEnd w:id="466"/>
      <w:bookmarkEnd w:id="467"/>
    </w:p>
    <w:p w14:paraId="27FD1A87">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cs="宋体"/>
          <w:color w:val="auto"/>
          <w:kern w:val="2"/>
          <w:sz w:val="21"/>
          <w:szCs w:val="21"/>
          <w:highlight w:val="none"/>
          <w:lang w:val="en-US" w:eastAsia="zh-CN" w:bidi="ar-SA"/>
        </w:rPr>
        <w:t>云</w:t>
      </w:r>
      <w:r>
        <w:rPr>
          <w:rStyle w:val="14"/>
          <w:rFonts w:hint="eastAsia" w:ascii="宋体" w:hAnsi="宋体" w:eastAsia="宋体" w:cs="宋体"/>
          <w:color w:val="auto"/>
          <w:kern w:val="2"/>
          <w:sz w:val="21"/>
          <w:szCs w:val="21"/>
          <w:highlight w:val="none"/>
          <w:lang w:val="en-US" w:eastAsia="zh-CN" w:bidi="ar-SA"/>
        </w:rPr>
        <w:t>服务商应根据各项重要活动保障工作安排做好保障服务，包括但不限于两会保障，国家重大会议保障，国家领导人及各省、自治区、直辖市领导对株洲市政务云现场指导、参观、考察、调研活动的保障，重大政治事件保障，重要节假日保障、网络安全攻防演练专项保障等任务。重保工作期间，服务商应按照采购单位要求，增加维护管理人员、增加巡检次数、加强监测预警等，提升响应速度和服务等级，缩短故障到场及处置时间，以满足特殊阶段保障的需求；同时加强后台支持力量，增加具备相关资质的维护人员，配合采购单位完成保障任务。</w:t>
      </w:r>
    </w:p>
    <w:p w14:paraId="7B598606">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468" w:name="_Toc10500"/>
      <w:bookmarkStart w:id="469" w:name="_Toc256000125"/>
      <w:bookmarkStart w:id="470" w:name="_Toc7412"/>
      <w:bookmarkStart w:id="471" w:name="_Toc4683"/>
      <w:bookmarkStart w:id="472" w:name="_Toc32325"/>
      <w:bookmarkStart w:id="473" w:name="_Toc2349"/>
      <w:r>
        <w:rPr>
          <w:rStyle w:val="14"/>
          <w:rFonts w:hint="eastAsia" w:ascii="宋体" w:hAnsi="宋体" w:eastAsia="宋体" w:cs="宋体"/>
          <w:bCs/>
          <w:color w:val="auto"/>
          <w:kern w:val="2"/>
          <w:sz w:val="21"/>
          <w:szCs w:val="21"/>
          <w:highlight w:val="none"/>
          <w:lang w:val="en-US" w:eastAsia="zh-CN" w:bidi="ar-SA"/>
        </w:rPr>
        <w:t>运行安全保障要求</w:t>
      </w:r>
      <w:bookmarkEnd w:id="468"/>
      <w:bookmarkEnd w:id="469"/>
      <w:bookmarkEnd w:id="470"/>
      <w:bookmarkEnd w:id="471"/>
      <w:bookmarkEnd w:id="472"/>
      <w:bookmarkEnd w:id="473"/>
    </w:p>
    <w:p w14:paraId="6A32118C">
      <w:pPr>
        <w:pStyle w:val="5"/>
        <w:numPr>
          <w:ilvl w:val="0"/>
          <w:numId w:val="78"/>
        </w:numPr>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为规范云服务运行和活动保障管理工作，提升运行管理水平和用户服务满意度，确保系统安全稳定运行，实现活动保障常态化开展，根据信息技术服务运行维护标准及网络安全等级保护制度，结合实际情况，制定运行安全保障方案。方案包括但不限于如下内容。</w:t>
      </w:r>
    </w:p>
    <w:p w14:paraId="0972AA08">
      <w:pPr>
        <w:pStyle w:val="5"/>
        <w:numPr>
          <w:ilvl w:val="0"/>
          <w:numId w:val="79"/>
        </w:numPr>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中标方应建立完善的内部安全管理制度，覆盖组织机构、职责分工、运行维护、人员管理、供应链管理等方面。</w:t>
      </w:r>
    </w:p>
    <w:p w14:paraId="7A9D527B">
      <w:pPr>
        <w:pStyle w:val="5"/>
        <w:numPr>
          <w:ilvl w:val="0"/>
          <w:numId w:val="79"/>
        </w:numPr>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中标方应建立完善的云平台安全策略体系，覆盖安全互联、审计、身份管理、入侵防范、数据安全保护、运维、风险处置等方面。</w:t>
      </w:r>
    </w:p>
    <w:p w14:paraId="1751D7BA">
      <w:pPr>
        <w:pStyle w:val="5"/>
        <w:numPr>
          <w:ilvl w:val="0"/>
          <w:numId w:val="79"/>
        </w:numPr>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中标方应明确内设安全管理机构、安全管理责任人和联络人，建立内部安全管理考核问责机制。</w:t>
      </w:r>
    </w:p>
    <w:p w14:paraId="6AFCD12D">
      <w:pPr>
        <w:pStyle w:val="5"/>
        <w:numPr>
          <w:ilvl w:val="0"/>
          <w:numId w:val="79"/>
        </w:numPr>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中标方应按照采购方有关制度和工作要求，负责做好云平台有关网络安全、数据安全监测预警、应急处置等工作，建立高效协同的云平台安全运营工作机制。</w:t>
      </w:r>
    </w:p>
    <w:p w14:paraId="3C77EB15">
      <w:pPr>
        <w:pStyle w:val="5"/>
        <w:numPr>
          <w:ilvl w:val="0"/>
          <w:numId w:val="78"/>
        </w:numPr>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保密要求</w:t>
      </w:r>
    </w:p>
    <w:p w14:paraId="12BC58ED">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为确保业务应用和信息的安全保密，要求云服务商与采购人签署保密协议，云服务商与派驻运维人员签署保密协议。</w:t>
      </w:r>
    </w:p>
    <w:p w14:paraId="38FF646F">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474" w:name="_Toc256000126"/>
      <w:bookmarkStart w:id="475" w:name="_Toc13212"/>
      <w:bookmarkStart w:id="476" w:name="_Toc1149"/>
      <w:bookmarkStart w:id="477" w:name="_Toc26681"/>
      <w:bookmarkStart w:id="478" w:name="_Toc24805"/>
      <w:bookmarkStart w:id="479" w:name="_Toc6428"/>
      <w:r>
        <w:rPr>
          <w:rStyle w:val="14"/>
          <w:rFonts w:hint="eastAsia" w:ascii="宋体" w:hAnsi="宋体" w:eastAsia="宋体" w:cs="宋体"/>
          <w:bCs/>
          <w:color w:val="auto"/>
          <w:kern w:val="2"/>
          <w:sz w:val="21"/>
          <w:szCs w:val="21"/>
          <w:highlight w:val="none"/>
          <w:lang w:val="en-US" w:eastAsia="zh-CN" w:bidi="ar-SA"/>
        </w:rPr>
        <w:t>培训服务要求</w:t>
      </w:r>
      <w:bookmarkEnd w:id="474"/>
      <w:bookmarkEnd w:id="475"/>
      <w:bookmarkEnd w:id="476"/>
      <w:bookmarkEnd w:id="477"/>
      <w:bookmarkEnd w:id="478"/>
      <w:bookmarkEnd w:id="479"/>
    </w:p>
    <w:p w14:paraId="502079B4">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每年提供不少于1次的培训，要求形式丰富、可线上线下结合，培训对象为云使用单位和采购方，培训内容包含但不限于以下内容：</w:t>
      </w:r>
    </w:p>
    <w:p w14:paraId="6D895A99">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 云服务普及类：包括云服务的类型、云服务的架构、云存储、云安全等基础知识，最新的云计算技术和趋势，其他省份政务云服务的应用和实践等。</w:t>
      </w:r>
    </w:p>
    <w:p w14:paraId="5735AF2C">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 实操和技能提升类：结合云服务及平台功能，以及实际应用案例，提供政务云应用、部署分析、应急操作等讲解培训，帮助用户方的云平台管理人员、云租户技术人员提升应用和维护技能。</w:t>
      </w:r>
    </w:p>
    <w:p w14:paraId="0FCFD62F">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 政务云服务安全类：提供政务云相关的网络安全、数据安全、密码应用相关、隐私保护、合规性等方面的知识和技能培训，提升用户的安全意识和应对能力。</w:t>
      </w:r>
    </w:p>
    <w:p w14:paraId="6E979903">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480" w:name="_Toc16398"/>
      <w:bookmarkStart w:id="481" w:name="_Toc25045"/>
      <w:bookmarkStart w:id="482" w:name="_Toc31442"/>
      <w:bookmarkStart w:id="483" w:name="_Toc9437"/>
      <w:bookmarkStart w:id="484" w:name="_Toc16129"/>
      <w:bookmarkStart w:id="485" w:name="_Toc256000127"/>
      <w:r>
        <w:rPr>
          <w:rStyle w:val="14"/>
          <w:rFonts w:hint="eastAsia" w:ascii="宋体" w:hAnsi="宋体" w:eastAsia="宋体" w:cs="宋体"/>
          <w:bCs/>
          <w:color w:val="auto"/>
          <w:kern w:val="2"/>
          <w:sz w:val="21"/>
          <w:szCs w:val="21"/>
          <w:highlight w:val="none"/>
          <w:lang w:val="en-US" w:eastAsia="zh-CN" w:bidi="ar-SA"/>
        </w:rPr>
        <w:t>运维服务等级要求</w:t>
      </w:r>
      <w:bookmarkEnd w:id="480"/>
      <w:bookmarkEnd w:id="481"/>
      <w:bookmarkEnd w:id="482"/>
      <w:bookmarkEnd w:id="483"/>
      <w:bookmarkEnd w:id="484"/>
      <w:bookmarkEnd w:id="485"/>
    </w:p>
    <w:p w14:paraId="07561C11">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为了保证云服务商提供的服务具备可靠性、稳定性，降低云平台对电子政务业务系统的影响和风险，必须符合运维服务等级要求与事故处理办法，响应时间主要以工单为依据。</w:t>
      </w:r>
    </w:p>
    <w:p w14:paraId="5D09AF6A">
      <w:pPr>
        <w:pStyle w:val="6"/>
        <w:rPr>
          <w:rStyle w:val="14"/>
          <w:rFonts w:hint="eastAsia" w:ascii="宋体" w:hAnsi="宋体" w:eastAsia="宋体" w:cs="宋体"/>
          <w:color w:val="auto"/>
          <w:sz w:val="21"/>
          <w:szCs w:val="21"/>
          <w:highlight w:val="none"/>
        </w:rPr>
      </w:pPr>
    </w:p>
    <w:p w14:paraId="01D1A4AE">
      <w:pPr>
        <w:pStyle w:val="4"/>
        <w:keepNext/>
        <w:spacing w:line="360" w:lineRule="auto"/>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 xml:space="preserve">表 </w:t>
      </w:r>
      <w:r>
        <w:rPr>
          <w:rStyle w:val="14"/>
          <w:rFonts w:hint="eastAsia" w:ascii="宋体" w:hAnsi="宋体" w:eastAsia="宋体" w:cs="宋体"/>
          <w:color w:val="auto"/>
          <w:sz w:val="21"/>
          <w:szCs w:val="21"/>
          <w:highlight w:val="none"/>
        </w:rPr>
        <w:fldChar w:fldCharType="begin"/>
      </w:r>
      <w:r>
        <w:rPr>
          <w:rStyle w:val="14"/>
          <w:rFonts w:hint="eastAsia" w:ascii="宋体" w:hAnsi="宋体" w:eastAsia="宋体" w:cs="宋体"/>
          <w:color w:val="auto"/>
          <w:sz w:val="21"/>
          <w:szCs w:val="21"/>
          <w:highlight w:val="none"/>
        </w:rPr>
        <w:instrText xml:space="preserve"> STYLEREF 2 \s </w:instrText>
      </w:r>
      <w:r>
        <w:rPr>
          <w:rStyle w:val="14"/>
          <w:rFonts w:hint="eastAsia" w:ascii="宋体" w:hAnsi="宋体" w:eastAsia="宋体" w:cs="宋体"/>
          <w:color w:val="auto"/>
          <w:sz w:val="21"/>
          <w:szCs w:val="21"/>
          <w:highlight w:val="none"/>
        </w:rPr>
        <w:fldChar w:fldCharType="separate"/>
      </w:r>
      <w:r>
        <w:rPr>
          <w:rStyle w:val="14"/>
          <w:rFonts w:hint="eastAsia" w:ascii="宋体" w:hAnsi="宋体" w:eastAsia="宋体" w:cs="宋体"/>
          <w:color w:val="auto"/>
          <w:sz w:val="21"/>
          <w:szCs w:val="21"/>
          <w:highlight w:val="none"/>
        </w:rPr>
        <w:fldChar w:fldCharType="end"/>
      </w:r>
      <w:r>
        <w:rPr>
          <w:rStyle w:val="14"/>
          <w:rFonts w:hint="eastAsia" w:ascii="宋体" w:hAnsi="宋体" w:eastAsia="宋体" w:cs="宋体"/>
          <w:color w:val="auto"/>
          <w:sz w:val="21"/>
          <w:szCs w:val="21"/>
          <w:highlight w:val="none"/>
        </w:rPr>
        <w:noBreakHyphen/>
      </w:r>
      <w:r>
        <w:rPr>
          <w:rStyle w:val="14"/>
          <w:rFonts w:hint="eastAsia" w:ascii="宋体" w:hAnsi="宋体" w:eastAsia="宋体" w:cs="宋体"/>
          <w:color w:val="auto"/>
          <w:sz w:val="21"/>
          <w:szCs w:val="21"/>
          <w:highlight w:val="none"/>
        </w:rPr>
        <w:fldChar w:fldCharType="begin"/>
      </w:r>
      <w:r>
        <w:rPr>
          <w:rStyle w:val="14"/>
          <w:rFonts w:hint="eastAsia" w:ascii="宋体" w:hAnsi="宋体" w:eastAsia="宋体" w:cs="宋体"/>
          <w:color w:val="auto"/>
          <w:sz w:val="21"/>
          <w:szCs w:val="21"/>
          <w:highlight w:val="none"/>
        </w:rPr>
        <w:instrText xml:space="preserve"> SEQ 表格 \* ARABIC \s 2 </w:instrText>
      </w:r>
      <w:r>
        <w:rPr>
          <w:rStyle w:val="14"/>
          <w:rFonts w:hint="eastAsia" w:ascii="宋体" w:hAnsi="宋体" w:eastAsia="宋体" w:cs="宋体"/>
          <w:color w:val="auto"/>
          <w:sz w:val="21"/>
          <w:szCs w:val="21"/>
          <w:highlight w:val="none"/>
        </w:rPr>
        <w:fldChar w:fldCharType="separate"/>
      </w:r>
      <w:r>
        <w:rPr>
          <w:rStyle w:val="14"/>
          <w:rFonts w:hint="eastAsia" w:ascii="宋体" w:hAnsi="宋体" w:eastAsia="宋体" w:cs="宋体"/>
          <w:color w:val="auto"/>
          <w:sz w:val="21"/>
          <w:szCs w:val="21"/>
          <w:highlight w:val="none"/>
        </w:rPr>
        <w:t>2</w:t>
      </w:r>
      <w:r>
        <w:rPr>
          <w:rStyle w:val="14"/>
          <w:rFonts w:hint="eastAsia" w:ascii="宋体" w:hAnsi="宋体" w:eastAsia="宋体" w:cs="宋体"/>
          <w:color w:val="auto"/>
          <w:sz w:val="21"/>
          <w:szCs w:val="21"/>
          <w:highlight w:val="none"/>
        </w:rPr>
        <w:fldChar w:fldCharType="end"/>
      </w:r>
      <w:r>
        <w:rPr>
          <w:rStyle w:val="14"/>
          <w:rFonts w:hint="eastAsia" w:ascii="宋体" w:hAnsi="宋体" w:eastAsia="宋体" w:cs="宋体"/>
          <w:color w:val="auto"/>
          <w:sz w:val="21"/>
          <w:szCs w:val="21"/>
          <w:highlight w:val="none"/>
        </w:rPr>
        <w:t>运维服务等级要求</w:t>
      </w:r>
    </w:p>
    <w:tbl>
      <w:tblPr>
        <w:tblStyle w:val="13"/>
        <w:tblW w:w="85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4"/>
        <w:gridCol w:w="2940"/>
        <w:gridCol w:w="3388"/>
      </w:tblGrid>
      <w:tr w14:paraId="049D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restart"/>
            <w:tcBorders>
              <w:top w:val="single" w:color="auto" w:sz="4" w:space="0"/>
              <w:left w:val="single" w:color="auto" w:sz="4" w:space="0"/>
              <w:bottom w:val="single" w:color="auto" w:sz="4" w:space="0"/>
              <w:right w:val="single" w:color="auto" w:sz="4" w:space="0"/>
            </w:tcBorders>
            <w:shd w:val="clear" w:color="auto" w:fill="E5DFEC"/>
            <w:noWrap w:val="0"/>
            <w:vAlign w:val="center"/>
          </w:tcPr>
          <w:p w14:paraId="1AF75296">
            <w:pPr>
              <w:pStyle w:val="5"/>
              <w:widowControl/>
              <w:jc w:val="center"/>
              <w:rPr>
                <w:rStyle w:val="14"/>
                <w:rFonts w:hint="eastAsia" w:ascii="宋体" w:hAnsi="宋体" w:eastAsia="宋体" w:cs="宋体"/>
                <w:b/>
                <w:color w:val="auto"/>
                <w:sz w:val="21"/>
                <w:szCs w:val="21"/>
                <w:highlight w:val="none"/>
              </w:rPr>
            </w:pPr>
            <w:r>
              <w:rPr>
                <w:rStyle w:val="14"/>
                <w:rFonts w:hint="eastAsia" w:ascii="宋体" w:hAnsi="宋体" w:eastAsia="宋体" w:cs="宋体"/>
                <w:b/>
                <w:color w:val="auto"/>
                <w:sz w:val="21"/>
                <w:szCs w:val="21"/>
                <w:highlight w:val="none"/>
              </w:rPr>
              <w:t>服务项目</w:t>
            </w:r>
          </w:p>
        </w:tc>
        <w:tc>
          <w:tcPr>
            <w:tcW w:w="2940" w:type="dxa"/>
            <w:vMerge w:val="restart"/>
            <w:tcBorders>
              <w:top w:val="single" w:color="auto" w:sz="4" w:space="0"/>
              <w:left w:val="single" w:color="auto" w:sz="4" w:space="0"/>
              <w:bottom w:val="single" w:color="auto" w:sz="4" w:space="0"/>
              <w:right w:val="single" w:color="auto" w:sz="4" w:space="0"/>
            </w:tcBorders>
            <w:shd w:val="clear" w:color="auto" w:fill="E5DFEC"/>
            <w:noWrap w:val="0"/>
            <w:vAlign w:val="center"/>
          </w:tcPr>
          <w:p w14:paraId="0B38328C">
            <w:pPr>
              <w:pStyle w:val="5"/>
              <w:widowControl/>
              <w:jc w:val="center"/>
              <w:rPr>
                <w:rStyle w:val="14"/>
                <w:rFonts w:hint="eastAsia" w:ascii="宋体" w:hAnsi="宋体" w:eastAsia="宋体" w:cs="宋体"/>
                <w:b/>
                <w:color w:val="auto"/>
                <w:sz w:val="21"/>
                <w:szCs w:val="21"/>
                <w:highlight w:val="none"/>
              </w:rPr>
            </w:pPr>
            <w:r>
              <w:rPr>
                <w:rStyle w:val="14"/>
                <w:rFonts w:hint="eastAsia" w:ascii="宋体" w:hAnsi="宋体" w:eastAsia="宋体" w:cs="宋体"/>
                <w:b/>
                <w:color w:val="auto"/>
                <w:sz w:val="21"/>
                <w:szCs w:val="21"/>
                <w:highlight w:val="none"/>
              </w:rPr>
              <w:t>服务内容</w:t>
            </w:r>
          </w:p>
        </w:tc>
        <w:tc>
          <w:tcPr>
            <w:tcW w:w="3388" w:type="dxa"/>
            <w:tcBorders>
              <w:top w:val="single" w:color="auto" w:sz="4" w:space="0"/>
              <w:left w:val="single" w:color="auto" w:sz="4" w:space="0"/>
              <w:bottom w:val="single" w:color="auto" w:sz="4" w:space="0"/>
              <w:right w:val="single" w:color="auto" w:sz="4" w:space="0"/>
            </w:tcBorders>
            <w:shd w:val="clear" w:color="auto" w:fill="E5DFEC"/>
            <w:noWrap w:val="0"/>
            <w:vAlign w:val="top"/>
          </w:tcPr>
          <w:p w14:paraId="06F75EBC">
            <w:pPr>
              <w:pStyle w:val="5"/>
              <w:widowControl/>
              <w:jc w:val="center"/>
              <w:rPr>
                <w:rStyle w:val="14"/>
                <w:rFonts w:hint="eastAsia" w:ascii="宋体" w:hAnsi="宋体" w:eastAsia="宋体" w:cs="宋体"/>
                <w:b/>
                <w:color w:val="auto"/>
                <w:sz w:val="21"/>
                <w:szCs w:val="21"/>
                <w:highlight w:val="none"/>
              </w:rPr>
            </w:pPr>
            <w:r>
              <w:rPr>
                <w:rStyle w:val="14"/>
                <w:rFonts w:hint="eastAsia" w:ascii="宋体" w:hAnsi="宋体" w:eastAsia="宋体" w:cs="宋体"/>
                <w:b/>
                <w:color w:val="auto"/>
                <w:sz w:val="21"/>
                <w:szCs w:val="21"/>
                <w:highlight w:val="none"/>
              </w:rPr>
              <w:t>服务SLA</w:t>
            </w:r>
          </w:p>
        </w:tc>
      </w:tr>
      <w:tr w14:paraId="7EC2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F21E4F3">
            <w:pPr>
              <w:pStyle w:val="5"/>
              <w:widowControl/>
              <w:jc w:val="left"/>
              <w:rPr>
                <w:rStyle w:val="14"/>
                <w:rFonts w:hint="eastAsia" w:ascii="宋体" w:hAnsi="宋体" w:eastAsia="宋体" w:cs="宋体"/>
                <w:b/>
                <w:color w:val="auto"/>
                <w:sz w:val="21"/>
                <w:szCs w:val="21"/>
                <w:highlight w:val="none"/>
              </w:rPr>
            </w:pPr>
          </w:p>
        </w:tc>
        <w:tc>
          <w:tcPr>
            <w:tcW w:w="29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ADA1599">
            <w:pPr>
              <w:pStyle w:val="5"/>
              <w:widowControl/>
              <w:jc w:val="left"/>
              <w:rPr>
                <w:rStyle w:val="14"/>
                <w:rFonts w:hint="eastAsia" w:ascii="宋体" w:hAnsi="宋体" w:eastAsia="宋体" w:cs="宋体"/>
                <w:b/>
                <w:color w:val="auto"/>
                <w:sz w:val="21"/>
                <w:szCs w:val="21"/>
                <w:highlight w:val="none"/>
              </w:rPr>
            </w:pPr>
          </w:p>
        </w:tc>
        <w:tc>
          <w:tcPr>
            <w:tcW w:w="3388" w:type="dxa"/>
            <w:tcBorders>
              <w:top w:val="single" w:color="auto" w:sz="4" w:space="0"/>
              <w:left w:val="single" w:color="auto" w:sz="4" w:space="0"/>
              <w:bottom w:val="single" w:color="auto" w:sz="4" w:space="0"/>
              <w:right w:val="single" w:color="auto" w:sz="4" w:space="0"/>
            </w:tcBorders>
            <w:shd w:val="clear" w:color="auto" w:fill="E5DFEC"/>
            <w:noWrap w:val="0"/>
            <w:vAlign w:val="center"/>
          </w:tcPr>
          <w:p w14:paraId="3D974650">
            <w:pPr>
              <w:pStyle w:val="5"/>
              <w:widowControl/>
              <w:jc w:val="center"/>
              <w:rPr>
                <w:rStyle w:val="14"/>
                <w:rFonts w:hint="eastAsia" w:ascii="宋体" w:hAnsi="宋体" w:eastAsia="宋体" w:cs="宋体"/>
                <w:b/>
                <w:strike/>
                <w:color w:val="auto"/>
                <w:sz w:val="21"/>
                <w:szCs w:val="21"/>
                <w:highlight w:val="none"/>
              </w:rPr>
            </w:pPr>
            <w:r>
              <w:rPr>
                <w:rStyle w:val="14"/>
                <w:rFonts w:hint="eastAsia" w:ascii="宋体" w:hAnsi="宋体" w:eastAsia="宋体" w:cs="宋体"/>
                <w:b/>
                <w:color w:val="auto"/>
                <w:sz w:val="21"/>
                <w:szCs w:val="21"/>
                <w:highlight w:val="none"/>
              </w:rPr>
              <w:t>服务时间</w:t>
            </w:r>
          </w:p>
        </w:tc>
      </w:tr>
      <w:tr w14:paraId="280E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restart"/>
            <w:tcBorders>
              <w:top w:val="single" w:color="auto" w:sz="4" w:space="0"/>
              <w:left w:val="single" w:color="auto" w:sz="4" w:space="0"/>
              <w:right w:val="single" w:color="auto" w:sz="4" w:space="0"/>
            </w:tcBorders>
            <w:noWrap w:val="0"/>
            <w:vAlign w:val="center"/>
          </w:tcPr>
          <w:p w14:paraId="1841BE58">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技术支持服务</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5DF98F9E">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故障受理</w:t>
            </w:r>
          </w:p>
        </w:tc>
        <w:tc>
          <w:tcPr>
            <w:tcW w:w="3388" w:type="dxa"/>
            <w:tcBorders>
              <w:top w:val="single" w:color="auto" w:sz="4" w:space="0"/>
              <w:left w:val="single" w:color="auto" w:sz="4" w:space="0"/>
              <w:bottom w:val="single" w:color="auto" w:sz="4" w:space="0"/>
              <w:right w:val="single" w:color="auto" w:sz="4" w:space="0"/>
            </w:tcBorders>
            <w:noWrap w:val="0"/>
            <w:vAlign w:val="center"/>
          </w:tcPr>
          <w:p w14:paraId="40403577">
            <w:pPr>
              <w:pStyle w:val="5"/>
              <w:jc w:val="center"/>
              <w:rPr>
                <w:rStyle w:val="14"/>
                <w:rFonts w:hint="eastAsia" w:ascii="宋体" w:hAnsi="宋体" w:eastAsia="宋体" w:cs="宋体"/>
                <w:strike/>
                <w:color w:val="auto"/>
                <w:sz w:val="21"/>
                <w:szCs w:val="21"/>
                <w:highlight w:val="none"/>
              </w:rPr>
            </w:pPr>
            <w:r>
              <w:rPr>
                <w:rStyle w:val="14"/>
                <w:rFonts w:hint="eastAsia" w:ascii="宋体" w:hAnsi="宋体" w:eastAsia="宋体" w:cs="宋体"/>
                <w:color w:val="auto"/>
                <w:sz w:val="21"/>
                <w:szCs w:val="21"/>
                <w:highlight w:val="none"/>
              </w:rPr>
              <w:t>7*24</w:t>
            </w:r>
          </w:p>
        </w:tc>
      </w:tr>
      <w:tr w14:paraId="27D1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blHeader/>
          <w:jc w:val="center"/>
        </w:trPr>
        <w:tc>
          <w:tcPr>
            <w:tcW w:w="2174" w:type="dxa"/>
            <w:vMerge w:val="continue"/>
            <w:tcBorders>
              <w:left w:val="single" w:color="auto" w:sz="4" w:space="0"/>
              <w:right w:val="single" w:color="auto" w:sz="4" w:space="0"/>
            </w:tcBorders>
            <w:noWrap w:val="0"/>
            <w:vAlign w:val="center"/>
          </w:tcPr>
          <w:p w14:paraId="179C2DD2">
            <w:pPr>
              <w:pStyle w:val="5"/>
              <w:widowControl/>
              <w:jc w:val="left"/>
              <w:rPr>
                <w:rStyle w:val="14"/>
                <w:rFonts w:hint="eastAsia" w:ascii="宋体" w:hAnsi="宋体" w:eastAsia="宋体" w:cs="宋体"/>
                <w:color w:val="auto"/>
                <w:sz w:val="21"/>
                <w:szCs w:val="21"/>
                <w:highlight w:val="none"/>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53479B4D">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技术咨询受理</w:t>
            </w:r>
          </w:p>
        </w:tc>
        <w:tc>
          <w:tcPr>
            <w:tcW w:w="3388" w:type="dxa"/>
            <w:tcBorders>
              <w:top w:val="single" w:color="auto" w:sz="4" w:space="0"/>
              <w:left w:val="single" w:color="auto" w:sz="4" w:space="0"/>
              <w:right w:val="single" w:color="auto" w:sz="4" w:space="0"/>
            </w:tcBorders>
            <w:noWrap w:val="0"/>
            <w:vAlign w:val="center"/>
          </w:tcPr>
          <w:p w14:paraId="4EED320F">
            <w:pPr>
              <w:pStyle w:val="5"/>
              <w:jc w:val="center"/>
              <w:rPr>
                <w:rStyle w:val="14"/>
                <w:rFonts w:hint="eastAsia" w:ascii="宋体" w:hAnsi="宋体" w:eastAsia="宋体" w:cs="宋体"/>
                <w:strike/>
                <w:color w:val="auto"/>
                <w:sz w:val="21"/>
                <w:szCs w:val="21"/>
                <w:highlight w:val="none"/>
              </w:rPr>
            </w:pPr>
            <w:r>
              <w:rPr>
                <w:rStyle w:val="14"/>
                <w:rFonts w:hint="eastAsia" w:ascii="宋体" w:hAnsi="宋体" w:eastAsia="宋体" w:cs="宋体"/>
                <w:color w:val="auto"/>
                <w:sz w:val="21"/>
                <w:szCs w:val="21"/>
                <w:highlight w:val="none"/>
              </w:rPr>
              <w:t>7*24</w:t>
            </w:r>
          </w:p>
        </w:tc>
      </w:tr>
      <w:tr w14:paraId="5E15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blHeader/>
          <w:jc w:val="center"/>
        </w:trPr>
        <w:tc>
          <w:tcPr>
            <w:tcW w:w="2174" w:type="dxa"/>
            <w:vMerge w:val="continue"/>
            <w:tcBorders>
              <w:left w:val="single" w:color="auto" w:sz="4" w:space="0"/>
              <w:bottom w:val="single" w:color="auto" w:sz="4" w:space="0"/>
              <w:right w:val="single" w:color="auto" w:sz="4" w:space="0"/>
            </w:tcBorders>
            <w:noWrap w:val="0"/>
            <w:vAlign w:val="center"/>
          </w:tcPr>
          <w:p w14:paraId="5BBC8903">
            <w:pPr>
              <w:pStyle w:val="5"/>
              <w:widowControl/>
              <w:jc w:val="left"/>
              <w:rPr>
                <w:rStyle w:val="14"/>
                <w:rFonts w:hint="eastAsia" w:ascii="宋体" w:hAnsi="宋体" w:eastAsia="宋体" w:cs="宋体"/>
                <w:color w:val="auto"/>
                <w:sz w:val="21"/>
                <w:szCs w:val="21"/>
                <w:highlight w:val="none"/>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01DB84A0">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技术资料下载</w:t>
            </w:r>
          </w:p>
        </w:tc>
        <w:tc>
          <w:tcPr>
            <w:tcW w:w="3388" w:type="dxa"/>
            <w:tcBorders>
              <w:left w:val="single" w:color="auto" w:sz="4" w:space="0"/>
              <w:bottom w:val="single" w:color="auto" w:sz="4" w:space="0"/>
              <w:right w:val="single" w:color="auto" w:sz="4" w:space="0"/>
            </w:tcBorders>
            <w:noWrap w:val="0"/>
            <w:vAlign w:val="center"/>
          </w:tcPr>
          <w:p w14:paraId="59E72E99">
            <w:pPr>
              <w:pStyle w:val="5"/>
              <w:jc w:val="center"/>
              <w:rPr>
                <w:rStyle w:val="14"/>
                <w:rFonts w:hint="eastAsia" w:ascii="宋体" w:hAnsi="宋体" w:eastAsia="宋体" w:cs="宋体"/>
                <w:strike/>
                <w:color w:val="auto"/>
                <w:sz w:val="21"/>
                <w:szCs w:val="21"/>
                <w:highlight w:val="none"/>
              </w:rPr>
            </w:pPr>
            <w:r>
              <w:rPr>
                <w:rStyle w:val="14"/>
                <w:rFonts w:hint="eastAsia" w:ascii="宋体" w:hAnsi="宋体" w:eastAsia="宋体" w:cs="宋体"/>
                <w:color w:val="auto"/>
                <w:sz w:val="21"/>
                <w:szCs w:val="21"/>
                <w:highlight w:val="none"/>
              </w:rPr>
              <w:t>7*24</w:t>
            </w:r>
          </w:p>
        </w:tc>
      </w:tr>
      <w:tr w14:paraId="52D8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restart"/>
            <w:tcBorders>
              <w:top w:val="single" w:color="auto" w:sz="4" w:space="0"/>
              <w:left w:val="single" w:color="auto" w:sz="4" w:space="0"/>
              <w:bottom w:val="single" w:color="auto" w:sz="4" w:space="0"/>
              <w:right w:val="single" w:color="auto" w:sz="4" w:space="0"/>
            </w:tcBorders>
            <w:noWrap w:val="0"/>
            <w:vAlign w:val="center"/>
          </w:tcPr>
          <w:p w14:paraId="237732A7">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监控服务</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596DEE18">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网络出口流量监控</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68028346">
            <w:pPr>
              <w:pStyle w:val="5"/>
              <w:widowControl/>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7*24</w:t>
            </w:r>
          </w:p>
        </w:tc>
      </w:tr>
      <w:tr w14:paraId="21AC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continue"/>
            <w:tcBorders>
              <w:top w:val="single" w:color="auto" w:sz="4" w:space="0"/>
              <w:left w:val="single" w:color="auto" w:sz="4" w:space="0"/>
              <w:bottom w:val="single" w:color="auto" w:sz="4" w:space="0"/>
              <w:right w:val="single" w:color="auto" w:sz="4" w:space="0"/>
            </w:tcBorders>
            <w:noWrap w:val="0"/>
            <w:vAlign w:val="center"/>
          </w:tcPr>
          <w:p w14:paraId="3AB9ADD4">
            <w:pPr>
              <w:pStyle w:val="5"/>
              <w:widowControl/>
              <w:jc w:val="left"/>
              <w:rPr>
                <w:rStyle w:val="14"/>
                <w:rFonts w:hint="eastAsia" w:ascii="宋体" w:hAnsi="宋体" w:eastAsia="宋体" w:cs="宋体"/>
                <w:color w:val="auto"/>
                <w:sz w:val="21"/>
                <w:szCs w:val="21"/>
                <w:highlight w:val="none"/>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3CADF406">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云平台虚拟化层监控</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4E5CBE6D">
            <w:pPr>
              <w:pStyle w:val="5"/>
              <w:widowControl/>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7*24</w:t>
            </w:r>
          </w:p>
        </w:tc>
      </w:tr>
      <w:tr w14:paraId="3C4B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continue"/>
            <w:tcBorders>
              <w:top w:val="single" w:color="auto" w:sz="4" w:space="0"/>
              <w:left w:val="single" w:color="auto" w:sz="4" w:space="0"/>
              <w:bottom w:val="single" w:color="auto" w:sz="4" w:space="0"/>
              <w:right w:val="single" w:color="auto" w:sz="4" w:space="0"/>
            </w:tcBorders>
            <w:noWrap w:val="0"/>
            <w:vAlign w:val="center"/>
          </w:tcPr>
          <w:p w14:paraId="551844DD">
            <w:pPr>
              <w:pStyle w:val="5"/>
              <w:widowControl/>
              <w:jc w:val="left"/>
              <w:rPr>
                <w:rStyle w:val="14"/>
                <w:rFonts w:hint="eastAsia" w:ascii="宋体" w:hAnsi="宋体" w:eastAsia="宋体" w:cs="宋体"/>
                <w:color w:val="auto"/>
                <w:sz w:val="21"/>
                <w:szCs w:val="21"/>
                <w:highlight w:val="none"/>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0387676C">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硬件设备监控</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339AB20C">
            <w:pPr>
              <w:pStyle w:val="5"/>
              <w:widowControl/>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7*24</w:t>
            </w:r>
          </w:p>
        </w:tc>
      </w:tr>
      <w:tr w14:paraId="47A6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restart"/>
            <w:tcBorders>
              <w:top w:val="single" w:color="auto" w:sz="4" w:space="0"/>
              <w:left w:val="single" w:color="auto" w:sz="4" w:space="0"/>
              <w:bottom w:val="single" w:color="auto" w:sz="4" w:space="0"/>
              <w:right w:val="single" w:color="auto" w:sz="4" w:space="0"/>
            </w:tcBorders>
            <w:noWrap w:val="0"/>
            <w:vAlign w:val="center"/>
          </w:tcPr>
          <w:p w14:paraId="0144634F">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巡检服务</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1316BF6D">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服务器设备现场巡检</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55475037">
            <w:pPr>
              <w:pStyle w:val="5"/>
              <w:widowControl/>
              <w:jc w:val="center"/>
              <w:rPr>
                <w:rStyle w:val="14"/>
                <w:rFonts w:hint="eastAsia" w:ascii="宋体" w:hAnsi="宋体" w:eastAsia="宋体" w:cs="宋体"/>
                <w:strike/>
                <w:color w:val="auto"/>
                <w:sz w:val="21"/>
                <w:szCs w:val="21"/>
                <w:highlight w:val="none"/>
              </w:rPr>
            </w:pPr>
            <w:r>
              <w:rPr>
                <w:rStyle w:val="14"/>
                <w:rFonts w:hint="eastAsia" w:ascii="宋体" w:hAnsi="宋体" w:eastAsia="宋体" w:cs="宋体"/>
                <w:strike w:val="0"/>
                <w:color w:val="auto"/>
                <w:sz w:val="21"/>
                <w:szCs w:val="21"/>
                <w:highlight w:val="none"/>
                <w:lang w:val="en-US" w:eastAsia="zh-CN"/>
              </w:rPr>
              <w:t>2</w:t>
            </w:r>
            <w:r>
              <w:rPr>
                <w:rStyle w:val="14"/>
                <w:rFonts w:hint="eastAsia" w:ascii="宋体" w:hAnsi="宋体" w:eastAsia="宋体" w:cs="宋体"/>
                <w:strike w:val="0"/>
                <w:color w:val="auto"/>
                <w:sz w:val="21"/>
                <w:szCs w:val="21"/>
                <w:highlight w:val="none"/>
              </w:rPr>
              <w:t>次/日</w:t>
            </w:r>
          </w:p>
        </w:tc>
      </w:tr>
      <w:tr w14:paraId="0299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continue"/>
            <w:tcBorders>
              <w:top w:val="single" w:color="auto" w:sz="4" w:space="0"/>
              <w:left w:val="single" w:color="auto" w:sz="4" w:space="0"/>
              <w:bottom w:val="single" w:color="auto" w:sz="4" w:space="0"/>
              <w:right w:val="single" w:color="auto" w:sz="4" w:space="0"/>
            </w:tcBorders>
            <w:noWrap w:val="0"/>
            <w:vAlign w:val="center"/>
          </w:tcPr>
          <w:p w14:paraId="17B3CB7E">
            <w:pPr>
              <w:pStyle w:val="5"/>
              <w:widowControl/>
              <w:jc w:val="left"/>
              <w:rPr>
                <w:rStyle w:val="14"/>
                <w:rFonts w:hint="eastAsia" w:ascii="宋体" w:hAnsi="宋体" w:eastAsia="宋体" w:cs="宋体"/>
                <w:color w:val="auto"/>
                <w:sz w:val="21"/>
                <w:szCs w:val="21"/>
                <w:highlight w:val="none"/>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660BFCED">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网络及安全设备现场巡检</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764D73B6">
            <w:pPr>
              <w:pStyle w:val="5"/>
              <w:widowControl/>
              <w:jc w:val="center"/>
              <w:rPr>
                <w:rStyle w:val="14"/>
                <w:rFonts w:hint="eastAsia" w:ascii="宋体" w:hAnsi="宋体" w:eastAsia="宋体" w:cs="宋体"/>
                <w:strike/>
                <w:color w:val="auto"/>
                <w:sz w:val="21"/>
                <w:szCs w:val="21"/>
                <w:highlight w:val="none"/>
              </w:rPr>
            </w:pPr>
            <w:r>
              <w:rPr>
                <w:rStyle w:val="14"/>
                <w:rFonts w:hint="eastAsia" w:ascii="宋体" w:hAnsi="宋体" w:eastAsia="宋体" w:cs="宋体"/>
                <w:color w:val="auto"/>
                <w:sz w:val="21"/>
                <w:szCs w:val="21"/>
                <w:highlight w:val="none"/>
                <w:lang w:val="en-US" w:eastAsia="zh-CN"/>
              </w:rPr>
              <w:t>2</w:t>
            </w:r>
            <w:r>
              <w:rPr>
                <w:rStyle w:val="14"/>
                <w:rFonts w:hint="eastAsia" w:ascii="宋体" w:hAnsi="宋体" w:eastAsia="宋体" w:cs="宋体"/>
                <w:color w:val="auto"/>
                <w:sz w:val="21"/>
                <w:szCs w:val="21"/>
                <w:highlight w:val="none"/>
              </w:rPr>
              <w:t>次/日</w:t>
            </w:r>
          </w:p>
        </w:tc>
      </w:tr>
      <w:tr w14:paraId="1749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continue"/>
            <w:tcBorders>
              <w:top w:val="single" w:color="auto" w:sz="4" w:space="0"/>
              <w:left w:val="single" w:color="auto" w:sz="4" w:space="0"/>
              <w:bottom w:val="single" w:color="auto" w:sz="4" w:space="0"/>
              <w:right w:val="single" w:color="auto" w:sz="4" w:space="0"/>
            </w:tcBorders>
            <w:noWrap w:val="0"/>
            <w:vAlign w:val="center"/>
          </w:tcPr>
          <w:p w14:paraId="6447AA5F">
            <w:pPr>
              <w:pStyle w:val="5"/>
              <w:widowControl/>
              <w:jc w:val="left"/>
              <w:rPr>
                <w:rStyle w:val="14"/>
                <w:rFonts w:hint="eastAsia" w:ascii="宋体" w:hAnsi="宋体" w:eastAsia="宋体" w:cs="宋体"/>
                <w:color w:val="auto"/>
                <w:sz w:val="21"/>
                <w:szCs w:val="21"/>
                <w:highlight w:val="none"/>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5990EC4A">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存储设备现场巡检</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0B00AD8B">
            <w:pPr>
              <w:pStyle w:val="5"/>
              <w:widowControl/>
              <w:jc w:val="center"/>
              <w:rPr>
                <w:rStyle w:val="14"/>
                <w:rFonts w:hint="eastAsia" w:ascii="宋体" w:hAnsi="宋体" w:eastAsia="宋体" w:cs="宋体"/>
                <w:strike/>
                <w:color w:val="auto"/>
                <w:sz w:val="21"/>
                <w:szCs w:val="21"/>
                <w:highlight w:val="none"/>
              </w:rPr>
            </w:pPr>
            <w:r>
              <w:rPr>
                <w:rStyle w:val="14"/>
                <w:rFonts w:hint="eastAsia" w:ascii="宋体" w:hAnsi="宋体" w:eastAsia="宋体" w:cs="宋体"/>
                <w:color w:val="auto"/>
                <w:sz w:val="21"/>
                <w:szCs w:val="21"/>
                <w:highlight w:val="none"/>
                <w:lang w:val="en-US" w:eastAsia="zh-CN"/>
              </w:rPr>
              <w:t>2</w:t>
            </w:r>
            <w:r>
              <w:rPr>
                <w:rStyle w:val="14"/>
                <w:rFonts w:hint="eastAsia" w:ascii="宋体" w:hAnsi="宋体" w:eastAsia="宋体" w:cs="宋体"/>
                <w:color w:val="auto"/>
                <w:sz w:val="21"/>
                <w:szCs w:val="21"/>
                <w:highlight w:val="none"/>
              </w:rPr>
              <w:t>次/日</w:t>
            </w:r>
          </w:p>
        </w:tc>
      </w:tr>
      <w:tr w14:paraId="596B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tcBorders>
              <w:top w:val="single" w:color="auto" w:sz="4" w:space="0"/>
              <w:left w:val="single" w:color="auto" w:sz="4" w:space="0"/>
              <w:bottom w:val="single" w:color="auto" w:sz="4" w:space="0"/>
              <w:right w:val="single" w:color="auto" w:sz="4" w:space="0"/>
            </w:tcBorders>
            <w:noWrap w:val="0"/>
            <w:vAlign w:val="center"/>
          </w:tcPr>
          <w:p w14:paraId="3C2EBCF1">
            <w:pPr>
              <w:pStyle w:val="5"/>
              <w:widowControl/>
              <w:jc w:val="left"/>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硬件支持类服务</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4458FB40">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设备重启服务</w:t>
            </w:r>
          </w:p>
        </w:tc>
        <w:tc>
          <w:tcPr>
            <w:tcW w:w="3388" w:type="dxa"/>
            <w:tcBorders>
              <w:top w:val="single" w:color="auto" w:sz="4" w:space="0"/>
              <w:left w:val="single" w:color="auto" w:sz="4" w:space="0"/>
              <w:bottom w:val="single" w:color="auto" w:sz="4" w:space="0"/>
              <w:right w:val="single" w:color="auto" w:sz="4" w:space="0"/>
            </w:tcBorders>
            <w:noWrap w:val="0"/>
            <w:vAlign w:val="center"/>
          </w:tcPr>
          <w:p w14:paraId="48B98970">
            <w:pPr>
              <w:pStyle w:val="5"/>
              <w:widowControl/>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7*24</w:t>
            </w:r>
          </w:p>
        </w:tc>
      </w:tr>
      <w:tr w14:paraId="6CDC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restart"/>
            <w:tcBorders>
              <w:top w:val="single" w:color="auto" w:sz="4" w:space="0"/>
              <w:left w:val="single" w:color="auto" w:sz="4" w:space="0"/>
              <w:bottom w:val="single" w:color="auto" w:sz="4" w:space="0"/>
              <w:right w:val="single" w:color="auto" w:sz="4" w:space="0"/>
            </w:tcBorders>
            <w:noWrap w:val="0"/>
            <w:vAlign w:val="center"/>
          </w:tcPr>
          <w:p w14:paraId="298E32ED">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变更服务</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0DD4FC0D">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变更通知</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1DB26463">
            <w:pPr>
              <w:pStyle w:val="5"/>
              <w:widowControl/>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提前3个工作日（紧急需求除外）</w:t>
            </w:r>
          </w:p>
        </w:tc>
      </w:tr>
      <w:tr w14:paraId="5A239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continue"/>
            <w:tcBorders>
              <w:top w:val="single" w:color="auto" w:sz="4" w:space="0"/>
              <w:left w:val="single" w:color="auto" w:sz="4" w:space="0"/>
              <w:bottom w:val="single" w:color="auto" w:sz="4" w:space="0"/>
              <w:right w:val="single" w:color="auto" w:sz="4" w:space="0"/>
            </w:tcBorders>
            <w:noWrap w:val="0"/>
            <w:vAlign w:val="center"/>
          </w:tcPr>
          <w:p w14:paraId="3D12AB35">
            <w:pPr>
              <w:pStyle w:val="5"/>
              <w:widowControl/>
              <w:jc w:val="left"/>
              <w:rPr>
                <w:rStyle w:val="14"/>
                <w:rFonts w:hint="eastAsia" w:ascii="宋体" w:hAnsi="宋体" w:eastAsia="宋体" w:cs="宋体"/>
                <w:color w:val="auto"/>
                <w:sz w:val="21"/>
                <w:szCs w:val="21"/>
                <w:highlight w:val="none"/>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745FD451">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变更实施</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6E0C8795">
            <w:pPr>
              <w:pStyle w:val="5"/>
              <w:widowControl/>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以变更通知为准</w:t>
            </w:r>
          </w:p>
        </w:tc>
      </w:tr>
      <w:tr w14:paraId="0A3F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tcBorders>
              <w:top w:val="single" w:color="auto" w:sz="4" w:space="0"/>
              <w:left w:val="single" w:color="auto" w:sz="4" w:space="0"/>
              <w:bottom w:val="single" w:color="auto" w:sz="4" w:space="0"/>
              <w:right w:val="single" w:color="auto" w:sz="4" w:space="0"/>
            </w:tcBorders>
            <w:noWrap w:val="0"/>
            <w:vAlign w:val="center"/>
          </w:tcPr>
          <w:p w14:paraId="2AC15689">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深度健康检查</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18C4AB26">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云平台软硬件健康检查</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000FCE2A">
            <w:pPr>
              <w:pStyle w:val="5"/>
              <w:widowControl/>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2次/年</w:t>
            </w:r>
          </w:p>
        </w:tc>
      </w:tr>
      <w:tr w14:paraId="213D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restart"/>
            <w:tcBorders>
              <w:top w:val="single" w:color="auto" w:sz="4" w:space="0"/>
              <w:left w:val="single" w:color="auto" w:sz="4" w:space="0"/>
              <w:bottom w:val="single" w:color="auto" w:sz="4" w:space="0"/>
              <w:right w:val="single" w:color="auto" w:sz="4" w:space="0"/>
            </w:tcBorders>
            <w:noWrap w:val="0"/>
            <w:vAlign w:val="center"/>
          </w:tcPr>
          <w:p w14:paraId="110420BA">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报告服务</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57CACDD5">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事故报告服务</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26AA804E">
            <w:pPr>
              <w:pStyle w:val="5"/>
              <w:widowControl/>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10个工作日内</w:t>
            </w:r>
          </w:p>
        </w:tc>
      </w:tr>
      <w:tr w14:paraId="17AA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74" w:type="dxa"/>
            <w:vMerge w:val="continue"/>
            <w:tcBorders>
              <w:top w:val="single" w:color="auto" w:sz="4" w:space="0"/>
              <w:left w:val="single" w:color="auto" w:sz="4" w:space="0"/>
              <w:bottom w:val="single" w:color="auto" w:sz="4" w:space="0"/>
              <w:right w:val="single" w:color="auto" w:sz="4" w:space="0"/>
            </w:tcBorders>
            <w:noWrap w:val="0"/>
            <w:vAlign w:val="center"/>
          </w:tcPr>
          <w:p w14:paraId="526534B0">
            <w:pPr>
              <w:pStyle w:val="5"/>
              <w:widowControl/>
              <w:jc w:val="left"/>
              <w:rPr>
                <w:rStyle w:val="14"/>
                <w:rFonts w:hint="eastAsia" w:ascii="宋体" w:hAnsi="宋体" w:eastAsia="宋体" w:cs="宋体"/>
                <w:color w:val="auto"/>
                <w:sz w:val="21"/>
                <w:szCs w:val="21"/>
                <w:highlight w:val="none"/>
              </w:rPr>
            </w:pPr>
          </w:p>
        </w:tc>
        <w:tc>
          <w:tcPr>
            <w:tcW w:w="2940" w:type="dxa"/>
            <w:tcBorders>
              <w:top w:val="single" w:color="auto" w:sz="4" w:space="0"/>
              <w:left w:val="single" w:color="auto" w:sz="4" w:space="0"/>
              <w:bottom w:val="single" w:color="auto" w:sz="4" w:space="0"/>
              <w:right w:val="single" w:color="auto" w:sz="4" w:space="0"/>
            </w:tcBorders>
            <w:noWrap w:val="0"/>
            <w:vAlign w:val="center"/>
          </w:tcPr>
          <w:p w14:paraId="63A96E36">
            <w:pPr>
              <w:pStyle w:val="5"/>
              <w:widowControl/>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运维报告服务</w:t>
            </w:r>
          </w:p>
        </w:tc>
        <w:tc>
          <w:tcPr>
            <w:tcW w:w="3388" w:type="dxa"/>
            <w:tcBorders>
              <w:top w:val="single" w:color="auto" w:sz="4" w:space="0"/>
              <w:left w:val="single" w:color="auto" w:sz="4" w:space="0"/>
              <w:bottom w:val="single" w:color="auto" w:sz="4" w:space="0"/>
              <w:right w:val="single" w:color="auto" w:sz="4" w:space="0"/>
            </w:tcBorders>
            <w:noWrap w:val="0"/>
            <w:vAlign w:val="top"/>
          </w:tcPr>
          <w:p w14:paraId="4045E12E">
            <w:pPr>
              <w:pStyle w:val="5"/>
              <w:widowControl/>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1次/月</w:t>
            </w:r>
          </w:p>
        </w:tc>
      </w:tr>
    </w:tbl>
    <w:p w14:paraId="68973478">
      <w:pPr>
        <w:pStyle w:val="5"/>
        <w:keepNext/>
        <w:keepLines/>
        <w:numPr>
          <w:ilvl w:val="1"/>
          <w:numId w:val="2"/>
        </w:numPr>
        <w:snapToGrid/>
        <w:spacing w:before="156" w:beforeLines="50" w:after="156" w:afterLines="50" w:line="360" w:lineRule="auto"/>
        <w:contextualSpacing/>
        <w:jc w:val="both"/>
        <w:outlineLvl w:val="1"/>
        <w:rPr>
          <w:rStyle w:val="14"/>
          <w:rFonts w:hint="eastAsia" w:ascii="宋体" w:hAnsi="宋体" w:eastAsia="宋体" w:cs="宋体"/>
          <w:bCs/>
          <w:color w:val="auto"/>
          <w:kern w:val="2"/>
          <w:sz w:val="21"/>
          <w:szCs w:val="21"/>
          <w:highlight w:val="none"/>
          <w:lang w:val="en-US" w:eastAsia="zh-CN" w:bidi="ar-SA"/>
        </w:rPr>
      </w:pPr>
      <w:bookmarkStart w:id="486" w:name="_Toc2091"/>
      <w:bookmarkStart w:id="487" w:name="_Toc27295"/>
      <w:bookmarkStart w:id="488" w:name="_Toc20089"/>
      <w:bookmarkStart w:id="489" w:name="_Toc867"/>
      <w:bookmarkStart w:id="490" w:name="_Toc256000128"/>
      <w:bookmarkStart w:id="491" w:name="_Toc12002"/>
      <w:r>
        <w:rPr>
          <w:rStyle w:val="14"/>
          <w:rFonts w:hint="eastAsia" w:ascii="宋体" w:hAnsi="宋体" w:eastAsia="宋体" w:cs="宋体"/>
          <w:bCs/>
          <w:color w:val="auto"/>
          <w:kern w:val="2"/>
          <w:sz w:val="21"/>
          <w:szCs w:val="21"/>
          <w:highlight w:val="none"/>
          <w:lang w:val="en-US" w:eastAsia="zh-CN" w:bidi="ar-SA"/>
        </w:rPr>
        <w:t>云平台运营要求</w:t>
      </w:r>
      <w:bookmarkEnd w:id="486"/>
      <w:bookmarkEnd w:id="487"/>
      <w:bookmarkEnd w:id="488"/>
      <w:bookmarkEnd w:id="489"/>
      <w:bookmarkEnd w:id="490"/>
      <w:bookmarkEnd w:id="491"/>
    </w:p>
    <w:p w14:paraId="69A6AD01">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主要在资源调整优化管控、服务（应用）退出要求等方面对中标云服务商提出要求。</w:t>
      </w:r>
    </w:p>
    <w:p w14:paraId="52B7D564">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492" w:name="_Toc256000129"/>
      <w:bookmarkStart w:id="493" w:name="_Toc16369"/>
      <w:bookmarkStart w:id="494" w:name="_Toc9641"/>
      <w:bookmarkStart w:id="495" w:name="_Toc9406"/>
      <w:bookmarkStart w:id="496" w:name="_Toc25154"/>
      <w:bookmarkStart w:id="497" w:name="_Toc10151"/>
      <w:r>
        <w:rPr>
          <w:rStyle w:val="14"/>
          <w:rFonts w:hint="eastAsia" w:ascii="宋体" w:hAnsi="宋体" w:eastAsia="宋体" w:cs="宋体"/>
          <w:bCs/>
          <w:color w:val="auto"/>
          <w:kern w:val="2"/>
          <w:sz w:val="21"/>
          <w:szCs w:val="21"/>
          <w:highlight w:val="none"/>
          <w:lang w:val="en-US" w:eastAsia="zh-CN" w:bidi="ar-SA"/>
        </w:rPr>
        <w:t>资源调整优化管理要求</w:t>
      </w:r>
      <w:bookmarkEnd w:id="492"/>
      <w:bookmarkEnd w:id="493"/>
      <w:bookmarkEnd w:id="494"/>
      <w:bookmarkEnd w:id="495"/>
      <w:bookmarkEnd w:id="496"/>
      <w:bookmarkEnd w:id="497"/>
    </w:p>
    <w:p w14:paraId="76562000">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 xml:space="preserve">为提高政务云资源利用率，有效提升政府财政资金使用效能，云服务商须做好政务云平台资源使用日常监管工作，主动参与云平台资源全生命周期管理，在新开通云资源交付与系统部署（或迁移）、使用率评估与调整，以及存量云资源核查与调整等各个阶段，积极配合使用单位和采购方开展资源合理配置与动态调整工作。 </w:t>
      </w:r>
    </w:p>
    <w:p w14:paraId="207B80CA">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 云资源开通与系统部署时效要求</w:t>
      </w:r>
    </w:p>
    <w:p w14:paraId="5B2AF80E">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当云使用单位业务系统需部署至市级政务云，在采购方向云服务商下达测试工单，云服务商应在10个工作日内完成测试环境搭建并交付给云使用单位，云使用单位进行系统部署测试，测试时间为30天，测试结束后，云使用单位向云主管部门提供测试报告。云主管部门根据测试情况、云资源优化标准等提出云资源调整建议，云服务商应在5个工作日内完成资源的交付，云使用单位确认后计费开始。</w:t>
      </w:r>
    </w:p>
    <w:p w14:paraId="2F193AFB">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云服务商应按照采购方要求，在测试期内对云使用单位申请的云资源进行合理性评估，评估期限为云服务商的测试环境交付至云使用单位之日起30天。</w:t>
      </w:r>
    </w:p>
    <w:p w14:paraId="041A4207">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评估期内，云服务商需对云使用单位云资源的CPU和内存两项指标进行监控，并设定告警规则，具体如下。</w:t>
      </w:r>
    </w:p>
    <w:p w14:paraId="323EE067">
      <w:pPr>
        <w:pStyle w:val="4"/>
        <w:keepNext/>
        <w:spacing w:line="360" w:lineRule="auto"/>
        <w:jc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sz w:val="21"/>
          <w:szCs w:val="21"/>
          <w:highlight w:val="none"/>
        </w:rPr>
        <w:t xml:space="preserve">表 </w:t>
      </w:r>
      <w:r>
        <w:rPr>
          <w:rStyle w:val="14"/>
          <w:rFonts w:hint="eastAsia" w:ascii="宋体" w:hAnsi="宋体" w:eastAsia="宋体" w:cs="宋体"/>
          <w:color w:val="auto"/>
          <w:sz w:val="21"/>
          <w:szCs w:val="21"/>
          <w:highlight w:val="none"/>
        </w:rPr>
        <w:fldChar w:fldCharType="begin"/>
      </w:r>
      <w:r>
        <w:rPr>
          <w:rStyle w:val="14"/>
          <w:rFonts w:hint="eastAsia" w:ascii="宋体" w:hAnsi="宋体" w:eastAsia="宋体" w:cs="宋体"/>
          <w:color w:val="auto"/>
          <w:sz w:val="21"/>
          <w:szCs w:val="21"/>
          <w:highlight w:val="none"/>
        </w:rPr>
        <w:instrText xml:space="preserve"> STYLEREF 2 \s </w:instrText>
      </w:r>
      <w:r>
        <w:rPr>
          <w:rStyle w:val="14"/>
          <w:rFonts w:hint="eastAsia" w:ascii="宋体" w:hAnsi="宋体" w:eastAsia="宋体" w:cs="宋体"/>
          <w:color w:val="auto"/>
          <w:sz w:val="21"/>
          <w:szCs w:val="21"/>
          <w:highlight w:val="none"/>
        </w:rPr>
        <w:fldChar w:fldCharType="separate"/>
      </w:r>
      <w:r>
        <w:rPr>
          <w:rStyle w:val="14"/>
          <w:rFonts w:hint="eastAsia" w:ascii="宋体" w:hAnsi="宋体" w:eastAsia="宋体" w:cs="宋体"/>
          <w:color w:val="auto"/>
          <w:sz w:val="21"/>
          <w:szCs w:val="21"/>
          <w:highlight w:val="none"/>
        </w:rPr>
        <w:fldChar w:fldCharType="end"/>
      </w:r>
      <w:r>
        <w:rPr>
          <w:rStyle w:val="14"/>
          <w:rFonts w:hint="eastAsia" w:ascii="宋体" w:hAnsi="宋体" w:eastAsia="宋体" w:cs="宋体"/>
          <w:color w:val="auto"/>
          <w:sz w:val="21"/>
          <w:szCs w:val="21"/>
          <w:highlight w:val="none"/>
        </w:rPr>
        <w:noBreakHyphen/>
      </w:r>
      <w:r>
        <w:rPr>
          <w:rStyle w:val="14"/>
          <w:rFonts w:hint="eastAsia" w:ascii="宋体" w:hAnsi="宋体" w:eastAsia="宋体" w:cs="宋体"/>
          <w:color w:val="auto"/>
          <w:sz w:val="21"/>
          <w:szCs w:val="21"/>
          <w:highlight w:val="none"/>
        </w:rPr>
        <w:fldChar w:fldCharType="begin"/>
      </w:r>
      <w:r>
        <w:rPr>
          <w:rStyle w:val="14"/>
          <w:rFonts w:hint="eastAsia" w:ascii="宋体" w:hAnsi="宋体" w:eastAsia="宋体" w:cs="宋体"/>
          <w:color w:val="auto"/>
          <w:sz w:val="21"/>
          <w:szCs w:val="21"/>
          <w:highlight w:val="none"/>
        </w:rPr>
        <w:instrText xml:space="preserve"> SEQ 表格 \* ARABIC \s 2 </w:instrText>
      </w:r>
      <w:r>
        <w:rPr>
          <w:rStyle w:val="14"/>
          <w:rFonts w:hint="eastAsia" w:ascii="宋体" w:hAnsi="宋体" w:eastAsia="宋体" w:cs="宋体"/>
          <w:color w:val="auto"/>
          <w:sz w:val="21"/>
          <w:szCs w:val="21"/>
          <w:highlight w:val="none"/>
        </w:rPr>
        <w:fldChar w:fldCharType="separate"/>
      </w:r>
      <w:r>
        <w:rPr>
          <w:rStyle w:val="14"/>
          <w:rFonts w:hint="eastAsia" w:ascii="宋体" w:hAnsi="宋体" w:eastAsia="宋体" w:cs="宋体"/>
          <w:color w:val="auto"/>
          <w:sz w:val="21"/>
          <w:szCs w:val="21"/>
          <w:highlight w:val="none"/>
        </w:rPr>
        <w:t>3</w:t>
      </w:r>
      <w:r>
        <w:rPr>
          <w:rStyle w:val="14"/>
          <w:rFonts w:hint="eastAsia" w:ascii="宋体" w:hAnsi="宋体" w:eastAsia="宋体" w:cs="宋体"/>
          <w:color w:val="auto"/>
          <w:sz w:val="21"/>
          <w:szCs w:val="21"/>
          <w:highlight w:val="none"/>
        </w:rPr>
        <w:fldChar w:fldCharType="end"/>
      </w:r>
      <w:r>
        <w:rPr>
          <w:rStyle w:val="14"/>
          <w:rFonts w:hint="eastAsia" w:ascii="宋体" w:hAnsi="宋体" w:eastAsia="宋体" w:cs="宋体"/>
          <w:color w:val="auto"/>
          <w:sz w:val="21"/>
          <w:szCs w:val="21"/>
          <w:highlight w:val="none"/>
        </w:rPr>
        <w:t>资源监控指标</w:t>
      </w:r>
    </w:p>
    <w:tbl>
      <w:tblPr>
        <w:tblStyle w:val="13"/>
        <w:tblW w:w="5000" w:type="pct"/>
        <w:jc w:val="center"/>
        <w:tblLayout w:type="autofit"/>
        <w:tblCellMar>
          <w:top w:w="0" w:type="dxa"/>
          <w:left w:w="108" w:type="dxa"/>
          <w:bottom w:w="0" w:type="dxa"/>
          <w:right w:w="108" w:type="dxa"/>
        </w:tblCellMar>
      </w:tblPr>
      <w:tblGrid>
        <w:gridCol w:w="1141"/>
        <w:gridCol w:w="1691"/>
        <w:gridCol w:w="3075"/>
        <w:gridCol w:w="2615"/>
      </w:tblGrid>
      <w:tr w14:paraId="1D0E7DC7">
        <w:tblPrEx>
          <w:tblCellMar>
            <w:top w:w="0" w:type="dxa"/>
            <w:left w:w="108" w:type="dxa"/>
            <w:bottom w:w="0" w:type="dxa"/>
            <w:right w:w="108" w:type="dxa"/>
          </w:tblCellMar>
        </w:tblPrEx>
        <w:trPr>
          <w:trHeight w:val="300" w:hRule="atLeast"/>
          <w:jc w:val="center"/>
        </w:trPr>
        <w:tc>
          <w:tcPr>
            <w:tcW w:w="670" w:type="pct"/>
            <w:tcBorders>
              <w:top w:val="single" w:color="auto" w:sz="4" w:space="0"/>
              <w:left w:val="single" w:color="auto" w:sz="4" w:space="0"/>
              <w:bottom w:val="single" w:color="auto" w:sz="4" w:space="0"/>
              <w:right w:val="single" w:color="auto" w:sz="4" w:space="0"/>
            </w:tcBorders>
            <w:noWrap w:val="0"/>
            <w:vAlign w:val="center"/>
          </w:tcPr>
          <w:p w14:paraId="6474C1DE">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序号</w:t>
            </w:r>
          </w:p>
        </w:tc>
        <w:tc>
          <w:tcPr>
            <w:tcW w:w="992" w:type="pct"/>
            <w:tcBorders>
              <w:top w:val="single" w:color="auto" w:sz="4" w:space="0"/>
              <w:left w:val="nil"/>
              <w:bottom w:val="single" w:color="auto" w:sz="4" w:space="0"/>
              <w:right w:val="single" w:color="auto" w:sz="4" w:space="0"/>
            </w:tcBorders>
            <w:noWrap w:val="0"/>
            <w:vAlign w:val="center"/>
          </w:tcPr>
          <w:p w14:paraId="26994413">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监控指标</w:t>
            </w:r>
          </w:p>
        </w:tc>
        <w:tc>
          <w:tcPr>
            <w:tcW w:w="1804" w:type="pct"/>
            <w:tcBorders>
              <w:top w:val="single" w:color="auto" w:sz="4" w:space="0"/>
              <w:left w:val="nil"/>
              <w:bottom w:val="single" w:color="auto" w:sz="4" w:space="0"/>
              <w:right w:val="single" w:color="auto" w:sz="4" w:space="0"/>
            </w:tcBorders>
            <w:noWrap w:val="0"/>
            <w:vAlign w:val="center"/>
          </w:tcPr>
          <w:p w14:paraId="43DE019E">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平均使用率</w:t>
            </w:r>
          </w:p>
        </w:tc>
        <w:tc>
          <w:tcPr>
            <w:tcW w:w="1534" w:type="pct"/>
            <w:tcBorders>
              <w:top w:val="single" w:color="auto" w:sz="4" w:space="0"/>
              <w:left w:val="nil"/>
              <w:bottom w:val="single" w:color="auto" w:sz="4" w:space="0"/>
              <w:right w:val="single" w:color="auto" w:sz="4" w:space="0"/>
            </w:tcBorders>
            <w:noWrap w:val="0"/>
            <w:vAlign w:val="center"/>
          </w:tcPr>
          <w:p w14:paraId="6A2021E3">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告警颜色</w:t>
            </w:r>
          </w:p>
        </w:tc>
      </w:tr>
      <w:tr w14:paraId="08B6B09A">
        <w:tblPrEx>
          <w:tblCellMar>
            <w:top w:w="0" w:type="dxa"/>
            <w:left w:w="108" w:type="dxa"/>
            <w:bottom w:w="0" w:type="dxa"/>
            <w:right w:w="108" w:type="dxa"/>
          </w:tblCellMar>
        </w:tblPrEx>
        <w:trPr>
          <w:trHeight w:val="320" w:hRule="atLeast"/>
          <w:jc w:val="center"/>
        </w:trPr>
        <w:tc>
          <w:tcPr>
            <w:tcW w:w="670" w:type="pct"/>
            <w:vMerge w:val="restart"/>
            <w:tcBorders>
              <w:top w:val="nil"/>
              <w:left w:val="single" w:color="auto" w:sz="4" w:space="0"/>
              <w:bottom w:val="single" w:color="auto" w:sz="4" w:space="0"/>
              <w:right w:val="single" w:color="auto" w:sz="4" w:space="0"/>
            </w:tcBorders>
            <w:noWrap w:val="0"/>
            <w:vAlign w:val="center"/>
          </w:tcPr>
          <w:p w14:paraId="5D7D9FE1">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1</w:t>
            </w:r>
          </w:p>
        </w:tc>
        <w:tc>
          <w:tcPr>
            <w:tcW w:w="992" w:type="pct"/>
            <w:vMerge w:val="restart"/>
            <w:tcBorders>
              <w:top w:val="nil"/>
              <w:left w:val="single" w:color="auto" w:sz="4" w:space="0"/>
              <w:bottom w:val="single" w:color="auto" w:sz="4" w:space="0"/>
              <w:right w:val="single" w:color="auto" w:sz="4" w:space="0"/>
            </w:tcBorders>
            <w:noWrap w:val="0"/>
            <w:vAlign w:val="center"/>
          </w:tcPr>
          <w:p w14:paraId="31F62E8E">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CPU</w:t>
            </w:r>
          </w:p>
        </w:tc>
        <w:tc>
          <w:tcPr>
            <w:tcW w:w="1804" w:type="pct"/>
            <w:tcBorders>
              <w:top w:val="nil"/>
              <w:left w:val="nil"/>
              <w:bottom w:val="single" w:color="auto" w:sz="4" w:space="0"/>
              <w:right w:val="single" w:color="auto" w:sz="4" w:space="0"/>
            </w:tcBorders>
            <w:noWrap w:val="0"/>
            <w:vAlign w:val="center"/>
          </w:tcPr>
          <w:p w14:paraId="153DB806">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＜15%</w:t>
            </w:r>
          </w:p>
        </w:tc>
        <w:tc>
          <w:tcPr>
            <w:tcW w:w="1534" w:type="pct"/>
            <w:tcBorders>
              <w:top w:val="nil"/>
              <w:left w:val="nil"/>
              <w:bottom w:val="single" w:color="auto" w:sz="4" w:space="0"/>
              <w:right w:val="single" w:color="auto" w:sz="4" w:space="0"/>
            </w:tcBorders>
            <w:noWrap w:val="0"/>
            <w:vAlign w:val="center"/>
          </w:tcPr>
          <w:p w14:paraId="1A9B4FEC">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黄色</w:t>
            </w:r>
          </w:p>
        </w:tc>
      </w:tr>
      <w:tr w14:paraId="31D4386D">
        <w:tblPrEx>
          <w:tblCellMar>
            <w:top w:w="0" w:type="dxa"/>
            <w:left w:w="108" w:type="dxa"/>
            <w:bottom w:w="0" w:type="dxa"/>
            <w:right w:w="108" w:type="dxa"/>
          </w:tblCellMar>
        </w:tblPrEx>
        <w:trPr>
          <w:trHeight w:val="313" w:hRule="atLeast"/>
          <w:jc w:val="center"/>
        </w:trPr>
        <w:tc>
          <w:tcPr>
            <w:tcW w:w="670" w:type="pct"/>
            <w:vMerge w:val="continue"/>
            <w:tcBorders>
              <w:top w:val="nil"/>
              <w:left w:val="single" w:color="auto" w:sz="4" w:space="0"/>
              <w:bottom w:val="single" w:color="auto" w:sz="4" w:space="0"/>
              <w:right w:val="single" w:color="auto" w:sz="4" w:space="0"/>
            </w:tcBorders>
            <w:noWrap w:val="0"/>
            <w:vAlign w:val="center"/>
          </w:tcPr>
          <w:p w14:paraId="335CAD86">
            <w:pPr>
              <w:pStyle w:val="5"/>
              <w:widowControl/>
              <w:jc w:val="center"/>
              <w:rPr>
                <w:rStyle w:val="14"/>
                <w:rFonts w:hint="eastAsia" w:ascii="宋体" w:hAnsi="宋体" w:eastAsia="宋体" w:cs="宋体"/>
                <w:color w:val="auto"/>
                <w:kern w:val="0"/>
                <w:sz w:val="21"/>
                <w:szCs w:val="21"/>
                <w:highlight w:val="none"/>
              </w:rPr>
            </w:pPr>
          </w:p>
        </w:tc>
        <w:tc>
          <w:tcPr>
            <w:tcW w:w="992" w:type="pct"/>
            <w:vMerge w:val="continue"/>
            <w:tcBorders>
              <w:top w:val="nil"/>
              <w:left w:val="single" w:color="auto" w:sz="4" w:space="0"/>
              <w:bottom w:val="single" w:color="auto" w:sz="4" w:space="0"/>
              <w:right w:val="single" w:color="auto" w:sz="4" w:space="0"/>
            </w:tcBorders>
            <w:noWrap w:val="0"/>
            <w:vAlign w:val="center"/>
          </w:tcPr>
          <w:p w14:paraId="15BC83FB">
            <w:pPr>
              <w:pStyle w:val="5"/>
              <w:widowControl/>
              <w:jc w:val="center"/>
              <w:rPr>
                <w:rStyle w:val="14"/>
                <w:rFonts w:hint="eastAsia" w:ascii="宋体" w:hAnsi="宋体" w:eastAsia="宋体" w:cs="宋体"/>
                <w:color w:val="auto"/>
                <w:kern w:val="0"/>
                <w:sz w:val="21"/>
                <w:szCs w:val="21"/>
                <w:highlight w:val="none"/>
              </w:rPr>
            </w:pPr>
          </w:p>
        </w:tc>
        <w:tc>
          <w:tcPr>
            <w:tcW w:w="1804" w:type="pct"/>
            <w:tcBorders>
              <w:top w:val="nil"/>
              <w:left w:val="nil"/>
              <w:bottom w:val="single" w:color="auto" w:sz="4" w:space="0"/>
              <w:right w:val="single" w:color="auto" w:sz="4" w:space="0"/>
            </w:tcBorders>
            <w:noWrap w:val="0"/>
            <w:vAlign w:val="center"/>
          </w:tcPr>
          <w:p w14:paraId="1B903F13">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＜10%</w:t>
            </w:r>
          </w:p>
        </w:tc>
        <w:tc>
          <w:tcPr>
            <w:tcW w:w="1534" w:type="pct"/>
            <w:tcBorders>
              <w:top w:val="nil"/>
              <w:left w:val="nil"/>
              <w:bottom w:val="single" w:color="auto" w:sz="4" w:space="0"/>
              <w:right w:val="single" w:color="auto" w:sz="4" w:space="0"/>
            </w:tcBorders>
            <w:noWrap w:val="0"/>
            <w:vAlign w:val="center"/>
          </w:tcPr>
          <w:p w14:paraId="3F313F3E">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橙色</w:t>
            </w:r>
          </w:p>
        </w:tc>
      </w:tr>
      <w:tr w14:paraId="76E341F6">
        <w:tblPrEx>
          <w:tblCellMar>
            <w:top w:w="0" w:type="dxa"/>
            <w:left w:w="108" w:type="dxa"/>
            <w:bottom w:w="0" w:type="dxa"/>
            <w:right w:w="108" w:type="dxa"/>
          </w:tblCellMar>
        </w:tblPrEx>
        <w:trPr>
          <w:trHeight w:val="320" w:hRule="atLeast"/>
          <w:jc w:val="center"/>
        </w:trPr>
        <w:tc>
          <w:tcPr>
            <w:tcW w:w="670" w:type="pct"/>
            <w:vMerge w:val="continue"/>
            <w:tcBorders>
              <w:top w:val="nil"/>
              <w:left w:val="single" w:color="auto" w:sz="4" w:space="0"/>
              <w:bottom w:val="single" w:color="auto" w:sz="4" w:space="0"/>
              <w:right w:val="single" w:color="auto" w:sz="4" w:space="0"/>
            </w:tcBorders>
            <w:noWrap w:val="0"/>
            <w:vAlign w:val="center"/>
          </w:tcPr>
          <w:p w14:paraId="3E87A141">
            <w:pPr>
              <w:pStyle w:val="5"/>
              <w:widowControl/>
              <w:jc w:val="center"/>
              <w:rPr>
                <w:rStyle w:val="14"/>
                <w:rFonts w:hint="eastAsia" w:ascii="宋体" w:hAnsi="宋体" w:eastAsia="宋体" w:cs="宋体"/>
                <w:color w:val="auto"/>
                <w:kern w:val="0"/>
                <w:sz w:val="21"/>
                <w:szCs w:val="21"/>
                <w:highlight w:val="none"/>
              </w:rPr>
            </w:pPr>
          </w:p>
        </w:tc>
        <w:tc>
          <w:tcPr>
            <w:tcW w:w="992" w:type="pct"/>
            <w:vMerge w:val="continue"/>
            <w:tcBorders>
              <w:top w:val="nil"/>
              <w:left w:val="single" w:color="auto" w:sz="4" w:space="0"/>
              <w:bottom w:val="single" w:color="auto" w:sz="4" w:space="0"/>
              <w:right w:val="single" w:color="auto" w:sz="4" w:space="0"/>
            </w:tcBorders>
            <w:noWrap w:val="0"/>
            <w:vAlign w:val="center"/>
          </w:tcPr>
          <w:p w14:paraId="4D093DB1">
            <w:pPr>
              <w:pStyle w:val="5"/>
              <w:widowControl/>
              <w:jc w:val="center"/>
              <w:rPr>
                <w:rStyle w:val="14"/>
                <w:rFonts w:hint="eastAsia" w:ascii="宋体" w:hAnsi="宋体" w:eastAsia="宋体" w:cs="宋体"/>
                <w:color w:val="auto"/>
                <w:kern w:val="0"/>
                <w:sz w:val="21"/>
                <w:szCs w:val="21"/>
                <w:highlight w:val="none"/>
              </w:rPr>
            </w:pPr>
          </w:p>
        </w:tc>
        <w:tc>
          <w:tcPr>
            <w:tcW w:w="1804" w:type="pct"/>
            <w:tcBorders>
              <w:top w:val="nil"/>
              <w:left w:val="nil"/>
              <w:bottom w:val="single" w:color="auto" w:sz="4" w:space="0"/>
              <w:right w:val="single" w:color="auto" w:sz="4" w:space="0"/>
            </w:tcBorders>
            <w:noWrap w:val="0"/>
            <w:vAlign w:val="center"/>
          </w:tcPr>
          <w:p w14:paraId="017EDEA8">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＜5%</w:t>
            </w:r>
          </w:p>
        </w:tc>
        <w:tc>
          <w:tcPr>
            <w:tcW w:w="1534" w:type="pct"/>
            <w:tcBorders>
              <w:top w:val="nil"/>
              <w:left w:val="nil"/>
              <w:bottom w:val="single" w:color="auto" w:sz="4" w:space="0"/>
              <w:right w:val="single" w:color="auto" w:sz="4" w:space="0"/>
            </w:tcBorders>
            <w:noWrap w:val="0"/>
            <w:vAlign w:val="center"/>
          </w:tcPr>
          <w:p w14:paraId="45BB3F01">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红色</w:t>
            </w:r>
          </w:p>
        </w:tc>
      </w:tr>
      <w:tr w14:paraId="634DE91F">
        <w:tblPrEx>
          <w:tblCellMar>
            <w:top w:w="0" w:type="dxa"/>
            <w:left w:w="108" w:type="dxa"/>
            <w:bottom w:w="0" w:type="dxa"/>
            <w:right w:w="108" w:type="dxa"/>
          </w:tblCellMar>
        </w:tblPrEx>
        <w:trPr>
          <w:trHeight w:val="320" w:hRule="atLeast"/>
          <w:jc w:val="center"/>
        </w:trPr>
        <w:tc>
          <w:tcPr>
            <w:tcW w:w="670" w:type="pct"/>
            <w:vMerge w:val="restart"/>
            <w:tcBorders>
              <w:top w:val="nil"/>
              <w:left w:val="single" w:color="auto" w:sz="4" w:space="0"/>
              <w:bottom w:val="single" w:color="auto" w:sz="4" w:space="0"/>
              <w:right w:val="single" w:color="auto" w:sz="4" w:space="0"/>
            </w:tcBorders>
            <w:noWrap w:val="0"/>
            <w:vAlign w:val="center"/>
          </w:tcPr>
          <w:p w14:paraId="3C06674D">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2</w:t>
            </w:r>
          </w:p>
        </w:tc>
        <w:tc>
          <w:tcPr>
            <w:tcW w:w="992" w:type="pct"/>
            <w:vMerge w:val="restart"/>
            <w:tcBorders>
              <w:top w:val="nil"/>
              <w:left w:val="single" w:color="auto" w:sz="4" w:space="0"/>
              <w:bottom w:val="single" w:color="auto" w:sz="4" w:space="0"/>
              <w:right w:val="single" w:color="auto" w:sz="4" w:space="0"/>
            </w:tcBorders>
            <w:noWrap w:val="0"/>
            <w:vAlign w:val="center"/>
          </w:tcPr>
          <w:p w14:paraId="485A0258">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内存</w:t>
            </w:r>
          </w:p>
        </w:tc>
        <w:tc>
          <w:tcPr>
            <w:tcW w:w="1804" w:type="pct"/>
            <w:tcBorders>
              <w:top w:val="nil"/>
              <w:left w:val="nil"/>
              <w:bottom w:val="single" w:color="auto" w:sz="4" w:space="0"/>
              <w:right w:val="single" w:color="auto" w:sz="4" w:space="0"/>
            </w:tcBorders>
            <w:noWrap w:val="0"/>
            <w:vAlign w:val="center"/>
          </w:tcPr>
          <w:p w14:paraId="31A842A9">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＜30%</w:t>
            </w:r>
          </w:p>
        </w:tc>
        <w:tc>
          <w:tcPr>
            <w:tcW w:w="1534" w:type="pct"/>
            <w:tcBorders>
              <w:top w:val="nil"/>
              <w:left w:val="nil"/>
              <w:bottom w:val="single" w:color="auto" w:sz="4" w:space="0"/>
              <w:right w:val="single" w:color="auto" w:sz="4" w:space="0"/>
            </w:tcBorders>
            <w:noWrap w:val="0"/>
            <w:vAlign w:val="center"/>
          </w:tcPr>
          <w:p w14:paraId="28187B7D">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黄色</w:t>
            </w:r>
          </w:p>
        </w:tc>
      </w:tr>
      <w:tr w14:paraId="3656B1B1">
        <w:tblPrEx>
          <w:tblCellMar>
            <w:top w:w="0" w:type="dxa"/>
            <w:left w:w="108" w:type="dxa"/>
            <w:bottom w:w="0" w:type="dxa"/>
            <w:right w:w="108" w:type="dxa"/>
          </w:tblCellMar>
        </w:tblPrEx>
        <w:trPr>
          <w:trHeight w:val="300" w:hRule="atLeast"/>
          <w:jc w:val="center"/>
        </w:trPr>
        <w:tc>
          <w:tcPr>
            <w:tcW w:w="670" w:type="pct"/>
            <w:vMerge w:val="continue"/>
            <w:tcBorders>
              <w:top w:val="nil"/>
              <w:left w:val="single" w:color="auto" w:sz="4" w:space="0"/>
              <w:bottom w:val="single" w:color="auto" w:sz="4" w:space="0"/>
              <w:right w:val="single" w:color="auto" w:sz="4" w:space="0"/>
            </w:tcBorders>
            <w:noWrap w:val="0"/>
            <w:vAlign w:val="center"/>
          </w:tcPr>
          <w:p w14:paraId="31FEC9F5">
            <w:pPr>
              <w:pStyle w:val="5"/>
              <w:widowControl/>
              <w:jc w:val="center"/>
              <w:rPr>
                <w:rStyle w:val="14"/>
                <w:rFonts w:hint="eastAsia" w:ascii="宋体" w:hAnsi="宋体" w:eastAsia="宋体" w:cs="宋体"/>
                <w:color w:val="auto"/>
                <w:kern w:val="0"/>
                <w:sz w:val="21"/>
                <w:szCs w:val="21"/>
                <w:highlight w:val="none"/>
              </w:rPr>
            </w:pPr>
          </w:p>
        </w:tc>
        <w:tc>
          <w:tcPr>
            <w:tcW w:w="992" w:type="pct"/>
            <w:vMerge w:val="continue"/>
            <w:tcBorders>
              <w:top w:val="nil"/>
              <w:left w:val="single" w:color="auto" w:sz="4" w:space="0"/>
              <w:bottom w:val="single" w:color="auto" w:sz="4" w:space="0"/>
              <w:right w:val="single" w:color="auto" w:sz="4" w:space="0"/>
            </w:tcBorders>
            <w:noWrap w:val="0"/>
            <w:vAlign w:val="center"/>
          </w:tcPr>
          <w:p w14:paraId="1A625B88">
            <w:pPr>
              <w:pStyle w:val="5"/>
              <w:widowControl/>
              <w:jc w:val="center"/>
              <w:rPr>
                <w:rStyle w:val="14"/>
                <w:rFonts w:hint="eastAsia" w:ascii="宋体" w:hAnsi="宋体" w:eastAsia="宋体" w:cs="宋体"/>
                <w:color w:val="auto"/>
                <w:kern w:val="0"/>
                <w:sz w:val="21"/>
                <w:szCs w:val="21"/>
                <w:highlight w:val="none"/>
              </w:rPr>
            </w:pPr>
          </w:p>
        </w:tc>
        <w:tc>
          <w:tcPr>
            <w:tcW w:w="1804" w:type="pct"/>
            <w:tcBorders>
              <w:top w:val="nil"/>
              <w:left w:val="nil"/>
              <w:bottom w:val="single" w:color="auto" w:sz="4" w:space="0"/>
              <w:right w:val="single" w:color="auto" w:sz="4" w:space="0"/>
            </w:tcBorders>
            <w:noWrap w:val="0"/>
            <w:vAlign w:val="center"/>
          </w:tcPr>
          <w:p w14:paraId="67899CC4">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＜20%</w:t>
            </w:r>
          </w:p>
        </w:tc>
        <w:tc>
          <w:tcPr>
            <w:tcW w:w="1534" w:type="pct"/>
            <w:tcBorders>
              <w:top w:val="nil"/>
              <w:left w:val="nil"/>
              <w:bottom w:val="single" w:color="auto" w:sz="4" w:space="0"/>
              <w:right w:val="single" w:color="auto" w:sz="4" w:space="0"/>
            </w:tcBorders>
            <w:noWrap w:val="0"/>
            <w:vAlign w:val="center"/>
          </w:tcPr>
          <w:p w14:paraId="5603BA41">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橙色</w:t>
            </w:r>
          </w:p>
        </w:tc>
      </w:tr>
      <w:tr w14:paraId="57517E38">
        <w:tblPrEx>
          <w:tblCellMar>
            <w:top w:w="0" w:type="dxa"/>
            <w:left w:w="108" w:type="dxa"/>
            <w:bottom w:w="0" w:type="dxa"/>
            <w:right w:w="108" w:type="dxa"/>
          </w:tblCellMar>
        </w:tblPrEx>
        <w:trPr>
          <w:trHeight w:val="300" w:hRule="atLeast"/>
          <w:jc w:val="center"/>
        </w:trPr>
        <w:tc>
          <w:tcPr>
            <w:tcW w:w="670" w:type="pct"/>
            <w:vMerge w:val="continue"/>
            <w:tcBorders>
              <w:top w:val="nil"/>
              <w:left w:val="single" w:color="auto" w:sz="4" w:space="0"/>
              <w:bottom w:val="single" w:color="auto" w:sz="4" w:space="0"/>
              <w:right w:val="single" w:color="auto" w:sz="4" w:space="0"/>
            </w:tcBorders>
            <w:noWrap w:val="0"/>
            <w:vAlign w:val="center"/>
          </w:tcPr>
          <w:p w14:paraId="3D006175">
            <w:pPr>
              <w:pStyle w:val="5"/>
              <w:widowControl/>
              <w:jc w:val="center"/>
              <w:rPr>
                <w:rStyle w:val="14"/>
                <w:rFonts w:hint="eastAsia" w:ascii="宋体" w:hAnsi="宋体" w:eastAsia="宋体" w:cs="宋体"/>
                <w:color w:val="auto"/>
                <w:kern w:val="0"/>
                <w:sz w:val="21"/>
                <w:szCs w:val="21"/>
                <w:highlight w:val="none"/>
              </w:rPr>
            </w:pPr>
          </w:p>
        </w:tc>
        <w:tc>
          <w:tcPr>
            <w:tcW w:w="992" w:type="pct"/>
            <w:vMerge w:val="continue"/>
            <w:tcBorders>
              <w:top w:val="nil"/>
              <w:left w:val="single" w:color="auto" w:sz="4" w:space="0"/>
              <w:bottom w:val="single" w:color="auto" w:sz="4" w:space="0"/>
              <w:right w:val="single" w:color="auto" w:sz="4" w:space="0"/>
            </w:tcBorders>
            <w:noWrap w:val="0"/>
            <w:vAlign w:val="center"/>
          </w:tcPr>
          <w:p w14:paraId="2ABA9BEC">
            <w:pPr>
              <w:pStyle w:val="5"/>
              <w:widowControl/>
              <w:jc w:val="center"/>
              <w:rPr>
                <w:rStyle w:val="14"/>
                <w:rFonts w:hint="eastAsia" w:ascii="宋体" w:hAnsi="宋体" w:eastAsia="宋体" w:cs="宋体"/>
                <w:color w:val="auto"/>
                <w:kern w:val="0"/>
                <w:sz w:val="21"/>
                <w:szCs w:val="21"/>
                <w:highlight w:val="none"/>
              </w:rPr>
            </w:pPr>
          </w:p>
        </w:tc>
        <w:tc>
          <w:tcPr>
            <w:tcW w:w="1804" w:type="pct"/>
            <w:tcBorders>
              <w:top w:val="nil"/>
              <w:left w:val="nil"/>
              <w:bottom w:val="single" w:color="auto" w:sz="4" w:space="0"/>
              <w:right w:val="single" w:color="auto" w:sz="4" w:space="0"/>
            </w:tcBorders>
            <w:noWrap w:val="0"/>
            <w:vAlign w:val="center"/>
          </w:tcPr>
          <w:p w14:paraId="5A0F8FEA">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＜10%</w:t>
            </w:r>
          </w:p>
        </w:tc>
        <w:tc>
          <w:tcPr>
            <w:tcW w:w="1534" w:type="pct"/>
            <w:tcBorders>
              <w:top w:val="nil"/>
              <w:left w:val="nil"/>
              <w:bottom w:val="single" w:color="auto" w:sz="4" w:space="0"/>
              <w:right w:val="single" w:color="auto" w:sz="4" w:space="0"/>
            </w:tcBorders>
            <w:noWrap w:val="0"/>
            <w:vAlign w:val="center"/>
          </w:tcPr>
          <w:p w14:paraId="55D24250">
            <w:pPr>
              <w:pStyle w:val="5"/>
              <w:widowControl/>
              <w:jc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rPr>
              <w:t>红色</w:t>
            </w:r>
          </w:p>
        </w:tc>
      </w:tr>
    </w:tbl>
    <w:p w14:paraId="1D10E0B0">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评估期结束后，云服务商应在5个工作日内将专项评估结果、资源调整建议上报云使用单位与采购方，并按采购方要求跟踪处理。</w:t>
      </w:r>
    </w:p>
    <w:p w14:paraId="4906DD69">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 xml:space="preserve">新开通的支撑软件、安全防护等服务，不在新开通云资源评估范围。 </w:t>
      </w:r>
    </w:p>
    <w:p w14:paraId="6AB1C74C">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 存量云资源优化与监测</w:t>
      </w:r>
    </w:p>
    <w:p w14:paraId="7A81D967">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正式运行过程中，云使用单位要求调整云资源配置的，须向云主管部门提交变更申请，云主管部门在5个工作日内完成变更审核。审核通过的云服务商应当在5个工作日内完成调整。</w:t>
      </w:r>
    </w:p>
    <w:p w14:paraId="11B85E07">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云服务商应持续监测云使用单位业务系统的云资源使用率，每3个月向采购方提交业务系统云资源使用情况报告。</w:t>
      </w:r>
    </w:p>
    <w:p w14:paraId="12BF63F1">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498" w:name="_Toc19435"/>
      <w:bookmarkStart w:id="499" w:name="_Toc23322"/>
      <w:bookmarkStart w:id="500" w:name="_Toc27517"/>
      <w:bookmarkStart w:id="501" w:name="_Toc755"/>
      <w:bookmarkStart w:id="502" w:name="_Toc20213"/>
      <w:bookmarkStart w:id="503" w:name="_Toc256000130"/>
      <w:r>
        <w:rPr>
          <w:rStyle w:val="14"/>
          <w:rFonts w:hint="eastAsia" w:ascii="宋体" w:hAnsi="宋体" w:eastAsia="宋体" w:cs="宋体"/>
          <w:bCs/>
          <w:color w:val="auto"/>
          <w:kern w:val="2"/>
          <w:sz w:val="21"/>
          <w:szCs w:val="21"/>
          <w:highlight w:val="none"/>
          <w:lang w:val="en-US" w:eastAsia="zh-CN" w:bidi="ar-SA"/>
        </w:rPr>
        <w:t>业务迁移服务要求</w:t>
      </w:r>
      <w:bookmarkEnd w:id="498"/>
      <w:bookmarkEnd w:id="499"/>
      <w:bookmarkEnd w:id="500"/>
      <w:bookmarkEnd w:id="501"/>
      <w:bookmarkEnd w:id="502"/>
      <w:bookmarkEnd w:id="503"/>
    </w:p>
    <w:p w14:paraId="55A0FF00">
      <w:pPr>
        <w:pStyle w:val="5"/>
        <w:keepNext/>
        <w:keepLines/>
        <w:numPr>
          <w:ilvl w:val="3"/>
          <w:numId w:val="2"/>
        </w:numPr>
        <w:adjustRightInd/>
        <w:snapToGrid/>
        <w:spacing w:line="360" w:lineRule="auto"/>
        <w:contextualSpacing/>
        <w:jc w:val="both"/>
        <w:outlineLvl w:val="3"/>
        <w:rPr>
          <w:rStyle w:val="14"/>
          <w:rFonts w:hint="eastAsia" w:ascii="宋体" w:hAnsi="宋体" w:eastAsia="宋体" w:cs="宋体"/>
          <w:b/>
          <w:bCs/>
          <w:color w:val="auto"/>
          <w:sz w:val="21"/>
          <w:szCs w:val="21"/>
          <w:highlight w:val="none"/>
          <w:lang w:val="en-US" w:eastAsia="zh-CN" w:bidi="ar-SA"/>
        </w:rPr>
      </w:pPr>
      <w:bookmarkStart w:id="504" w:name="_Toc21390"/>
      <w:bookmarkStart w:id="505" w:name="_Toc30445"/>
      <w:bookmarkStart w:id="506" w:name="_Toc31993"/>
      <w:bookmarkStart w:id="507" w:name="_Toc256000131"/>
      <w:bookmarkStart w:id="508" w:name="_Toc15137"/>
      <w:bookmarkStart w:id="509" w:name="_Toc9843"/>
      <w:r>
        <w:rPr>
          <w:rStyle w:val="14"/>
          <w:rFonts w:hint="eastAsia" w:ascii="宋体" w:hAnsi="宋体" w:eastAsia="宋体" w:cs="宋体"/>
          <w:b/>
          <w:bCs/>
          <w:color w:val="auto"/>
          <w:sz w:val="21"/>
          <w:szCs w:val="21"/>
          <w:highlight w:val="none"/>
          <w:lang w:val="en-US" w:eastAsia="zh-CN" w:bidi="ar-SA"/>
        </w:rPr>
        <w:t>业务系统迁移至市级政务云的要求</w:t>
      </w:r>
      <w:bookmarkEnd w:id="504"/>
      <w:bookmarkEnd w:id="505"/>
      <w:bookmarkEnd w:id="506"/>
      <w:bookmarkEnd w:id="507"/>
      <w:bookmarkEnd w:id="508"/>
      <w:bookmarkEnd w:id="509"/>
    </w:p>
    <w:p w14:paraId="182856B4">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系统迁移工作时，云服务商要提供以下服务要求：</w:t>
      </w:r>
    </w:p>
    <w:p w14:paraId="2762A9B2">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1.配合云使用单位业务系统迁移前的环境需求分析工作。</w:t>
      </w:r>
    </w:p>
    <w:p w14:paraId="51B0EA8A">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2.配合云使用单位业务系统迁移前的测试环境搭建工作。</w:t>
      </w:r>
    </w:p>
    <w:p w14:paraId="32726531">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3.配合云使用单位开展业务系统迁移中的问题故障分析，提出解决方案并配合解决。</w:t>
      </w:r>
    </w:p>
    <w:p w14:paraId="10624B25">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4.配合云使用单位业务系统迁移过程中对硬件、网络、软件、安全等运行环境的变更工作。</w:t>
      </w:r>
    </w:p>
    <w:p w14:paraId="386380D0">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5.配合云使用单位业务系统迁移后的测试工作，如压力测试、故障测试等。</w:t>
      </w:r>
    </w:p>
    <w:p w14:paraId="29900123">
      <w:pPr>
        <w:pStyle w:val="5"/>
        <w:keepNext/>
        <w:keepLines/>
        <w:numPr>
          <w:ilvl w:val="3"/>
          <w:numId w:val="2"/>
        </w:numPr>
        <w:adjustRightInd/>
        <w:snapToGrid/>
        <w:spacing w:line="360" w:lineRule="auto"/>
        <w:contextualSpacing/>
        <w:jc w:val="both"/>
        <w:outlineLvl w:val="3"/>
        <w:rPr>
          <w:rStyle w:val="14"/>
          <w:rFonts w:hint="eastAsia" w:ascii="宋体" w:hAnsi="宋体" w:eastAsia="宋体" w:cs="宋体"/>
          <w:b/>
          <w:bCs/>
          <w:color w:val="auto"/>
          <w:sz w:val="21"/>
          <w:szCs w:val="21"/>
          <w:highlight w:val="none"/>
          <w:lang w:val="en-US" w:eastAsia="zh-CN" w:bidi="ar-SA"/>
        </w:rPr>
      </w:pPr>
      <w:bookmarkStart w:id="510" w:name="_Toc13858"/>
      <w:bookmarkStart w:id="511" w:name="_Toc31793"/>
      <w:bookmarkStart w:id="512" w:name="_Toc5076"/>
      <w:bookmarkStart w:id="513" w:name="_Toc256000132"/>
      <w:bookmarkStart w:id="514" w:name="_Toc23395"/>
      <w:bookmarkStart w:id="515" w:name="_Toc29325"/>
      <w:r>
        <w:rPr>
          <w:rStyle w:val="14"/>
          <w:rFonts w:hint="eastAsia" w:ascii="宋体" w:hAnsi="宋体" w:eastAsia="宋体" w:cs="宋体"/>
          <w:b/>
          <w:bCs/>
          <w:color w:val="auto"/>
          <w:sz w:val="21"/>
          <w:szCs w:val="21"/>
          <w:highlight w:val="none"/>
          <w:lang w:val="en-US" w:eastAsia="zh-CN" w:bidi="ar-SA"/>
        </w:rPr>
        <w:t>业务系统跨云服务商的迁移要求</w:t>
      </w:r>
      <w:bookmarkEnd w:id="510"/>
      <w:bookmarkEnd w:id="511"/>
      <w:bookmarkEnd w:id="512"/>
      <w:bookmarkEnd w:id="513"/>
      <w:bookmarkEnd w:id="514"/>
      <w:bookmarkEnd w:id="515"/>
    </w:p>
    <w:p w14:paraId="39AD1471">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1.云服务商应提供跨云平台业务系统迁移所需的工具和技术支持。</w:t>
      </w:r>
    </w:p>
    <w:p w14:paraId="3CB0802E">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（1）通过迁移工具进行云主机导入导出</w:t>
      </w:r>
    </w:p>
    <w:p w14:paraId="5C39E04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迁入云服务商负责提供迁移工具、存储设备、服务器等相关工具，并在迁移工作开始前负责迁移可行性的评估、迁移方案制定、回退方案制定等工作；云资源使用单位迁出或下线云资源过程中，云服务商应积极配合，云使用单位应组织系统开发单位配合完成系统联调和业务验证等工作。</w:t>
      </w:r>
    </w:p>
    <w:p w14:paraId="771991B6">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2.业务系统迁移进度要求</w:t>
      </w:r>
    </w:p>
    <w:p w14:paraId="0057199F">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迁移主机（包括物理机和云主机）数量少于10台的业务系统，5个工作日内完成迁移工作；迁移主机数量在10台以上的，或数据量超过10TB的业务系统，原则上每个业务系统的迁移效率不低于每天2台主机。</w:t>
      </w:r>
    </w:p>
    <w:p w14:paraId="436075CB">
      <w:pPr>
        <w:pStyle w:val="5"/>
        <w:keepNext/>
        <w:keepLines/>
        <w:numPr>
          <w:ilvl w:val="2"/>
          <w:numId w:val="2"/>
        </w:numPr>
        <w:adjustRightInd/>
        <w:snapToGrid/>
        <w:spacing w:before="156" w:after="156"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516" w:name="_Toc23272"/>
      <w:bookmarkStart w:id="517" w:name="_Toc10165"/>
      <w:bookmarkStart w:id="518" w:name="_Toc3526"/>
      <w:bookmarkStart w:id="519" w:name="_Toc28001"/>
      <w:bookmarkStart w:id="520" w:name="_Toc25057"/>
      <w:bookmarkStart w:id="521" w:name="_Toc256000133"/>
      <w:r>
        <w:rPr>
          <w:rStyle w:val="14"/>
          <w:rFonts w:hint="eastAsia" w:ascii="宋体" w:hAnsi="宋体" w:eastAsia="宋体" w:cs="宋体"/>
          <w:bCs/>
          <w:color w:val="auto"/>
          <w:kern w:val="2"/>
          <w:sz w:val="21"/>
          <w:szCs w:val="21"/>
          <w:highlight w:val="none"/>
          <w:lang w:val="en-US" w:eastAsia="zh-CN" w:bidi="ar-SA"/>
        </w:rPr>
        <w:t>云平台其他运营要求</w:t>
      </w:r>
      <w:bookmarkEnd w:id="516"/>
      <w:bookmarkEnd w:id="517"/>
      <w:bookmarkEnd w:id="518"/>
      <w:bookmarkEnd w:id="519"/>
      <w:bookmarkEnd w:id="520"/>
      <w:bookmarkEnd w:id="521"/>
    </w:p>
    <w:p w14:paraId="666A538C">
      <w:pPr>
        <w:pStyle w:val="5"/>
        <w:adjustRightInd/>
        <w:snapToGrid/>
        <w:spacing w:line="360" w:lineRule="auto"/>
        <w:ind w:firstLine="422" w:firstLineChars="200"/>
        <w:contextualSpacing/>
        <w:jc w:val="both"/>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1. 权属界定</w:t>
      </w:r>
    </w:p>
    <w:p w14:paraId="642DDDB4">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合同约定的云平台使用权和管理权归采购方所有，云平台以及附属的软硬件设施所有权归中标方所有。</w:t>
      </w:r>
    </w:p>
    <w:p w14:paraId="62B3879C">
      <w:pPr>
        <w:pStyle w:val="5"/>
        <w:adjustRightInd/>
        <w:snapToGrid/>
        <w:spacing w:line="360" w:lineRule="auto"/>
        <w:ind w:firstLine="422" w:firstLineChars="200"/>
        <w:contextualSpacing/>
        <w:jc w:val="both"/>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2. 审计要求</w:t>
      </w:r>
    </w:p>
    <w:p w14:paraId="4F381D64">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接受采购方或其委派的第三方机构的审计监督，根据审计要求提供服务合规性、资源使用情况、账单核算、成本核算（软件、硬件、人工服务分别核算）、安全管理等相应审计材料。</w:t>
      </w:r>
    </w:p>
    <w:p w14:paraId="40F36171">
      <w:pPr>
        <w:pStyle w:val="5"/>
        <w:adjustRightInd/>
        <w:snapToGrid/>
        <w:spacing w:line="360" w:lineRule="auto"/>
        <w:ind w:firstLine="422" w:firstLineChars="200"/>
        <w:contextualSpacing/>
        <w:jc w:val="both"/>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3. 机房管理要求</w:t>
      </w:r>
    </w:p>
    <w:p w14:paraId="62AA8A3C">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云服务商机房进出入按照采购方要求管理。人员及货物的进出需填写登记表，加盖申请单位公章，向采购方备案审批后方可进出机房。</w:t>
      </w:r>
    </w:p>
    <w:p w14:paraId="7477C9E4">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未经采购方同意，云服务商不得私自带第三方人员或者货物进出入市政务云机房。</w:t>
      </w:r>
    </w:p>
    <w:p w14:paraId="047EF6D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云服务商应协助采购方做好机房人员及货物进出入管理，设立7*24小时机房值班室，提供机房进出入登记表，按采购方内部要求登记相关信息，所有记录保存留存不得遗失。</w:t>
      </w:r>
    </w:p>
    <w:p w14:paraId="7AB36683">
      <w:pPr>
        <w:pStyle w:val="5"/>
        <w:adjustRightInd/>
        <w:snapToGrid/>
        <w:spacing w:line="360" w:lineRule="auto"/>
        <w:ind w:firstLine="422" w:firstLineChars="200"/>
        <w:contextualSpacing/>
        <w:jc w:val="both"/>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4. 信创要求</w:t>
      </w:r>
    </w:p>
    <w:p w14:paraId="14378B3D">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政务云物理服务器扩容和替换须采用符合国家信创要求的产品；如国家或省级信创产品采购认定技术标准出台，相关产品需配合完成申报并认定通过。</w:t>
      </w:r>
    </w:p>
    <w:p w14:paraId="0DE8A7FA">
      <w:pPr>
        <w:pStyle w:val="5"/>
        <w:adjustRightInd/>
        <w:snapToGrid/>
        <w:spacing w:line="360" w:lineRule="auto"/>
        <w:ind w:firstLine="422" w:firstLineChars="200"/>
        <w:contextualSpacing/>
        <w:jc w:val="both"/>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5. 硬盘回收要求</w:t>
      </w:r>
    </w:p>
    <w:p w14:paraId="0DD0027A">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物理服务器已损坏及已报废硬盘在采购人的监督下，由云服务商指派专人，按保密相关规定进行销毁。</w:t>
      </w:r>
    </w:p>
    <w:p w14:paraId="19B0FC38">
      <w:pPr>
        <w:pStyle w:val="5"/>
        <w:adjustRightInd/>
        <w:snapToGrid/>
        <w:spacing w:line="360" w:lineRule="auto"/>
        <w:ind w:firstLine="422" w:firstLineChars="200"/>
        <w:contextualSpacing/>
        <w:jc w:val="both"/>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6. 其他要求</w:t>
      </w:r>
    </w:p>
    <w:p w14:paraId="517888BF">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云服务商应根据国家、湖南省和株洲市对政务信创云相关最新政策和标准要求及政务云管理的相关需要，按采购方要求进行响应和整改。</w:t>
      </w:r>
    </w:p>
    <w:p w14:paraId="211349A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p>
    <w:p w14:paraId="2013751F">
      <w:pPr>
        <w:pStyle w:val="5"/>
        <w:keepNext/>
        <w:keepLines/>
        <w:numPr>
          <w:ilvl w:val="0"/>
          <w:numId w:val="2"/>
        </w:numPr>
        <w:adjustRightInd/>
        <w:snapToGrid/>
        <w:spacing w:before="312" w:beforeLines="100" w:after="312" w:afterLines="100" w:line="360" w:lineRule="auto"/>
        <w:contextualSpacing/>
        <w:jc w:val="center"/>
        <w:outlineLvl w:val="0"/>
        <w:rPr>
          <w:rStyle w:val="14"/>
          <w:rFonts w:hint="eastAsia" w:ascii="宋体" w:hAnsi="宋体" w:eastAsia="宋体" w:cs="宋体"/>
          <w:b/>
          <w:bCs/>
          <w:color w:val="auto"/>
          <w:kern w:val="44"/>
          <w:sz w:val="21"/>
          <w:szCs w:val="21"/>
          <w:highlight w:val="none"/>
          <w:lang w:val="en-US" w:eastAsia="zh-CN" w:bidi="ar-SA"/>
        </w:rPr>
      </w:pPr>
      <w:bookmarkStart w:id="522" w:name="_Toc256000134"/>
      <w:bookmarkStart w:id="523" w:name="_Toc14519"/>
      <w:bookmarkStart w:id="524" w:name="_Toc27923"/>
      <w:bookmarkStart w:id="525" w:name="_Toc12544"/>
      <w:bookmarkStart w:id="526" w:name="_Toc2146"/>
      <w:bookmarkStart w:id="527" w:name="_Toc4430"/>
      <w:r>
        <w:rPr>
          <w:rStyle w:val="14"/>
          <w:rFonts w:hint="eastAsia" w:ascii="宋体" w:hAnsi="宋体" w:eastAsia="宋体" w:cs="宋体"/>
          <w:b/>
          <w:bCs/>
          <w:color w:val="auto"/>
          <w:kern w:val="44"/>
          <w:sz w:val="21"/>
          <w:szCs w:val="21"/>
          <w:highlight w:val="none"/>
          <w:lang w:val="en-US" w:eastAsia="zh-CN" w:bidi="ar-SA"/>
        </w:rPr>
        <w:t>云服务商考核要求及退出规则</w:t>
      </w:r>
      <w:bookmarkEnd w:id="522"/>
      <w:bookmarkEnd w:id="523"/>
      <w:bookmarkEnd w:id="524"/>
      <w:bookmarkEnd w:id="525"/>
      <w:bookmarkEnd w:id="526"/>
      <w:bookmarkEnd w:id="527"/>
    </w:p>
    <w:p w14:paraId="45308E3A">
      <w:pPr>
        <w:pStyle w:val="5"/>
        <w:keepNext/>
        <w:keepLines/>
        <w:numPr>
          <w:ilvl w:val="1"/>
          <w:numId w:val="2"/>
        </w:numPr>
        <w:snapToGrid/>
        <w:spacing w:before="156" w:beforeLines="50" w:after="156" w:afterLines="50" w:line="360" w:lineRule="auto"/>
        <w:contextualSpacing/>
        <w:jc w:val="both"/>
        <w:outlineLvl w:val="1"/>
        <w:rPr>
          <w:rStyle w:val="14"/>
          <w:rFonts w:hint="eastAsia" w:ascii="宋体" w:hAnsi="宋体" w:eastAsia="宋体" w:cs="宋体"/>
          <w:bCs/>
          <w:color w:val="auto"/>
          <w:kern w:val="2"/>
          <w:sz w:val="21"/>
          <w:szCs w:val="21"/>
          <w:highlight w:val="none"/>
          <w:lang w:val="en-US" w:eastAsia="zh-CN" w:bidi="ar-SA"/>
        </w:rPr>
      </w:pPr>
      <w:bookmarkStart w:id="528" w:name="_Toc24253"/>
      <w:bookmarkStart w:id="529" w:name="_Toc4228"/>
      <w:bookmarkStart w:id="530" w:name="_Toc496"/>
      <w:bookmarkStart w:id="531" w:name="_Toc18723"/>
      <w:bookmarkStart w:id="532" w:name="_Toc7192"/>
      <w:bookmarkStart w:id="533" w:name="_Toc256000135"/>
      <w:r>
        <w:rPr>
          <w:rStyle w:val="14"/>
          <w:rFonts w:hint="eastAsia" w:ascii="宋体" w:hAnsi="宋体" w:eastAsia="宋体" w:cs="宋体"/>
          <w:bCs/>
          <w:color w:val="auto"/>
          <w:kern w:val="2"/>
          <w:sz w:val="21"/>
          <w:szCs w:val="21"/>
          <w:highlight w:val="none"/>
          <w:lang w:val="en-US" w:eastAsia="zh-CN" w:bidi="ar-SA"/>
        </w:rPr>
        <w:t>云服务商考核要求</w:t>
      </w:r>
      <w:bookmarkEnd w:id="528"/>
      <w:bookmarkEnd w:id="529"/>
      <w:bookmarkEnd w:id="530"/>
      <w:bookmarkEnd w:id="531"/>
      <w:bookmarkEnd w:id="532"/>
      <w:bookmarkEnd w:id="533"/>
    </w:p>
    <w:p w14:paraId="73EF2F5D">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对云服务商的考核主要分为服务质量考核和服务满意度评价。</w:t>
      </w:r>
    </w:p>
    <w:p w14:paraId="1B945EF6">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534" w:name="_Toc6214"/>
      <w:bookmarkStart w:id="535" w:name="_Toc11194"/>
      <w:bookmarkStart w:id="536" w:name="_Toc30501"/>
      <w:bookmarkStart w:id="537" w:name="_Toc256000136"/>
      <w:bookmarkStart w:id="538" w:name="_Toc13432"/>
      <w:bookmarkStart w:id="539" w:name="_Toc24502"/>
      <w:r>
        <w:rPr>
          <w:rStyle w:val="14"/>
          <w:rFonts w:hint="eastAsia" w:ascii="宋体" w:hAnsi="宋体" w:eastAsia="宋体" w:cs="宋体"/>
          <w:bCs/>
          <w:color w:val="auto"/>
          <w:kern w:val="2"/>
          <w:sz w:val="21"/>
          <w:szCs w:val="21"/>
          <w:highlight w:val="none"/>
          <w:lang w:val="en-US" w:eastAsia="zh-CN" w:bidi="ar-SA"/>
        </w:rPr>
        <w:t>云服务质量考核</w:t>
      </w:r>
      <w:bookmarkEnd w:id="534"/>
      <w:bookmarkEnd w:id="535"/>
      <w:bookmarkEnd w:id="536"/>
      <w:bookmarkEnd w:id="537"/>
      <w:bookmarkEnd w:id="538"/>
      <w:bookmarkEnd w:id="539"/>
    </w:p>
    <w:p w14:paraId="7FB53731">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云服务质量考核要求以《株洲市政务云结算办法(试行)》为准。</w:t>
      </w:r>
    </w:p>
    <w:p w14:paraId="6A3A546A">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540" w:name="_Toc256000137"/>
      <w:bookmarkStart w:id="541" w:name="_Toc18701"/>
      <w:bookmarkStart w:id="542" w:name="_Toc19264"/>
      <w:bookmarkStart w:id="543" w:name="_Toc5711"/>
      <w:bookmarkStart w:id="544" w:name="_Toc10534"/>
      <w:bookmarkStart w:id="545" w:name="_Toc2966"/>
      <w:r>
        <w:rPr>
          <w:rStyle w:val="14"/>
          <w:rFonts w:hint="eastAsia" w:ascii="宋体" w:hAnsi="宋体" w:eastAsia="宋体" w:cs="宋体"/>
          <w:bCs/>
          <w:color w:val="auto"/>
          <w:kern w:val="2"/>
          <w:sz w:val="21"/>
          <w:szCs w:val="21"/>
          <w:highlight w:val="none"/>
          <w:lang w:val="en-US" w:eastAsia="zh-CN" w:bidi="ar-SA"/>
        </w:rPr>
        <w:t>云服务满意度评价</w:t>
      </w:r>
      <w:bookmarkEnd w:id="540"/>
      <w:bookmarkEnd w:id="541"/>
      <w:bookmarkEnd w:id="542"/>
      <w:bookmarkEnd w:id="543"/>
      <w:bookmarkEnd w:id="544"/>
      <w:bookmarkEnd w:id="545"/>
    </w:p>
    <w:p w14:paraId="082F47F1">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云服务满意度评价以《株洲市政务云结算办法(试行)》为准</w:t>
      </w:r>
    </w:p>
    <w:p w14:paraId="78D039E0">
      <w:pPr>
        <w:pStyle w:val="5"/>
        <w:keepNext/>
        <w:keepLines/>
        <w:numPr>
          <w:ilvl w:val="1"/>
          <w:numId w:val="2"/>
        </w:numPr>
        <w:adjustRightInd/>
        <w:snapToGrid/>
        <w:spacing w:before="156" w:beforeLines="50" w:after="156" w:afterLines="50" w:line="360" w:lineRule="auto"/>
        <w:contextualSpacing/>
        <w:jc w:val="both"/>
        <w:outlineLvl w:val="1"/>
        <w:rPr>
          <w:rStyle w:val="14"/>
          <w:rFonts w:hint="eastAsia" w:ascii="宋体" w:hAnsi="宋体" w:eastAsia="宋体" w:cs="宋体"/>
          <w:bCs/>
          <w:color w:val="auto"/>
          <w:kern w:val="2"/>
          <w:sz w:val="21"/>
          <w:szCs w:val="21"/>
          <w:highlight w:val="none"/>
          <w:lang w:val="en-US" w:eastAsia="zh-CN" w:bidi="ar-SA"/>
        </w:rPr>
      </w:pPr>
      <w:bookmarkStart w:id="546" w:name="_Toc9083"/>
      <w:bookmarkStart w:id="547" w:name="_Toc256000138"/>
      <w:bookmarkStart w:id="548" w:name="_Toc13141"/>
      <w:bookmarkStart w:id="549" w:name="_Toc27361"/>
      <w:bookmarkStart w:id="550" w:name="_Toc25955"/>
      <w:bookmarkStart w:id="551" w:name="_Toc32027"/>
      <w:r>
        <w:rPr>
          <w:rStyle w:val="14"/>
          <w:rFonts w:hint="eastAsia" w:ascii="宋体" w:hAnsi="宋体" w:eastAsia="宋体" w:cs="宋体"/>
          <w:bCs/>
          <w:color w:val="auto"/>
          <w:kern w:val="2"/>
          <w:sz w:val="21"/>
          <w:szCs w:val="21"/>
          <w:highlight w:val="none"/>
          <w:lang w:val="en-US" w:eastAsia="zh-CN" w:bidi="ar-SA"/>
        </w:rPr>
        <w:t>云服务商处罚及退出规则</w:t>
      </w:r>
      <w:bookmarkEnd w:id="546"/>
      <w:bookmarkEnd w:id="547"/>
      <w:bookmarkEnd w:id="548"/>
      <w:bookmarkEnd w:id="549"/>
      <w:bookmarkEnd w:id="550"/>
      <w:bookmarkEnd w:id="551"/>
    </w:p>
    <w:p w14:paraId="7836B0CC">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552" w:name="_Toc14627"/>
      <w:bookmarkStart w:id="553" w:name="_Toc256000139"/>
      <w:bookmarkStart w:id="554" w:name="_Toc19397"/>
      <w:bookmarkStart w:id="555" w:name="_Toc5814"/>
      <w:bookmarkStart w:id="556" w:name="_Toc24752"/>
      <w:bookmarkStart w:id="557" w:name="_Toc20880"/>
      <w:r>
        <w:rPr>
          <w:rStyle w:val="14"/>
          <w:rFonts w:hint="eastAsia" w:ascii="宋体" w:hAnsi="宋体" w:eastAsia="宋体" w:cs="宋体"/>
          <w:bCs/>
          <w:color w:val="auto"/>
          <w:kern w:val="2"/>
          <w:sz w:val="21"/>
          <w:szCs w:val="21"/>
          <w:highlight w:val="none"/>
          <w:lang w:val="en-US" w:eastAsia="zh-CN" w:bidi="ar-SA"/>
        </w:rPr>
        <w:t>云服务商处罚机制</w:t>
      </w:r>
      <w:bookmarkEnd w:id="552"/>
      <w:bookmarkEnd w:id="553"/>
      <w:bookmarkEnd w:id="554"/>
      <w:bookmarkEnd w:id="555"/>
      <w:bookmarkEnd w:id="556"/>
      <w:bookmarkEnd w:id="557"/>
    </w:p>
    <w:p w14:paraId="3F4A095C">
      <w:pPr>
        <w:pStyle w:val="5"/>
        <w:adjustRightInd/>
        <w:snapToGrid/>
        <w:spacing w:line="360" w:lineRule="auto"/>
        <w:ind w:firstLine="422" w:firstLineChars="200"/>
        <w:contextualSpacing/>
        <w:jc w:val="both"/>
        <w:rPr>
          <w:rStyle w:val="14"/>
          <w:rFonts w:hint="eastAsia" w:ascii="宋体" w:hAnsi="宋体" w:eastAsia="宋体" w:cs="宋体"/>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1. 事故评定及扣款规则</w:t>
      </w:r>
    </w:p>
    <w:p w14:paraId="226CD134">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事故评定工作由采购方根据监控数据及云使用单位反馈等信息进行分析及鉴定，定义事故等级。若经鉴定事故原因为中标方未能及时处理的，中标方需承担因中标方主观或客观因素引发事故所造成的所有直接和间接经济损失。不可抗力原因造成的故障不计。</w:t>
      </w:r>
    </w:p>
    <w:p w14:paraId="2A8535D6">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事故处罚及处理规则如下：</w:t>
      </w:r>
    </w:p>
    <w:tbl>
      <w:tblPr>
        <w:tblStyle w:val="13"/>
        <w:tblW w:w="0" w:type="auto"/>
        <w:tblInd w:w="98" w:type="dxa"/>
        <w:tblLayout w:type="autofit"/>
        <w:tblCellMar>
          <w:top w:w="0" w:type="dxa"/>
          <w:left w:w="108" w:type="dxa"/>
          <w:bottom w:w="0" w:type="dxa"/>
          <w:right w:w="108" w:type="dxa"/>
        </w:tblCellMar>
      </w:tblPr>
      <w:tblGrid>
        <w:gridCol w:w="479"/>
        <w:gridCol w:w="1266"/>
        <w:gridCol w:w="2541"/>
        <w:gridCol w:w="4138"/>
      </w:tblGrid>
      <w:tr w14:paraId="14B971EC">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F6C44">
            <w:pPr>
              <w:pStyle w:val="5"/>
              <w:widowControl/>
              <w:jc w:val="center"/>
              <w:textAlignment w:val="center"/>
              <w:rPr>
                <w:rStyle w:val="14"/>
                <w:rFonts w:hint="eastAsia" w:ascii="宋体" w:hAnsi="宋体" w:eastAsia="宋体" w:cs="宋体"/>
                <w:b/>
                <w:bCs/>
                <w:color w:val="auto"/>
                <w:sz w:val="21"/>
                <w:szCs w:val="21"/>
                <w:highlight w:val="none"/>
              </w:rPr>
            </w:pPr>
            <w:r>
              <w:rPr>
                <w:rStyle w:val="14"/>
                <w:rFonts w:hint="eastAsia" w:ascii="宋体" w:hAnsi="宋体" w:eastAsia="宋体" w:cs="宋体"/>
                <w:b/>
                <w:bCs/>
                <w:color w:val="auto"/>
                <w:kern w:val="0"/>
                <w:sz w:val="21"/>
                <w:szCs w:val="21"/>
                <w:highlight w:val="none"/>
              </w:rPr>
              <w:t>事故等级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CD335">
            <w:pPr>
              <w:pStyle w:val="5"/>
              <w:widowControl/>
              <w:jc w:val="center"/>
              <w:textAlignment w:val="center"/>
              <w:rPr>
                <w:rStyle w:val="14"/>
                <w:rFonts w:hint="eastAsia" w:ascii="宋体" w:hAnsi="宋体" w:eastAsia="宋体" w:cs="宋体"/>
                <w:b/>
                <w:bCs/>
                <w:color w:val="auto"/>
                <w:sz w:val="21"/>
                <w:szCs w:val="21"/>
                <w:highlight w:val="none"/>
              </w:rPr>
            </w:pPr>
            <w:r>
              <w:rPr>
                <w:rStyle w:val="14"/>
                <w:rFonts w:hint="eastAsia" w:ascii="宋体" w:hAnsi="宋体" w:eastAsia="宋体" w:cs="宋体"/>
                <w:b/>
                <w:bCs/>
                <w:color w:val="auto"/>
                <w:kern w:val="0"/>
                <w:sz w:val="21"/>
                <w:szCs w:val="21"/>
                <w:highlight w:val="none"/>
              </w:rPr>
              <w:t>事故类别</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276C7">
            <w:pPr>
              <w:pStyle w:val="5"/>
              <w:widowControl/>
              <w:jc w:val="left"/>
              <w:textAlignment w:val="center"/>
              <w:rPr>
                <w:rStyle w:val="14"/>
                <w:rFonts w:hint="eastAsia" w:ascii="宋体" w:hAnsi="宋体" w:eastAsia="宋体" w:cs="宋体"/>
                <w:b/>
                <w:bCs/>
                <w:color w:val="auto"/>
                <w:sz w:val="21"/>
                <w:szCs w:val="21"/>
                <w:highlight w:val="none"/>
              </w:rPr>
            </w:pPr>
            <w:r>
              <w:rPr>
                <w:rStyle w:val="14"/>
                <w:rFonts w:hint="eastAsia" w:ascii="宋体" w:hAnsi="宋体" w:eastAsia="宋体" w:cs="宋体"/>
                <w:b/>
                <w:bCs/>
                <w:color w:val="auto"/>
                <w:kern w:val="0"/>
                <w:sz w:val="21"/>
                <w:szCs w:val="21"/>
                <w:highlight w:val="none"/>
              </w:rPr>
              <w:t>影响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945D7">
            <w:pPr>
              <w:pStyle w:val="5"/>
              <w:widowControl/>
              <w:jc w:val="left"/>
              <w:textAlignment w:val="center"/>
              <w:rPr>
                <w:rStyle w:val="14"/>
                <w:rFonts w:hint="eastAsia" w:ascii="宋体" w:hAnsi="宋体" w:eastAsia="宋体" w:cs="宋体"/>
                <w:b/>
                <w:bCs/>
                <w:color w:val="auto"/>
                <w:sz w:val="21"/>
                <w:szCs w:val="21"/>
                <w:highlight w:val="none"/>
              </w:rPr>
            </w:pPr>
            <w:r>
              <w:rPr>
                <w:rStyle w:val="14"/>
                <w:rFonts w:hint="eastAsia" w:ascii="宋体" w:hAnsi="宋体" w:eastAsia="宋体" w:cs="宋体"/>
                <w:b/>
                <w:bCs/>
                <w:color w:val="auto"/>
                <w:kern w:val="0"/>
                <w:sz w:val="21"/>
                <w:szCs w:val="21"/>
                <w:highlight w:val="none"/>
                <w:lang w:eastAsia="zh-CN"/>
              </w:rPr>
              <w:t>扣款</w:t>
            </w:r>
            <w:r>
              <w:rPr>
                <w:rStyle w:val="14"/>
                <w:rFonts w:hint="eastAsia" w:ascii="宋体" w:hAnsi="宋体" w:eastAsia="宋体" w:cs="宋体"/>
                <w:b/>
                <w:bCs/>
                <w:color w:val="auto"/>
                <w:kern w:val="0"/>
                <w:sz w:val="21"/>
                <w:szCs w:val="21"/>
                <w:highlight w:val="none"/>
              </w:rPr>
              <w:t>规则</w:t>
            </w:r>
          </w:p>
        </w:tc>
      </w:tr>
      <w:tr w14:paraId="638C5AB5">
        <w:tblPrEx>
          <w:tblCellMar>
            <w:top w:w="0" w:type="dxa"/>
            <w:left w:w="108" w:type="dxa"/>
            <w:bottom w:w="0" w:type="dxa"/>
            <w:right w:w="108" w:type="dxa"/>
          </w:tblCellMar>
        </w:tblPrEx>
        <w:trPr>
          <w:trHeight w:val="192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1EBF664">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特级事故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78C16">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服务中断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6EDA1">
            <w:pPr>
              <w:pStyle w:val="5"/>
              <w:widowControl/>
              <w:jc w:val="left"/>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因云平台发生故障，导致云上</w:t>
            </w:r>
            <w:r>
              <w:rPr>
                <w:rStyle w:val="14"/>
                <w:rFonts w:hint="eastAsia" w:ascii="宋体" w:hAnsi="宋体" w:eastAsia="宋体" w:cs="宋体"/>
                <w:color w:val="auto"/>
                <w:kern w:val="0"/>
                <w:sz w:val="21"/>
                <w:szCs w:val="21"/>
                <w:highlight w:val="none"/>
                <w:lang w:val="en-US" w:eastAsia="zh-CN"/>
              </w:rPr>
              <w:t>3个及以上</w:t>
            </w:r>
            <w:r>
              <w:rPr>
                <w:rStyle w:val="14"/>
                <w:rFonts w:hint="eastAsia" w:ascii="宋体" w:hAnsi="宋体" w:eastAsia="宋体" w:cs="宋体"/>
                <w:color w:val="auto"/>
                <w:kern w:val="0"/>
                <w:sz w:val="21"/>
                <w:szCs w:val="21"/>
                <w:highlight w:val="none"/>
              </w:rPr>
              <w:t>租户的全部业务无法访问，影响时长从</w:t>
            </w:r>
            <w:r>
              <w:rPr>
                <w:rStyle w:val="14"/>
                <w:rFonts w:hint="eastAsia" w:ascii="宋体" w:hAnsi="宋体" w:eastAsia="宋体" w:cs="宋体"/>
                <w:color w:val="auto"/>
                <w:kern w:val="0"/>
                <w:sz w:val="21"/>
                <w:szCs w:val="21"/>
                <w:highlight w:val="none"/>
                <w:lang w:eastAsia="zh-CN"/>
              </w:rPr>
              <w:t>收到第一次</w:t>
            </w:r>
            <w:r>
              <w:rPr>
                <w:rStyle w:val="14"/>
                <w:rFonts w:hint="eastAsia" w:ascii="宋体" w:hAnsi="宋体" w:eastAsia="宋体" w:cs="宋体"/>
                <w:color w:val="auto"/>
                <w:kern w:val="0"/>
                <w:sz w:val="21"/>
                <w:szCs w:val="21"/>
                <w:highlight w:val="none"/>
              </w:rPr>
              <w:t>故障</w:t>
            </w:r>
            <w:r>
              <w:rPr>
                <w:rStyle w:val="14"/>
                <w:rFonts w:hint="eastAsia" w:ascii="宋体" w:hAnsi="宋体" w:eastAsia="宋体" w:cs="宋体"/>
                <w:color w:val="auto"/>
                <w:kern w:val="0"/>
                <w:sz w:val="21"/>
                <w:szCs w:val="21"/>
                <w:highlight w:val="none"/>
                <w:lang w:eastAsia="zh-CN"/>
              </w:rPr>
              <w:t>报告时间</w:t>
            </w:r>
            <w:r>
              <w:rPr>
                <w:rStyle w:val="14"/>
                <w:rFonts w:hint="eastAsia" w:ascii="宋体" w:hAnsi="宋体" w:eastAsia="宋体" w:cs="宋体"/>
                <w:color w:val="auto"/>
                <w:kern w:val="0"/>
                <w:sz w:val="21"/>
                <w:szCs w:val="21"/>
                <w:highlight w:val="none"/>
              </w:rPr>
              <w:t>起算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489B7">
            <w:pPr>
              <w:pStyle w:val="5"/>
              <w:widowControl/>
              <w:numPr>
                <w:ilvl w:val="0"/>
                <w:numId w:val="80"/>
              </w:numPr>
              <w:jc w:val="left"/>
              <w:textAlignment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lang w:val="en-US"/>
              </w:rPr>
              <w:t>对于</w:t>
            </w:r>
            <w:r>
              <w:rPr>
                <w:rStyle w:val="14"/>
                <w:rFonts w:hint="eastAsia" w:ascii="宋体" w:hAnsi="宋体" w:eastAsia="宋体" w:cs="宋体"/>
                <w:color w:val="auto"/>
                <w:kern w:val="0"/>
                <w:sz w:val="21"/>
                <w:szCs w:val="21"/>
                <w:highlight w:val="none"/>
                <w:lang w:eastAsia="zh-CN"/>
              </w:rPr>
              <w:t>超过</w:t>
            </w:r>
            <w:r>
              <w:rPr>
                <w:rStyle w:val="14"/>
                <w:rFonts w:hint="eastAsia" w:ascii="宋体" w:hAnsi="宋体" w:eastAsia="宋体" w:cs="宋体"/>
                <w:color w:val="auto"/>
                <w:kern w:val="0"/>
                <w:sz w:val="21"/>
                <w:szCs w:val="21"/>
                <w:highlight w:val="none"/>
                <w:lang w:val="en-US" w:eastAsia="zh-CN"/>
              </w:rPr>
              <w:t>1小时未恢复业务的，将对云服务商采取扣款的惩罚措施。</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金额以业务受影响时长（以小时为单位）作为基数乘以年度政务云服务总金额的</w:t>
            </w:r>
            <w:r>
              <w:rPr>
                <w:rStyle w:val="14"/>
                <w:rFonts w:hint="eastAsia" w:ascii="宋体" w:hAnsi="宋体" w:eastAsia="宋体" w:cs="宋体"/>
                <w:color w:val="auto"/>
                <w:kern w:val="0"/>
                <w:sz w:val="21"/>
                <w:szCs w:val="21"/>
                <w:highlight w:val="none"/>
                <w:lang w:val="en-US" w:eastAsia="zh-CN"/>
              </w:rPr>
              <w:t>5</w:t>
            </w:r>
            <w:r>
              <w:rPr>
                <w:rStyle w:val="14"/>
                <w:rFonts w:hint="eastAsia" w:ascii="宋体" w:hAnsi="宋体" w:eastAsia="宋体" w:cs="宋体"/>
                <w:color w:val="auto"/>
                <w:kern w:val="0"/>
                <w:sz w:val="21"/>
                <w:szCs w:val="21"/>
                <w:highlight w:val="none"/>
              </w:rPr>
              <w:t>%，具体计算方法为：</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金额=时长（以小时为单位）*年度政务云服务总金额*</w:t>
            </w:r>
            <w:r>
              <w:rPr>
                <w:rStyle w:val="14"/>
                <w:rFonts w:hint="eastAsia" w:ascii="宋体" w:hAnsi="宋体" w:eastAsia="宋体" w:cs="宋体"/>
                <w:color w:val="auto"/>
                <w:kern w:val="0"/>
                <w:sz w:val="21"/>
                <w:szCs w:val="21"/>
                <w:highlight w:val="none"/>
                <w:lang w:val="en-US" w:eastAsia="zh-CN"/>
              </w:rPr>
              <w:t>5</w:t>
            </w:r>
            <w:r>
              <w:rPr>
                <w:rStyle w:val="14"/>
                <w:rFonts w:hint="eastAsia" w:ascii="宋体" w:hAnsi="宋体" w:eastAsia="宋体" w:cs="宋体"/>
                <w:color w:val="auto"/>
                <w:kern w:val="0"/>
                <w:sz w:val="21"/>
                <w:szCs w:val="21"/>
                <w:highlight w:val="none"/>
              </w:rPr>
              <w:t>%，直到扣完本年度服务总金额为止。举例：若该年度政务云服务总金额为100万，发生</w:t>
            </w:r>
            <w:r>
              <w:rPr>
                <w:rStyle w:val="14"/>
                <w:rFonts w:hint="eastAsia" w:ascii="宋体" w:hAnsi="宋体" w:eastAsia="宋体" w:cs="宋体"/>
                <w:color w:val="auto"/>
                <w:kern w:val="0"/>
                <w:sz w:val="21"/>
                <w:szCs w:val="21"/>
                <w:highlight w:val="none"/>
                <w:lang w:val="en-US" w:eastAsia="zh-CN"/>
              </w:rPr>
              <w:t>1</w:t>
            </w:r>
            <w:r>
              <w:rPr>
                <w:rStyle w:val="14"/>
                <w:rFonts w:hint="eastAsia" w:ascii="宋体" w:hAnsi="宋体" w:eastAsia="宋体" w:cs="宋体"/>
                <w:color w:val="auto"/>
                <w:kern w:val="0"/>
                <w:sz w:val="21"/>
                <w:szCs w:val="21"/>
                <w:highlight w:val="none"/>
              </w:rPr>
              <w:t>个小时特级事故，则</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金额为0.5*100*</w:t>
            </w:r>
            <w:r>
              <w:rPr>
                <w:rStyle w:val="14"/>
                <w:rFonts w:hint="eastAsia" w:ascii="宋体" w:hAnsi="宋体" w:eastAsia="宋体" w:cs="宋体"/>
                <w:color w:val="auto"/>
                <w:kern w:val="0"/>
                <w:sz w:val="21"/>
                <w:szCs w:val="21"/>
                <w:highlight w:val="none"/>
                <w:lang w:val="en-US" w:eastAsia="zh-CN"/>
              </w:rPr>
              <w:t>5</w:t>
            </w:r>
            <w:r>
              <w:rPr>
                <w:rStyle w:val="14"/>
                <w:rFonts w:hint="eastAsia" w:ascii="宋体" w:hAnsi="宋体" w:eastAsia="宋体" w:cs="宋体"/>
                <w:color w:val="auto"/>
                <w:kern w:val="0"/>
                <w:sz w:val="21"/>
                <w:szCs w:val="21"/>
                <w:highlight w:val="none"/>
              </w:rPr>
              <w:t>%=</w:t>
            </w:r>
            <w:r>
              <w:rPr>
                <w:rStyle w:val="14"/>
                <w:rFonts w:hint="eastAsia" w:ascii="宋体" w:hAnsi="宋体" w:eastAsia="宋体" w:cs="宋体"/>
                <w:color w:val="auto"/>
                <w:kern w:val="0"/>
                <w:sz w:val="21"/>
                <w:szCs w:val="21"/>
                <w:highlight w:val="none"/>
                <w:lang w:val="en-US" w:eastAsia="zh-CN"/>
              </w:rPr>
              <w:t>2.</w:t>
            </w:r>
            <w:r>
              <w:rPr>
                <w:rStyle w:val="14"/>
                <w:rFonts w:hint="eastAsia" w:ascii="宋体" w:hAnsi="宋体" w:eastAsia="宋体" w:cs="宋体"/>
                <w:color w:val="auto"/>
                <w:kern w:val="0"/>
                <w:sz w:val="21"/>
                <w:szCs w:val="21"/>
                <w:highlight w:val="none"/>
              </w:rPr>
              <w:t>5万</w:t>
            </w:r>
            <w:r>
              <w:rPr>
                <w:rStyle w:val="14"/>
                <w:rFonts w:hint="eastAsia" w:ascii="宋体" w:hAnsi="宋体" w:eastAsia="宋体" w:cs="宋体"/>
                <w:color w:val="auto"/>
                <w:kern w:val="0"/>
                <w:sz w:val="21"/>
                <w:szCs w:val="21"/>
                <w:highlight w:val="none"/>
                <w:lang w:eastAsia="zh-CN"/>
              </w:rPr>
              <w:t>。</w:t>
            </w:r>
          </w:p>
          <w:p w14:paraId="23254B51">
            <w:pPr>
              <w:pStyle w:val="5"/>
              <w:widowControl/>
              <w:numPr>
                <w:ilvl w:val="0"/>
                <w:numId w:val="80"/>
              </w:numPr>
              <w:jc w:val="left"/>
              <w:textAlignment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lang w:val="en-US"/>
              </w:rPr>
              <w:t>对于在</w:t>
            </w:r>
            <w:r>
              <w:rPr>
                <w:rStyle w:val="14"/>
                <w:rFonts w:hint="eastAsia" w:ascii="宋体" w:hAnsi="宋体" w:eastAsia="宋体" w:cs="宋体"/>
                <w:color w:val="auto"/>
                <w:kern w:val="0"/>
                <w:sz w:val="21"/>
                <w:szCs w:val="21"/>
                <w:highlight w:val="none"/>
                <w:lang w:val="en-US" w:eastAsia="zh-CN"/>
              </w:rPr>
              <w:t>1小时</w:t>
            </w:r>
            <w:r>
              <w:rPr>
                <w:rStyle w:val="14"/>
                <w:rFonts w:hint="eastAsia" w:ascii="宋体" w:hAnsi="宋体" w:eastAsia="宋体" w:cs="宋体"/>
                <w:color w:val="auto"/>
                <w:kern w:val="0"/>
                <w:sz w:val="21"/>
                <w:szCs w:val="21"/>
                <w:highlight w:val="none"/>
                <w:lang w:val="en-US"/>
              </w:rPr>
              <w:t>内恢复业务的，不对云服务商进行</w:t>
            </w:r>
            <w:r>
              <w:rPr>
                <w:rStyle w:val="14"/>
                <w:rFonts w:hint="eastAsia" w:ascii="宋体" w:hAnsi="宋体" w:eastAsia="宋体" w:cs="宋体"/>
                <w:color w:val="auto"/>
                <w:kern w:val="0"/>
                <w:sz w:val="21"/>
                <w:szCs w:val="21"/>
                <w:highlight w:val="none"/>
                <w:lang w:val="en-US" w:eastAsia="zh-CN"/>
              </w:rPr>
              <w:t>扣款</w:t>
            </w:r>
            <w:r>
              <w:rPr>
                <w:rStyle w:val="14"/>
                <w:rFonts w:hint="eastAsia" w:ascii="宋体" w:hAnsi="宋体" w:eastAsia="宋体" w:cs="宋体"/>
                <w:color w:val="auto"/>
                <w:kern w:val="0"/>
                <w:sz w:val="21"/>
                <w:szCs w:val="21"/>
                <w:highlight w:val="none"/>
                <w:lang w:val="en-US"/>
              </w:rPr>
              <w:t>，按照其他处罚要求进行处理。</w:t>
            </w:r>
          </w:p>
        </w:tc>
      </w:tr>
      <w:tr w14:paraId="5B83D822">
        <w:tblPrEx>
          <w:tblCellMar>
            <w:top w:w="0" w:type="dxa"/>
            <w:left w:w="108" w:type="dxa"/>
            <w:bottom w:w="0" w:type="dxa"/>
            <w:right w:w="108" w:type="dxa"/>
          </w:tblCellMar>
        </w:tblPrEx>
        <w:trPr>
          <w:trHeight w:val="1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6E4D06">
            <w:pPr>
              <w:pStyle w:val="5"/>
              <w:jc w:val="center"/>
              <w:rPr>
                <w:rStyle w:val="14"/>
                <w:rFonts w:hint="eastAsia" w:ascii="宋体" w:hAnsi="宋体" w:eastAsia="宋体" w:cs="宋体"/>
                <w:color w:val="auto"/>
                <w:sz w:val="21"/>
                <w:szCs w:val="21"/>
                <w:highlight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94416">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数据泄露</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3BEF9">
            <w:pPr>
              <w:pStyle w:val="5"/>
              <w:widowControl/>
              <w:jc w:val="left"/>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因云平台自身安全隐患原因造成云上业务系统被恶意入侵攻击，造成业务系统数据泄露事件（不含日志），并被相关部门通报。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C2D1D">
            <w:pPr>
              <w:pStyle w:val="5"/>
              <w:widowControl/>
              <w:jc w:val="left"/>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每次</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 xml:space="preserve">金额为年度政务云服务总金额的 </w:t>
            </w:r>
            <w:r>
              <w:rPr>
                <w:rStyle w:val="14"/>
                <w:rFonts w:hint="eastAsia" w:ascii="宋体" w:hAnsi="宋体" w:eastAsia="宋体" w:cs="宋体"/>
                <w:color w:val="auto"/>
                <w:kern w:val="0"/>
                <w:sz w:val="21"/>
                <w:szCs w:val="21"/>
                <w:highlight w:val="none"/>
                <w:lang w:val="en-US" w:eastAsia="zh-CN"/>
              </w:rPr>
              <w:t>5</w:t>
            </w:r>
            <w:r>
              <w:rPr>
                <w:rStyle w:val="14"/>
                <w:rFonts w:hint="eastAsia" w:ascii="宋体" w:hAnsi="宋体" w:eastAsia="宋体" w:cs="宋体"/>
                <w:color w:val="auto"/>
                <w:kern w:val="0"/>
                <w:sz w:val="21"/>
                <w:szCs w:val="21"/>
                <w:highlight w:val="none"/>
              </w:rPr>
              <w:t>%。直到扣完本年度服务总金额为止。</w:t>
            </w:r>
          </w:p>
        </w:tc>
      </w:tr>
      <w:tr w14:paraId="797C8078">
        <w:tblPrEx>
          <w:tblCellMar>
            <w:top w:w="0" w:type="dxa"/>
            <w:left w:w="108" w:type="dxa"/>
            <w:bottom w:w="0" w:type="dxa"/>
            <w:right w:w="108" w:type="dxa"/>
          </w:tblCellMar>
        </w:tblPrEx>
        <w:trPr>
          <w:trHeight w:val="12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5692AF">
            <w:pPr>
              <w:pStyle w:val="5"/>
              <w:jc w:val="center"/>
              <w:rPr>
                <w:rStyle w:val="14"/>
                <w:rFonts w:hint="eastAsia" w:ascii="宋体" w:hAnsi="宋体" w:eastAsia="宋体" w:cs="宋体"/>
                <w:color w:val="auto"/>
                <w:sz w:val="21"/>
                <w:szCs w:val="21"/>
                <w:highlight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DADF5">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数据丢失</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9BD288">
            <w:pPr>
              <w:pStyle w:val="5"/>
              <w:widowControl/>
              <w:jc w:val="left"/>
              <w:textAlignment w:val="center"/>
              <w:rPr>
                <w:rStyle w:val="14"/>
                <w:rFonts w:hint="eastAsia" w:ascii="宋体" w:hAnsi="宋体" w:eastAsia="宋体" w:cs="宋体"/>
                <w:color w:val="auto"/>
                <w:sz w:val="21"/>
                <w:szCs w:val="21"/>
                <w:highlight w:val="none"/>
                <w:lang w:eastAsia="zh-CN"/>
              </w:rPr>
            </w:pPr>
            <w:r>
              <w:rPr>
                <w:rStyle w:val="14"/>
                <w:rFonts w:hint="eastAsia" w:ascii="宋体" w:hAnsi="宋体" w:eastAsia="宋体" w:cs="宋体"/>
                <w:color w:val="auto"/>
                <w:kern w:val="0"/>
                <w:sz w:val="21"/>
                <w:szCs w:val="21"/>
                <w:highlight w:val="none"/>
              </w:rPr>
              <w:t>因云平台原因造成1个及以上租户的业务数据或云主机数据丢失（不含日志文件），且确认无法恢复。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24A3D">
            <w:pPr>
              <w:pStyle w:val="5"/>
              <w:widowControl/>
              <w:jc w:val="left"/>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每次</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金额为年度政务云服务总金额的</w:t>
            </w:r>
            <w:r>
              <w:rPr>
                <w:rStyle w:val="14"/>
                <w:rFonts w:hint="eastAsia" w:ascii="宋体" w:hAnsi="宋体" w:eastAsia="宋体" w:cs="宋体"/>
                <w:color w:val="auto"/>
                <w:kern w:val="0"/>
                <w:sz w:val="21"/>
                <w:szCs w:val="21"/>
                <w:highlight w:val="none"/>
                <w:lang w:val="en-US" w:eastAsia="zh-CN"/>
              </w:rPr>
              <w:t>5</w:t>
            </w:r>
            <w:r>
              <w:rPr>
                <w:rStyle w:val="14"/>
                <w:rFonts w:hint="eastAsia" w:ascii="宋体" w:hAnsi="宋体" w:eastAsia="宋体" w:cs="宋体"/>
                <w:color w:val="auto"/>
                <w:kern w:val="0"/>
                <w:sz w:val="21"/>
                <w:szCs w:val="21"/>
                <w:highlight w:val="none"/>
              </w:rPr>
              <w:t>%。直到扣完本年度服务总金额为止。</w:t>
            </w:r>
          </w:p>
        </w:tc>
      </w:tr>
      <w:tr w14:paraId="0C0D825A">
        <w:tblPrEx>
          <w:tblCellMar>
            <w:top w:w="0" w:type="dxa"/>
            <w:left w:w="108" w:type="dxa"/>
            <w:bottom w:w="0" w:type="dxa"/>
            <w:right w:w="108" w:type="dxa"/>
          </w:tblCellMar>
        </w:tblPrEx>
        <w:trPr>
          <w:trHeight w:val="120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B218BC">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一级事故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27442">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服务中断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16D889">
            <w:pPr>
              <w:pStyle w:val="5"/>
              <w:widowControl/>
              <w:jc w:val="left"/>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因云服务商提供的云平台发生故障，导致云上</w:t>
            </w:r>
            <w:r>
              <w:rPr>
                <w:rStyle w:val="14"/>
                <w:rFonts w:hint="eastAsia" w:ascii="宋体" w:hAnsi="宋体" w:eastAsia="宋体" w:cs="宋体"/>
                <w:color w:val="auto"/>
                <w:kern w:val="0"/>
                <w:sz w:val="21"/>
                <w:szCs w:val="21"/>
                <w:highlight w:val="none"/>
                <w:lang w:val="en-US" w:eastAsia="zh-CN"/>
              </w:rPr>
              <w:t>2</w:t>
            </w:r>
            <w:r>
              <w:rPr>
                <w:rStyle w:val="14"/>
                <w:rFonts w:hint="eastAsia" w:ascii="宋体" w:hAnsi="宋体" w:eastAsia="宋体" w:cs="宋体"/>
                <w:color w:val="auto"/>
                <w:kern w:val="0"/>
                <w:sz w:val="21"/>
                <w:szCs w:val="21"/>
                <w:highlight w:val="none"/>
              </w:rPr>
              <w:t>个租户</w:t>
            </w:r>
            <w:r>
              <w:rPr>
                <w:rStyle w:val="14"/>
                <w:rFonts w:hint="eastAsia" w:ascii="宋体" w:hAnsi="宋体" w:eastAsia="宋体" w:cs="宋体"/>
                <w:color w:val="auto"/>
                <w:kern w:val="0"/>
                <w:sz w:val="21"/>
                <w:szCs w:val="21"/>
                <w:highlight w:val="none"/>
                <w:lang w:eastAsia="zh-CN"/>
              </w:rPr>
              <w:t>全部</w:t>
            </w:r>
            <w:r>
              <w:rPr>
                <w:rStyle w:val="14"/>
                <w:rFonts w:hint="eastAsia" w:ascii="宋体" w:hAnsi="宋体" w:eastAsia="宋体" w:cs="宋体"/>
                <w:color w:val="auto"/>
                <w:kern w:val="0"/>
                <w:sz w:val="21"/>
                <w:szCs w:val="21"/>
                <w:highlight w:val="none"/>
              </w:rPr>
              <w:t>业务无法办理</w:t>
            </w:r>
            <w:r>
              <w:rPr>
                <w:rStyle w:val="14"/>
                <w:rFonts w:hint="eastAsia" w:ascii="宋体" w:hAnsi="宋体" w:eastAsia="宋体" w:cs="宋体"/>
                <w:color w:val="auto"/>
                <w:kern w:val="0"/>
                <w:sz w:val="21"/>
                <w:szCs w:val="21"/>
                <w:highlight w:val="none"/>
                <w:lang w:eastAsia="zh-CN"/>
              </w:rPr>
              <w:t>，超过</w:t>
            </w:r>
            <w:r>
              <w:rPr>
                <w:rStyle w:val="14"/>
                <w:rFonts w:hint="eastAsia" w:ascii="宋体" w:hAnsi="宋体" w:eastAsia="宋体" w:cs="宋体"/>
                <w:color w:val="auto"/>
                <w:kern w:val="0"/>
                <w:sz w:val="21"/>
                <w:szCs w:val="21"/>
                <w:highlight w:val="none"/>
                <w:lang w:val="en-US" w:eastAsia="zh-CN"/>
              </w:rPr>
              <w:t>1个小时未成功恢复正常</w:t>
            </w:r>
            <w:r>
              <w:rPr>
                <w:rStyle w:val="14"/>
                <w:rFonts w:hint="eastAsia" w:ascii="宋体" w:hAnsi="宋体" w:eastAsia="宋体" w:cs="宋体"/>
                <w:color w:val="auto"/>
                <w:kern w:val="0"/>
                <w:sz w:val="21"/>
                <w:szCs w:val="21"/>
                <w:highlight w:val="none"/>
              </w:rPr>
              <w:t>，影响时长以收到第一次故障报告时间起算。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4296D">
            <w:pPr>
              <w:pStyle w:val="5"/>
              <w:widowControl/>
              <w:numPr>
                <w:ilvl w:val="0"/>
                <w:numId w:val="81"/>
              </w:numPr>
              <w:jc w:val="left"/>
              <w:textAlignment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lang w:val="en-US"/>
              </w:rPr>
              <w:t>对于超过</w:t>
            </w:r>
            <w:r>
              <w:rPr>
                <w:rStyle w:val="14"/>
                <w:rFonts w:hint="eastAsia" w:ascii="宋体" w:hAnsi="宋体" w:eastAsia="宋体" w:cs="宋体"/>
                <w:color w:val="auto"/>
                <w:kern w:val="0"/>
                <w:sz w:val="21"/>
                <w:szCs w:val="21"/>
                <w:highlight w:val="none"/>
                <w:lang w:val="en-US" w:eastAsia="zh-CN"/>
              </w:rPr>
              <w:t>1小时</w:t>
            </w:r>
            <w:r>
              <w:rPr>
                <w:rStyle w:val="14"/>
                <w:rFonts w:hint="eastAsia" w:ascii="宋体" w:hAnsi="宋体" w:eastAsia="宋体" w:cs="宋体"/>
                <w:color w:val="auto"/>
                <w:kern w:val="0"/>
                <w:sz w:val="21"/>
                <w:szCs w:val="21"/>
                <w:highlight w:val="none"/>
                <w:lang w:val="en-US"/>
              </w:rPr>
              <w:t>未恢复业务，</w:t>
            </w:r>
            <w:r>
              <w:rPr>
                <w:rStyle w:val="14"/>
                <w:rFonts w:hint="eastAsia" w:ascii="宋体" w:hAnsi="宋体" w:eastAsia="宋体" w:cs="宋体"/>
                <w:color w:val="auto"/>
                <w:kern w:val="0"/>
                <w:sz w:val="21"/>
                <w:szCs w:val="21"/>
                <w:highlight w:val="none"/>
                <w:lang w:val="en-US" w:eastAsia="zh-CN"/>
              </w:rPr>
              <w:t>将对云服务商采取扣款的惩罚措施。</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 xml:space="preserve">金额以业务受影响时长（以小时为单位）作为基数乘以年度政务云服务总金额的 </w:t>
            </w:r>
            <w:r>
              <w:rPr>
                <w:rStyle w:val="14"/>
                <w:rFonts w:hint="eastAsia" w:ascii="宋体" w:hAnsi="宋体" w:eastAsia="宋体" w:cs="宋体"/>
                <w:color w:val="auto"/>
                <w:kern w:val="0"/>
                <w:sz w:val="21"/>
                <w:szCs w:val="21"/>
                <w:highlight w:val="none"/>
                <w:lang w:val="en-US" w:eastAsia="zh-CN"/>
              </w:rPr>
              <w:t>3</w:t>
            </w:r>
            <w:r>
              <w:rPr>
                <w:rStyle w:val="14"/>
                <w:rFonts w:hint="eastAsia" w:ascii="宋体" w:hAnsi="宋体" w:eastAsia="宋体" w:cs="宋体"/>
                <w:color w:val="auto"/>
                <w:kern w:val="0"/>
                <w:sz w:val="21"/>
                <w:szCs w:val="21"/>
                <w:highlight w:val="none"/>
              </w:rPr>
              <w:t>%，具体计算方法为：</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金额=时长（以小时为单位）*年度政务云服务总金额*</w:t>
            </w:r>
            <w:r>
              <w:rPr>
                <w:rStyle w:val="14"/>
                <w:rFonts w:hint="eastAsia" w:ascii="宋体" w:hAnsi="宋体" w:eastAsia="宋体" w:cs="宋体"/>
                <w:color w:val="auto"/>
                <w:kern w:val="0"/>
                <w:sz w:val="21"/>
                <w:szCs w:val="21"/>
                <w:highlight w:val="none"/>
                <w:lang w:val="en-US" w:eastAsia="zh-CN"/>
              </w:rPr>
              <w:t>3</w:t>
            </w:r>
            <w:r>
              <w:rPr>
                <w:rStyle w:val="14"/>
                <w:rFonts w:hint="eastAsia" w:ascii="宋体" w:hAnsi="宋体" w:eastAsia="宋体" w:cs="宋体"/>
                <w:color w:val="auto"/>
                <w:kern w:val="0"/>
                <w:sz w:val="21"/>
                <w:szCs w:val="21"/>
                <w:highlight w:val="none"/>
              </w:rPr>
              <w:t>%，直到扣完本年度服务总金额为止。举例：若该年度政务云服务总金额为100万，发生半个小时一级事故，则</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金额为0.5*100*</w:t>
            </w:r>
            <w:r>
              <w:rPr>
                <w:rStyle w:val="14"/>
                <w:rFonts w:hint="eastAsia" w:ascii="宋体" w:hAnsi="宋体" w:eastAsia="宋体" w:cs="宋体"/>
                <w:color w:val="auto"/>
                <w:kern w:val="0"/>
                <w:sz w:val="21"/>
                <w:szCs w:val="21"/>
                <w:highlight w:val="none"/>
                <w:lang w:val="en-US" w:eastAsia="zh-CN"/>
              </w:rPr>
              <w:t>3</w:t>
            </w:r>
            <w:r>
              <w:rPr>
                <w:rStyle w:val="14"/>
                <w:rFonts w:hint="eastAsia" w:ascii="宋体" w:hAnsi="宋体" w:eastAsia="宋体" w:cs="宋体"/>
                <w:color w:val="auto"/>
                <w:kern w:val="0"/>
                <w:sz w:val="21"/>
                <w:szCs w:val="21"/>
                <w:highlight w:val="none"/>
              </w:rPr>
              <w:t>%=</w:t>
            </w:r>
            <w:r>
              <w:rPr>
                <w:rStyle w:val="14"/>
                <w:rFonts w:hint="eastAsia" w:ascii="宋体" w:hAnsi="宋体" w:eastAsia="宋体" w:cs="宋体"/>
                <w:color w:val="auto"/>
                <w:kern w:val="0"/>
                <w:sz w:val="21"/>
                <w:szCs w:val="21"/>
                <w:highlight w:val="none"/>
                <w:lang w:val="en-US" w:eastAsia="zh-CN"/>
              </w:rPr>
              <w:t>1.5</w:t>
            </w:r>
            <w:r>
              <w:rPr>
                <w:rStyle w:val="14"/>
                <w:rFonts w:hint="eastAsia" w:ascii="宋体" w:hAnsi="宋体" w:eastAsia="宋体" w:cs="宋体"/>
                <w:color w:val="auto"/>
                <w:kern w:val="0"/>
                <w:sz w:val="21"/>
                <w:szCs w:val="21"/>
                <w:highlight w:val="none"/>
              </w:rPr>
              <w:t>万</w:t>
            </w:r>
          </w:p>
          <w:p w14:paraId="2EDCFD0C">
            <w:pPr>
              <w:pStyle w:val="5"/>
              <w:widowControl/>
              <w:numPr>
                <w:ilvl w:val="0"/>
                <w:numId w:val="81"/>
              </w:numPr>
              <w:jc w:val="left"/>
              <w:textAlignment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lang w:val="en-US"/>
              </w:rPr>
              <w:t>对于在</w:t>
            </w:r>
            <w:r>
              <w:rPr>
                <w:rStyle w:val="14"/>
                <w:rFonts w:hint="eastAsia" w:ascii="宋体" w:hAnsi="宋体" w:eastAsia="宋体" w:cs="宋体"/>
                <w:color w:val="auto"/>
                <w:kern w:val="0"/>
                <w:sz w:val="21"/>
                <w:szCs w:val="21"/>
                <w:highlight w:val="none"/>
                <w:lang w:val="en-US" w:eastAsia="zh-CN"/>
              </w:rPr>
              <w:t>1小时</w:t>
            </w:r>
            <w:r>
              <w:rPr>
                <w:rStyle w:val="14"/>
                <w:rFonts w:hint="eastAsia" w:ascii="宋体" w:hAnsi="宋体" w:eastAsia="宋体" w:cs="宋体"/>
                <w:color w:val="auto"/>
                <w:kern w:val="0"/>
                <w:sz w:val="21"/>
                <w:szCs w:val="21"/>
                <w:highlight w:val="none"/>
                <w:lang w:val="en-US"/>
              </w:rPr>
              <w:t>内恢复业务的，不对云服务商进行</w:t>
            </w:r>
            <w:r>
              <w:rPr>
                <w:rStyle w:val="14"/>
                <w:rFonts w:hint="eastAsia" w:ascii="宋体" w:hAnsi="宋体" w:eastAsia="宋体" w:cs="宋体"/>
                <w:color w:val="auto"/>
                <w:kern w:val="0"/>
                <w:sz w:val="21"/>
                <w:szCs w:val="21"/>
                <w:highlight w:val="none"/>
                <w:lang w:val="en-US" w:eastAsia="zh-CN"/>
              </w:rPr>
              <w:t>扣款</w:t>
            </w:r>
            <w:r>
              <w:rPr>
                <w:rStyle w:val="14"/>
                <w:rFonts w:hint="eastAsia" w:ascii="宋体" w:hAnsi="宋体" w:eastAsia="宋体" w:cs="宋体"/>
                <w:color w:val="auto"/>
                <w:kern w:val="0"/>
                <w:sz w:val="21"/>
                <w:szCs w:val="21"/>
                <w:highlight w:val="none"/>
                <w:lang w:val="en-US"/>
              </w:rPr>
              <w:t>，按照其他处罚要求进行处理。</w:t>
            </w:r>
          </w:p>
        </w:tc>
      </w:tr>
      <w:tr w14:paraId="7E7E6CC4">
        <w:tblPrEx>
          <w:tblCellMar>
            <w:top w:w="0" w:type="dxa"/>
            <w:left w:w="108" w:type="dxa"/>
            <w:bottom w:w="0" w:type="dxa"/>
            <w:right w:w="108"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6CC046">
            <w:pPr>
              <w:pStyle w:val="5"/>
              <w:jc w:val="center"/>
              <w:rPr>
                <w:rStyle w:val="14"/>
                <w:rFonts w:hint="eastAsia" w:ascii="宋体" w:hAnsi="宋体" w:eastAsia="宋体" w:cs="宋体"/>
                <w:color w:val="auto"/>
                <w:sz w:val="21"/>
                <w:szCs w:val="21"/>
                <w:highlight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493BF6">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数据丢失</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581C3">
            <w:pPr>
              <w:pStyle w:val="5"/>
              <w:widowControl/>
              <w:jc w:val="left"/>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因云平台原因造成1个及以上租户的业务数据丢失或云主机数据丢失（不含日志文件），确认可以恢复。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253EA">
            <w:pPr>
              <w:pStyle w:val="5"/>
              <w:widowControl/>
              <w:jc w:val="left"/>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每次</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金额为年度政务云服务总金额的</w:t>
            </w:r>
            <w:r>
              <w:rPr>
                <w:rStyle w:val="14"/>
                <w:rFonts w:hint="eastAsia" w:ascii="宋体" w:hAnsi="宋体" w:eastAsia="宋体" w:cs="宋体"/>
                <w:color w:val="auto"/>
                <w:kern w:val="0"/>
                <w:sz w:val="21"/>
                <w:szCs w:val="21"/>
                <w:highlight w:val="none"/>
                <w:lang w:val="en-US" w:eastAsia="zh-CN"/>
              </w:rPr>
              <w:t>3</w:t>
            </w:r>
            <w:r>
              <w:rPr>
                <w:rStyle w:val="14"/>
                <w:rFonts w:hint="eastAsia" w:ascii="宋体" w:hAnsi="宋体" w:eastAsia="宋体" w:cs="宋体"/>
                <w:color w:val="auto"/>
                <w:kern w:val="0"/>
                <w:sz w:val="21"/>
                <w:szCs w:val="21"/>
                <w:highlight w:val="none"/>
              </w:rPr>
              <w:t>%。直到扣完本年度服务总金额为止。</w:t>
            </w:r>
          </w:p>
        </w:tc>
      </w:tr>
      <w:tr w14:paraId="05D7CC61">
        <w:tblPrEx>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54F1202">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二级事故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F68F9">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服务中断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73F56">
            <w:pPr>
              <w:pStyle w:val="5"/>
              <w:widowControl/>
              <w:jc w:val="left"/>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因云平台自身发生故障导致</w:t>
            </w:r>
            <w:r>
              <w:rPr>
                <w:rStyle w:val="14"/>
                <w:rFonts w:hint="eastAsia" w:ascii="宋体" w:hAnsi="宋体" w:eastAsia="宋体" w:cs="宋体"/>
                <w:color w:val="auto"/>
                <w:kern w:val="0"/>
                <w:sz w:val="21"/>
                <w:szCs w:val="21"/>
                <w:highlight w:val="none"/>
                <w:lang w:eastAsia="zh-CN"/>
              </w:rPr>
              <w:t>租户的部分</w:t>
            </w:r>
            <w:r>
              <w:rPr>
                <w:rStyle w:val="14"/>
                <w:rFonts w:hint="eastAsia" w:ascii="宋体" w:hAnsi="宋体" w:eastAsia="宋体" w:cs="宋体"/>
                <w:color w:val="auto"/>
                <w:kern w:val="0"/>
                <w:sz w:val="21"/>
                <w:szCs w:val="21"/>
                <w:highlight w:val="none"/>
              </w:rPr>
              <w:t>业务无法办理或访问卡顿（同比上一业务时间段</w:t>
            </w:r>
            <w:r>
              <w:rPr>
                <w:rStyle w:val="14"/>
                <w:rFonts w:hint="eastAsia" w:ascii="宋体" w:hAnsi="宋体" w:eastAsia="宋体" w:cs="宋体"/>
                <w:color w:val="auto"/>
                <w:kern w:val="0"/>
                <w:sz w:val="21"/>
                <w:szCs w:val="21"/>
                <w:highlight w:val="none"/>
                <w:lang w:val="en-US"/>
              </w:rPr>
              <w:t>业务系统对应的云资源池</w:t>
            </w:r>
            <w:r>
              <w:rPr>
                <w:rStyle w:val="14"/>
                <w:rFonts w:hint="eastAsia" w:ascii="宋体" w:hAnsi="宋体" w:eastAsia="宋体" w:cs="宋体"/>
                <w:color w:val="auto"/>
                <w:kern w:val="0"/>
                <w:sz w:val="21"/>
                <w:szCs w:val="21"/>
                <w:highlight w:val="none"/>
              </w:rPr>
              <w:t>性能采集数据下降了20%</w:t>
            </w:r>
            <w:r>
              <w:rPr>
                <w:rStyle w:val="14"/>
                <w:rFonts w:hint="eastAsia" w:ascii="宋体" w:hAnsi="宋体" w:eastAsia="宋体" w:cs="宋体"/>
                <w:color w:val="auto"/>
                <w:kern w:val="0"/>
                <w:sz w:val="21"/>
                <w:szCs w:val="21"/>
                <w:highlight w:val="none"/>
                <w:lang w:val="en-US" w:eastAsia="zh-CN"/>
              </w:rPr>
              <w:t>以上</w:t>
            </w:r>
            <w:r>
              <w:rPr>
                <w:rStyle w:val="14"/>
                <w:rFonts w:hint="eastAsia" w:ascii="宋体" w:hAnsi="宋体" w:eastAsia="宋体" w:cs="宋体"/>
                <w:color w:val="auto"/>
                <w:kern w:val="0"/>
                <w:sz w:val="21"/>
                <w:szCs w:val="21"/>
                <w:highlight w:val="none"/>
              </w:rPr>
              <w:t>）影响时长以收到系统采集性能下降时间起算，若无，则以收到第一次故障报告时间起算。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FC4216">
            <w:pPr>
              <w:pStyle w:val="5"/>
              <w:widowControl/>
              <w:numPr>
                <w:ilvl w:val="0"/>
                <w:numId w:val="82"/>
              </w:numPr>
              <w:jc w:val="left"/>
              <w:textAlignment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lang w:val="en-US"/>
              </w:rPr>
              <w:t>对于</w:t>
            </w:r>
            <w:r>
              <w:rPr>
                <w:rStyle w:val="14"/>
                <w:rFonts w:hint="eastAsia" w:ascii="宋体" w:hAnsi="宋体" w:eastAsia="宋体" w:cs="宋体"/>
                <w:color w:val="auto"/>
                <w:kern w:val="0"/>
                <w:sz w:val="21"/>
                <w:szCs w:val="21"/>
                <w:highlight w:val="none"/>
                <w:lang w:eastAsia="zh-CN"/>
              </w:rPr>
              <w:t>超过</w:t>
            </w:r>
            <w:r>
              <w:rPr>
                <w:rStyle w:val="14"/>
                <w:rFonts w:hint="eastAsia" w:ascii="宋体" w:hAnsi="宋体" w:eastAsia="宋体" w:cs="宋体"/>
                <w:color w:val="auto"/>
                <w:kern w:val="0"/>
                <w:sz w:val="21"/>
                <w:szCs w:val="21"/>
                <w:highlight w:val="none"/>
                <w:lang w:val="en-US" w:eastAsia="zh-CN"/>
              </w:rPr>
              <w:t>1.5小时未能恢复正常的，</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金额以业务受影响时长（以</w:t>
            </w:r>
            <w:r>
              <w:rPr>
                <w:rStyle w:val="14"/>
                <w:rFonts w:hint="eastAsia" w:ascii="宋体" w:hAnsi="宋体" w:eastAsia="宋体" w:cs="宋体"/>
                <w:color w:val="auto"/>
                <w:kern w:val="0"/>
                <w:sz w:val="21"/>
                <w:szCs w:val="21"/>
                <w:highlight w:val="none"/>
                <w:lang w:val="en-US" w:eastAsia="zh-CN"/>
              </w:rPr>
              <w:t>0.5</w:t>
            </w:r>
            <w:r>
              <w:rPr>
                <w:rStyle w:val="14"/>
                <w:rFonts w:hint="eastAsia" w:ascii="宋体" w:hAnsi="宋体" w:eastAsia="宋体" w:cs="宋体"/>
                <w:color w:val="auto"/>
                <w:kern w:val="0"/>
                <w:sz w:val="21"/>
                <w:szCs w:val="21"/>
                <w:highlight w:val="none"/>
              </w:rPr>
              <w:t>小时为单位）作为基数乘以该年度政务云服务总金额的</w:t>
            </w:r>
            <w:r>
              <w:rPr>
                <w:rStyle w:val="14"/>
                <w:rFonts w:hint="eastAsia" w:ascii="宋体" w:hAnsi="宋体" w:eastAsia="宋体" w:cs="宋体"/>
                <w:color w:val="auto"/>
                <w:kern w:val="0"/>
                <w:sz w:val="21"/>
                <w:szCs w:val="21"/>
                <w:highlight w:val="none"/>
                <w:lang w:val="en-US" w:eastAsia="zh-CN"/>
              </w:rPr>
              <w:t>1</w:t>
            </w:r>
            <w:r>
              <w:rPr>
                <w:rStyle w:val="14"/>
                <w:rFonts w:hint="eastAsia" w:ascii="宋体" w:hAnsi="宋体" w:eastAsia="宋体" w:cs="宋体"/>
                <w:color w:val="auto"/>
                <w:kern w:val="0"/>
                <w:sz w:val="21"/>
                <w:szCs w:val="21"/>
                <w:highlight w:val="none"/>
              </w:rPr>
              <w:t>%，</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 xml:space="preserve">金额在年度服务费中扣除。具体计算方法为：时长*该年度服务金额的 </w:t>
            </w:r>
            <w:r>
              <w:rPr>
                <w:rStyle w:val="14"/>
                <w:rFonts w:hint="eastAsia" w:ascii="宋体" w:hAnsi="宋体" w:eastAsia="宋体" w:cs="宋体"/>
                <w:color w:val="auto"/>
                <w:kern w:val="0"/>
                <w:sz w:val="21"/>
                <w:szCs w:val="21"/>
                <w:highlight w:val="none"/>
                <w:lang w:val="en-US" w:eastAsia="zh-CN"/>
              </w:rPr>
              <w:t>1</w:t>
            </w:r>
            <w:r>
              <w:rPr>
                <w:rStyle w:val="14"/>
                <w:rFonts w:hint="eastAsia" w:ascii="宋体" w:hAnsi="宋体" w:eastAsia="宋体" w:cs="宋体"/>
                <w:color w:val="auto"/>
                <w:kern w:val="0"/>
                <w:sz w:val="21"/>
                <w:szCs w:val="21"/>
                <w:highlight w:val="none"/>
              </w:rPr>
              <w:t>%＝</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金额，直到扣完本年度服务费为止。举例：若该年度政务云服务总金额为 100 万，发生半个小时二级事故，则</w:t>
            </w:r>
            <w:r>
              <w:rPr>
                <w:rStyle w:val="14"/>
                <w:rFonts w:hint="eastAsia" w:ascii="宋体" w:hAnsi="宋体" w:eastAsia="宋体" w:cs="宋体"/>
                <w:color w:val="auto"/>
                <w:kern w:val="0"/>
                <w:sz w:val="21"/>
                <w:szCs w:val="21"/>
                <w:highlight w:val="none"/>
                <w:lang w:eastAsia="zh-CN"/>
              </w:rPr>
              <w:t>扣款</w:t>
            </w:r>
            <w:r>
              <w:rPr>
                <w:rStyle w:val="14"/>
                <w:rFonts w:hint="eastAsia" w:ascii="宋体" w:hAnsi="宋体" w:eastAsia="宋体" w:cs="宋体"/>
                <w:color w:val="auto"/>
                <w:kern w:val="0"/>
                <w:sz w:val="21"/>
                <w:szCs w:val="21"/>
                <w:highlight w:val="none"/>
              </w:rPr>
              <w:t>金额为 0.5*100*</w:t>
            </w:r>
            <w:r>
              <w:rPr>
                <w:rStyle w:val="14"/>
                <w:rFonts w:hint="eastAsia" w:ascii="宋体" w:hAnsi="宋体" w:eastAsia="宋体" w:cs="宋体"/>
                <w:color w:val="auto"/>
                <w:kern w:val="0"/>
                <w:sz w:val="21"/>
                <w:szCs w:val="21"/>
                <w:highlight w:val="none"/>
                <w:lang w:val="en-US" w:eastAsia="zh-CN"/>
              </w:rPr>
              <w:t>1</w:t>
            </w:r>
            <w:r>
              <w:rPr>
                <w:rStyle w:val="14"/>
                <w:rFonts w:hint="eastAsia" w:ascii="宋体" w:hAnsi="宋体" w:eastAsia="宋体" w:cs="宋体"/>
                <w:color w:val="auto"/>
                <w:kern w:val="0"/>
                <w:sz w:val="21"/>
                <w:szCs w:val="21"/>
                <w:highlight w:val="none"/>
              </w:rPr>
              <w:t>%=</w:t>
            </w:r>
            <w:r>
              <w:rPr>
                <w:rStyle w:val="14"/>
                <w:rFonts w:hint="eastAsia" w:ascii="宋体" w:hAnsi="宋体" w:eastAsia="宋体" w:cs="宋体"/>
                <w:color w:val="auto"/>
                <w:kern w:val="0"/>
                <w:sz w:val="21"/>
                <w:szCs w:val="21"/>
                <w:highlight w:val="none"/>
                <w:lang w:val="en-US" w:eastAsia="zh-CN"/>
              </w:rPr>
              <w:t>0.5</w:t>
            </w:r>
            <w:r>
              <w:rPr>
                <w:rStyle w:val="14"/>
                <w:rFonts w:hint="eastAsia" w:ascii="宋体" w:hAnsi="宋体" w:eastAsia="宋体" w:cs="宋体"/>
                <w:color w:val="auto"/>
                <w:kern w:val="0"/>
                <w:sz w:val="21"/>
                <w:szCs w:val="21"/>
                <w:highlight w:val="none"/>
              </w:rPr>
              <w:t>万。直到扣完本年度服务总金额为止。</w:t>
            </w:r>
          </w:p>
          <w:p w14:paraId="3C12B637">
            <w:pPr>
              <w:pStyle w:val="5"/>
              <w:widowControl/>
              <w:jc w:val="left"/>
              <w:textAlignment w:val="center"/>
              <w:rPr>
                <w:rStyle w:val="14"/>
                <w:rFonts w:hint="eastAsia" w:ascii="宋体" w:hAnsi="宋体" w:eastAsia="宋体" w:cs="宋体"/>
                <w:color w:val="auto"/>
                <w:kern w:val="0"/>
                <w:sz w:val="21"/>
                <w:szCs w:val="21"/>
                <w:highlight w:val="none"/>
              </w:rPr>
            </w:pPr>
            <w:r>
              <w:rPr>
                <w:rStyle w:val="14"/>
                <w:rFonts w:hint="eastAsia" w:ascii="宋体" w:hAnsi="宋体" w:eastAsia="宋体" w:cs="宋体"/>
                <w:color w:val="auto"/>
                <w:kern w:val="0"/>
                <w:sz w:val="21"/>
                <w:szCs w:val="21"/>
                <w:highlight w:val="none"/>
                <w:lang w:val="en-US"/>
              </w:rPr>
              <w:t>（2）对于在</w:t>
            </w:r>
            <w:r>
              <w:rPr>
                <w:rStyle w:val="14"/>
                <w:rFonts w:hint="eastAsia" w:ascii="宋体" w:hAnsi="宋体" w:eastAsia="宋体" w:cs="宋体"/>
                <w:color w:val="auto"/>
                <w:kern w:val="0"/>
                <w:sz w:val="21"/>
                <w:szCs w:val="21"/>
                <w:highlight w:val="none"/>
                <w:lang w:val="en-US" w:eastAsia="zh-CN"/>
              </w:rPr>
              <w:t>1.5小时</w:t>
            </w:r>
            <w:r>
              <w:rPr>
                <w:rStyle w:val="14"/>
                <w:rFonts w:hint="eastAsia" w:ascii="宋体" w:hAnsi="宋体" w:eastAsia="宋体" w:cs="宋体"/>
                <w:color w:val="auto"/>
                <w:kern w:val="0"/>
                <w:sz w:val="21"/>
                <w:szCs w:val="21"/>
                <w:highlight w:val="none"/>
                <w:lang w:val="en-US"/>
              </w:rPr>
              <w:t>内恢复正常的，不对云服务商进行</w:t>
            </w:r>
            <w:r>
              <w:rPr>
                <w:rStyle w:val="14"/>
                <w:rFonts w:hint="eastAsia" w:ascii="宋体" w:hAnsi="宋体" w:eastAsia="宋体" w:cs="宋体"/>
                <w:color w:val="auto"/>
                <w:kern w:val="0"/>
                <w:sz w:val="21"/>
                <w:szCs w:val="21"/>
                <w:highlight w:val="none"/>
                <w:lang w:val="en-US" w:eastAsia="zh-CN"/>
              </w:rPr>
              <w:t>扣款</w:t>
            </w:r>
            <w:r>
              <w:rPr>
                <w:rStyle w:val="14"/>
                <w:rFonts w:hint="eastAsia" w:ascii="宋体" w:hAnsi="宋体" w:eastAsia="宋体" w:cs="宋体"/>
                <w:color w:val="auto"/>
                <w:kern w:val="0"/>
                <w:sz w:val="21"/>
                <w:szCs w:val="21"/>
                <w:highlight w:val="none"/>
                <w:lang w:val="en-US"/>
              </w:rPr>
              <w:t>，按照其他处罚要求进行处理</w:t>
            </w:r>
            <w:r>
              <w:rPr>
                <w:rStyle w:val="14"/>
                <w:rFonts w:hint="eastAsia" w:ascii="宋体" w:hAnsi="宋体" w:eastAsia="宋体" w:cs="宋体"/>
                <w:color w:val="auto"/>
                <w:kern w:val="0"/>
                <w:sz w:val="21"/>
                <w:szCs w:val="21"/>
                <w:highlight w:val="none"/>
                <w:lang w:val="en-US" w:eastAsia="zh-CN"/>
              </w:rPr>
              <w:t>。</w:t>
            </w:r>
          </w:p>
        </w:tc>
      </w:tr>
      <w:tr w14:paraId="32F32B8F">
        <w:tblPrEx>
          <w:tblCellMar>
            <w:top w:w="0" w:type="dxa"/>
            <w:left w:w="108" w:type="dxa"/>
            <w:bottom w:w="0" w:type="dxa"/>
            <w:right w:w="108" w:type="dxa"/>
          </w:tblCellMar>
        </w:tblPrEx>
        <w:trPr>
          <w:trHeight w:val="84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2717E">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三级事故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361049">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不影响业务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04A07">
            <w:pPr>
              <w:pStyle w:val="5"/>
              <w:widowControl/>
              <w:jc w:val="left"/>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因云平台自身发生故障不影响业务系统，只影响云平台管理和内部通讯，比如无法采集性能数据等。</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9C6B98">
            <w:pPr>
              <w:pStyle w:val="5"/>
              <w:widowControl/>
              <w:jc w:val="center"/>
              <w:textAlignment w:val="center"/>
              <w:rPr>
                <w:rStyle w:val="14"/>
                <w:rFonts w:hint="eastAsia" w:ascii="宋体" w:hAnsi="宋体" w:eastAsia="宋体" w:cs="宋体"/>
                <w:color w:val="auto"/>
                <w:sz w:val="21"/>
                <w:szCs w:val="21"/>
                <w:highlight w:val="none"/>
              </w:rPr>
            </w:pPr>
            <w:r>
              <w:rPr>
                <w:rStyle w:val="14"/>
                <w:rFonts w:hint="eastAsia" w:ascii="宋体" w:hAnsi="宋体" w:eastAsia="宋体" w:cs="宋体"/>
                <w:color w:val="auto"/>
                <w:kern w:val="0"/>
                <w:sz w:val="21"/>
                <w:szCs w:val="21"/>
                <w:highlight w:val="none"/>
              </w:rPr>
              <w:t>/</w:t>
            </w:r>
          </w:p>
        </w:tc>
      </w:tr>
    </w:tbl>
    <w:p w14:paraId="6CB1A25B">
      <w:pPr>
        <w:pStyle w:val="5"/>
        <w:adjustRightInd/>
        <w:snapToGrid/>
        <w:spacing w:line="360" w:lineRule="auto"/>
        <w:ind w:firstLine="422" w:firstLineChars="200"/>
        <w:contextualSpacing/>
        <w:jc w:val="both"/>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2.合规要求扣款规则</w:t>
      </w:r>
    </w:p>
    <w:p w14:paraId="543336D1">
      <w:pPr>
        <w:pStyle w:val="5"/>
        <w:adjustRightInd w:val="0"/>
        <w:snapToGrid w:val="0"/>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（1）除不可抗力外，云服务商的云平台应在每个服务年度前6个月按时通过三级网络安全等级保护测评与密码应用安全性评估的，每延期 1 天，按年度政务云服务总金额的 0.1％ 进行扣款，扣款费用的最高限额为年度政务云服务总金额的</w:t>
      </w:r>
      <w:r>
        <w:rPr>
          <w:rStyle w:val="14"/>
          <w:rFonts w:hint="eastAsia" w:ascii="宋体" w:hAnsi="宋体" w:eastAsia="宋体" w:cs="宋体"/>
          <w:color w:val="auto"/>
          <w:kern w:val="0"/>
          <w:sz w:val="21"/>
          <w:szCs w:val="21"/>
          <w:highlight w:val="none"/>
          <w:lang w:val="en-US" w:eastAsia="zh-CN"/>
        </w:rPr>
        <w:t>5％。</w:t>
      </w:r>
    </w:p>
    <w:p w14:paraId="2F1FFCBE">
      <w:pPr>
        <w:pStyle w:val="5"/>
        <w:adjustRightInd/>
        <w:snapToGrid/>
        <w:spacing w:line="360" w:lineRule="auto"/>
        <w:ind w:firstLine="420" w:firstLineChars="0"/>
        <w:contextualSpacing/>
        <w:jc w:val="both"/>
        <w:rPr>
          <w:rStyle w:val="14"/>
          <w:rFonts w:hint="eastAsia" w:ascii="宋体" w:hAnsi="宋体" w:eastAsia="宋体" w:cs="宋体"/>
          <w:b/>
          <w:bCs/>
          <w:color w:val="auto"/>
          <w:kern w:val="2"/>
          <w:sz w:val="21"/>
          <w:szCs w:val="21"/>
          <w:highlight w:val="none"/>
          <w:lang w:val="en-US" w:eastAsia="zh-CN" w:bidi="ar-SA"/>
        </w:rPr>
      </w:pPr>
      <w:r>
        <w:rPr>
          <w:rStyle w:val="14"/>
          <w:rFonts w:hint="eastAsia" w:ascii="宋体" w:hAnsi="宋体" w:eastAsia="宋体" w:cs="宋体"/>
          <w:b/>
          <w:bCs/>
          <w:color w:val="auto"/>
          <w:kern w:val="2"/>
          <w:sz w:val="21"/>
          <w:szCs w:val="21"/>
          <w:highlight w:val="none"/>
          <w:lang w:val="en-US" w:eastAsia="zh-CN" w:bidi="ar-SA"/>
        </w:rPr>
        <w:t>3.取消服务资格</w:t>
      </w:r>
    </w:p>
    <w:p w14:paraId="411A553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当发生以下情况（包括不限于），采购方有权取消中标云服务商服务资格，云服务商应按照退出机制履行相关责任和义务：</w:t>
      </w:r>
    </w:p>
    <w:p w14:paraId="3C347F6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（1）云平台在一个服务周期内发生特级事故2次及以上；</w:t>
      </w:r>
    </w:p>
    <w:p w14:paraId="2D3EF036">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（2）云平台在一个服务周期内发生一级事故4次及以上；</w:t>
      </w:r>
    </w:p>
    <w:p w14:paraId="066595DD">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（4）年度考核系数低于0.6的；</w:t>
      </w:r>
    </w:p>
    <w:p w14:paraId="76CC504D">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（5）经查证存在利用政务云平台为非政务云用户提供服务的情况；</w:t>
      </w:r>
    </w:p>
    <w:p w14:paraId="112800D0">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（6）被采购方给予连续两次（时间间隔不小于30天）整改函，且最后一次整改函发出60天内，仍未达到整改要求的。</w:t>
      </w:r>
    </w:p>
    <w:p w14:paraId="3E060AAB">
      <w:pPr>
        <w:pStyle w:val="5"/>
        <w:keepNext/>
        <w:keepLines/>
        <w:numPr>
          <w:ilvl w:val="2"/>
          <w:numId w:val="2"/>
        </w:numPr>
        <w:adjustRightInd/>
        <w:snapToGrid/>
        <w:spacing w:line="360" w:lineRule="auto"/>
        <w:contextualSpacing/>
        <w:jc w:val="both"/>
        <w:outlineLvl w:val="2"/>
        <w:rPr>
          <w:rStyle w:val="14"/>
          <w:rFonts w:hint="eastAsia" w:ascii="宋体" w:hAnsi="宋体" w:eastAsia="宋体" w:cs="宋体"/>
          <w:bCs/>
          <w:color w:val="auto"/>
          <w:kern w:val="2"/>
          <w:sz w:val="21"/>
          <w:szCs w:val="21"/>
          <w:highlight w:val="none"/>
          <w:lang w:val="en-US" w:eastAsia="zh-CN" w:bidi="ar-SA"/>
        </w:rPr>
      </w:pPr>
      <w:bookmarkStart w:id="558" w:name="_Toc24073"/>
      <w:bookmarkStart w:id="559" w:name="_Toc4220"/>
      <w:bookmarkStart w:id="560" w:name="_Toc999"/>
      <w:bookmarkStart w:id="561" w:name="_Toc30906"/>
      <w:bookmarkStart w:id="562" w:name="_Toc256000140"/>
      <w:bookmarkStart w:id="563" w:name="_Toc20853"/>
      <w:r>
        <w:rPr>
          <w:rStyle w:val="14"/>
          <w:rFonts w:hint="eastAsia" w:ascii="宋体" w:hAnsi="宋体" w:eastAsia="宋体" w:cs="宋体"/>
          <w:bCs/>
          <w:color w:val="auto"/>
          <w:kern w:val="2"/>
          <w:sz w:val="21"/>
          <w:szCs w:val="21"/>
          <w:highlight w:val="none"/>
          <w:lang w:val="en-US" w:eastAsia="zh-CN" w:bidi="ar-SA"/>
        </w:rPr>
        <w:t>云服务商退出机制</w:t>
      </w:r>
      <w:bookmarkEnd w:id="558"/>
      <w:bookmarkEnd w:id="559"/>
      <w:bookmarkEnd w:id="560"/>
      <w:bookmarkEnd w:id="561"/>
      <w:bookmarkEnd w:id="562"/>
      <w:bookmarkEnd w:id="563"/>
    </w:p>
    <w:p w14:paraId="0CFDB288">
      <w:pPr>
        <w:pStyle w:val="5"/>
        <w:numPr>
          <w:ilvl w:val="0"/>
          <w:numId w:val="83"/>
        </w:numPr>
        <w:adjustRightInd/>
        <w:snapToGrid/>
        <w:spacing w:line="360" w:lineRule="auto"/>
        <w:ind w:firstLine="42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云服务商的退出包括主动退出和因处罚等原因取消服务资格两类。</w:t>
      </w:r>
    </w:p>
    <w:p w14:paraId="1803F2BD">
      <w:pPr>
        <w:pStyle w:val="5"/>
        <w:numPr>
          <w:ilvl w:val="0"/>
          <w:numId w:val="0"/>
        </w:numPr>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主动退出：若云服务商主动提出退出或服务期满不再续约，云服务商需至少提前6个月向采购方提出退出申请。</w:t>
      </w:r>
    </w:p>
    <w:p w14:paraId="793C1FA4">
      <w:pPr>
        <w:pStyle w:val="5"/>
        <w:adjustRightInd/>
        <w:snapToGrid/>
        <w:spacing w:line="360" w:lineRule="auto"/>
        <w:ind w:firstLine="42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若云服务商退出服务，应提供6个月的过渡期，云服务商须制定退出方案，无条件免费配合采购方、云上业务系统管理单位完成业务系统迁移与切换、数据迁移、数据移交与清理等工作，妥善处置政务云的设施设备，确保退出市级政务云的安全及云上业务系统的安全，不得以任何技术手段进行数据恢复。正式退出前，退出云服务商应确保退出前云上所承载业务系统的稳定性，不得对业务系统造成影响，否则将追究涉事退出云服务商责任。重点要配合做好以下工作：</w:t>
      </w:r>
    </w:p>
    <w:p w14:paraId="6BBC6B0C">
      <w:pPr>
        <w:pStyle w:val="5"/>
        <w:adjustRightInd/>
        <w:snapToGrid/>
        <w:spacing w:line="360" w:lineRule="auto"/>
        <w:ind w:firstLine="420" w:firstLineChars="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（1）提供数据和业务系统迁移出云平台的接口和方案；</w:t>
      </w:r>
    </w:p>
    <w:p w14:paraId="0890BBDE">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（2）在退出服务过程中，云服务商须完整返还数据；</w:t>
      </w:r>
    </w:p>
    <w:p w14:paraId="759DFDC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（3）在将数据和业务系统迁移至其他政务云平台的过程中，应满足应用可用性和持续性要求，如采取原业务系统与新部署业务系统并行运行一段时间等措施；</w:t>
      </w:r>
    </w:p>
    <w:p w14:paraId="1DCD2A08">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云服务商退出服务时，移交的数据范围包括但不限于采购方、业务系统管理单位移交给云服务商的数据和资料、业务系统在云平台上运行期间产生、收集的数据以及相关文档资料，如数据文件、程序代码、说明书、技术资料、运行日志等。</w:t>
      </w:r>
    </w:p>
    <w:p w14:paraId="6E2DA519">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4.云服务商退出时应确保移交数据的完整性和有效性，并无条件接受采购方对云服务商移交数据的监督和检验，详细要求如下：</w:t>
      </w:r>
    </w:p>
    <w:p w14:paraId="145E6132">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（1）云服务商应根据移交数据清单完整返还数据，包括现网数据、历史数据和归档数据等；</w:t>
      </w:r>
    </w:p>
    <w:p w14:paraId="00A15802">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（2）云服务商应无条件配合采购方验证返还数据的有效性，包括加密数据的解密验证、利用工具恢复专有格式数据验证；</w:t>
      </w:r>
    </w:p>
    <w:p w14:paraId="061E449A">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（3）云服务商移交的数据可通过业务系统验证其数据有效性和完整性，如将数据和业务系统部署在新的平台上运行验证。</w:t>
      </w:r>
    </w:p>
    <w:p w14:paraId="7F562FCE">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5.云服务商退出时应无条件按采购方要求安全删除相关数据，详细要求如下：</w:t>
      </w:r>
    </w:p>
    <w:p w14:paraId="68B0C05E">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（1）退出服务时，云服务商应安全处理数据，并承担相关的责任和义务，如保密要求等。</w:t>
      </w:r>
    </w:p>
    <w:p w14:paraId="1BEFA6F2">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（2）退出服务时，云服务商应按照采购方书面授权和要求删除相应数据及备份，并出具承诺函。</w:t>
      </w:r>
    </w:p>
    <w:p w14:paraId="410ADD7A">
      <w:pPr>
        <w:pStyle w:val="5"/>
        <w:adjustRightInd w:val="0"/>
        <w:snapToGrid w:val="0"/>
        <w:spacing w:line="360" w:lineRule="auto"/>
        <w:ind w:firstLine="420" w:firstLineChars="200"/>
        <w:contextualSpacing/>
        <w:jc w:val="both"/>
        <w:rPr>
          <w:rFonts w:hint="eastAsia" w:ascii="宋体" w:hAnsi="宋体" w:eastAsia="宋体" w:cs="宋体"/>
          <w:color w:val="auto"/>
          <w:sz w:val="21"/>
          <w:szCs w:val="21"/>
          <w:highlight w:val="none"/>
        </w:rPr>
      </w:pPr>
      <w:r>
        <w:rPr>
          <w:rStyle w:val="14"/>
          <w:rFonts w:hint="eastAsia" w:ascii="宋体" w:hAnsi="宋体" w:eastAsia="宋体" w:cs="宋体"/>
          <w:color w:val="auto"/>
          <w:kern w:val="2"/>
          <w:sz w:val="21"/>
          <w:szCs w:val="21"/>
          <w:highlight w:val="none"/>
          <w:lang w:val="en-US" w:eastAsia="zh-CN" w:bidi="ar-SA"/>
        </w:rPr>
        <w:t>6.云服务商退出时，对应云服务商的年度费用结算须等待该服务商顺利完成迁移并由采购方确认后，方能启动年度服务费用的结算和支付，具体结算流程按照《株洲市政务云结算办法(试行)》规定执行。</w:t>
      </w:r>
    </w:p>
    <w:p w14:paraId="2DBBA5FF">
      <w:pPr>
        <w:spacing w:line="360" w:lineRule="auto"/>
        <w:rPr>
          <w:rStyle w:val="18"/>
          <w:rFonts w:hint="eastAsia" w:ascii="宋体" w:hAnsi="宋体" w:eastAsia="宋体" w:cs="宋体"/>
          <w:b/>
          <w:bCs/>
          <w:color w:val="auto"/>
          <w:sz w:val="21"/>
          <w:szCs w:val="21"/>
        </w:rPr>
      </w:pPr>
    </w:p>
    <w:p w14:paraId="08EFD04A">
      <w:pPr>
        <w:spacing w:line="360" w:lineRule="auto"/>
        <w:rPr>
          <w:rStyle w:val="18"/>
          <w:rFonts w:hint="eastAsia" w:ascii="宋体" w:hAnsi="宋体" w:eastAsia="宋体" w:cs="宋体"/>
          <w:b/>
          <w:bCs/>
          <w:color w:val="auto"/>
          <w:sz w:val="21"/>
          <w:szCs w:val="21"/>
        </w:rPr>
      </w:pPr>
      <w:r>
        <w:rPr>
          <w:rStyle w:val="18"/>
          <w:rFonts w:hint="eastAsia" w:ascii="宋体" w:hAnsi="宋体" w:eastAsia="宋体" w:cs="宋体"/>
          <w:b/>
          <w:bCs/>
          <w:color w:val="auto"/>
          <w:sz w:val="21"/>
          <w:szCs w:val="21"/>
        </w:rPr>
        <w:t>重要说明：</w:t>
      </w:r>
    </w:p>
    <w:p w14:paraId="22C17C8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1、带“★”号条款为招标文件实质性条款，投标人不得有一项出现偏离，否则，视为无效投标。</w:t>
      </w:r>
    </w:p>
    <w:p w14:paraId="45BEA938">
      <w:pPr>
        <w:spacing w:line="360" w:lineRule="auto"/>
        <w:ind w:firstLine="420" w:firstLineChars="200"/>
        <w:rPr>
          <w:rFonts w:hint="eastAsia" w:ascii="宋体" w:hAnsi="宋体" w:eastAsia="宋体" w:cs="宋体"/>
          <w:color w:val="auto"/>
          <w:sz w:val="21"/>
          <w:szCs w:val="21"/>
        </w:rPr>
      </w:pPr>
      <w:bookmarkStart w:id="564" w:name="_Hlk7184628"/>
      <w:r>
        <w:rPr>
          <w:rFonts w:hint="eastAsia" w:ascii="宋体" w:hAnsi="宋体" w:eastAsia="宋体" w:cs="宋体"/>
          <w:color w:val="auto"/>
          <w:sz w:val="21"/>
          <w:szCs w:val="21"/>
        </w:rPr>
        <w:t>4、备注：为便于评标委员会评审，投标人需将</w:t>
      </w:r>
      <w:r>
        <w:rPr>
          <w:rFonts w:hint="eastAsia" w:ascii="宋体" w:hAnsi="宋体" w:eastAsia="宋体" w:cs="宋体"/>
          <w:color w:val="auto"/>
          <w:sz w:val="21"/>
          <w:szCs w:val="21"/>
          <w:lang w:val="zh-CN"/>
        </w:rPr>
        <w:t>证明材料中能证明满足技术服务参数要求的内容进行逐条显著标注，</w:t>
      </w:r>
      <w:r>
        <w:rPr>
          <w:rFonts w:hint="eastAsia" w:ascii="宋体" w:hAnsi="宋体" w:eastAsia="宋体" w:cs="宋体"/>
          <w:color w:val="auto"/>
          <w:sz w:val="21"/>
          <w:szCs w:val="21"/>
        </w:rPr>
        <w:t>否则投标人将承担由此带来的不利后果。</w:t>
      </w:r>
      <w:bookmarkEnd w:id="564"/>
    </w:p>
    <w:p w14:paraId="65292CB5">
      <w:pPr>
        <w:rPr>
          <w:rFonts w:hint="eastAsia"/>
          <w:color w:val="auto"/>
          <w:lang w:eastAsia="zh-CN"/>
        </w:rPr>
      </w:pPr>
    </w:p>
    <w:p w14:paraId="336AF8E5">
      <w:pPr>
        <w:pStyle w:val="19"/>
        <w:rPr>
          <w:rFonts w:hint="eastAsia"/>
          <w:color w:val="auto"/>
          <w:lang w:eastAsia="zh-CN"/>
        </w:rPr>
      </w:pPr>
    </w:p>
    <w:p w14:paraId="222E1FDC">
      <w:pPr>
        <w:rPr>
          <w:rFonts w:hint="eastAsia"/>
          <w:color w:val="auto"/>
          <w:lang w:eastAsia="zh-CN"/>
        </w:rPr>
      </w:pPr>
    </w:p>
    <w:p w14:paraId="6570B9B9">
      <w:pPr>
        <w:rPr>
          <w:rFonts w:hint="eastAsia"/>
          <w:color w:val="auto"/>
          <w:lang w:eastAsia="zh-CN"/>
        </w:rPr>
      </w:pPr>
    </w:p>
    <w:p w14:paraId="7B2FC045">
      <w:pPr>
        <w:rPr>
          <w:rFonts w:hint="eastAsia"/>
          <w:color w:val="auto"/>
          <w:lang w:eastAsia="zh-CN"/>
        </w:rPr>
      </w:pPr>
    </w:p>
    <w:p w14:paraId="376C1DC9">
      <w:pPr>
        <w:rPr>
          <w:rFonts w:hint="eastAsia"/>
          <w:color w:val="auto"/>
          <w:lang w:eastAsia="zh-CN"/>
        </w:rPr>
      </w:pPr>
    </w:p>
    <w:p w14:paraId="02CAC825">
      <w:pPr>
        <w:rPr>
          <w:rFonts w:hint="eastAsia"/>
          <w:color w:val="auto"/>
          <w:lang w:eastAsia="zh-CN"/>
        </w:rPr>
      </w:pPr>
    </w:p>
    <w:p w14:paraId="0FD64E1F">
      <w:pPr>
        <w:rPr>
          <w:rFonts w:hint="eastAsia"/>
          <w:color w:val="auto"/>
          <w:lang w:eastAsia="zh-CN"/>
        </w:rPr>
      </w:pPr>
    </w:p>
    <w:p w14:paraId="38845B84">
      <w:pPr>
        <w:pStyle w:val="19"/>
        <w:rPr>
          <w:rFonts w:hint="eastAsia"/>
          <w:color w:val="auto"/>
          <w:lang w:eastAsia="zh-CN"/>
        </w:rPr>
      </w:pPr>
    </w:p>
    <w:p w14:paraId="56E7BA07">
      <w:pPr>
        <w:rPr>
          <w:rFonts w:hint="eastAsia"/>
          <w:color w:val="auto"/>
          <w:lang w:eastAsia="zh-CN"/>
        </w:rPr>
      </w:pPr>
    </w:p>
    <w:p w14:paraId="39D71891">
      <w:pPr>
        <w:rPr>
          <w:rFonts w:hint="eastAsia"/>
          <w:color w:val="auto"/>
          <w:lang w:eastAsia="zh-CN"/>
        </w:rPr>
      </w:pPr>
    </w:p>
    <w:p w14:paraId="325EBAC9">
      <w:pPr>
        <w:rPr>
          <w:rFonts w:hint="eastAsia"/>
          <w:color w:val="auto"/>
          <w:lang w:eastAsia="zh-CN"/>
        </w:rPr>
      </w:pPr>
    </w:p>
    <w:p w14:paraId="7650B173">
      <w:pPr>
        <w:rPr>
          <w:rFonts w:hint="eastAsia"/>
          <w:color w:val="auto"/>
          <w:lang w:eastAsia="zh-CN"/>
        </w:rPr>
      </w:pPr>
    </w:p>
    <w:p w14:paraId="49AF1628">
      <w:pPr>
        <w:rPr>
          <w:rFonts w:hint="eastAsia"/>
          <w:color w:val="auto"/>
          <w:lang w:eastAsia="zh-CN"/>
        </w:rPr>
      </w:pPr>
    </w:p>
    <w:p w14:paraId="614AB037">
      <w:pPr>
        <w:rPr>
          <w:rFonts w:hint="eastAsia"/>
          <w:color w:val="auto"/>
          <w:lang w:eastAsia="zh-CN"/>
        </w:rPr>
      </w:pPr>
    </w:p>
    <w:p w14:paraId="4C01EADC">
      <w:pPr>
        <w:rPr>
          <w:rFonts w:hint="eastAsia"/>
          <w:color w:val="auto"/>
          <w:lang w:eastAsia="zh-CN"/>
        </w:rPr>
      </w:pPr>
    </w:p>
    <w:p w14:paraId="6FBF7C33">
      <w:pPr>
        <w:rPr>
          <w:rFonts w:hint="eastAsia"/>
          <w:color w:val="auto"/>
          <w:lang w:eastAsia="zh-CN"/>
        </w:rPr>
      </w:pPr>
    </w:p>
    <w:p w14:paraId="4C1D6C73">
      <w:pPr>
        <w:rPr>
          <w:rFonts w:hint="eastAsia"/>
          <w:color w:val="auto"/>
          <w:lang w:eastAsia="zh-CN"/>
        </w:rPr>
      </w:pPr>
    </w:p>
    <w:p w14:paraId="08DB9ACF">
      <w:pPr>
        <w:rPr>
          <w:rFonts w:hint="eastAsia"/>
          <w:color w:val="auto"/>
          <w:lang w:eastAsia="zh-CN"/>
        </w:rPr>
      </w:pPr>
    </w:p>
    <w:p w14:paraId="3329D40E">
      <w:pPr>
        <w:rPr>
          <w:rFonts w:hint="eastAsia"/>
          <w:color w:val="auto"/>
          <w:lang w:eastAsia="zh-CN"/>
        </w:rPr>
      </w:pPr>
    </w:p>
    <w:p w14:paraId="712D1213">
      <w:pPr>
        <w:numPr>
          <w:ilvl w:val="0"/>
          <w:numId w:val="1"/>
        </w:numPr>
        <w:jc w:val="center"/>
        <w:rPr>
          <w:rFonts w:hint="eastAsia" w:ascii="黑体" w:hAnsi="黑体" w:eastAsia="黑体" w:cs="Times New Roman"/>
          <w:b/>
          <w:bCs/>
          <w:color w:val="auto"/>
          <w:kern w:val="2"/>
          <w:sz w:val="28"/>
          <w:szCs w:val="28"/>
          <w:highlight w:val="none"/>
          <w:lang w:val="en-US" w:eastAsia="zh-CN" w:bidi="ar-SA"/>
        </w:rPr>
      </w:pPr>
      <w:r>
        <w:rPr>
          <w:rFonts w:hint="eastAsia" w:ascii="黑体" w:hAnsi="黑体" w:eastAsia="黑体" w:cs="Times New Roman"/>
          <w:b/>
          <w:bCs/>
          <w:color w:val="auto"/>
          <w:kern w:val="2"/>
          <w:sz w:val="28"/>
          <w:szCs w:val="28"/>
          <w:highlight w:val="none"/>
          <w:lang w:val="en-US" w:eastAsia="zh-CN" w:bidi="ar-SA"/>
        </w:rPr>
        <w:t>商务要求（包1）</w:t>
      </w:r>
    </w:p>
    <w:bookmarkEnd w:id="2"/>
    <w:p w14:paraId="0862D031">
      <w:pPr>
        <w:pStyle w:val="5"/>
        <w:adjustRightInd/>
        <w:snapToGrid/>
        <w:spacing w:line="360" w:lineRule="auto"/>
        <w:contextualSpacing/>
        <w:jc w:val="both"/>
        <w:rPr>
          <w:rFonts w:hint="eastAsia" w:ascii="宋体" w:hAnsi="宋体" w:eastAsia="宋体" w:cs="宋体"/>
          <w:b/>
          <w:bCs/>
          <w:color w:val="auto"/>
          <w:kern w:val="2"/>
          <w:sz w:val="21"/>
          <w:szCs w:val="21"/>
          <w:lang w:val="en-US" w:eastAsia="zh-CN" w:bidi="ar-SA"/>
        </w:rPr>
      </w:pPr>
      <w:bookmarkStart w:id="565" w:name="_Toc5950"/>
      <w:bookmarkStart w:id="566" w:name="_Toc7694"/>
      <w:bookmarkStart w:id="567" w:name="_Toc3103"/>
      <w:bookmarkStart w:id="568" w:name="_Toc256000143"/>
      <w:bookmarkStart w:id="569" w:name="_Toc31771"/>
      <w:bookmarkStart w:id="570" w:name="_Toc1607"/>
      <w:r>
        <w:rPr>
          <w:rFonts w:hint="eastAsia" w:ascii="宋体" w:hAnsi="宋体" w:eastAsia="宋体" w:cs="宋体"/>
          <w:b/>
          <w:bCs/>
          <w:color w:val="auto"/>
          <w:kern w:val="2"/>
          <w:sz w:val="21"/>
          <w:szCs w:val="21"/>
          <w:lang w:val="en-US" w:eastAsia="zh-CN" w:bidi="ar-SA"/>
        </w:rPr>
        <w:t>一、上线评估</w:t>
      </w:r>
      <w:bookmarkEnd w:id="565"/>
      <w:bookmarkEnd w:id="566"/>
      <w:bookmarkEnd w:id="567"/>
      <w:bookmarkEnd w:id="568"/>
      <w:bookmarkEnd w:id="569"/>
      <w:bookmarkEnd w:id="570"/>
    </w:p>
    <w:p w14:paraId="434CCB78">
      <w:pPr>
        <w:pStyle w:val="5"/>
        <w:adjustRightInd/>
        <w:snapToGrid/>
        <w:spacing w:line="440" w:lineRule="exact"/>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bookmarkStart w:id="571" w:name="_Toc26021"/>
      <w:bookmarkStart w:id="572" w:name="_Toc26687"/>
      <w:bookmarkStart w:id="573" w:name="_Toc1547"/>
      <w:bookmarkStart w:id="574" w:name="_Toc1257"/>
      <w:bookmarkStart w:id="575" w:name="_Toc256000145"/>
      <w:bookmarkStart w:id="576" w:name="_Toc18925"/>
      <w:r>
        <w:rPr>
          <w:rStyle w:val="14"/>
          <w:rFonts w:hint="eastAsia" w:ascii="宋体" w:hAnsi="宋体" w:cs="宋体"/>
          <w:color w:val="auto"/>
          <w:kern w:val="2"/>
          <w:sz w:val="21"/>
          <w:szCs w:val="21"/>
          <w:highlight w:val="none"/>
          <w:lang w:val="en-US" w:eastAsia="zh-CN" w:bidi="ar-SA"/>
        </w:rPr>
        <w:t>供应商</w:t>
      </w:r>
      <w:r>
        <w:rPr>
          <w:rStyle w:val="14"/>
          <w:rFonts w:hint="eastAsia" w:ascii="宋体" w:hAnsi="宋体" w:eastAsia="宋体" w:cs="宋体"/>
          <w:color w:val="auto"/>
          <w:kern w:val="2"/>
          <w:sz w:val="21"/>
          <w:szCs w:val="21"/>
          <w:highlight w:val="none"/>
          <w:lang w:val="en-US" w:eastAsia="zh-CN" w:bidi="ar-SA"/>
        </w:rPr>
        <w:t>必须在采购合同签订后30个自然日内具备提供云平台的基本服务能力，如计算资源服务、存储资源服务、安全资源服务、云资源管理平台等，并在合同签订后180个自然日内完成第三方测试（含功能性能测试和安全测试,且须提交云服务产品对应的软硬件产品品牌、型号、技术指标列表）。测试报告提交采购方备案。若规定时间内中标人不能满足以上要求或出现意外等情况，视同中标人违约，采购人有权根据逾期情况，采取扣除第三方测试通过前云服务商所有服务收入等措施，并要求服务商承担采购人所遭受的损失。</w:t>
      </w:r>
    </w:p>
    <w:p w14:paraId="47CD8923">
      <w:pPr>
        <w:pStyle w:val="5"/>
        <w:adjustRightInd/>
        <w:snapToGrid/>
        <w:spacing w:line="360" w:lineRule="auto"/>
        <w:ind w:firstLine="420" w:firstLineChars="200"/>
        <w:contextualSpacing/>
        <w:jc w:val="both"/>
        <w:rPr>
          <w:rFonts w:hint="eastAsia" w:ascii="宋体" w:hAnsi="宋体" w:eastAsia="宋体" w:cs="宋体"/>
          <w:b/>
          <w:bCs/>
          <w:color w:val="auto"/>
          <w:kern w:val="2"/>
          <w:sz w:val="21"/>
          <w:szCs w:val="21"/>
          <w:lang w:val="en-US" w:eastAsia="zh-CN" w:bidi="ar-SA"/>
        </w:rPr>
      </w:pPr>
      <w:r>
        <w:rPr>
          <w:rStyle w:val="14"/>
          <w:rFonts w:hint="eastAsia" w:ascii="宋体" w:hAnsi="宋体" w:eastAsia="宋体" w:cs="宋体"/>
          <w:color w:val="auto"/>
          <w:kern w:val="2"/>
          <w:sz w:val="21"/>
          <w:szCs w:val="21"/>
          <w:highlight w:val="none"/>
          <w:lang w:val="en-US" w:eastAsia="zh-CN" w:bidi="ar-SA"/>
        </w:rPr>
        <w:t>服务上线且第三方测试通过后，云服务匹配要素的变更，包括软件大版本升级、设备品牌型号变更、硬件产品更换等，须于变更前一周向云主管部门报备，未能及时报备的将按照一般性事务响应程度进行扣分。云主管部门有权对政务云服务内容随时进行抽查，对于不满足标书服务要求或拒不配合抽查的，按照《株洲市政务云结算办法(试行)》相关规则进行处罚，处罚可按月重复扣分，直至达标。对于未能提前报备，且变更后的服务内容不满足标书要求的，按照未及时报备和不满足标书服务要求两个条款同时进行处罚。</w:t>
      </w:r>
    </w:p>
    <w:p w14:paraId="7F654B24">
      <w:pPr>
        <w:pStyle w:val="5"/>
        <w:adjustRightInd/>
        <w:snapToGrid/>
        <w:spacing w:line="360" w:lineRule="auto"/>
        <w:contextualSpacing/>
        <w:jc w:val="both"/>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二、服务</w:t>
      </w:r>
      <w:bookmarkEnd w:id="571"/>
      <w:bookmarkEnd w:id="572"/>
      <w:bookmarkEnd w:id="573"/>
      <w:bookmarkEnd w:id="574"/>
      <w:bookmarkEnd w:id="575"/>
      <w:bookmarkEnd w:id="576"/>
      <w:r>
        <w:rPr>
          <w:rFonts w:hint="eastAsia" w:ascii="宋体" w:hAnsi="宋体" w:eastAsia="宋体" w:cs="宋体"/>
          <w:b/>
          <w:bCs/>
          <w:color w:val="auto"/>
          <w:kern w:val="2"/>
          <w:sz w:val="21"/>
          <w:szCs w:val="21"/>
          <w:lang w:val="en-US" w:eastAsia="zh-CN" w:bidi="ar-SA"/>
        </w:rPr>
        <w:t>期限、服务地点</w:t>
      </w:r>
    </w:p>
    <w:p w14:paraId="0FB7D99E">
      <w:pPr>
        <w:pStyle w:val="5"/>
        <w:adjustRightInd/>
        <w:snapToGrid/>
        <w:spacing w:line="360" w:lineRule="auto"/>
        <w:ind w:firstLine="420" w:firstLineChars="200"/>
        <w:contextualSpacing/>
        <w:jc w:val="both"/>
        <w:rPr>
          <w:rStyle w:val="14"/>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kern w:val="2"/>
          <w:sz w:val="21"/>
          <w:szCs w:val="21"/>
          <w:highlight w:val="none"/>
          <w:lang w:val="en-US" w:eastAsia="zh-CN" w:bidi="ar-SA"/>
        </w:rPr>
        <w:t>1、服务期限：合同签订之日起</w:t>
      </w:r>
      <w:r>
        <w:rPr>
          <w:rStyle w:val="14"/>
          <w:rFonts w:hint="eastAsia" w:ascii="宋体" w:hAnsi="宋体" w:cs="宋体"/>
          <w:color w:val="auto"/>
          <w:kern w:val="2"/>
          <w:sz w:val="21"/>
          <w:szCs w:val="21"/>
          <w:highlight w:val="none"/>
          <w:lang w:val="en-US" w:eastAsia="zh-CN" w:bidi="ar-SA"/>
        </w:rPr>
        <w:t>1年</w:t>
      </w:r>
      <w:r>
        <w:rPr>
          <w:rStyle w:val="14"/>
          <w:rFonts w:hint="eastAsia" w:ascii="宋体" w:hAnsi="宋体" w:eastAsia="宋体" w:cs="宋体"/>
          <w:color w:val="auto"/>
          <w:kern w:val="2"/>
          <w:sz w:val="21"/>
          <w:szCs w:val="21"/>
          <w:highlight w:val="none"/>
          <w:lang w:val="en-US" w:eastAsia="zh-CN" w:bidi="ar-SA"/>
        </w:rPr>
        <w:t>。</w:t>
      </w:r>
    </w:p>
    <w:p w14:paraId="015D4D21">
      <w:pPr>
        <w:pStyle w:val="6"/>
        <w:rPr>
          <w:rFonts w:hint="default"/>
          <w:color w:val="auto"/>
          <w:lang w:val="en-US" w:eastAsia="zh-CN"/>
        </w:rPr>
      </w:pPr>
      <w:r>
        <w:rPr>
          <w:rStyle w:val="14"/>
          <w:rFonts w:hint="eastAsia" w:ascii="宋体" w:hAnsi="宋体" w:eastAsia="宋体" w:cs="宋体"/>
          <w:color w:val="auto"/>
          <w:kern w:val="2"/>
          <w:sz w:val="21"/>
          <w:szCs w:val="21"/>
          <w:highlight w:val="none"/>
          <w:lang w:val="en-US" w:eastAsia="zh-CN" w:bidi="ar-SA"/>
        </w:rPr>
        <w:t xml:space="preserve">    2、服务地点：采购人指定地点。</w:t>
      </w:r>
    </w:p>
    <w:p w14:paraId="4A7EB6D0">
      <w:pPr>
        <w:pStyle w:val="5"/>
        <w:adjustRightInd/>
        <w:snapToGrid/>
        <w:spacing w:line="360" w:lineRule="auto"/>
        <w:contextualSpacing/>
        <w:jc w:val="both"/>
        <w:rPr>
          <w:rFonts w:hint="eastAsia" w:ascii="宋体" w:hAnsi="宋体" w:eastAsia="宋体" w:cs="宋体"/>
          <w:b/>
          <w:bCs/>
          <w:color w:val="auto"/>
          <w:kern w:val="2"/>
          <w:sz w:val="21"/>
          <w:szCs w:val="21"/>
          <w:lang w:val="en-US" w:eastAsia="zh-CN" w:bidi="ar-SA"/>
        </w:rPr>
      </w:pPr>
      <w:bookmarkStart w:id="577" w:name="_Toc26734"/>
      <w:bookmarkStart w:id="578" w:name="_Toc21423"/>
      <w:bookmarkStart w:id="579" w:name="_Toc24572"/>
      <w:bookmarkStart w:id="580" w:name="_Toc20147"/>
      <w:bookmarkStart w:id="581" w:name="_Toc256000146"/>
      <w:bookmarkStart w:id="582" w:name="_Toc4706"/>
      <w:r>
        <w:rPr>
          <w:rFonts w:hint="eastAsia" w:ascii="宋体" w:hAnsi="宋体" w:eastAsia="宋体" w:cs="宋体"/>
          <w:b/>
          <w:bCs/>
          <w:color w:val="auto"/>
          <w:kern w:val="2"/>
          <w:sz w:val="21"/>
          <w:szCs w:val="21"/>
          <w:lang w:val="en-US" w:eastAsia="zh-CN" w:bidi="ar-SA"/>
        </w:rPr>
        <w:t>三、支付方式</w:t>
      </w:r>
      <w:bookmarkEnd w:id="577"/>
      <w:bookmarkEnd w:id="578"/>
      <w:bookmarkEnd w:id="579"/>
      <w:bookmarkEnd w:id="580"/>
      <w:bookmarkEnd w:id="581"/>
      <w:bookmarkEnd w:id="582"/>
    </w:p>
    <w:p w14:paraId="6F6DE402">
      <w:pPr>
        <w:pStyle w:val="5"/>
        <w:adjustRightInd/>
        <w:snapToGrid/>
        <w:spacing w:line="360" w:lineRule="auto"/>
        <w:ind w:firstLine="420" w:firstLineChars="200"/>
        <w:contextualSpacing/>
        <w:jc w:val="both"/>
        <w:rPr>
          <w:rStyle w:val="14"/>
          <w:rFonts w:hint="default" w:ascii="宋体" w:hAnsi="宋体" w:eastAsia="宋体" w:cs="宋体"/>
          <w:color w:val="auto"/>
          <w:kern w:val="2"/>
          <w:sz w:val="21"/>
          <w:szCs w:val="21"/>
          <w:highlight w:val="none"/>
          <w:lang w:val="en-US" w:eastAsia="zh-CN" w:bidi="ar-SA"/>
        </w:rPr>
      </w:pPr>
      <w:bookmarkStart w:id="583" w:name="_Toc16790"/>
      <w:bookmarkStart w:id="584" w:name="_Toc24889"/>
      <w:bookmarkStart w:id="585" w:name="_Toc16106"/>
      <w:bookmarkStart w:id="586" w:name="_Toc7027"/>
      <w:bookmarkStart w:id="587" w:name="_Toc256000147"/>
      <w:bookmarkStart w:id="588" w:name="_Toc3604"/>
      <w:r>
        <w:rPr>
          <w:rStyle w:val="14"/>
          <w:rFonts w:hint="eastAsia" w:ascii="宋体" w:hAnsi="宋体" w:eastAsia="宋体" w:cs="宋体"/>
          <w:color w:val="auto"/>
          <w:kern w:val="2"/>
          <w:sz w:val="21"/>
          <w:szCs w:val="21"/>
          <w:highlight w:val="none"/>
          <w:lang w:val="en-US" w:eastAsia="zh-CN" w:bidi="ar-SA"/>
        </w:rPr>
        <w:t>依据《株洲市政务云结算办法(试行)》规定进行费用的结算。即按照先使用后付费原则，乙方先提供服务，2026年</w:t>
      </w:r>
      <w:r>
        <w:rPr>
          <w:rStyle w:val="14"/>
          <w:rFonts w:hint="eastAsia" w:ascii="宋体" w:hAnsi="宋体" w:cs="宋体"/>
          <w:color w:val="auto"/>
          <w:kern w:val="2"/>
          <w:sz w:val="21"/>
          <w:szCs w:val="21"/>
          <w:highlight w:val="none"/>
          <w:lang w:val="en-US" w:eastAsia="zh-CN" w:bidi="ar-SA"/>
        </w:rPr>
        <w:t>项目服务周期合同签订之日起一年的费用在2027年支付，待市级财政2027年下达项目资金后，由乙方提供付款材料，甲方向乙方支付费用；本合同所有费用均以人民币结算及支付，由甲方以银行转账方式汇款至乙方账户。付款时，乙方需提供相应金额的增值税发票。</w:t>
      </w:r>
    </w:p>
    <w:p w14:paraId="5FB8B7BA">
      <w:pPr>
        <w:pStyle w:val="5"/>
        <w:adjustRightInd/>
        <w:snapToGrid/>
        <w:spacing w:line="360" w:lineRule="auto"/>
        <w:contextualSpacing/>
        <w:jc w:val="both"/>
        <w:rPr>
          <w:rFonts w:hint="default"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四、报价要求</w:t>
      </w:r>
      <w:bookmarkEnd w:id="583"/>
      <w:bookmarkEnd w:id="584"/>
      <w:bookmarkEnd w:id="585"/>
      <w:bookmarkEnd w:id="586"/>
      <w:bookmarkEnd w:id="587"/>
      <w:bookmarkEnd w:id="588"/>
    </w:p>
    <w:p w14:paraId="3D6D74DE">
      <w:pPr>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380" w:lineRule="exact"/>
        <w:ind w:firstLine="422" w:firstLineChars="200"/>
        <w:jc w:val="both"/>
        <w:textAlignment w:val="baseline"/>
        <w:rPr>
          <w:rStyle w:val="18"/>
          <w:rFonts w:hint="eastAsia" w:ascii="宋体" w:hAnsi="宋体" w:eastAsia="宋体" w:cs="Times New Roman"/>
          <w:b/>
          <w:bCs/>
          <w:i w:val="0"/>
          <w:caps w:val="0"/>
          <w:color w:val="auto"/>
          <w:spacing w:val="0"/>
          <w:w w:val="100"/>
          <w:kern w:val="2"/>
          <w:sz w:val="21"/>
          <w:szCs w:val="21"/>
          <w:lang w:val="en-US" w:eastAsia="zh-CN" w:bidi="ar-SA"/>
        </w:rPr>
      </w:pPr>
      <w:r>
        <w:rPr>
          <w:rFonts w:hint="eastAsia" w:ascii="宋体" w:hAnsi="宋体" w:cs="Times New Roman"/>
          <w:b/>
          <w:bCs/>
          <w:color w:val="auto"/>
          <w:szCs w:val="21"/>
          <w:highlight w:val="none"/>
          <w:lang w:val="en-US" w:eastAsia="zh-CN"/>
        </w:rPr>
        <w:t>1、</w:t>
      </w:r>
      <w:r>
        <w:rPr>
          <w:rFonts w:hint="eastAsia" w:ascii="宋体" w:hAnsi="宋体" w:eastAsia="宋体" w:cs="Times New Roman"/>
          <w:b/>
          <w:bCs/>
          <w:color w:val="auto"/>
          <w:szCs w:val="21"/>
          <w:highlight w:val="none"/>
          <w:lang w:eastAsia="zh-CN"/>
        </w:rPr>
        <w:t>投标报价规定</w:t>
      </w:r>
      <w:r>
        <w:rPr>
          <w:rStyle w:val="18"/>
          <w:rFonts w:hint="eastAsia" w:ascii="宋体" w:hAnsi="宋体" w:eastAsia="宋体" w:cs="Times New Roman"/>
          <w:b w:val="0"/>
          <w:i w:val="0"/>
          <w:caps w:val="0"/>
          <w:color w:val="auto"/>
          <w:spacing w:val="0"/>
          <w:w w:val="100"/>
          <w:kern w:val="2"/>
          <w:sz w:val="21"/>
          <w:szCs w:val="21"/>
          <w:lang w:val="en-US" w:eastAsia="zh-CN" w:bidi="ar-SA"/>
        </w:rPr>
        <w:t>：</w:t>
      </w:r>
      <w:r>
        <w:rPr>
          <w:rStyle w:val="18"/>
          <w:rFonts w:hint="eastAsia" w:ascii="宋体" w:hAnsi="宋体" w:eastAsia="宋体" w:cs="Times New Roman"/>
          <w:b/>
          <w:bCs/>
          <w:i w:val="0"/>
          <w:caps w:val="0"/>
          <w:color w:val="auto"/>
          <w:spacing w:val="0"/>
          <w:w w:val="100"/>
          <w:kern w:val="2"/>
          <w:sz w:val="21"/>
          <w:szCs w:val="21"/>
          <w:lang w:val="en-US" w:eastAsia="zh-CN" w:bidi="ar-SA"/>
        </w:rPr>
        <w:t>本项目各投标人以投标折扣率进行报价，投标折扣率≤100%。（折扣率释义：例如核定单价为100元，投标人按98元供货，则对应的折扣率为98％）。投标报价按《株洲市政务云服务目录》整体折扣率报价，该整体折扣率适用于目录内所有单项，整体折扣即为各单项的折扣。报价折扣率步长为1%。投标报价举例：本项目采购最高限价为5189800.00元，若投标人投标折扣率为98%，开标一览表</w:t>
      </w:r>
      <w:r>
        <w:rPr>
          <w:rStyle w:val="18"/>
          <w:rFonts w:hint="eastAsia" w:ascii="宋体" w:hAnsi="宋体" w:cs="Times New Roman"/>
          <w:b/>
          <w:bCs/>
          <w:i w:val="0"/>
          <w:caps w:val="0"/>
          <w:color w:val="auto"/>
          <w:spacing w:val="0"/>
          <w:w w:val="100"/>
          <w:kern w:val="2"/>
          <w:sz w:val="21"/>
          <w:szCs w:val="21"/>
          <w:lang w:val="en-US" w:eastAsia="zh-CN" w:bidi="ar-SA"/>
        </w:rPr>
        <w:t>总</w:t>
      </w:r>
      <w:r>
        <w:rPr>
          <w:rStyle w:val="18"/>
          <w:rFonts w:hint="eastAsia" w:ascii="宋体" w:hAnsi="宋体" w:eastAsia="宋体" w:cs="Times New Roman"/>
          <w:b/>
          <w:bCs/>
          <w:i w:val="0"/>
          <w:caps w:val="0"/>
          <w:color w:val="auto"/>
          <w:spacing w:val="0"/>
          <w:w w:val="100"/>
          <w:kern w:val="2"/>
          <w:sz w:val="21"/>
          <w:szCs w:val="21"/>
          <w:lang w:val="en-US" w:eastAsia="zh-CN" w:bidi="ar-SA"/>
        </w:rPr>
        <w:t>报价</w:t>
      </w:r>
      <w:r>
        <w:rPr>
          <w:rStyle w:val="18"/>
          <w:rFonts w:hint="eastAsia" w:ascii="宋体" w:hAnsi="宋体" w:cs="Times New Roman"/>
          <w:b/>
          <w:bCs/>
          <w:i w:val="0"/>
          <w:caps w:val="0"/>
          <w:color w:val="auto"/>
          <w:spacing w:val="0"/>
          <w:w w:val="100"/>
          <w:kern w:val="2"/>
          <w:sz w:val="21"/>
          <w:szCs w:val="21"/>
          <w:lang w:val="en-US" w:eastAsia="zh-CN" w:bidi="ar-SA"/>
        </w:rPr>
        <w:t>则</w:t>
      </w:r>
      <w:r>
        <w:rPr>
          <w:rStyle w:val="18"/>
          <w:rFonts w:hint="eastAsia" w:ascii="宋体" w:hAnsi="宋体" w:eastAsia="宋体" w:cs="Times New Roman"/>
          <w:b/>
          <w:bCs/>
          <w:i w:val="0"/>
          <w:caps w:val="0"/>
          <w:color w:val="auto"/>
          <w:spacing w:val="0"/>
          <w:w w:val="100"/>
          <w:kern w:val="2"/>
          <w:sz w:val="21"/>
          <w:szCs w:val="21"/>
          <w:lang w:val="en-US" w:eastAsia="zh-CN" w:bidi="ar-SA"/>
        </w:rPr>
        <w:t>为：5086004元（5189800.00×98%）。投标人须在开标一览表备注栏注明：投标报价按《株洲市政务云服务目录》整体折扣率报价，本项目整体投标折扣率统一为：98%。</w:t>
      </w:r>
    </w:p>
    <w:p w14:paraId="489E1EC7">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Times New Roman"/>
          <w:b/>
          <w:bCs/>
          <w:color w:val="auto"/>
          <w:szCs w:val="21"/>
          <w:highlight w:val="none"/>
          <w:lang w:eastAsia="zh-CN"/>
        </w:rPr>
      </w:pPr>
      <w:r>
        <w:rPr>
          <w:rStyle w:val="18"/>
          <w:rFonts w:hint="eastAsia" w:ascii="宋体" w:hAnsi="宋体" w:eastAsia="宋体" w:cs="Times New Roman"/>
          <w:b w:val="0"/>
          <w:i w:val="0"/>
          <w:caps w:val="0"/>
          <w:color w:val="auto"/>
          <w:spacing w:val="0"/>
          <w:w w:val="100"/>
          <w:kern w:val="2"/>
          <w:sz w:val="21"/>
          <w:szCs w:val="21"/>
          <w:lang w:val="en-US" w:eastAsia="zh-CN" w:bidi="ar-SA"/>
        </w:rPr>
        <w:t>2、如果在评标过程中，评标小组发现投标人的投标报价明显低于其他通过符合性审查投标人的综合报价或者有理由怀疑其投标综合报价可能低于其成本的，将要求该投标人在收到通知的一小时内出具报价说明清单并提供相关证明材料。投标人在规定的时间内不能出具详细的成本计算清单或不能提供相关证明材料的，视作该投标人以低于成本报价投标，其投标文件应作无效投标处理。</w:t>
      </w:r>
    </w:p>
    <w:p w14:paraId="6DAA063E">
      <w:pPr>
        <w:pStyle w:val="5"/>
        <w:keepNext w:val="0"/>
        <w:keepLines w:val="0"/>
        <w:pageBreakBefore w:val="0"/>
        <w:widowControl w:val="0"/>
        <w:kinsoku/>
        <w:wordWrap/>
        <w:overflowPunct/>
        <w:topLinePunct w:val="0"/>
        <w:bidi w:val="0"/>
        <w:spacing w:line="360" w:lineRule="auto"/>
        <w:ind w:firstLine="420" w:firstLineChars="200"/>
        <w:contextualSpacing/>
        <w:jc w:val="both"/>
        <w:textAlignment w:val="auto"/>
        <w:rPr>
          <w:rStyle w:val="18"/>
          <w:rFonts w:hint="eastAsia" w:ascii="宋体" w:hAnsi="宋体" w:eastAsia="宋体" w:cs="Times New Roman"/>
          <w:b w:val="0"/>
          <w:i w:val="0"/>
          <w:caps w:val="0"/>
          <w:color w:val="auto"/>
          <w:spacing w:val="0"/>
          <w:w w:val="100"/>
          <w:szCs w:val="21"/>
          <w:lang w:val="en-US" w:eastAsia="zh-CN"/>
        </w:rPr>
      </w:pPr>
      <w:r>
        <w:rPr>
          <w:rStyle w:val="18"/>
          <w:rFonts w:hint="eastAsia" w:ascii="宋体" w:hAnsi="宋体" w:eastAsia="宋体" w:cs="Times New Roman"/>
          <w:b w:val="0"/>
          <w:i w:val="0"/>
          <w:caps w:val="0"/>
          <w:color w:val="auto"/>
          <w:spacing w:val="0"/>
          <w:w w:val="100"/>
          <w:szCs w:val="21"/>
          <w:lang w:val="en-US" w:eastAsia="zh-CN"/>
        </w:rPr>
        <w:t>3、满足招标文件要求且投标报价中最低的投标报价为评标基准价其价格分为满分；其他投标人的价格分统一按照以下公式计算：投标报价得分=（评标基准价/投标报价）×价格权值×100。</w:t>
      </w:r>
    </w:p>
    <w:p w14:paraId="3EC55D5C">
      <w:pPr>
        <w:keepNext w:val="0"/>
        <w:keepLines w:val="0"/>
        <w:pageBreakBefore w:val="0"/>
        <w:widowControl w:val="0"/>
        <w:kinsoku/>
        <w:wordWrap/>
        <w:overflowPunct/>
        <w:topLinePunct w:val="0"/>
        <w:autoSpaceDE/>
        <w:autoSpaceDN/>
        <w:bidi w:val="0"/>
        <w:adjustRightInd/>
        <w:snapToGrid/>
        <w:spacing w:line="400" w:lineRule="exact"/>
        <w:ind w:right="0" w:firstLine="422" w:firstLineChars="200"/>
        <w:textAlignment w:val="auto"/>
        <w:rPr>
          <w:rFonts w:hint="eastAsia"/>
          <w:b/>
          <w:bCs/>
          <w:color w:val="auto"/>
          <w:lang w:eastAsia="zh-CN"/>
        </w:rPr>
      </w:pPr>
      <w:r>
        <w:rPr>
          <w:rFonts w:hint="eastAsia" w:ascii="宋体" w:hAnsi="宋体" w:eastAsia="宋体" w:cs="Times New Roman"/>
          <w:b/>
          <w:bCs/>
          <w:color w:val="auto"/>
          <w:szCs w:val="21"/>
          <w:highlight w:val="none"/>
          <w:lang w:val="en-US" w:eastAsia="zh-CN"/>
        </w:rPr>
        <w:t>4</w:t>
      </w:r>
      <w:r>
        <w:rPr>
          <w:rFonts w:hint="eastAsia" w:ascii="宋体" w:hAnsi="宋体" w:eastAsia="宋体" w:cs="Times New Roman"/>
          <w:b/>
          <w:bCs/>
          <w:color w:val="auto"/>
          <w:szCs w:val="21"/>
          <w:highlight w:val="none"/>
          <w:lang w:eastAsia="zh-CN"/>
        </w:rPr>
        <w:t>、报价范围：</w:t>
      </w:r>
      <w:r>
        <w:rPr>
          <w:rFonts w:hint="eastAsia" w:ascii="宋体" w:hAnsi="宋体" w:eastAsia="宋体" w:cs="宋体"/>
          <w:b/>
          <w:bCs/>
          <w:color w:val="auto"/>
          <w:kern w:val="0"/>
          <w:sz w:val="22"/>
          <w:szCs w:val="22"/>
          <w:lang w:val="en-US" w:eastAsia="zh-CN"/>
        </w:rPr>
        <w:t>整体折扣即为各单项的折扣</w:t>
      </w:r>
      <w:r>
        <w:rPr>
          <w:rFonts w:hint="eastAsia" w:ascii="宋体" w:hAnsi="宋体" w:eastAsia="宋体" w:cs="Times New Roman"/>
          <w:b/>
          <w:bCs/>
          <w:color w:val="auto"/>
          <w:szCs w:val="21"/>
          <w:highlight w:val="none"/>
          <w:lang w:eastAsia="zh-CN"/>
        </w:rPr>
        <w:t>，</w:t>
      </w:r>
      <w:r>
        <w:rPr>
          <w:rFonts w:hint="eastAsia" w:ascii="宋体" w:hAnsi="宋体" w:eastAsia="宋体" w:cs="Times New Roman"/>
          <w:b/>
          <w:bCs/>
          <w:color w:val="auto"/>
          <w:szCs w:val="21"/>
          <w:highlight w:val="none"/>
          <w:lang w:val="en-US" w:eastAsia="zh-CN"/>
        </w:rPr>
        <w:t>本项目按实</w:t>
      </w:r>
      <w:r>
        <w:rPr>
          <w:rFonts w:hint="eastAsia" w:ascii="宋体" w:hAnsi="宋体" w:eastAsia="宋体" w:cs="Times New Roman"/>
          <w:b/>
          <w:bCs/>
          <w:color w:val="auto"/>
          <w:szCs w:val="21"/>
          <w:highlight w:val="none"/>
          <w:lang w:eastAsia="zh-CN"/>
        </w:rPr>
        <w:t>结算，折扣单价</w:t>
      </w:r>
      <w:r>
        <w:rPr>
          <w:rFonts w:hint="eastAsia" w:ascii="宋体" w:hAnsi="宋体" w:eastAsia="宋体" w:cs="Times New Roman"/>
          <w:b/>
          <w:bCs/>
          <w:color w:val="auto"/>
          <w:szCs w:val="21"/>
          <w:highlight w:val="none"/>
          <w:lang w:val="en-US" w:eastAsia="zh-CN"/>
        </w:rPr>
        <w:t>费用</w:t>
      </w:r>
      <w:r>
        <w:rPr>
          <w:rFonts w:hint="eastAsia" w:ascii="宋体" w:hAnsi="宋体" w:eastAsia="宋体" w:cs="Times New Roman"/>
          <w:b/>
          <w:bCs/>
          <w:color w:val="auto"/>
          <w:szCs w:val="21"/>
          <w:highlight w:val="none"/>
          <w:lang w:eastAsia="zh-CN"/>
        </w:rPr>
        <w:t>包含完成</w:t>
      </w:r>
      <w:r>
        <w:rPr>
          <w:rFonts w:hint="eastAsia" w:ascii="宋体" w:hAnsi="宋体" w:cs="宋体"/>
          <w:b/>
          <w:bCs/>
          <w:color w:val="auto"/>
          <w:szCs w:val="21"/>
          <w:lang w:val="en-US" w:eastAsia="zh-CN"/>
        </w:rPr>
        <w:t>本项目</w:t>
      </w:r>
      <w:r>
        <w:rPr>
          <w:rFonts w:hint="eastAsia" w:ascii="宋体" w:hAnsi="宋体" w:eastAsia="宋体" w:cs="Times New Roman"/>
          <w:b/>
          <w:bCs/>
          <w:color w:val="auto"/>
          <w:szCs w:val="21"/>
          <w:highlight w:val="none"/>
          <w:lang w:eastAsia="zh-CN"/>
        </w:rPr>
        <w:t>全过程服务范围内的服务内容、人工费、材料费、管理费、税金、利润和不可预见费用等（包括应急突发事件发生的费用），以及售后服务范围内的所有费用，采购人不再另行支付其他费用。</w:t>
      </w:r>
    </w:p>
    <w:p w14:paraId="54B2B7B3">
      <w:pPr>
        <w:keepNext w:val="0"/>
        <w:keepLines w:val="0"/>
        <w:pageBreakBefore w:val="0"/>
        <w:widowControl w:val="0"/>
        <w:kinsoku/>
        <w:wordWrap/>
        <w:overflowPunct/>
        <w:topLinePunct w:val="0"/>
        <w:autoSpaceDE/>
        <w:autoSpaceDN/>
        <w:bidi w:val="0"/>
        <w:spacing w:line="400" w:lineRule="exact"/>
        <w:ind w:right="0"/>
        <w:textAlignment w:val="auto"/>
        <w:rPr>
          <w:rFonts w:hint="eastAsia" w:ascii="宋体" w:hAnsi="宋体" w:cs="宋体"/>
          <w:b/>
          <w:color w:val="auto"/>
          <w:kern w:val="0"/>
          <w:sz w:val="21"/>
          <w:szCs w:val="21"/>
          <w:lang w:val="en-US" w:eastAsia="zh-CN"/>
        </w:rPr>
      </w:pPr>
      <w:r>
        <w:rPr>
          <w:rFonts w:hint="eastAsia" w:ascii="宋体" w:hAnsi="宋体" w:cs="宋体"/>
          <w:b/>
          <w:color w:val="auto"/>
          <w:kern w:val="0"/>
          <w:sz w:val="21"/>
          <w:szCs w:val="21"/>
          <w:lang w:val="en-US" w:eastAsia="zh-CN"/>
        </w:rPr>
        <w:t>五、履约验收标准及其他要求</w:t>
      </w:r>
    </w:p>
    <w:p w14:paraId="4B602974">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Times New Roman"/>
          <w:color w:val="auto"/>
          <w:kern w:val="2"/>
          <w:sz w:val="21"/>
          <w:szCs w:val="21"/>
          <w:highlight w:val="none"/>
          <w:lang w:val="en-US" w:eastAsia="zh-CN" w:bidi="ar-SA"/>
        </w:rPr>
        <w:t>1、由采购人组织验收小组，根据《株洲市政府采购项目履约验收管理暂行办法》</w:t>
      </w:r>
      <w:r>
        <w:rPr>
          <w:rFonts w:hint="eastAsia" w:ascii="宋体" w:hAnsi="宋体" w:eastAsia="宋体" w:cs="宋体"/>
          <w:color w:val="auto"/>
          <w:szCs w:val="21"/>
          <w:highlight w:val="none"/>
        </w:rPr>
        <w:t>进行验收。项目验收国家有强制性规定的，按国家规定</w:t>
      </w:r>
      <w:r>
        <w:rPr>
          <w:rFonts w:hint="eastAsia" w:ascii="宋体" w:hAnsi="宋体" w:eastAsia="宋体" w:cs="宋体"/>
          <w:color w:val="auto"/>
          <w:szCs w:val="21"/>
          <w:highlight w:val="none"/>
          <w:lang w:eastAsia="zh-CN"/>
        </w:rPr>
        <w:t>的要求</w:t>
      </w:r>
      <w:r>
        <w:rPr>
          <w:rFonts w:hint="eastAsia" w:ascii="宋体" w:hAnsi="宋体" w:eastAsia="宋体" w:cs="宋体"/>
          <w:color w:val="auto"/>
          <w:szCs w:val="21"/>
          <w:highlight w:val="none"/>
        </w:rPr>
        <w:t>执行，验收报告作为申请付款的凭证之一。</w:t>
      </w:r>
    </w:p>
    <w:p w14:paraId="5B144996">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2、验收过程中</w:t>
      </w:r>
      <w:r>
        <w:rPr>
          <w:rFonts w:hint="eastAsia" w:ascii="宋体" w:hAnsi="宋体" w:eastAsia="宋体" w:cs="宋体"/>
          <w:color w:val="auto"/>
          <w:szCs w:val="21"/>
          <w:highlight w:val="none"/>
          <w:lang w:eastAsia="zh-CN"/>
        </w:rPr>
        <w:t>因</w:t>
      </w:r>
      <w:r>
        <w:rPr>
          <w:rFonts w:hint="eastAsia" w:ascii="宋体" w:hAnsi="宋体" w:eastAsia="宋体" w:cs="宋体"/>
          <w:color w:val="auto"/>
          <w:szCs w:val="21"/>
          <w:highlight w:val="none"/>
        </w:rPr>
        <w:t>产生纠纷的，由质量技术监督部门认定的检测机构检测，如为</w:t>
      </w:r>
      <w:r>
        <w:rPr>
          <w:rFonts w:hint="eastAsia" w:ascii="宋体" w:hAnsi="宋体" w:eastAsia="宋体" w:cs="宋体"/>
          <w:color w:val="auto"/>
          <w:szCs w:val="21"/>
          <w:highlight w:val="none"/>
          <w:lang w:eastAsia="zh-CN"/>
        </w:rPr>
        <w:t>采购人原因造成</w:t>
      </w:r>
      <w:r>
        <w:rPr>
          <w:rFonts w:hint="eastAsia" w:ascii="宋体" w:hAnsi="宋体" w:eastAsia="宋体" w:cs="宋体"/>
          <w:color w:val="auto"/>
          <w:szCs w:val="21"/>
          <w:highlight w:val="none"/>
        </w:rPr>
        <w:t>的，由</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承担检测费用；否则，由</w:t>
      </w:r>
      <w:r>
        <w:rPr>
          <w:rFonts w:hint="eastAsia" w:ascii="宋体" w:hAnsi="宋体" w:eastAsia="宋体" w:cs="宋体"/>
          <w:color w:val="auto"/>
          <w:szCs w:val="21"/>
          <w:highlight w:val="none"/>
          <w:lang w:eastAsia="zh-CN"/>
        </w:rPr>
        <w:t>中标供应商</w:t>
      </w:r>
      <w:r>
        <w:rPr>
          <w:rFonts w:hint="eastAsia" w:ascii="宋体" w:hAnsi="宋体" w:eastAsia="宋体" w:cs="宋体"/>
          <w:color w:val="auto"/>
          <w:szCs w:val="21"/>
          <w:highlight w:val="none"/>
        </w:rPr>
        <w:t>承担。</w:t>
      </w:r>
    </w:p>
    <w:p w14:paraId="7B154C17">
      <w:pPr>
        <w:keepNext w:val="0"/>
        <w:keepLines w:val="0"/>
        <w:pageBreakBefore w:val="0"/>
        <w:widowControl w:val="0"/>
        <w:numPr>
          <w:ilvl w:val="0"/>
          <w:numId w:val="0"/>
        </w:numPr>
        <w:kinsoku/>
        <w:wordWrap/>
        <w:overflowPunct/>
        <w:topLinePunct w:val="0"/>
        <w:autoSpaceDE/>
        <w:autoSpaceDN/>
        <w:bidi w:val="0"/>
        <w:spacing w:line="400" w:lineRule="exact"/>
        <w:ind w:firstLine="211" w:firstLineChars="100"/>
        <w:textAlignment w:val="auto"/>
        <w:rPr>
          <w:rFonts w:hint="eastAsia" w:ascii="宋体" w:hAnsi="宋体" w:cs="宋体"/>
          <w:b/>
          <w:bCs/>
          <w:color w:val="auto"/>
          <w:kern w:val="2"/>
          <w:sz w:val="21"/>
          <w:szCs w:val="24"/>
          <w:lang w:val="en-US" w:eastAsia="zh-CN" w:bidi="ar-SA"/>
        </w:rPr>
      </w:pPr>
      <w:r>
        <w:rPr>
          <w:rFonts w:hint="eastAsia" w:ascii="宋体" w:hAnsi="宋体" w:cs="宋体"/>
          <w:b/>
          <w:bCs/>
          <w:color w:val="auto"/>
          <w:kern w:val="2"/>
          <w:sz w:val="21"/>
          <w:szCs w:val="24"/>
          <w:lang w:val="en-US" w:eastAsia="zh-CN" w:bidi="ar-SA"/>
        </w:rPr>
        <w:t>3</w:t>
      </w:r>
      <w:r>
        <w:rPr>
          <w:rFonts w:hint="eastAsia" w:ascii="宋体" w:hAnsi="宋体" w:eastAsia="宋体" w:cs="宋体"/>
          <w:b/>
          <w:bCs/>
          <w:color w:val="auto"/>
          <w:kern w:val="2"/>
          <w:sz w:val="21"/>
          <w:szCs w:val="24"/>
          <w:lang w:val="en-US" w:eastAsia="zh-CN" w:bidi="ar-SA"/>
        </w:rPr>
        <w:t>、保密要求：中标服务商，在服务期间应当做好相应的保密措施</w:t>
      </w:r>
      <w:r>
        <w:rPr>
          <w:rFonts w:hint="eastAsia" w:ascii="宋体" w:hAnsi="宋体" w:cs="宋体"/>
          <w:b/>
          <w:bCs/>
          <w:color w:val="auto"/>
          <w:kern w:val="2"/>
          <w:sz w:val="21"/>
          <w:szCs w:val="24"/>
          <w:lang w:val="en-US" w:eastAsia="zh-CN" w:bidi="ar-SA"/>
        </w:rPr>
        <w:t>，供应商在投标文件中提供书面保密承诺书，格式自拟。</w:t>
      </w:r>
    </w:p>
    <w:p w14:paraId="578687C9">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4、附件一《株洲市政务云服务目录》</w:t>
      </w:r>
    </w:p>
    <w:p w14:paraId="5DDD1E32">
      <w:pPr>
        <w:keepNext w:val="0"/>
        <w:keepLines w:val="0"/>
        <w:pageBreakBefore w:val="0"/>
        <w:shd w:val="clear" w:color="auto" w:fill="auto"/>
        <w:kinsoku/>
        <w:wordWrap/>
        <w:overflowPunct/>
        <w:topLinePunct w:val="0"/>
        <w:bidi w:val="0"/>
        <w:adjustRightInd w:val="0"/>
        <w:snapToGrid w:val="0"/>
        <w:spacing w:line="360" w:lineRule="auto"/>
        <w:ind w:firstLine="210" w:firstLineChars="1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5、附件二《株洲市政务云结算办法(试行)》</w:t>
      </w:r>
    </w:p>
    <w:p w14:paraId="70660999">
      <w:pPr>
        <w:rPr>
          <w:rFonts w:hint="eastAsia"/>
          <w:color w:val="auto"/>
          <w:lang w:val="en-US" w:eastAsia="zh-CN"/>
        </w:rPr>
      </w:pPr>
    </w:p>
    <w:p w14:paraId="3538C238">
      <w:pPr>
        <w:pStyle w:val="11"/>
        <w:pageBreakBefore w:val="0"/>
        <w:widowControl w:val="0"/>
        <w:kinsoku/>
        <w:wordWrap/>
        <w:overflowPunct/>
        <w:topLinePunct w:val="0"/>
        <w:bidi w:val="0"/>
        <w:spacing w:after="0" w:line="400" w:lineRule="exact"/>
        <w:ind w:left="0" w:leftChars="0" w:firstLine="420" w:firstLineChars="200"/>
        <w:textAlignment w:val="auto"/>
        <w:rPr>
          <w:rFonts w:hint="eastAsia" w:ascii="宋体" w:hAnsi="宋体" w:cs="宋体"/>
          <w:snapToGrid w:val="0"/>
          <w:color w:val="auto"/>
          <w:sz w:val="21"/>
          <w:szCs w:val="21"/>
          <w:lang w:eastAsia="zh-CN"/>
        </w:rPr>
      </w:pPr>
      <w:r>
        <w:rPr>
          <w:rFonts w:hint="eastAsia" w:ascii="宋体" w:hAnsi="宋体" w:cs="宋体"/>
          <w:snapToGrid w:val="0"/>
          <w:color w:val="auto"/>
          <w:sz w:val="21"/>
          <w:szCs w:val="21"/>
          <w:lang w:eastAsia="zh-CN"/>
        </w:rPr>
        <w:t>带“★”号条款为实质性条款，不得出现任何偏离，否则投标无效。</w:t>
      </w:r>
    </w:p>
    <w:p w14:paraId="308CB91F">
      <w:pPr>
        <w:pStyle w:val="9"/>
        <w:adjustRightInd w:val="0"/>
        <w:snapToGrid w:val="0"/>
        <w:spacing w:line="360" w:lineRule="auto"/>
        <w:jc w:val="both"/>
        <w:outlineLvl w:val="0"/>
        <w:rPr>
          <w:rFonts w:hint="eastAsia" w:ascii="黑体" w:hAnsi="华文中宋" w:eastAsia="黑体"/>
          <w:b/>
          <w:color w:val="auto"/>
          <w:sz w:val="32"/>
          <w:szCs w:val="32"/>
        </w:rPr>
      </w:pPr>
    </w:p>
    <w:p w14:paraId="78992AF2">
      <w:pPr>
        <w:pStyle w:val="9"/>
        <w:adjustRightInd w:val="0"/>
        <w:snapToGrid w:val="0"/>
        <w:spacing w:line="360" w:lineRule="auto"/>
        <w:jc w:val="center"/>
        <w:outlineLvl w:val="0"/>
        <w:rPr>
          <w:rFonts w:hint="eastAsia" w:ascii="黑体" w:hAnsi="华文中宋" w:eastAsia="黑体"/>
          <w:b/>
          <w:color w:val="auto"/>
          <w:sz w:val="32"/>
          <w:szCs w:val="32"/>
        </w:rPr>
      </w:pPr>
    </w:p>
    <w:p w14:paraId="68E2350C">
      <w:pPr>
        <w:pStyle w:val="9"/>
        <w:adjustRightInd w:val="0"/>
        <w:snapToGrid w:val="0"/>
        <w:spacing w:line="360" w:lineRule="auto"/>
        <w:jc w:val="center"/>
        <w:outlineLvl w:val="0"/>
        <w:rPr>
          <w:rFonts w:hint="eastAsia" w:ascii="黑体" w:hAnsi="华文中宋" w:eastAsia="黑体"/>
          <w:b/>
          <w:color w:val="auto"/>
          <w:sz w:val="32"/>
          <w:szCs w:val="32"/>
        </w:rPr>
      </w:pPr>
    </w:p>
    <w:p w14:paraId="34F9D5A8">
      <w:pPr>
        <w:pStyle w:val="9"/>
        <w:adjustRightInd w:val="0"/>
        <w:snapToGrid w:val="0"/>
        <w:spacing w:line="360" w:lineRule="auto"/>
        <w:jc w:val="center"/>
        <w:outlineLvl w:val="0"/>
        <w:rPr>
          <w:rFonts w:hint="eastAsia" w:ascii="黑体" w:hAnsi="华文中宋" w:eastAsia="黑体"/>
          <w:b/>
          <w:color w:val="auto"/>
          <w:sz w:val="32"/>
          <w:szCs w:val="32"/>
        </w:rPr>
      </w:pPr>
    </w:p>
    <w:p w14:paraId="4D7335BF">
      <w:pPr>
        <w:pStyle w:val="9"/>
        <w:adjustRightInd w:val="0"/>
        <w:snapToGrid w:val="0"/>
        <w:spacing w:line="360" w:lineRule="auto"/>
        <w:jc w:val="center"/>
        <w:outlineLvl w:val="0"/>
        <w:rPr>
          <w:rFonts w:hint="eastAsia" w:ascii="黑体" w:hAnsi="华文中宋" w:eastAsia="黑体"/>
          <w:b/>
          <w:color w:val="auto"/>
          <w:sz w:val="32"/>
          <w:szCs w:val="32"/>
        </w:rPr>
      </w:pPr>
    </w:p>
    <w:p w14:paraId="23E0688B">
      <w:pPr>
        <w:pStyle w:val="9"/>
        <w:adjustRightInd w:val="0"/>
        <w:snapToGrid w:val="0"/>
        <w:spacing w:line="360" w:lineRule="auto"/>
        <w:jc w:val="center"/>
        <w:outlineLvl w:val="0"/>
        <w:rPr>
          <w:rFonts w:hint="eastAsia" w:ascii="黑体" w:hAnsi="华文中宋" w:eastAsia="黑体"/>
          <w:b/>
          <w:color w:val="auto"/>
          <w:sz w:val="32"/>
          <w:szCs w:val="32"/>
        </w:rPr>
      </w:pPr>
    </w:p>
    <w:p w14:paraId="04CB7C65">
      <w:pPr>
        <w:pStyle w:val="9"/>
        <w:adjustRightInd w:val="0"/>
        <w:snapToGrid w:val="0"/>
        <w:spacing w:line="360" w:lineRule="auto"/>
        <w:jc w:val="center"/>
        <w:outlineLvl w:val="0"/>
        <w:rPr>
          <w:rFonts w:hint="eastAsia" w:ascii="黑体" w:hAnsi="华文中宋" w:eastAsia="黑体"/>
          <w:b/>
          <w:color w:val="auto"/>
          <w:sz w:val="32"/>
          <w:szCs w:val="32"/>
        </w:rPr>
      </w:pPr>
    </w:p>
    <w:p w14:paraId="5B9A2C93">
      <w:pPr>
        <w:pStyle w:val="9"/>
        <w:adjustRightInd w:val="0"/>
        <w:snapToGrid w:val="0"/>
        <w:spacing w:line="360" w:lineRule="auto"/>
        <w:jc w:val="center"/>
        <w:outlineLvl w:val="0"/>
        <w:rPr>
          <w:rFonts w:hint="eastAsia" w:ascii="黑体" w:hAnsi="华文中宋" w:eastAsia="黑体"/>
          <w:b/>
          <w:color w:val="auto"/>
          <w:sz w:val="32"/>
          <w:szCs w:val="32"/>
        </w:rPr>
      </w:pPr>
    </w:p>
    <w:p w14:paraId="5C13165F">
      <w:pPr>
        <w:pStyle w:val="3"/>
        <w:adjustRightInd w:val="0"/>
        <w:snapToGrid w:val="0"/>
        <w:spacing w:before="156" w:beforeLines="50"/>
        <w:jc w:val="both"/>
        <w:rPr>
          <w:rFonts w:hint="eastAsia" w:ascii="黑体" w:hAnsi="黑体" w:eastAsia="黑体" w:cs="Times New Roman"/>
          <w:color w:val="auto"/>
          <w:sz w:val="28"/>
          <w:szCs w:val="28"/>
          <w:highlight w:val="none"/>
          <w:lang w:val="en-US" w:eastAsia="zh-CN"/>
        </w:rPr>
      </w:pPr>
      <w:r>
        <w:rPr>
          <w:rFonts w:hint="eastAsia" w:ascii="黑体" w:hAnsi="黑体" w:eastAsia="黑体" w:cs="Times New Roman"/>
          <w:color w:val="auto"/>
          <w:sz w:val="28"/>
          <w:szCs w:val="28"/>
          <w:highlight w:val="none"/>
          <w:lang w:val="en-US" w:eastAsia="zh-CN"/>
        </w:rPr>
        <w:t xml:space="preserve">附件一   </w:t>
      </w:r>
    </w:p>
    <w:p w14:paraId="6ECBDFAF">
      <w:pPr>
        <w:pStyle w:val="9"/>
        <w:adjustRightInd w:val="0"/>
        <w:snapToGrid w:val="0"/>
        <w:spacing w:line="360" w:lineRule="auto"/>
        <w:jc w:val="center"/>
        <w:outlineLvl w:val="0"/>
        <w:rPr>
          <w:rFonts w:hint="eastAsia" w:ascii="黑体" w:hAnsi="华文中宋" w:eastAsia="黑体"/>
          <w:b/>
          <w:color w:val="auto"/>
          <w:sz w:val="32"/>
          <w:szCs w:val="32"/>
          <w:lang w:eastAsia="zh-CN"/>
        </w:rPr>
      </w:pPr>
      <w:r>
        <w:rPr>
          <w:rFonts w:hint="eastAsia" w:ascii="黑体" w:hAnsi="华文中宋" w:eastAsia="黑体"/>
          <w:b/>
          <w:color w:val="auto"/>
          <w:sz w:val="32"/>
          <w:szCs w:val="32"/>
          <w:lang w:eastAsia="zh-CN"/>
        </w:rPr>
        <w:t>株洲市政务云服务目录</w:t>
      </w:r>
    </w:p>
    <w:tbl>
      <w:tblPr>
        <w:tblStyle w:val="13"/>
        <w:tblW w:w="105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7"/>
        <w:gridCol w:w="699"/>
        <w:gridCol w:w="699"/>
        <w:gridCol w:w="699"/>
        <w:gridCol w:w="699"/>
        <w:gridCol w:w="699"/>
        <w:gridCol w:w="2439"/>
        <w:gridCol w:w="800"/>
        <w:gridCol w:w="1023"/>
        <w:gridCol w:w="2313"/>
      </w:tblGrid>
      <w:tr w14:paraId="326A6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blHeader/>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E58730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序号</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E76AA2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服务类别</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F3EBD5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一级服务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FB1D42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二级服务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9C6E7C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三级服务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C6AFB7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四级服务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61CFB5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规格描述</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3A14E1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计价单位</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F0F7C2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单价</w:t>
            </w:r>
            <w:r>
              <w:rPr>
                <w:rFonts w:hint="eastAsia" w:ascii="宋体" w:hAnsi="宋体" w:eastAsia="宋体" w:cs="宋体"/>
                <w:i w:val="0"/>
                <w:iCs w:val="0"/>
                <w:color w:val="auto"/>
                <w:kern w:val="0"/>
                <w:sz w:val="20"/>
                <w:szCs w:val="20"/>
                <w:highlight w:val="none"/>
                <w:u w:val="none"/>
                <w:lang w:val="en-US" w:eastAsia="zh-CN" w:bidi="ar"/>
              </w:rPr>
              <w:t>(元)</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517F613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计价说明</w:t>
            </w:r>
          </w:p>
        </w:tc>
      </w:tr>
      <w:tr w14:paraId="325D0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3900425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9344FD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4A55E0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IaaS服务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414FE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F71E91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云主机服务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(通用算力)</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64D934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ARM架构云主机Ⅰ型</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440457E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1vCPU，主频≥2.6Ghz</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C21BA4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1核/月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10DF15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19.15</w:t>
            </w:r>
          </w:p>
        </w:tc>
        <w:tc>
          <w:tcPr>
            <w:tcW w:w="2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424F72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按实际开通量进行计价，不足一个月的部分按天数折算；租户可按业务需求灵活配置各种规格的云主机，支持叠加购买</w:t>
            </w:r>
          </w:p>
        </w:tc>
      </w:tr>
      <w:tr w14:paraId="5AA48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3A85559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64BDB3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D447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954C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306C0">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29D8E">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72134B3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1GB内存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3C6F6B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2A3C15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11.19</w:t>
            </w:r>
          </w:p>
        </w:tc>
        <w:tc>
          <w:tcPr>
            <w:tcW w:w="2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C0D5C">
            <w:pPr>
              <w:keepNext w:val="0"/>
              <w:keepLines w:val="0"/>
              <w:pageBreakBefore w:val="0"/>
              <w:widowControl/>
              <w:kinsoku/>
              <w:wordWrap w:val="0"/>
              <w:overflowPunct/>
              <w:topLinePunct w:val="0"/>
              <w:autoSpaceDE/>
              <w:autoSpaceDN/>
              <w:bidi w:val="0"/>
              <w:adjustRightInd w:val="0"/>
              <w:snapToGrid w:val="0"/>
              <w:ind w:firstLine="0" w:firstLineChars="0"/>
              <w:jc w:val="both"/>
              <w:rPr>
                <w:rFonts w:hint="eastAsia" w:ascii="宋体" w:hAnsi="宋体" w:eastAsia="宋体" w:cs="宋体"/>
                <w:i w:val="0"/>
                <w:iCs w:val="0"/>
                <w:color w:val="auto"/>
                <w:sz w:val="20"/>
                <w:szCs w:val="20"/>
                <w:highlight w:val="none"/>
                <w:u w:val="none"/>
              </w:rPr>
            </w:pPr>
          </w:p>
        </w:tc>
      </w:tr>
      <w:tr w14:paraId="16CAC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F6FDF9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2BAD67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BC161">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7A98F">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6EC3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97846A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ARM架构云主机Ⅱ型</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3722862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1vCPU，主频≥2.1Ghz</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8B1A21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1核/月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AE8993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20.59</w:t>
            </w:r>
          </w:p>
        </w:tc>
        <w:tc>
          <w:tcPr>
            <w:tcW w:w="2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FA73B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按实际开通量进行计价，不足一个月的部分按天数折算；租户可按业务需求灵活配置各种规格的云主机，支持叠加购买</w:t>
            </w:r>
          </w:p>
        </w:tc>
      </w:tr>
      <w:tr w14:paraId="46BFF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6BB7BF7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209E35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5D9383">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2A732">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57857F">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9A5FE">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6725AF5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1GB内存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12B28C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B92F50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11.55</w:t>
            </w:r>
          </w:p>
        </w:tc>
        <w:tc>
          <w:tcPr>
            <w:tcW w:w="2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8A2F7">
            <w:pPr>
              <w:keepNext w:val="0"/>
              <w:keepLines w:val="0"/>
              <w:pageBreakBefore w:val="0"/>
              <w:widowControl/>
              <w:kinsoku/>
              <w:wordWrap w:val="0"/>
              <w:overflowPunct/>
              <w:topLinePunct w:val="0"/>
              <w:autoSpaceDE/>
              <w:autoSpaceDN/>
              <w:bidi w:val="0"/>
              <w:adjustRightInd w:val="0"/>
              <w:snapToGrid w:val="0"/>
              <w:ind w:firstLine="0" w:firstLineChars="0"/>
              <w:jc w:val="both"/>
              <w:rPr>
                <w:rFonts w:hint="eastAsia" w:ascii="宋体" w:hAnsi="宋体" w:eastAsia="宋体" w:cs="宋体"/>
                <w:i w:val="0"/>
                <w:iCs w:val="0"/>
                <w:color w:val="auto"/>
                <w:sz w:val="20"/>
                <w:szCs w:val="20"/>
                <w:highlight w:val="none"/>
                <w:u w:val="none"/>
              </w:rPr>
            </w:pPr>
          </w:p>
        </w:tc>
      </w:tr>
      <w:tr w14:paraId="46702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0249792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55D99D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D18D0">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F4A4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9297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0E957D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C86架构云主机服务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26A946C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1vCPU，主频≥2.2Ghz</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68BF09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1核/月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8CFC89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17.09</w:t>
            </w:r>
          </w:p>
        </w:tc>
        <w:tc>
          <w:tcPr>
            <w:tcW w:w="2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532744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按实际开通量进行计价，不足一个月的部分按天数折算；租户可按业务需求灵活配置各种规格的云主机，支持叠加购买</w:t>
            </w:r>
          </w:p>
        </w:tc>
      </w:tr>
      <w:tr w14:paraId="14996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8AD371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D300A5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2FE9B">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6C793">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6F93A2">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624B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40BD6C7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1GB内存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F373F7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A45004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11.77</w:t>
            </w:r>
          </w:p>
        </w:tc>
        <w:tc>
          <w:tcPr>
            <w:tcW w:w="2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0C740">
            <w:pPr>
              <w:keepNext w:val="0"/>
              <w:keepLines w:val="0"/>
              <w:pageBreakBefore w:val="0"/>
              <w:widowControl/>
              <w:kinsoku/>
              <w:wordWrap w:val="0"/>
              <w:overflowPunct/>
              <w:topLinePunct w:val="0"/>
              <w:autoSpaceDE/>
              <w:autoSpaceDN/>
              <w:bidi w:val="0"/>
              <w:adjustRightInd w:val="0"/>
              <w:snapToGrid w:val="0"/>
              <w:ind w:firstLine="0" w:firstLineChars="0"/>
              <w:jc w:val="both"/>
              <w:rPr>
                <w:rFonts w:hint="eastAsia" w:ascii="宋体" w:hAnsi="宋体" w:eastAsia="宋体" w:cs="宋体"/>
                <w:i w:val="0"/>
                <w:iCs w:val="0"/>
                <w:color w:val="auto"/>
                <w:sz w:val="20"/>
                <w:szCs w:val="20"/>
                <w:highlight w:val="none"/>
                <w:u w:val="none"/>
              </w:rPr>
            </w:pPr>
          </w:p>
        </w:tc>
      </w:tr>
      <w:tr w14:paraId="78437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A0116C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C484A0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329459">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BC3A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7E174E6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裸金属服务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32B90C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ARM架构裸金属基础整机服务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C19683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CPU2*48核，主频≥2.6Ghz，内存128G，系统盘：≥1T</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硬盘；数据盘：≥2T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SATA硬盘；RAID卡-RAID(0/1/5)2G缓存,含电池或电容；网卡：≥2个万兆网口(含光模块)；冗余电源、冗余风扇等；除上述基础配置外，整机按需提供支持所有配件的插槽、HBA、网口及光模块。</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1805DA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1台/月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7CA6692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1827.49</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919E09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按租用时长进行计价，不足一个月的部分按天数折算；租户可按业务需求对裸金属基础整机进行增配，增配部分按配件价格及数量另外计价</w:t>
            </w:r>
          </w:p>
        </w:tc>
      </w:tr>
      <w:tr w14:paraId="1F59D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A28838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E16C3C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FAA8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EFF82B">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DC28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CBD05F">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84BB45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CPU2*64核，主频≥2.1Ghz，内存128G，系统盘：≥1T</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硬盘；数据盘：≥2T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SATA硬盘；RAID卡-RAID(0/1/5)2G缓存,含电池或电容；网卡：≥2个万兆网口(含光模块)；冗余电源、冗余风扇等；除上述基础配置外，整机按需提供支持所有配件的插槽、HBA、网口及光模块。</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784A2C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1台/月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5CAD1E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1786.90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C66451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按租用时长进行计价，不足一个月的部分按天数折算；租户可按业务需求对裸金属基础整机进行增配，增配部分按配件价格及数量另外计价</w:t>
            </w:r>
          </w:p>
        </w:tc>
      </w:tr>
      <w:tr w14:paraId="4283A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0E7CBC1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4B7A8F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C269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997901">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FE441">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2D2D2">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6BB7F9B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CPU2*64核，主频≥2.6Ghz，内存128G，系统盘：≥1T</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硬盘；数据盘：2T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SATA硬盘；RAID卡-RAID(0/1/5)2G缓存,含电池或电容；网卡：≥2个万兆网口(含光模块)；冗余电源、冗余风扇等；除上述基础配置外，整机按需提供支持所有配件的插槽、HBA、网口及光模块。</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011222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1台/月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237E4B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1657.05</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5FEEAD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按租用时长进行计价；租户可按业务需求对裸金属基础整机进行增配，增配部分按配件价格及数量另外计价</w:t>
            </w:r>
          </w:p>
        </w:tc>
      </w:tr>
      <w:tr w14:paraId="2E8A2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83FFC8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1E7834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06D9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3F672">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F7DF1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F5AB15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C86架构裸金属基础服务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3ADBB17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CPU2*16核，主频≥2.5Ghz，内存128G，系统盘：≥1T</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硬盘；数据盘：2T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SATA硬盘；RAID卡-RAID(0/1/5)2G缓存,含电池或电容；网卡：≥2个万兆网口(含光模块)；冗余电源、冗余风扇等；除上述基础配置外，整机按需提供支持所有配件的插槽、HBA、网口及光模块。</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D628A1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1台/月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7246C5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1212.08</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396AD6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按租用时长进行计价，不足一个月的部分按天数折算；租户可按业务需求对裸金属基础整机进行增配，增配部分按配件价格及数量另外计价</w:t>
            </w:r>
          </w:p>
        </w:tc>
      </w:tr>
      <w:tr w14:paraId="2E6F7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1067AE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ADFAF0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95D06">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AA019">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357E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2E9FA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F2CBD8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CPU2*32核，主频≥2.7Ghz，内存128G，系统盘：≥1T</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硬盘；数据盘：≥2T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SATA硬盘；RAID卡-RAID(0/1/5)2G缓存,含电池或电容；网卡：≥2个万兆网口(含光模块)；冗余电源、冗余风扇等；除上述基础配置外，整机按需提供支持所有配件的插槽、HBA、网口及光模块。</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5E4D8E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1台/月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AFAFE1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2016.24</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C815AB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按租用时长进行计价，不足一个月的部分按天数折算；租户可按业务需求对裸金属基础整机进行增配，增配部分按配件价格及数量另外计价</w:t>
            </w:r>
          </w:p>
        </w:tc>
      </w:tr>
      <w:tr w14:paraId="29F49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A6F12C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00A912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5AE7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2C852">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1DCBE5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裸金属配件服务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B9DA60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内存</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04ABD1E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16GB</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102B52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16GB/月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BC3704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20.70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0A21615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按租用时长进行计价，不足一个月的部分按天数折算；租户可按业务需求进行叠加购买</w:t>
            </w:r>
          </w:p>
        </w:tc>
      </w:tr>
      <w:tr w14:paraId="3B7C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076096A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81CDE8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8DE4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3144B">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A9A27">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649DFF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SAS硬盘</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3A37D23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300GB</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6D971E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300G/月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B37533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15.72</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C8435B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按租用时长进行计价，不足一个月的部分按天数折算；租户可按业务需求进行叠加购买</w:t>
            </w:r>
          </w:p>
        </w:tc>
      </w:tr>
      <w:tr w14:paraId="6B505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BDEBDF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B287BA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7A2ED">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05921">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BBF1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DC030F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SATA硬盘</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40356CB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500GB</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AA2607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500G/月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259384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8AC77F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按租用时长进行计价，不足一个月的部分按天数折算；租户可按业务需求进行叠加购买</w:t>
            </w:r>
          </w:p>
        </w:tc>
      </w:tr>
      <w:tr w14:paraId="6B811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B1BC9B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2D1992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7F66F">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84A77">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B2E09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B0C5A3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SSD</w:t>
            </w:r>
            <w:r>
              <w:rPr>
                <w:rFonts w:hint="eastAsia" w:ascii="宋体" w:hAnsi="宋体" w:eastAsia="宋体" w:cs="宋体"/>
                <w:i w:val="0"/>
                <w:iCs w:val="0"/>
                <w:color w:val="auto"/>
                <w:kern w:val="0"/>
                <w:sz w:val="20"/>
                <w:szCs w:val="20"/>
                <w:highlight w:val="none"/>
                <w:u w:val="none"/>
                <w:lang w:val="en-US" w:eastAsia="zh-CN" w:bidi="ar"/>
              </w:rPr>
              <w:t>硬盘</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E25E17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500GB</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636231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500G/月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50B37B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38.77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D97D24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单块480G硬盘，认可为500G硬盘，单块960G硬盘，认可为1TB硬盘；按租用时长进行计价，不足一个月的部分按天数折算；租户可按业务需求叠加购买</w:t>
            </w:r>
          </w:p>
        </w:tc>
      </w:tr>
      <w:tr w14:paraId="6BB0D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2142C9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0861DE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93BE80">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957B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6A34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23151E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NVME硬盘</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730EFE0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1TB</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5592D8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1T/月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3A8BA31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168.00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8D982B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按租用时长进行计价，不足一个月的部分按天数折算；租户可按业务需求进行叠加购买</w:t>
            </w:r>
          </w:p>
        </w:tc>
      </w:tr>
      <w:tr w14:paraId="0838E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5ADCB3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42AAE6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62A49">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7FD97">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741417D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智能算力服务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18BC8C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AI推理卡(国产Ⅰ型)</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B8C067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智能算力≥140TOPSINT8/70TFLOPS</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FP16;部署的云主机或裸金属需另外单独采购。</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775450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1块/月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96B7F9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541.67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12C2AC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w:t>
            </w:r>
          </w:p>
        </w:tc>
      </w:tr>
      <w:tr w14:paraId="0E4BF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81D0A8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0A5932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3851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6F1CCD">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948D6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73C715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AI推理卡(国产Ⅱ型)</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7B5E764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智能算力≥256TOPSINT8/200TFLOPS</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FP16；部署的云主机或裸金属需另外单独采购。</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423BC9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1块/月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02706A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677.09</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0B1BA76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按租用时长进行计价，不足一个月的部分按天数折算。</w:t>
            </w:r>
          </w:p>
        </w:tc>
      </w:tr>
      <w:tr w14:paraId="40E08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61CC89E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998585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1F5C7">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491BE2">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CC66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A3820E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AI模型训练算力服务Ⅰ型</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7BA8A86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AI模型训练算力(国产)100T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FP16</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0D468E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1天</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A9F903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627.47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B420CA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按租用时长进行计价，不足1天的部分按1天计算；以100T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FP16算力计价基础，按比例灵活计价，如80T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FP16就打8折，130T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FP16就按1.3倍计价</w:t>
            </w:r>
          </w:p>
        </w:tc>
      </w:tr>
      <w:tr w14:paraId="4A9A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619FCB3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DBC782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F74B9">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A0B293">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B44CE">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038F5B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AI模型训练算力服务Ⅱ型</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73DB39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AI模型训练算力(国产)100T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FP32</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16DC35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1天</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D22C43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1941.01</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5653E6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按租用时长进行计价，不足1天的部分按1天计算；以100T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FP32算力计价基础，按比例灵活计价，如80T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FP32就打8折，130T</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FP32就按1.3倍计价</w:t>
            </w:r>
          </w:p>
        </w:tc>
      </w:tr>
      <w:tr w14:paraId="4F24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3A4725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4FF5E8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04ED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419470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存储服务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112C1A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块存储服务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250C89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普通IO块存储</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01576D9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单盘最大IOPS≥2000，单盘最大吞吐量为60MB/S，单盘最高延迟为12ms(适用于大容量、读写速率中等、事务性处理较少的应用场景)</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541CE2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02D46F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0.27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84D31A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按实际开通量进行计价，不足一个月的部分按天数折算</w:t>
            </w:r>
          </w:p>
        </w:tc>
      </w:tr>
      <w:tr w14:paraId="61014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6967C01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EF4C43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3CA26">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39CD4B">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2CBC6">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71A8C0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高IO块存储</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24AF0E8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单盘最大IOPS≥5000，单盘最大吞吐量为150MB/S，单盘最高延迟为5ms(适用于主流的高性能、高可靠应用场景)</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44926A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5B86474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0.40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119499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按实际开通量进行计价，不足一个月的部分按天数折算</w:t>
            </w:r>
          </w:p>
        </w:tc>
      </w:tr>
      <w:tr w14:paraId="2B50F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414D88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77A411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0BA43">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66A8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81226">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B692E9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超高IO块存储</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7862E0C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单盘最大IOPS≥25000，单盘最大吞吐量为300MB/S，单盘最高延迟为2ms(适用于超高IO,超大吞吐量的读写密集型应用场景)</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0E7A05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E2B993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0.77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A44B45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按实际开通量进行计价，不足一个月的部分按天数折算</w:t>
            </w:r>
          </w:p>
        </w:tc>
      </w:tr>
      <w:tr w14:paraId="642A6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6682E20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A48C88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26C7B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5AFEF">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2A5046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文件存储服务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4F8B04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文件存储</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2D85339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文件服务为租户提供一个完全托管的共享文件存储，具备高可用性和持久性，为海量数据、高带宽型应用提供有力支持，包括媒体处理、文件共享、内容管理和Web服务等。</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AD5729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1TB/月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34B092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E0A970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按实际开通量进行计价，不足一个月的部分按天数折算</w:t>
            </w:r>
          </w:p>
        </w:tc>
      </w:tr>
      <w:tr w14:paraId="66733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EE352D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E91AC1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96279">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A380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5D9332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对象存储服务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71959D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对象存储</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20B12F4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对象存储服务是一个基于对象的海量存储服务，为租户提供海量、安全、高可靠、低成本的数据存储能力。</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8520C7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1TB/月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2B357C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51.20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A4B09D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按实际开通量进行计价，不足一个月的部分按天数折算</w:t>
            </w:r>
          </w:p>
        </w:tc>
      </w:tr>
      <w:tr w14:paraId="420D9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05C8FBF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754954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26A7E">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576B0">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23881D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归档存储服务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2D8380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归档存储</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17B24E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提供归档、备份和长期保存数据服务，适用于数据备份和遵从法律法规的长期档案归档等。</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8CFF3E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1TB/年</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B1A037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1180.00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08783EE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以1TB/年为计价单位，不足一年的部分按天数折算</w:t>
            </w:r>
          </w:p>
        </w:tc>
      </w:tr>
      <w:tr w14:paraId="774E6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CD4939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72E133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23131">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4E9FC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托管服务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B886C2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云数据中心机柜租赁服务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1A24FD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云数据中心1U机架位</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C7A932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提供1U机架位供设备托管。</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C06171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1U机架位/月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084873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297.00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10BBE9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按实际租用机架空间收费(含电费，不区分设备功率)，可叠加采购</w:t>
            </w:r>
          </w:p>
        </w:tc>
      </w:tr>
      <w:tr w14:paraId="6B32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6AC8835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D3518D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207BE">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ECA50">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D46D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D753F6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云数据中心1个机柜</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B15004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提供≥42U标准整机柜租用，一个标准机柜功率≥6000W。</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D86750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1柜/月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3F5F19D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4333.33</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C8ED98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按实际租用机柜个数计费，功率超出6000W的部分不另外计价。</w:t>
            </w:r>
          </w:p>
        </w:tc>
      </w:tr>
      <w:tr w14:paraId="237A5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6F4015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96DBF5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CEBE6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PaaS服务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F1661E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云原生平台</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C9EEAE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微服务平台</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E33A2A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微服务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6AFBB0C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提供微服务管理、治理、流控、链路灰度等功能，能够管理相当数量的服务实例(即业务服务副本)的授权，采用微服务架构的应用所需云资源需另外采购。</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C0BA9A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1vCPU/月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8DCB0E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100.60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8CFD67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0090B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5153E96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1D37E8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9A44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2CCC9">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A1DF77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容器</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B0AB99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容器服务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74A262F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以容器为核心、可扩展的容器应用管理服务。为容器化的应用系统提供高效部署、资源调度、服务发现以及动态伸缩等完整编排调度及管理功能，解决应用开发、测试及运维过程的环境一致性问题，本服务提供的仅为容器引擎的授权，采用容器服务架构的应用所需云资源需另外采购。</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B04F1A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1vCPU/月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93863F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130.95</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AFAF33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607EA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573C70B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0D6D53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5764B">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F0F792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操作系统</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E8C70B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操作系统服务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28DBC5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国产操作系统</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B438A5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提供麒麟、统信等符合国测要求的服务器操作系统的授权。</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C1C746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221025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E04DBA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w:t>
            </w:r>
          </w:p>
        </w:tc>
      </w:tr>
      <w:tr w14:paraId="55DB3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77D6FBD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415363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3A4D0D">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A5F864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数据库</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软件</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139CA8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数据库软件服务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680DB8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国产数据库软件(单机版)</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25DA5CD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提供达梦、金仓、南大等符合国测要求的数据库管理系统(单机版)的授权</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410416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B028BF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1127.79</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7E67DC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7EA7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7E15520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FB15E2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6BB80">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D2C19">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7AFB28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数据库软件服务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9E5C8C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国产数据库软件(主备版)</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7F990C9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提供达梦、金仓、南大等符合国测要求的数据库管理系统(主备版)的授权</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C8FF12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8D2CC1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1430.00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55C3B0C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1套/月，支持叠加购买。</w:t>
            </w:r>
          </w:p>
        </w:tc>
      </w:tr>
      <w:tr w14:paraId="01FB7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0941FB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8F951B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48AB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BBBD2">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39F7A9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数据库软件服务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764022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国产数据库软件(集群版)</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A5CB95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提供达梦、金仓、南大等符合国测要求的数据库管理系统(集群版)的授权</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D5FEFE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96AF6C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1338.20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0F6136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4507D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02917EF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D1D6D3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扩展云服务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86796">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D6F45B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云数据库</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B799AF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国产关系型数据库</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249557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国产关系型数据库</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3D16634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包含2核CPU，4G内存算力，100GB</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存储空间，最大连接数≥1200。CPU和内存超出后的部分按云主机ARM架构Ⅰ型的目录价格另计、存储超出后的部分按超高IO块存储的目录价格另计。</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B8A7D4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1实例/月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C4D554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948.15</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41489F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56E94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6D979F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EF346E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扩展云服务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09534">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7E70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232CCB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国产非关系型数据库</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88A2CE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文档数据库</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995337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包含2核CPU，4G内存算力，100GB</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存储空间，最大连接数≥1200。CPU和内存超出后的部分按云主机ARM架构Ⅰ型的目录价格另计、存储超出后的部分按超高IO块存储的目录价格另计。</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B689E8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1实例/月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B8411B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1211.77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5BCC42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2894D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2D25A3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CD1C54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扩展云服务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CA4DD">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474BD">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BFDA0">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469392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缓存数据库</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0D0E52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包含2G内存算力，分布式缓存服务，用于提供即开即用、安全、可靠、弹性扩容、边界管理的在线分布式缓存能力，满足高并发及快速数据访问的业务诉求。</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98748E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1实例/月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0ED4E1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305.90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82A04B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65523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2C919A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FC40AF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扩展云服务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36510">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6BA6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A5739C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国产分布式数据库</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978091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国产分布式数据库</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4862A73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包含2核CPU，4G内存算力，100GB</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存储空间，最大连接数≥1200。CPU和内存超出后的部分按云主机ARM架构Ⅰ型的目录价格另计、存储超出后的部分按超高IO块存储的目录价格另计。</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B6E07C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1实例/月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32D14E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1750.00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BAD420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400FA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53AD1FD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F6FB4C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扩展云服务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FE1C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B3CE28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数据仓库</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5993DA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数据仓库服务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A3EF1A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分析型数据库</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78273B1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采用高性能的列式存储和计算技术，支持主动数据压缩，高级分析，具有弹性扩展以及自定义外部扩展等先进特性。一种基于云基础架构和平台的在线数据处理数据库，支持即开即用、可扩展且完全托管的分析型数据库服务的授权。配套硬件规格：C86架构服务器(CPU≥48核，内存≥256GB，系统盘≥2*500GB</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，数据盘≥24*1.2TB</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SAS)或ARM架构服务器(CPU≥64核，内存≥256GB，系统盘≥2*500GB</w:t>
            </w:r>
            <w:r>
              <w:rPr>
                <w:rFonts w:hint="eastAsia" w:ascii="宋体" w:hAnsi="宋体" w:cs="宋体"/>
                <w:i w:val="0"/>
                <w:iCs w:val="0"/>
                <w:color w:val="auto"/>
                <w:kern w:val="0"/>
                <w:sz w:val="20"/>
                <w:szCs w:val="20"/>
                <w:highlight w:val="none"/>
                <w:u w:val="none"/>
                <w:lang w:val="en-US" w:eastAsia="zh-CN" w:bidi="ar"/>
              </w:rPr>
              <w:t xml:space="preserve"> SSD</w:t>
            </w:r>
            <w:r>
              <w:rPr>
                <w:rFonts w:hint="eastAsia" w:ascii="宋体" w:hAnsi="宋体" w:eastAsia="宋体" w:cs="宋体"/>
                <w:i w:val="0"/>
                <w:iCs w:val="0"/>
                <w:color w:val="auto"/>
                <w:kern w:val="0"/>
                <w:sz w:val="20"/>
                <w:szCs w:val="20"/>
                <w:highlight w:val="none"/>
                <w:u w:val="none"/>
                <w:lang w:val="en-US" w:eastAsia="zh-CN" w:bidi="ar"/>
              </w:rPr>
              <w:t>，数据盘≥24*1.2TB</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SAS)，端口数、光模块、Raid卡等配套组件按需提供。存储超出后的部分按裸金属配件存储目录价格另计。</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810454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1节点/月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E58C6F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5950.00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7F5E59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三节点起售，按节点收费，按实际开通量进行计费，不足一个月的部分按天数折算；支持叠加购买。</w:t>
            </w:r>
          </w:p>
        </w:tc>
      </w:tr>
      <w:tr w14:paraId="739F1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2C9028D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C246E7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C83EF">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023CA3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中间件</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BF15FA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中间件软件服务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C2AA4A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国产中间件软件</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CF8AB8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提供金蝶、东方通、宝兰德等主流国产中间件；本服务为应用中间。</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F9EDFE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7154161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482.14</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93FB39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5718F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58468B5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35ABD7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C183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A95F5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商用密码服务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A7EC3F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安全网关服务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856A14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提供IPSecVPN安全网关服务和SSLVPN安全网关服务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2311C0D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同时支持IPSec协议和SSL协议，提供通信数据机密性/保密性和完整性保护功能，构建安全传输通道。IPSec：密文吞吐率≥1Gbps、最大并发隧道数≥3000。SSL:密文吞吐率≥1Gbps、最大并发连接数≥5W、最大并发用户数≥10000、每秒新建连接数≥800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81994B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1用户/月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84093D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5.47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000EAF0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(1)原则上只提供各云资源池之间的IPSec协议安全传输通道，由中标的云服务商构建，确保实现数据互通。(2)SSLVPN账号按需申请。</w:t>
            </w:r>
          </w:p>
        </w:tc>
      </w:tr>
      <w:tr w14:paraId="47092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07A7288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317EC4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50127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32A7F">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820435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数字签名服务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8F64CE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云数字签名服务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35350E4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基于数字签名、验证签名技术，为政务信息系统提供应用级数字签名、验证签名等服务：1、会话连接数≥128个；2、SM2签名≥2300次/秒；3、SM2验签≥1000次/秒；4、SM3≥150Mbps。</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67CB7C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1虚拟数字签名服务器/月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F4C20B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440.13</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16DF0E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原则上一个云使用单位只能申请2台(政务外网业务区和互联网业务区各1台)，对于业务系统数量多的云使用单位，根据实际业务需要可以另外申请，并须经过严格审批。</w:t>
            </w:r>
          </w:p>
        </w:tc>
      </w:tr>
      <w:tr w14:paraId="3D4B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77F6836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43</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6CB997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E3237">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BF1F0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1BFEF">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D50849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数字签名服务-标准版</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A77937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于数字签名、验证签名技术，为政务信息系统提供应用级数字签名、验证签名等服务：1、会话连接数≥1024个；2、SM1计算速度≥10Mbps；3、SM2签名速度≥20000次/秒；4、SM2验签速度≥10000次/秒；5、SM3计算速度≥800Mbps；6、SM4加解密速度≥800Mbps。</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60C27A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1台/月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57DB41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3023.60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017FA07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云使用单位根据实际业务按需申请，并须经过严格审批。</w:t>
            </w:r>
          </w:p>
        </w:tc>
      </w:tr>
      <w:tr w14:paraId="6BBB8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69234B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44</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42B02C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D2927">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77892">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7B650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528E8D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数字签名服务-增强版</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EA7165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于数字签名、验证签名技术，为政务信息系统提供应用级数字签名、验证签名等服务：1、SM1加解密≥870Mbps；2、SM2加密/解密≥35000/51000tps；3、SM2签名/验签≥67000/67000tps；4、SM2密钥生成≥67000tps；5、SM3杂凑算法≥870Mbps；6、SM4加解密≥870Mbps；7、随机数生成≥44Mbps。</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6D2C79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1台/月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7F90025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3530.68</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86BB81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云使用单位根据实际业务按需申请，并须经过严格审批。</w:t>
            </w:r>
          </w:p>
        </w:tc>
      </w:tr>
      <w:tr w14:paraId="432D1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88DCF9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FDDA35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175E3">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9C927">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291860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协同签名服务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C5A378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协同签名服务(含扫码认证服务)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A1D778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基于GM算法的协同签名服务，为移动终端提供密钥分片、协同签名服务业务，确保数据的完整性和不可否认性，复用协同签名服务的SDK免费提供扫码认证服务：1、128字节数据SM2协同签名≥8次/秒；2、SM3摘要≥30M字节/秒；3、SM4加解密≥20M字节/秒；4、每个应用支持客户端(Andriod和IOS)并发数量200个。</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F6EDA8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1应用/月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3947187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230.20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5D2AF3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每台支持20个应用、每个应用支持客户端并发数量200个。云使用单位根据业务需要，可免费使用扫码认证服务</w:t>
            </w:r>
          </w:p>
        </w:tc>
      </w:tr>
      <w:tr w14:paraId="4EAEF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F82962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38CF7C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AB029">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230C7">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378E91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站点证书服务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0FA59F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站点证书服务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4A53318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提供基于GM算法Https/SSL站点证书服务：1、证书包含SM2等算法；2、证书格式标准遵循ITUX.509</w:t>
            </w:r>
            <w:r>
              <w:rPr>
                <w:rFonts w:hint="eastAsia" w:ascii="宋体" w:hAnsi="宋体" w:cs="宋体"/>
                <w:i w:val="0"/>
                <w:iCs w:val="0"/>
                <w:color w:val="auto"/>
                <w:kern w:val="0"/>
                <w:sz w:val="20"/>
                <w:szCs w:val="20"/>
                <w:highlight w:val="none"/>
                <w:u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t>Version3标准；3、具备存放介质(如服务器)的能力；4、能自定义证书扩展域管理。</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512589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1张证书/年</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B218D1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1456.87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01CAAFF">
            <w:pPr>
              <w:keepNext w:val="0"/>
              <w:keepLines w:val="0"/>
              <w:pageBreakBefore w:val="0"/>
              <w:widowControl/>
              <w:kinsoku/>
              <w:wordWrap w:val="0"/>
              <w:overflowPunct/>
              <w:topLinePunct w:val="0"/>
              <w:autoSpaceDE/>
              <w:autoSpaceDN/>
              <w:bidi w:val="0"/>
              <w:adjustRightInd w:val="0"/>
              <w:snapToGrid w:val="0"/>
              <w:ind w:firstLine="0" w:firstLineChars="0"/>
              <w:jc w:val="both"/>
              <w:rPr>
                <w:rFonts w:hint="eastAsia" w:ascii="宋体" w:hAnsi="宋体" w:eastAsia="宋体" w:cs="宋体"/>
                <w:i w:val="0"/>
                <w:iCs w:val="0"/>
                <w:color w:val="auto"/>
                <w:sz w:val="20"/>
                <w:szCs w:val="20"/>
                <w:highlight w:val="none"/>
                <w:u w:val="none"/>
              </w:rPr>
            </w:pPr>
          </w:p>
        </w:tc>
      </w:tr>
      <w:tr w14:paraId="0B450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54B8CCF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47</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084FF4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323FD">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63E5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F1AAF7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基础密码服务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EAA1B7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云加解密服务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6A44846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提供基于GM算法的数据加解密服务：1、并发请求数≥128次/秒；2、SM1≥15Mbps；3、SM2加密≥2300次/秒；4、SM2解密≥1000次/秒；5、SM4≥150Mbps。</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ECA4F8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1虚拟密码机/月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AE7578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428.70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E3A269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原则上一个云使用单位只能申请2台(政务外网业务区和互联网业务区各1台)，对于业务系统数量多的云使用单位，根据实际业务需要可以另外申请，并须经过严格审批。</w:t>
            </w:r>
          </w:p>
        </w:tc>
      </w:tr>
      <w:tr w14:paraId="1A3F1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7E5AC3F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F7C454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C3C50">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F4FF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45FED">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C105BD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加解密服务-标准版</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06874A9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提供基于GM算法的数据加解密服务：1、SM2加密/解密≥2100/3600tps；2、SM2签名/验签≥4300/2800tps；3、SM2密钥生成≥4800tps；4、SM3杂凑算法≥589Mbps；5、SM4加解密≥170Mbps；6、随机数生成≥9Mbps。</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8EBA9E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1台/月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464BB1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2371.62</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4E6193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云使用单位根据实际业务按需申请，并须经过严格审批。</w:t>
            </w:r>
          </w:p>
        </w:tc>
      </w:tr>
      <w:tr w14:paraId="282EF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3E6C6FF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49</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0E983D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879C1">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EBD9F">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2CF5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5AB973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加解密服务-增强版</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4976C21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基于GM算法的数据加解密服务：1、SM1加解密≥870Mbps；2、SM2加密/解密≥35000/51000tps；3、SM2签名/验签≥67000/67000tps；4、SM2密钥生成≥67000tps；5、SM3杂凑算法≥870Mbps；6、SM4加解密≥870Mbps；7、随机数生成≥44Mbps。</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E11424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1台/月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76E53C3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2682.64</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5CD05FA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云使用单位根据实际业务按需申请，并须经过严格审批。</w:t>
            </w:r>
          </w:p>
        </w:tc>
      </w:tr>
      <w:tr w14:paraId="1BE23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A6C6DC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A40396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50E0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DE3AD">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9B5206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时间戳服务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197533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时间戳服务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BA9A24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提供支持GM算法的时间戳服务，提供可信时间服务：1、SM2时间戳签发≥4552次/秒；2、SM2时间戳验证≥7530次/秒；3、4G-LTE时间源授时精度≤15ms；4、GPS/北斗授时精度≤10μs。</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1F7673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1租户/月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A6406F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556635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云使用单位根据实际业务按需申请，并须经过严格审批。</w:t>
            </w:r>
          </w:p>
        </w:tc>
      </w:tr>
      <w:tr w14:paraId="6CDD0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4B9B4E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51</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154543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77F3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D81D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FC2252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GM浏览器</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A9D3F0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GM浏览器</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3EA9292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提供GM浏览器，基于SSL隧道，吞吐率≥10Mbps。</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8A8F53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1客户端/年</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56BE9E1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56.51</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9DF06B0">
            <w:pPr>
              <w:keepNext w:val="0"/>
              <w:keepLines w:val="0"/>
              <w:pageBreakBefore w:val="0"/>
              <w:widowControl/>
              <w:kinsoku/>
              <w:wordWrap w:val="0"/>
              <w:overflowPunct/>
              <w:topLinePunct w:val="0"/>
              <w:autoSpaceDE/>
              <w:autoSpaceDN/>
              <w:bidi w:val="0"/>
              <w:adjustRightInd w:val="0"/>
              <w:snapToGrid w:val="0"/>
              <w:ind w:firstLine="0" w:firstLineChars="0"/>
              <w:jc w:val="both"/>
              <w:rPr>
                <w:rFonts w:hint="eastAsia" w:ascii="宋体" w:hAnsi="宋体" w:eastAsia="宋体" w:cs="宋体"/>
                <w:i w:val="0"/>
                <w:iCs w:val="0"/>
                <w:color w:val="auto"/>
                <w:sz w:val="20"/>
                <w:szCs w:val="20"/>
                <w:highlight w:val="none"/>
                <w:u w:val="none"/>
              </w:rPr>
            </w:pPr>
          </w:p>
        </w:tc>
      </w:tr>
      <w:tr w14:paraId="3B24C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362B771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D68D24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2A1A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37D2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7701F9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密钥管理服务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32DA37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密钥管理服务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4932AD4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密码服务平台管理系统(含秘钥管理系统)，根据密码接入规范和标准管理协议，为政务信息系统提供密钥生成、存储、更新、备份、恢复及归档等密钥全生命周期管理，支持SM1、SM2、SM3、SM4等算法：1、并发请求数≥100次/秒；2、密钥存储量≥10000个。</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277BAD0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1租户/月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2050E8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529.18</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DE374A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按租户计价</w:t>
            </w:r>
          </w:p>
        </w:tc>
      </w:tr>
      <w:tr w14:paraId="57DB6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0704E9D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53</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865097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2966EA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SaaS服务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0193BA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CDN</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D6B9D4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CDN服务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459FF6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CDN</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6F3D2C7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将源站内容分发至最接近用户的节点，使用户可就近取得所需内容，提高用户访问的响应速度。包括网页加速、下载加速、视频加速等。本服务为互联网服务。</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1DDE724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A0B9F2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0.14</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0A7BFB9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按实际使用量进行计费，不足1GB的部分忽略不计；支持叠加购买</w:t>
            </w:r>
          </w:p>
        </w:tc>
      </w:tr>
      <w:tr w14:paraId="77479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61357C5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54</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EE06CB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327C4">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29DAAF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负载均衡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5F999F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负载均衡服务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6164B3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应用负载均衡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08A20D2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提供应用负载均衡实例，将访问流量根据转发策略分发到后端多台云服务器的流量分发控制服务，并发≥10000。</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9EDE05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1实例/月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A43A83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0C2EDAA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12D0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785B20A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4A9999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0D616A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租户安全</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A550A1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租户安全(资源型)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0B695E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网络安全-资源型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E36402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云防火墙</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3B061CD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实现不同安全域之间的访问控制，可以达到等级保护中要求根据会话状态信息为数据流提供明确的允许/拒绝访问的能力，控制粒度为端口级，保护服务器脆弱的服务、控制对系统的访问、实现区域划分和阻止网络攻击，包含基础防火墙、入侵防御IPS、防病毒AV等能力。2、单套500M吞吐量，包含FW/IPS/AV功能模块。</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3EBE3DA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500M/月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3BEE4A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677.37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C9DB69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按实际开通量进行计费，不足一个月的部分按天数折算；按500M/1G/2G/4G等规格，叠加计费，如采购1G流量则为2套，以此类推。</w:t>
            </w:r>
          </w:p>
        </w:tc>
      </w:tr>
      <w:tr w14:paraId="51EB3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546D94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BB8F7E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AF2C3">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153438">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F4ADE3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网络安全-资源型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11DB75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Web应用防火墙</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6E37D9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支持Web应用安全防护与阻断、CC防护等能力，缓解网站及Web应用系统面临如OWASPTop10中定义的常见威胁，快速地应对恶意攻击者对Web业务带来的冲击，对网站进行有效的安全加固。2、单套防护50M吞吐量，防护站点数量不限。</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608010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50M/月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7D5E2CB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1170.77</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0FA9AA1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按实际开通量进行计费，不足一个月的部分按天数折算；按50M/100M等规格，叠加计费，如采购100M流量则为2套，以此类推</w:t>
            </w:r>
          </w:p>
        </w:tc>
      </w:tr>
      <w:tr w14:paraId="366F4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E00FC6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57</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DE641E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8C60BE">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00F46">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F9A17E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网络安全-资源型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6DB9D2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主机安全(EDR)</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0FB8055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1、支持系统防护与加固、网络微隔离、恶意代码防护、病毒查杀、漏洞管理等能力，有效防御针对主机的已知、未知勒索及相关病毒行为，保护主机安全。2、单套规格为1台主机安全防护及管理。</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9FF9E6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22559E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896534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w:t>
            </w:r>
          </w:p>
        </w:tc>
      </w:tr>
      <w:tr w14:paraId="75FEA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493447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99E80C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635E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DE502">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2C0EAC5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网络安全-资源型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8A79F9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日志审计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29B4C56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支持日志收集、关联分析、图形报表等能力，通过对客户网络设备、安全设备、主机操作系统、数据库和应用系统等日志进行全面的标准化处理，通过基于国际标准化的关联分析引擎，为客户提供全维度、跨设备、细粒度的关联分析，提供集中化的统一管理平台，将所有的日志信息收集到平台中，实现信息资产的统一管理，监控资产的运行状况，协助用户全面审计信息系统整体安全状况。按照等保要求，日志数据存储时间≥6个月。2、支持1个日志源。</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6EE0CF8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1日志源/月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C7EDA0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11.91</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22CA73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按实际开通量进行计费，不足一个月的部分按天数折算；按单个日志资产计价，若为SYSLOG等方式，则按配置文件来源个数收费。例如通过SYSLOG收集多个目录文件日志，算多个日志源。</w:t>
            </w:r>
          </w:p>
        </w:tc>
      </w:tr>
      <w:tr w14:paraId="3BEF3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88F58F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246004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6401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B17BB">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73E0DA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网络安全-资源型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1DD8FB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数据库审计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42B45A5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支持针对多种数据库操作的细粒度协议解析、双向审计、应用三层关联审计、全方位风险控制，全面记录数据库访问行为，识别越权操作等违规行为，并完成追踪溯源，满足等级保护种的数据操作审计要求。2、支持1个数据库实例。</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AD7720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1套/月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CA5442E">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A72DA4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按实际开通量进行计费，不足一个月的部分按天数折算；1个IP+1个端口算一个实例，以此类推，支持叠加购买</w:t>
            </w:r>
          </w:p>
        </w:tc>
      </w:tr>
      <w:tr w14:paraId="38031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5E0EC9D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A81B49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87E71">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F1EAA">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3A8754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网络安全-资源型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B0EE05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云堡垒机</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6D621D6">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1、支持运维审计、多因素认证、工单审批、H5运维等功能，提供完整的运维审计日志信息，通过资产管理、账号管理、身份认证、资源授权、审计回放等功能增强运维管理的安全性。2、支持1个资产管理。</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25FB5B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1资产/月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08AB1F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3.98</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5252778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54110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6AE2EA9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61</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0E528A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95BEE">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C2BBE5">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55186F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数据安全-资源型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5840C5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数据安全网关</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61AEB73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1、通过代理方式为应用访问数据库、管理员访问数据库提供安全防护能力，通过访问控制、攻击防护、动态脱敏等手段，杜绝数据使用过程中越权、攻击、泄漏等问题发生。2、支持1个数据库实例。</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50D641FA">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1个数据库实例/月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14901BC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750.00</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C4CEC9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347BD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1AB2C26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62</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3092BB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基础云服务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11B47">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92BB4">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99A405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数据安全-资源型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10A836C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数据库加密</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56D4F94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1、支持对数据库文件进行加密，实现对数据库文件的存储机密性、完整性保护。2、支持1个数据库实例。</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0D6F0AC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1个数据库实例/月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5FDC47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1797.05</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5588319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按实际开通量进行计费，不足一个月的部分按天数折算；支持叠加购买</w:t>
            </w:r>
          </w:p>
        </w:tc>
      </w:tr>
      <w:tr w14:paraId="17B59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04945813">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63</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1A76698">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E8947E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灾备服务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127F61C">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本地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(同城)</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灾备</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682DC8D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本地(同城)备份服务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735960E5">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在线热备份服务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407197C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提供云平台主机承载的应用文件、数据库、以及云主机的数据备份和恢复服务。每季度免费提供一次本地(同城)灾难恢复验证演练服务。</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44E9DA2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1GB/月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44ED8EB">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0.26</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F813C4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按实际落盘容量计价，不足一个月的部分按天数折算</w:t>
            </w:r>
          </w:p>
        </w:tc>
      </w:tr>
      <w:tr w14:paraId="39FA9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25" w:type="dxa"/>
            <w:tcBorders>
              <w:top w:val="single" w:color="000000" w:sz="4" w:space="0"/>
              <w:left w:val="single" w:color="000000" w:sz="4" w:space="0"/>
              <w:bottom w:val="single" w:color="000000" w:sz="4" w:space="0"/>
              <w:right w:val="single" w:color="000000" w:sz="4" w:space="0"/>
            </w:tcBorders>
            <w:noWrap w:val="0"/>
            <w:vAlign w:val="center"/>
          </w:tcPr>
          <w:p w14:paraId="40C518CF">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64</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05A657F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高阶云服务</w:t>
            </w:r>
          </w:p>
        </w:tc>
        <w:tc>
          <w:tcPr>
            <w:tcW w:w="6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C6CFC">
            <w:pPr>
              <w:keepNext w:val="0"/>
              <w:keepLines w:val="0"/>
              <w:pageBreakBefore w:val="0"/>
              <w:widowControl/>
              <w:kinsoku/>
              <w:wordWrap w:val="0"/>
              <w:overflowPunct/>
              <w:topLinePunct w:val="0"/>
              <w:autoSpaceDE/>
              <w:autoSpaceDN/>
              <w:bidi w:val="0"/>
              <w:adjustRightInd w:val="0"/>
              <w:snapToGrid w:val="0"/>
              <w:ind w:firstLine="0" w:firstLineChars="0"/>
              <w:jc w:val="center"/>
              <w:rPr>
                <w:rFonts w:hint="eastAsia" w:ascii="宋体" w:hAnsi="宋体" w:eastAsia="宋体" w:cs="宋体"/>
                <w:i w:val="0"/>
                <w:iCs w:val="0"/>
                <w:color w:val="auto"/>
                <w:sz w:val="20"/>
                <w:szCs w:val="20"/>
                <w:highlight w:val="none"/>
                <w:u w:val="none"/>
              </w:rPr>
            </w:pP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3220E784">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异地灾备</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55B3D769">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异地备份服务</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14:paraId="4EF1BE1D">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异地备份服务</w:t>
            </w:r>
          </w:p>
        </w:tc>
        <w:tc>
          <w:tcPr>
            <w:tcW w:w="2372" w:type="dxa"/>
            <w:tcBorders>
              <w:top w:val="single" w:color="000000" w:sz="4" w:space="0"/>
              <w:left w:val="single" w:color="000000" w:sz="4" w:space="0"/>
              <w:bottom w:val="single" w:color="000000" w:sz="4" w:space="0"/>
              <w:right w:val="single" w:color="000000" w:sz="4" w:space="0"/>
            </w:tcBorders>
            <w:noWrap w:val="0"/>
            <w:vAlign w:val="center"/>
          </w:tcPr>
          <w:p w14:paraId="177A0007">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基于本地备份服务在异地灾备机房提供可恢复的业务数据副本，预防灾难事件下的系统故障或数据丢失风险。每季度免费提供一次异地灾难恢复验证演练服务。</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14:paraId="7212A800">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1G/月</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32E21341">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0.26</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E2E3532">
            <w:pPr>
              <w:keepNext w:val="0"/>
              <w:keepLines w:val="0"/>
              <w:pageBreakBefore w:val="0"/>
              <w:widowControl/>
              <w:suppressLineNumbers w:val="0"/>
              <w:kinsoku/>
              <w:wordWrap w:val="0"/>
              <w:overflowPunct/>
              <w:topLinePunct w:val="0"/>
              <w:autoSpaceDE/>
              <w:autoSpaceDN/>
              <w:bidi w:val="0"/>
              <w:adjustRightInd w:val="0"/>
              <w:snapToGrid w:val="0"/>
              <w:ind w:firstLine="0" w:firstLineChars="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按实际落盘容量计价，不足一个月的部分按天数折算</w:t>
            </w:r>
          </w:p>
        </w:tc>
      </w:tr>
    </w:tbl>
    <w:p w14:paraId="02A2638E">
      <w:pPr>
        <w:pStyle w:val="9"/>
        <w:adjustRightInd w:val="0"/>
        <w:snapToGrid w:val="0"/>
        <w:spacing w:line="360" w:lineRule="auto"/>
        <w:jc w:val="both"/>
        <w:outlineLvl w:val="0"/>
        <w:rPr>
          <w:rFonts w:hint="eastAsia" w:ascii="黑体" w:hAnsi="华文中宋" w:eastAsia="黑体"/>
          <w:b/>
          <w:color w:val="auto"/>
          <w:sz w:val="32"/>
          <w:szCs w:val="32"/>
          <w:lang w:eastAsia="zh-CN"/>
        </w:rPr>
      </w:pPr>
    </w:p>
    <w:p w14:paraId="5DDBD5FF">
      <w:pPr>
        <w:pStyle w:val="9"/>
        <w:adjustRightInd w:val="0"/>
        <w:snapToGrid w:val="0"/>
        <w:spacing w:line="360" w:lineRule="auto"/>
        <w:jc w:val="both"/>
        <w:outlineLvl w:val="0"/>
        <w:rPr>
          <w:rFonts w:hint="eastAsia" w:ascii="黑体" w:hAnsi="华文中宋" w:eastAsia="黑体"/>
          <w:b/>
          <w:color w:val="auto"/>
          <w:sz w:val="32"/>
          <w:szCs w:val="32"/>
        </w:rPr>
      </w:pPr>
    </w:p>
    <w:p w14:paraId="007EB4D9">
      <w:pPr>
        <w:rPr>
          <w:rFonts w:hint="eastAsia"/>
          <w:color w:val="auto"/>
          <w:lang w:val="en-US" w:eastAsia="zh-CN"/>
        </w:rPr>
      </w:pPr>
    </w:p>
    <w:p w14:paraId="7E635C5A">
      <w:pPr>
        <w:pStyle w:val="9"/>
        <w:adjustRightInd w:val="0"/>
        <w:snapToGrid w:val="0"/>
        <w:spacing w:line="360" w:lineRule="auto"/>
        <w:jc w:val="both"/>
        <w:outlineLvl w:val="0"/>
        <w:rPr>
          <w:rFonts w:hint="eastAsia" w:ascii="黑体" w:hAnsi="华文中宋" w:eastAsia="黑体"/>
          <w:b/>
          <w:color w:val="auto"/>
          <w:sz w:val="32"/>
          <w:szCs w:val="32"/>
          <w:lang w:eastAsia="zh-CN"/>
        </w:rPr>
      </w:pPr>
    </w:p>
    <w:p w14:paraId="1E23E0AD">
      <w:pPr>
        <w:pStyle w:val="9"/>
        <w:adjustRightInd w:val="0"/>
        <w:snapToGrid w:val="0"/>
        <w:spacing w:line="360" w:lineRule="auto"/>
        <w:jc w:val="both"/>
        <w:outlineLvl w:val="0"/>
        <w:rPr>
          <w:rFonts w:hint="eastAsia" w:ascii="黑体" w:hAnsi="华文中宋" w:eastAsia="黑体"/>
          <w:b/>
          <w:color w:val="auto"/>
          <w:sz w:val="32"/>
          <w:szCs w:val="32"/>
          <w:lang w:eastAsia="zh-CN"/>
        </w:rPr>
      </w:pPr>
    </w:p>
    <w:p w14:paraId="33548BF9">
      <w:pPr>
        <w:pStyle w:val="9"/>
        <w:adjustRightInd w:val="0"/>
        <w:snapToGrid w:val="0"/>
        <w:spacing w:line="360" w:lineRule="auto"/>
        <w:jc w:val="both"/>
        <w:outlineLvl w:val="0"/>
        <w:rPr>
          <w:rFonts w:hint="eastAsia" w:ascii="黑体" w:hAnsi="华文中宋" w:eastAsia="黑体"/>
          <w:b/>
          <w:color w:val="auto"/>
          <w:sz w:val="32"/>
          <w:szCs w:val="32"/>
          <w:lang w:eastAsia="zh-CN"/>
        </w:rPr>
      </w:pPr>
    </w:p>
    <w:p w14:paraId="6F07BCF2">
      <w:pPr>
        <w:pStyle w:val="9"/>
        <w:adjustRightInd w:val="0"/>
        <w:snapToGrid w:val="0"/>
        <w:spacing w:line="360" w:lineRule="auto"/>
        <w:jc w:val="both"/>
        <w:outlineLvl w:val="0"/>
        <w:rPr>
          <w:rFonts w:hint="eastAsia" w:ascii="黑体" w:hAnsi="华文中宋" w:eastAsia="黑体"/>
          <w:b/>
          <w:color w:val="auto"/>
          <w:sz w:val="32"/>
          <w:szCs w:val="32"/>
          <w:lang w:eastAsia="zh-CN"/>
        </w:rPr>
      </w:pPr>
    </w:p>
    <w:p w14:paraId="36B0A205">
      <w:pPr>
        <w:pStyle w:val="9"/>
        <w:adjustRightInd w:val="0"/>
        <w:snapToGrid w:val="0"/>
        <w:spacing w:line="360" w:lineRule="auto"/>
        <w:jc w:val="both"/>
        <w:outlineLvl w:val="0"/>
        <w:rPr>
          <w:rFonts w:hint="eastAsia" w:ascii="黑体" w:hAnsi="华文中宋" w:eastAsia="黑体"/>
          <w:b/>
          <w:color w:val="auto"/>
          <w:sz w:val="32"/>
          <w:szCs w:val="32"/>
          <w:lang w:eastAsia="zh-CN"/>
        </w:rPr>
      </w:pPr>
    </w:p>
    <w:p w14:paraId="200BAD13">
      <w:pPr>
        <w:pStyle w:val="9"/>
        <w:adjustRightInd w:val="0"/>
        <w:snapToGrid w:val="0"/>
        <w:spacing w:line="360" w:lineRule="auto"/>
        <w:jc w:val="both"/>
        <w:outlineLvl w:val="0"/>
        <w:rPr>
          <w:rFonts w:hint="eastAsia" w:ascii="黑体" w:hAnsi="华文中宋" w:eastAsia="黑体"/>
          <w:b/>
          <w:color w:val="auto"/>
          <w:sz w:val="32"/>
          <w:szCs w:val="32"/>
          <w:lang w:eastAsia="zh-CN"/>
        </w:rPr>
      </w:pPr>
    </w:p>
    <w:p w14:paraId="11D5F0BF">
      <w:pPr>
        <w:pStyle w:val="9"/>
        <w:adjustRightInd w:val="0"/>
        <w:snapToGrid w:val="0"/>
        <w:spacing w:line="360" w:lineRule="auto"/>
        <w:jc w:val="both"/>
        <w:outlineLvl w:val="0"/>
        <w:rPr>
          <w:rFonts w:hint="eastAsia" w:ascii="黑体" w:hAnsi="华文中宋" w:eastAsia="黑体"/>
          <w:b/>
          <w:color w:val="auto"/>
          <w:sz w:val="32"/>
          <w:szCs w:val="32"/>
          <w:lang w:eastAsia="zh-CN"/>
        </w:rPr>
      </w:pPr>
    </w:p>
    <w:p w14:paraId="7CBF4C98">
      <w:pPr>
        <w:pStyle w:val="9"/>
        <w:adjustRightInd w:val="0"/>
        <w:snapToGrid w:val="0"/>
        <w:spacing w:line="360" w:lineRule="auto"/>
        <w:jc w:val="both"/>
        <w:outlineLvl w:val="0"/>
        <w:rPr>
          <w:rFonts w:hint="eastAsia" w:ascii="黑体" w:hAnsi="华文中宋" w:eastAsia="黑体"/>
          <w:b/>
          <w:color w:val="auto"/>
          <w:sz w:val="32"/>
          <w:szCs w:val="32"/>
          <w:lang w:eastAsia="zh-CN"/>
        </w:rPr>
      </w:pPr>
    </w:p>
    <w:p w14:paraId="2E7B7CD0">
      <w:pPr>
        <w:pStyle w:val="9"/>
        <w:adjustRightInd w:val="0"/>
        <w:snapToGrid w:val="0"/>
        <w:spacing w:line="360" w:lineRule="auto"/>
        <w:jc w:val="both"/>
        <w:outlineLvl w:val="0"/>
        <w:rPr>
          <w:rFonts w:hint="eastAsia" w:ascii="黑体" w:hAnsi="黑体" w:eastAsia="黑体" w:cs="Times New Roman"/>
          <w:color w:val="auto"/>
          <w:sz w:val="28"/>
          <w:szCs w:val="28"/>
          <w:highlight w:val="none"/>
          <w:lang w:val="en-US" w:eastAsia="zh-CN"/>
        </w:rPr>
      </w:pPr>
      <w:r>
        <w:rPr>
          <w:rFonts w:hint="eastAsia" w:ascii="黑体" w:hAnsi="华文中宋" w:eastAsia="黑体"/>
          <w:b/>
          <w:color w:val="auto"/>
          <w:sz w:val="32"/>
          <w:szCs w:val="32"/>
          <w:lang w:eastAsia="zh-CN"/>
        </w:rPr>
        <w:t>附件二</w:t>
      </w:r>
      <w:r>
        <w:rPr>
          <w:rFonts w:hint="eastAsia" w:ascii="黑体" w:hAnsi="华文中宋" w:eastAsia="黑体"/>
          <w:b/>
          <w:color w:val="auto"/>
          <w:sz w:val="32"/>
          <w:szCs w:val="32"/>
          <w:lang w:val="en-US" w:eastAsia="zh-CN"/>
        </w:rPr>
        <w:t xml:space="preserve"> </w:t>
      </w:r>
    </w:p>
    <w:p w14:paraId="5A7C167A">
      <w:pPr>
        <w:pStyle w:val="3"/>
        <w:adjustRightInd w:val="0"/>
        <w:snapToGrid w:val="0"/>
        <w:spacing w:before="156" w:beforeLines="50"/>
        <w:jc w:val="center"/>
        <w:rPr>
          <w:rFonts w:hint="eastAsia" w:ascii="黑体" w:hAnsi="黑体" w:eastAsia="黑体" w:cs="Times New Roman"/>
          <w:b w:val="0"/>
          <w:bCs w:val="0"/>
          <w:color w:val="auto"/>
          <w:sz w:val="28"/>
          <w:szCs w:val="28"/>
          <w:highlight w:val="none"/>
          <w:lang w:val="en-US" w:eastAsia="zh-CN"/>
        </w:rPr>
      </w:pPr>
      <w:r>
        <w:rPr>
          <w:rFonts w:hint="eastAsia" w:ascii="黑体" w:hAnsi="黑体" w:eastAsia="黑体" w:cs="Times New Roman"/>
          <w:b w:val="0"/>
          <w:bCs w:val="0"/>
          <w:color w:val="auto"/>
          <w:sz w:val="28"/>
          <w:szCs w:val="28"/>
          <w:highlight w:val="none"/>
          <w:lang w:val="en-US" w:eastAsia="zh-CN"/>
        </w:rPr>
        <w:t>株洲市政务云结算办法（试行）</w:t>
      </w:r>
    </w:p>
    <w:p w14:paraId="54C8BFA7">
      <w:pPr>
        <w:bidi w:val="0"/>
        <w:rPr>
          <w:rFonts w:hint="eastAsia" w:ascii="宋体" w:hAnsi="宋体" w:eastAsia="宋体" w:cs="宋体"/>
          <w:color w:val="auto"/>
          <w:sz w:val="21"/>
          <w:szCs w:val="21"/>
          <w:lang w:val="en-US" w:eastAsia="zh-CN"/>
        </w:rPr>
      </w:pPr>
    </w:p>
    <w:p w14:paraId="337797C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第一章　总　　则</w:t>
      </w:r>
    </w:p>
    <w:p w14:paraId="106CAC0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第一条 为明确株洲市政务云（以下简称市政务云）服务结算的职责分工、用量计算和结算程序，规范市政务云服务考核评价管理，持续提升市政务云服务能力，依据《湖南省省级政务云管理暂行办法》，结合工作实际，制定本办法。</w:t>
      </w:r>
    </w:p>
    <w:p w14:paraId="68E2CB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第二条 本办法适用于市政务云服务的服务考核、费用结算及特殊情况处理。如因技术进步等因素更新优化迭代的，更新后的服务目录经正式发布即自动成为本办法的结算和考核内容。</w:t>
      </w:r>
    </w:p>
    <w:p w14:paraId="7D4D141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第三条 市政务云服务按年度结算，市政务云服务结算总金额根据市政务云服务总金额、服务费用年度结算系数和合同处罚金额确定。</w:t>
      </w:r>
    </w:p>
    <w:p w14:paraId="5A71C0B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第二章　职责分工</w:t>
      </w:r>
    </w:p>
    <w:p w14:paraId="6466D4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第四条 市政务云的主管部门（以下简称云主管部门）指市数据局，主要负责：</w:t>
      </w:r>
    </w:p>
    <w:p w14:paraId="0B3978F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（一）制定市政务云服务结算办法；</w:t>
      </w:r>
    </w:p>
    <w:p w14:paraId="00F412F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（二）统一受理和审核市级单位上云、云资源调整、注销申请；</w:t>
      </w:r>
    </w:p>
    <w:p w14:paraId="08F04CD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（三）市政务云使用单位云服务费用的核算汇总、预算申请和结算支付；</w:t>
      </w:r>
    </w:p>
    <w:p w14:paraId="1E59B2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（四）负责市政务云采购服务系列合同的执行；</w:t>
      </w:r>
    </w:p>
    <w:p w14:paraId="69FC70D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（五）负责审核年度考核结果及云服务费用；</w:t>
      </w:r>
    </w:p>
    <w:p w14:paraId="4BA9C2F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（六）云主管部门会同市财政局制定政务云服务目录，并根据政务信息化建设和运维需求、技术、市场等变化情况，适时调整服务目录内容，服务目录最高限价经财政评审确定，并根据采购情况确定最终价格。</w:t>
      </w:r>
    </w:p>
    <w:p w14:paraId="78A17B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第五条 市政务云使用单位（以下简称云使用单位）是指所有使用政务云资源进行非涉密政务信息化项目建设的单位，主要负责：</w:t>
      </w:r>
    </w:p>
    <w:p w14:paraId="6FA92B7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（一）确认云资源发放和服务终止时间，并配合云主管部门对云服务商云资源管理的时效性进行评价；</w:t>
      </w:r>
    </w:p>
    <w:p w14:paraId="6265EDF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（二）确认云资源使用量；</w:t>
      </w:r>
    </w:p>
    <w:p w14:paraId="433568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（三）根据前置审查和立项批复结果，按照项目建设和系统使用需要，结合系统运行实际，申请新增或调整云服务资源；</w:t>
      </w:r>
    </w:p>
    <w:p w14:paraId="7B751C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（四）根据系统运行情况，配合云主管部门对云资源使用便捷性、云服务可用性和稳定性进行评价。</w:t>
      </w:r>
    </w:p>
    <w:p w14:paraId="2ECF89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第六条 政务云第三方监理机构按照相关约定或规定，协助云主管部门对政务云服务用量、服务质量、服务金额和结算账单等进行汇总和核查。</w:t>
      </w:r>
    </w:p>
    <w:p w14:paraId="1D460B9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第七条 市政务云的服务商（以下简称云服务商）是由云主管部门以采购服务方式签约确定，按照市政务云服务目录及合同要求提供云服务，主要负责：</w:t>
      </w:r>
    </w:p>
    <w:p w14:paraId="49C8AFE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（一）发起市政务云服务结算申请，提交结算材料；</w:t>
      </w:r>
    </w:p>
    <w:p w14:paraId="0473AE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（二）配合做好市政务云服务用量及费用核实；</w:t>
      </w:r>
    </w:p>
    <w:p w14:paraId="221C269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（三）配合做好市政务云服务的服务考核，根据服务考核结果改进服务质量。</w:t>
      </w:r>
    </w:p>
    <w:p w14:paraId="6D02C2D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第八条 市财政局负责市政务云服务费用的预算安排及资金拨付。</w:t>
      </w:r>
    </w:p>
    <w:p w14:paraId="4C6437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第三章　政务云服务费用结算</w:t>
      </w:r>
    </w:p>
    <w:p w14:paraId="3EEE56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第九条 云服务商提供的云资源服务实行按月计费。不足一个月的按照实际使用天数除以该自然月天数进行费用折算，结果值四舍五入到小数点后两位。</w:t>
      </w:r>
    </w:p>
    <w:p w14:paraId="63E7AF8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第十条 云主管部门按季度统计各云使用单位的云资源使用量，由云使用单位按季度确认。</w:t>
      </w:r>
    </w:p>
    <w:p w14:paraId="26F73B8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第十一条 云服务的服务周期与结算周期相同，均为上年10月1日到本年9月30日（第一年服务周期起始日期根据合同确定），按照“先用后付、先审再付”的原则进行结算，在一个服务周期结束后，由云主管部门汇总核算市政务云服务结算总金额，审核后的服务费用列入云主管部门下一年预算，待市级财政来年预算下达后，由采购方向云服务商支付费用。对于迁云项目，相关经费从原渠道解决。对于上云项目，相关经费由市级财政统筹原部门预算等予以保障。</w:t>
      </w:r>
    </w:p>
    <w:p w14:paraId="19AFD9C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第十二条 市政务云服务费用结算流程分为用量核算、考核评价、账单审核三个阶段（详见附件1）。</w:t>
      </w:r>
    </w:p>
    <w:p w14:paraId="3B93CD3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第十三条 用量核算阶段。每年10月第一个工作日，由云服务商发起年度费用结算，出具《服务统计表》（详见附件2 表2），提交至第三方监理机构。第三方监理机构根据服务项以及相关服务费用标准核算《服务统计表》中的服务用量与服务费用，确定政务云服务总金额，确保数据的真实性和准确性。</w:t>
      </w:r>
    </w:p>
    <w:p w14:paraId="1B979E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第十四条 考核评价阶段。每年10月20日前，由云主管部门组织考核云服务商，第三方监理单位按照云主管部门要求核准云服务商考核情况，汇总云服务商各项年度考核系数，依据市政务云服务结算金额计算规则（附件3），并结合合同处罚情况计算市政务云服务结算总金额，出具《市政务云服务结算账单》（附件2 表1）进行费用审核，核对无误后提交至云主管部门，进行费用审核。</w:t>
      </w:r>
    </w:p>
    <w:p w14:paraId="1BED58E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第十五条 账单审核阶段。每年11月10日前，云主管部门确认《政务云服务结算账单》中考核结果和政务云服务结算总金额，在《政务云服务结算账单》云主管部门意见栏中出具意见、签字盖章。</w:t>
      </w:r>
    </w:p>
    <w:p w14:paraId="332A723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第四章　服务考核评价</w:t>
      </w:r>
    </w:p>
    <w:p w14:paraId="7CB79D5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第十六条 对云服务商的考核主要分为服务质量考核和服务满意度评价。</w:t>
      </w:r>
    </w:p>
    <w:p w14:paraId="2D94ABD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第十七条 云主管部门对云服务商的服务质量实行按季度考核，并将考核结果通报至云服务商。每个季度结束时，由云主管部门对云服务商的服务质量进行打分，第三方监理机构配合进行数据采集和核准，填写《服务质量季度考核表》（附件2表3），服务周期结束后，汇总服务质量季度得分并计算年度平均分，换算成服务质量年度考核系数，填写《服务质量年度考核表》（附件2表4）。</w:t>
      </w:r>
    </w:p>
    <w:p w14:paraId="3BD589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第十八条 云主管部门和所有云使用单位对云服务商的服务满意度实行按年评价。服务周期结束时，由云主管部门组织云使用单位进行服务满意度评价，填写《服务满意度年度评价表》（附件2 表5），并依据评分结果换算成服务满意度年度考核系数。</w:t>
      </w:r>
    </w:p>
    <w:p w14:paraId="7599955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第五章　特殊情况处理</w:t>
      </w:r>
    </w:p>
    <w:p w14:paraId="7C644A8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第十九条 云主管部门有权结合市政务云实际运营情况和各云使用单位反馈对考核指标、指标权重和考核机制进行调整。</w:t>
      </w:r>
    </w:p>
    <w:p w14:paraId="69AE8AB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第二十条 云服务商存在主观故意破坏政务云服务能力或私自篡改、删除、泄露、非法利用政务云数据等情况的，由云主管部门依照《中华人民共和国网络安全法》《中华人民共和国数据安全法》等追究法律责任；构成犯罪的，依法追究刑事责任。</w:t>
      </w:r>
    </w:p>
    <w:p w14:paraId="660E6F6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第二十一条 结算结果存在争议的，由云主管部门组织评判，根据评判结果继续结算后续流程。与云服务商的合同中约定若争议无法得到一致评判结果应采取何种措施的相关条款。</w:t>
      </w:r>
    </w:p>
    <w:p w14:paraId="00C8A47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第六章　附　　则</w:t>
      </w:r>
    </w:p>
    <w:p w14:paraId="670521A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第二十二条 本办法自印发之日起施行。</w:t>
      </w:r>
    </w:p>
    <w:p w14:paraId="21F7E5D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z w:val="21"/>
          <w:szCs w:val="21"/>
          <w:lang w:val="en-US" w:eastAsia="zh-CN"/>
        </w:rPr>
        <w:t>第二十三条 本办法由市数据局负责解释。</w:t>
      </w:r>
      <w:r>
        <w:rPr>
          <w:rFonts w:hint="eastAsia" w:ascii="宋体" w:hAnsi="宋体" w:eastAsia="宋体" w:cs="宋体"/>
          <w:color w:val="auto"/>
          <w:sz w:val="21"/>
          <w:szCs w:val="21"/>
          <w:lang w:val="en-US" w:eastAsia="zh-CN"/>
        </w:rPr>
        <w:br w:type="page"/>
      </w:r>
    </w:p>
    <w:p w14:paraId="706FF3F2">
      <w:pPr>
        <w:bidi w:val="0"/>
        <w:ind w:left="0" w:leftChars="0" w:firstLine="0" w:firstLineChars="0"/>
        <w:rPr>
          <w:rFonts w:hint="eastAsia" w:ascii="宋体" w:hAnsi="宋体" w:eastAsia="宋体" w:cs="宋体"/>
          <w:b/>
          <w:bCs/>
          <w:color w:val="auto"/>
          <w:sz w:val="28"/>
          <w:szCs w:val="28"/>
          <w:lang w:val="en-US" w:eastAsia="zh-CN"/>
        </w:rPr>
      </w:pPr>
      <w:r>
        <w:rPr>
          <w:rFonts w:hint="eastAsia" w:ascii="宋体" w:hAnsi="宋体" w:eastAsia="宋体" w:cs="宋体"/>
          <w:color w:val="auto"/>
          <w:sz w:val="28"/>
          <w:szCs w:val="28"/>
          <w:lang w:val="en-US" w:eastAsia="zh-CN"/>
        </w:rPr>
        <w:t>附件1</w:t>
      </w:r>
    </w:p>
    <w:p w14:paraId="3E2DB8CA">
      <w:pPr>
        <w:pStyle w:val="10"/>
        <w:keepNext w:val="0"/>
        <w:keepLines w:val="0"/>
        <w:pageBreakBefore w:val="0"/>
        <w:widowControl/>
        <w:kinsoku/>
        <w:wordWrap/>
        <w:overflowPunct/>
        <w:topLinePunct w:val="0"/>
        <w:autoSpaceDE/>
        <w:autoSpaceDN/>
        <w:bidi w:val="0"/>
        <w:adjustRightInd/>
        <w:snapToGrid w:val="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政务云服务结算流程图</w:t>
      </w:r>
    </w:p>
    <w:p w14:paraId="17F8C71D">
      <w:pPr>
        <w:bidi w:val="0"/>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10795</wp:posOffset>
            </wp:positionV>
            <wp:extent cx="5851525" cy="7302500"/>
            <wp:effectExtent l="0" t="0" r="15875" b="12700"/>
            <wp:wrapTopAndBottom/>
            <wp:docPr id="8" name="图片 5" descr="E:/共享/研究审议株洲市政务云结算办法(试行)/政务云服务结算流程图.png政务云服务结算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E:/共享/研究审议株洲市政务云结算办法(试行)/政务云服务结算流程图.png政务云服务结算流程图"/>
                    <pic:cNvPicPr>
                      <a:picLocks noChangeAspect="1"/>
                    </pic:cNvPicPr>
                  </pic:nvPicPr>
                  <pic:blipFill>
                    <a:blip r:embed="rId6"/>
                    <a:srcRect l="5" r="5"/>
                    <a:stretch>
                      <a:fillRect/>
                    </a:stretch>
                  </pic:blipFill>
                  <pic:spPr>
                    <a:xfrm>
                      <a:off x="0" y="0"/>
                      <a:ext cx="5851525" cy="7302500"/>
                    </a:xfrm>
                    <a:prstGeom prst="rect">
                      <a:avLst/>
                    </a:prstGeom>
                    <a:noFill/>
                    <a:ln>
                      <a:noFill/>
                    </a:ln>
                  </pic:spPr>
                </pic:pic>
              </a:graphicData>
            </a:graphic>
          </wp:anchor>
        </w:drawing>
      </w:r>
      <w:r>
        <w:rPr>
          <w:rFonts w:hint="eastAsia" w:ascii="宋体" w:hAnsi="宋体" w:eastAsia="宋体" w:cs="宋体"/>
          <w:color w:val="auto"/>
          <w:sz w:val="21"/>
          <w:szCs w:val="21"/>
          <w:lang w:eastAsia="zh-CN"/>
        </w:rPr>
        <w:br w:type="page"/>
      </w:r>
    </w:p>
    <w:p w14:paraId="3956B265">
      <w:pPr>
        <w:bidi w:val="0"/>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附件2</w:t>
      </w:r>
    </w:p>
    <w:p w14:paraId="72FA462F">
      <w:pPr>
        <w:pStyle w:val="10"/>
        <w:keepNext w:val="0"/>
        <w:keepLines w:val="0"/>
        <w:pageBreakBefore w:val="0"/>
        <w:widowControl/>
        <w:kinsoku/>
        <w:wordWrap/>
        <w:overflowPunct/>
        <w:topLinePunct w:val="0"/>
        <w:autoSpaceDE/>
        <w:autoSpaceDN/>
        <w:bidi w:val="0"/>
        <w:adjustRightInd/>
        <w:snapToGrid w:val="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表1 政务云服务结算账单</w:t>
      </w:r>
    </w:p>
    <w:p w14:paraId="2F5794B3">
      <w:pPr>
        <w:keepNext w:val="0"/>
        <w:keepLines w:val="0"/>
        <w:pageBreakBefore w:val="0"/>
        <w:kinsoku/>
        <w:overflowPunct/>
        <w:topLinePunct w:val="0"/>
        <w:autoSpaceDE/>
        <w:autoSpaceDN/>
        <w:bidi w:val="0"/>
        <w:adjustRightInd/>
        <w:snapToGrid w:val="0"/>
        <w:spacing w:line="240" w:lineRule="auto"/>
        <w:ind w:left="0" w:leftChars="0" w:firstLine="0" w:firstLineChars="0"/>
        <w:rPr>
          <w:rStyle w:val="14"/>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rPr>
        <w:t>编制单位：</w:t>
      </w:r>
      <w:r>
        <w:rPr>
          <w:rStyle w:val="14"/>
          <w:rFonts w:hint="eastAsia" w:ascii="宋体" w:hAnsi="宋体" w:eastAsia="宋体" w:cs="宋体"/>
          <w:color w:val="auto"/>
          <w:sz w:val="21"/>
          <w:szCs w:val="21"/>
          <w:lang w:eastAsia="zh-CN"/>
        </w:rPr>
        <w:t>　　　　　　　　　　　　　　　　</w:t>
      </w:r>
      <w:r>
        <w:rPr>
          <w:rStyle w:val="14"/>
          <w:rFonts w:hint="eastAsia" w:ascii="宋体" w:hAnsi="宋体" w:eastAsia="宋体" w:cs="宋体"/>
          <w:color w:val="auto"/>
          <w:sz w:val="21"/>
          <w:szCs w:val="21"/>
        </w:rPr>
        <w:t>编制日期：</w:t>
      </w:r>
    </w:p>
    <w:p w14:paraId="6BF5943F">
      <w:pPr>
        <w:keepNext w:val="0"/>
        <w:keepLines w:val="0"/>
        <w:pageBreakBefore w:val="0"/>
        <w:kinsoku/>
        <w:overflowPunct/>
        <w:topLinePunct w:val="0"/>
        <w:autoSpaceDE/>
        <w:autoSpaceDN/>
        <w:bidi w:val="0"/>
        <w:adjustRightInd/>
        <w:snapToGrid w:val="0"/>
        <w:spacing w:line="240" w:lineRule="auto"/>
        <w:ind w:left="0" w:leftChars="0"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编制单位联系方式：</w:t>
      </w:r>
    </w:p>
    <w:tbl>
      <w:tblPr>
        <w:tblStyle w:val="17"/>
        <w:tblW w:w="891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2692"/>
        <w:gridCol w:w="1499"/>
        <w:gridCol w:w="3248"/>
      </w:tblGrid>
      <w:tr w14:paraId="4CC8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479" w:type="dxa"/>
            <w:tcBorders>
              <w:top w:val="single" w:color="auto" w:sz="4" w:space="0"/>
              <w:left w:val="single" w:color="auto" w:sz="4" w:space="0"/>
              <w:bottom w:val="single" w:color="auto" w:sz="4" w:space="0"/>
              <w:right w:val="single" w:color="auto" w:sz="4" w:space="0"/>
            </w:tcBorders>
            <w:noWrap w:val="0"/>
            <w:vAlign w:val="center"/>
          </w:tcPr>
          <w:p w14:paraId="1FE07BAC">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结算周期</w:t>
            </w:r>
          </w:p>
        </w:tc>
        <w:tc>
          <w:tcPr>
            <w:tcW w:w="2692" w:type="dxa"/>
            <w:tcBorders>
              <w:top w:val="single" w:color="auto" w:sz="4" w:space="0"/>
              <w:left w:val="single" w:color="auto" w:sz="4" w:space="0"/>
              <w:bottom w:val="single" w:color="auto" w:sz="4" w:space="0"/>
              <w:right w:val="single" w:color="auto" w:sz="4" w:space="0"/>
            </w:tcBorders>
            <w:noWrap w:val="0"/>
            <w:vAlign w:val="center"/>
          </w:tcPr>
          <w:p w14:paraId="1DFB84FF">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p>
        </w:tc>
        <w:tc>
          <w:tcPr>
            <w:tcW w:w="1499" w:type="dxa"/>
            <w:tcBorders>
              <w:top w:val="single" w:color="auto" w:sz="4" w:space="0"/>
              <w:left w:val="single" w:color="auto" w:sz="4" w:space="0"/>
              <w:bottom w:val="single" w:color="auto" w:sz="4" w:space="0"/>
              <w:right w:val="single" w:color="auto" w:sz="4" w:space="0"/>
            </w:tcBorders>
            <w:noWrap w:val="0"/>
            <w:vAlign w:val="center"/>
          </w:tcPr>
          <w:p w14:paraId="73CCFE27">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云服务商</w:t>
            </w:r>
          </w:p>
        </w:tc>
        <w:tc>
          <w:tcPr>
            <w:tcW w:w="3248" w:type="dxa"/>
            <w:tcBorders>
              <w:top w:val="single" w:color="auto" w:sz="4" w:space="0"/>
              <w:left w:val="single" w:color="auto" w:sz="4" w:space="0"/>
              <w:bottom w:val="single" w:color="auto" w:sz="4" w:space="0"/>
              <w:right w:val="single" w:color="auto" w:sz="4" w:space="0"/>
            </w:tcBorders>
            <w:noWrap w:val="0"/>
            <w:vAlign w:val="center"/>
          </w:tcPr>
          <w:p w14:paraId="1D615547">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p>
        </w:tc>
      </w:tr>
      <w:tr w14:paraId="25A9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479" w:type="dxa"/>
            <w:tcBorders>
              <w:top w:val="single" w:color="auto" w:sz="4" w:space="0"/>
              <w:left w:val="single" w:color="auto" w:sz="4" w:space="0"/>
              <w:bottom w:val="single" w:color="auto" w:sz="4" w:space="0"/>
              <w:right w:val="single" w:color="auto" w:sz="4" w:space="0"/>
            </w:tcBorders>
            <w:noWrap w:val="0"/>
            <w:vAlign w:val="center"/>
          </w:tcPr>
          <w:p w14:paraId="69508879">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云服务商</w:t>
            </w:r>
          </w:p>
          <w:p w14:paraId="13E520E4">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联系人</w:t>
            </w:r>
          </w:p>
        </w:tc>
        <w:tc>
          <w:tcPr>
            <w:tcW w:w="2692" w:type="dxa"/>
            <w:tcBorders>
              <w:top w:val="single" w:color="auto" w:sz="4" w:space="0"/>
              <w:left w:val="single" w:color="auto" w:sz="4" w:space="0"/>
              <w:bottom w:val="single" w:color="auto" w:sz="4" w:space="0"/>
              <w:right w:val="single" w:color="auto" w:sz="4" w:space="0"/>
            </w:tcBorders>
            <w:noWrap w:val="0"/>
            <w:vAlign w:val="center"/>
          </w:tcPr>
          <w:p w14:paraId="056C572F">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p>
        </w:tc>
        <w:tc>
          <w:tcPr>
            <w:tcW w:w="1499" w:type="dxa"/>
            <w:tcBorders>
              <w:top w:val="single" w:color="auto" w:sz="4" w:space="0"/>
              <w:left w:val="single" w:color="auto" w:sz="4" w:space="0"/>
              <w:bottom w:val="single" w:color="auto" w:sz="4" w:space="0"/>
              <w:right w:val="single" w:color="auto" w:sz="4" w:space="0"/>
            </w:tcBorders>
            <w:noWrap w:val="0"/>
            <w:vAlign w:val="center"/>
          </w:tcPr>
          <w:p w14:paraId="44DC0138">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云服务商</w:t>
            </w:r>
          </w:p>
          <w:p w14:paraId="227F4F23">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联系电话</w:t>
            </w:r>
          </w:p>
        </w:tc>
        <w:tc>
          <w:tcPr>
            <w:tcW w:w="3248" w:type="dxa"/>
            <w:tcBorders>
              <w:top w:val="single" w:color="auto" w:sz="4" w:space="0"/>
              <w:left w:val="single" w:color="auto" w:sz="4" w:space="0"/>
              <w:bottom w:val="single" w:color="auto" w:sz="4" w:space="0"/>
              <w:right w:val="single" w:color="auto" w:sz="4" w:space="0"/>
            </w:tcBorders>
            <w:noWrap w:val="0"/>
            <w:vAlign w:val="center"/>
          </w:tcPr>
          <w:p w14:paraId="7C21428E">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p>
        </w:tc>
      </w:tr>
      <w:tr w14:paraId="73E5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1479" w:type="dxa"/>
            <w:tcBorders>
              <w:top w:val="single" w:color="auto" w:sz="4" w:space="0"/>
              <w:left w:val="single" w:color="auto" w:sz="4" w:space="0"/>
              <w:bottom w:val="single" w:color="auto" w:sz="4" w:space="0"/>
              <w:right w:val="single" w:color="auto" w:sz="4" w:space="0"/>
            </w:tcBorders>
            <w:noWrap w:val="0"/>
            <w:vAlign w:val="center"/>
          </w:tcPr>
          <w:p w14:paraId="269DE50B">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政务云服务结算总金额</w:t>
            </w:r>
          </w:p>
          <w:p w14:paraId="33BA77A0">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sz w:val="21"/>
                <w:szCs w:val="21"/>
              </w:rPr>
              <w:t>（小写）</w:t>
            </w:r>
          </w:p>
        </w:tc>
        <w:tc>
          <w:tcPr>
            <w:tcW w:w="2692" w:type="dxa"/>
            <w:tcBorders>
              <w:top w:val="single" w:color="auto" w:sz="4" w:space="0"/>
              <w:left w:val="single" w:color="auto" w:sz="4" w:space="0"/>
              <w:bottom w:val="single" w:color="auto" w:sz="4" w:space="0"/>
              <w:right w:val="single" w:color="auto" w:sz="4" w:space="0"/>
            </w:tcBorders>
            <w:noWrap w:val="0"/>
            <w:vAlign w:val="center"/>
          </w:tcPr>
          <w:p w14:paraId="4124BCD9">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p>
        </w:tc>
        <w:tc>
          <w:tcPr>
            <w:tcW w:w="1499" w:type="dxa"/>
            <w:tcBorders>
              <w:top w:val="single" w:color="auto" w:sz="4" w:space="0"/>
              <w:left w:val="single" w:color="auto" w:sz="4" w:space="0"/>
              <w:bottom w:val="single" w:color="auto" w:sz="4" w:space="0"/>
              <w:right w:val="single" w:color="auto" w:sz="4" w:space="0"/>
            </w:tcBorders>
            <w:noWrap w:val="0"/>
            <w:vAlign w:val="center"/>
          </w:tcPr>
          <w:p w14:paraId="03DB7112">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政务云服务结算总金额（大写）</w:t>
            </w:r>
          </w:p>
        </w:tc>
        <w:tc>
          <w:tcPr>
            <w:tcW w:w="3248" w:type="dxa"/>
            <w:tcBorders>
              <w:top w:val="single" w:color="auto" w:sz="4" w:space="0"/>
              <w:left w:val="single" w:color="auto" w:sz="4" w:space="0"/>
              <w:bottom w:val="single" w:color="auto" w:sz="4" w:space="0"/>
              <w:right w:val="single" w:color="auto" w:sz="4" w:space="0"/>
            </w:tcBorders>
            <w:noWrap w:val="0"/>
            <w:vAlign w:val="center"/>
          </w:tcPr>
          <w:p w14:paraId="56674E4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kern w:val="0"/>
                <w:sz w:val="21"/>
                <w:szCs w:val="21"/>
                <w:lang w:bidi="ar"/>
              </w:rPr>
            </w:pPr>
          </w:p>
        </w:tc>
      </w:tr>
      <w:tr w14:paraId="35D2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1479" w:type="dxa"/>
            <w:tcBorders>
              <w:top w:val="single" w:color="auto" w:sz="4" w:space="0"/>
              <w:left w:val="single" w:color="auto" w:sz="4" w:space="0"/>
              <w:bottom w:val="single" w:color="auto" w:sz="4" w:space="0"/>
              <w:right w:val="single" w:color="auto" w:sz="4" w:space="0"/>
            </w:tcBorders>
            <w:noWrap w:val="0"/>
            <w:vAlign w:val="center"/>
          </w:tcPr>
          <w:p w14:paraId="69764E3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bidi="ar"/>
              </w:rPr>
              <w:t>结算情况</w:t>
            </w:r>
          </w:p>
        </w:tc>
        <w:tc>
          <w:tcPr>
            <w:tcW w:w="7439" w:type="dxa"/>
            <w:gridSpan w:val="3"/>
            <w:tcBorders>
              <w:top w:val="single" w:color="auto" w:sz="4" w:space="0"/>
              <w:left w:val="single" w:color="auto" w:sz="4" w:space="0"/>
              <w:bottom w:val="single" w:color="auto" w:sz="4" w:space="0"/>
              <w:right w:val="single" w:color="auto" w:sz="4" w:space="0"/>
            </w:tcBorders>
            <w:noWrap w:val="0"/>
            <w:vAlign w:val="center"/>
          </w:tcPr>
          <w:p w14:paraId="1E6199EC">
            <w:pPr>
              <w:keepNext w:val="0"/>
              <w:keepLines w:val="0"/>
              <w:pageBreakBefore w:val="0"/>
              <w:kinsoku/>
              <w:wordWrap/>
              <w:overflowPunct/>
              <w:topLinePunct w:val="0"/>
              <w:autoSpaceDE/>
              <w:autoSpaceDN/>
              <w:bidi w:val="0"/>
              <w:adjustRightInd/>
              <w:snapToGrid w:val="0"/>
              <w:spacing w:line="240" w:lineRule="auto"/>
              <w:ind w:firstLine="0" w:firstLineChars="0"/>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sz w:val="21"/>
                <w:szCs w:val="21"/>
              </w:rPr>
              <w:t>（总结结算周期整体政务云服务使用及考核情况，包括政务云服务费用年度结算系数、合同处罚金额）</w:t>
            </w:r>
          </w:p>
        </w:tc>
      </w:tr>
      <w:tr w14:paraId="49C7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3" w:hRule="atLeast"/>
        </w:trPr>
        <w:tc>
          <w:tcPr>
            <w:tcW w:w="1479" w:type="dxa"/>
            <w:tcBorders>
              <w:top w:val="single" w:color="auto" w:sz="4" w:space="0"/>
              <w:left w:val="single" w:color="auto" w:sz="4" w:space="0"/>
              <w:bottom w:val="single" w:color="auto" w:sz="4" w:space="0"/>
              <w:right w:val="single" w:color="auto" w:sz="4" w:space="0"/>
            </w:tcBorders>
            <w:noWrap w:val="0"/>
            <w:vAlign w:val="center"/>
          </w:tcPr>
          <w:p w14:paraId="7DC2432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bidi="ar"/>
              </w:rPr>
              <w:t>附件说明</w:t>
            </w:r>
          </w:p>
        </w:tc>
        <w:tc>
          <w:tcPr>
            <w:tcW w:w="7439" w:type="dxa"/>
            <w:gridSpan w:val="3"/>
            <w:tcBorders>
              <w:top w:val="single" w:color="auto" w:sz="4" w:space="0"/>
              <w:left w:val="single" w:color="auto" w:sz="4" w:space="0"/>
              <w:bottom w:val="single" w:color="auto" w:sz="4" w:space="0"/>
              <w:right w:val="single" w:color="auto" w:sz="4" w:space="0"/>
            </w:tcBorders>
            <w:noWrap w:val="0"/>
            <w:vAlign w:val="center"/>
          </w:tcPr>
          <w:p w14:paraId="37ECF72D">
            <w:pPr>
              <w:keepNext w:val="0"/>
              <w:keepLines w:val="0"/>
              <w:pageBreakBefore w:val="0"/>
              <w:kinsoku/>
              <w:wordWrap/>
              <w:overflowPunct/>
              <w:topLinePunct w:val="0"/>
              <w:autoSpaceDE/>
              <w:autoSpaceDN/>
              <w:bidi w:val="0"/>
              <w:adjustRightInd/>
              <w:snapToGrid w:val="0"/>
              <w:spacing w:line="240" w:lineRule="auto"/>
              <w:ind w:firstLine="0" w:firstLineChars="0"/>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附表：</w:t>
            </w:r>
          </w:p>
          <w:p w14:paraId="3E0B18EA">
            <w:pPr>
              <w:keepNext w:val="0"/>
              <w:keepLines w:val="0"/>
              <w:pageBreakBefore w:val="0"/>
              <w:kinsoku/>
              <w:wordWrap/>
              <w:overflowPunct/>
              <w:topLinePunct w:val="0"/>
              <w:autoSpaceDE/>
              <w:autoSpaceDN/>
              <w:bidi w:val="0"/>
              <w:adjustRightInd/>
              <w:snapToGrid w:val="0"/>
              <w:spacing w:line="240" w:lineRule="auto"/>
              <w:ind w:firstLine="0" w:firstLineChars="0"/>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1、服务统计表；</w:t>
            </w:r>
          </w:p>
          <w:p w14:paraId="7F8994F9">
            <w:pPr>
              <w:keepNext w:val="0"/>
              <w:keepLines w:val="0"/>
              <w:pageBreakBefore w:val="0"/>
              <w:kinsoku/>
              <w:wordWrap/>
              <w:overflowPunct/>
              <w:topLinePunct w:val="0"/>
              <w:autoSpaceDE/>
              <w:autoSpaceDN/>
              <w:bidi w:val="0"/>
              <w:adjustRightInd/>
              <w:snapToGrid w:val="0"/>
              <w:spacing w:line="240" w:lineRule="auto"/>
              <w:ind w:firstLine="0" w:firstLineChars="0"/>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2、服务质量年度考核表；</w:t>
            </w:r>
          </w:p>
          <w:p w14:paraId="05F3C006">
            <w:pPr>
              <w:keepNext w:val="0"/>
              <w:keepLines w:val="0"/>
              <w:pageBreakBefore w:val="0"/>
              <w:kinsoku/>
              <w:wordWrap/>
              <w:overflowPunct/>
              <w:topLinePunct w:val="0"/>
              <w:autoSpaceDE/>
              <w:autoSpaceDN/>
              <w:bidi w:val="0"/>
              <w:adjustRightInd/>
              <w:snapToGrid w:val="0"/>
              <w:spacing w:line="240" w:lineRule="auto"/>
              <w:ind w:firstLine="0" w:firstLineChars="0"/>
              <w:textAlignment w:val="auto"/>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3、服务满意度年度评价表；</w:t>
            </w:r>
          </w:p>
        </w:tc>
      </w:tr>
      <w:tr w14:paraId="3DC8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trPr>
        <w:tc>
          <w:tcPr>
            <w:tcW w:w="1479" w:type="dxa"/>
            <w:tcBorders>
              <w:top w:val="single" w:color="auto" w:sz="4" w:space="0"/>
              <w:left w:val="single" w:color="auto" w:sz="4" w:space="0"/>
              <w:bottom w:val="single" w:color="auto" w:sz="4" w:space="0"/>
              <w:right w:val="single" w:color="auto" w:sz="4" w:space="0"/>
            </w:tcBorders>
            <w:noWrap w:val="0"/>
            <w:vAlign w:val="center"/>
          </w:tcPr>
          <w:p w14:paraId="1AE5C0E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bidi="ar"/>
              </w:rPr>
              <w:t>云主管部门</w:t>
            </w:r>
          </w:p>
        </w:tc>
        <w:tc>
          <w:tcPr>
            <w:tcW w:w="7439" w:type="dxa"/>
            <w:gridSpan w:val="3"/>
            <w:tcBorders>
              <w:top w:val="single" w:color="auto" w:sz="4" w:space="0"/>
              <w:left w:val="single" w:color="auto" w:sz="4" w:space="0"/>
              <w:bottom w:val="single" w:color="auto" w:sz="4" w:space="0"/>
              <w:right w:val="single" w:color="auto" w:sz="4" w:space="0"/>
            </w:tcBorders>
            <w:noWrap w:val="0"/>
            <w:vAlign w:val="center"/>
          </w:tcPr>
          <w:p w14:paraId="4611F366">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bidi="ar"/>
              </w:rPr>
              <w:t>审核意见：</w:t>
            </w:r>
          </w:p>
          <w:p w14:paraId="18F7A435">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Style w:val="14"/>
                <w:rFonts w:hint="eastAsia" w:ascii="宋体" w:hAnsi="宋体" w:eastAsia="宋体" w:cs="宋体"/>
                <w:color w:val="auto"/>
                <w:kern w:val="0"/>
                <w:sz w:val="21"/>
                <w:szCs w:val="21"/>
                <w:lang w:bidi="ar"/>
              </w:rPr>
            </w:pPr>
          </w:p>
          <w:p w14:paraId="3C5959B8">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Style w:val="14"/>
                <w:rFonts w:hint="eastAsia" w:ascii="宋体" w:hAnsi="宋体" w:eastAsia="宋体" w:cs="宋体"/>
                <w:color w:val="auto"/>
                <w:kern w:val="0"/>
                <w:sz w:val="21"/>
                <w:szCs w:val="21"/>
                <w:lang w:bidi="ar"/>
              </w:rPr>
            </w:pPr>
          </w:p>
          <w:p w14:paraId="60DDFBC2">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eastAsia="zh-CN" w:bidi="ar"/>
              </w:rPr>
              <w:t>　　　　　　　　　　　　　　　　　　　　</w:t>
            </w:r>
            <w:r>
              <w:rPr>
                <w:rStyle w:val="14"/>
                <w:rFonts w:hint="eastAsia" w:ascii="宋体" w:hAnsi="宋体" w:eastAsia="宋体" w:cs="宋体"/>
                <w:color w:val="auto"/>
                <w:kern w:val="0"/>
                <w:sz w:val="21"/>
                <w:szCs w:val="21"/>
                <w:lang w:bidi="ar"/>
              </w:rPr>
              <w:t>签章：</w:t>
            </w:r>
          </w:p>
          <w:p w14:paraId="1BF9EC79">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年</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月</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日</w:t>
            </w:r>
          </w:p>
        </w:tc>
      </w:tr>
    </w:tbl>
    <w:p w14:paraId="62D6C95D">
      <w:pPr>
        <w:rPr>
          <w:rStyle w:val="14"/>
          <w:rFonts w:hint="eastAsia" w:ascii="宋体" w:hAnsi="宋体" w:eastAsia="宋体" w:cs="宋体"/>
          <w:b/>
          <w:bCs/>
          <w:iCs/>
          <w:color w:val="auto"/>
          <w:sz w:val="24"/>
          <w:szCs w:val="24"/>
        </w:rPr>
      </w:pPr>
      <w:r>
        <w:rPr>
          <w:rStyle w:val="14"/>
          <w:rFonts w:hint="eastAsia" w:ascii="宋体" w:hAnsi="宋体" w:eastAsia="宋体" w:cs="宋体"/>
          <w:iCs/>
          <w:color w:val="auto"/>
          <w:sz w:val="21"/>
          <w:szCs w:val="21"/>
        </w:rPr>
        <w:br w:type="page"/>
      </w:r>
    </w:p>
    <w:p w14:paraId="6D46D6A1">
      <w:pPr>
        <w:pStyle w:val="10"/>
        <w:keepNext w:val="0"/>
        <w:keepLines w:val="0"/>
        <w:pageBreakBefore w:val="0"/>
        <w:widowControl/>
        <w:kinsoku/>
        <w:wordWrap/>
        <w:overflowPunct/>
        <w:topLinePunct w:val="0"/>
        <w:autoSpaceDE/>
        <w:autoSpaceDN/>
        <w:bidi w:val="0"/>
        <w:adjustRightInd/>
        <w:snapToGrid w:val="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表2 服务统计表</w:t>
      </w:r>
    </w:p>
    <w:tbl>
      <w:tblPr>
        <w:tblStyle w:val="13"/>
        <w:tblW w:w="5124" w:type="pct"/>
        <w:tblInd w:w="-62" w:type="dxa"/>
        <w:tblLayout w:type="fixed"/>
        <w:tblCellMar>
          <w:top w:w="0" w:type="dxa"/>
          <w:left w:w="108" w:type="dxa"/>
          <w:bottom w:w="0" w:type="dxa"/>
          <w:right w:w="108" w:type="dxa"/>
        </w:tblCellMar>
      </w:tblPr>
      <w:tblGrid>
        <w:gridCol w:w="424"/>
        <w:gridCol w:w="692"/>
        <w:gridCol w:w="257"/>
        <w:gridCol w:w="435"/>
        <w:gridCol w:w="654"/>
        <w:gridCol w:w="692"/>
        <w:gridCol w:w="680"/>
        <w:gridCol w:w="668"/>
        <w:gridCol w:w="717"/>
        <w:gridCol w:w="513"/>
        <w:gridCol w:w="148"/>
        <w:gridCol w:w="379"/>
        <w:gridCol w:w="383"/>
        <w:gridCol w:w="666"/>
        <w:gridCol w:w="705"/>
        <w:gridCol w:w="720"/>
      </w:tblGrid>
      <w:tr w14:paraId="1E42EFC7">
        <w:tblPrEx>
          <w:tblCellMar>
            <w:top w:w="0" w:type="dxa"/>
            <w:left w:w="108" w:type="dxa"/>
            <w:bottom w:w="0" w:type="dxa"/>
            <w:right w:w="108" w:type="dxa"/>
          </w:tblCellMar>
        </w:tblPrEx>
        <w:trPr>
          <w:trHeight w:val="850" w:hRule="atLeast"/>
        </w:trPr>
        <w:tc>
          <w:tcPr>
            <w:tcW w:w="786" w:type="pct"/>
            <w:gridSpan w:val="3"/>
            <w:tcBorders>
              <w:top w:val="single" w:color="000000" w:sz="4" w:space="0"/>
              <w:left w:val="single" w:color="000000" w:sz="4" w:space="0"/>
              <w:bottom w:val="single" w:color="000000" w:sz="4" w:space="0"/>
              <w:right w:val="single" w:color="000000" w:sz="4" w:space="0"/>
            </w:tcBorders>
            <w:noWrap/>
            <w:vAlign w:val="center"/>
          </w:tcPr>
          <w:p w14:paraId="071DC96A">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云服务商：</w:t>
            </w:r>
          </w:p>
        </w:tc>
        <w:tc>
          <w:tcPr>
            <w:tcW w:w="1791" w:type="pct"/>
            <w:gridSpan w:val="5"/>
            <w:tcBorders>
              <w:top w:val="single" w:color="000000" w:sz="4" w:space="0"/>
              <w:left w:val="single" w:color="000000" w:sz="4" w:space="0"/>
              <w:bottom w:val="single" w:color="000000" w:sz="4" w:space="0"/>
              <w:right w:val="single" w:color="000000" w:sz="4" w:space="0"/>
            </w:tcBorders>
            <w:noWrap/>
            <w:vAlign w:val="center"/>
          </w:tcPr>
          <w:p w14:paraId="2B673150">
            <w:pPr>
              <w:keepNext w:val="0"/>
              <w:keepLines w:val="0"/>
              <w:pageBreakBefore w:val="0"/>
              <w:kinsoku/>
              <w:wordWrap/>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04" w:type="pct"/>
            <w:gridSpan w:val="2"/>
            <w:tcBorders>
              <w:top w:val="single" w:color="000000" w:sz="4" w:space="0"/>
              <w:left w:val="single" w:color="000000" w:sz="4" w:space="0"/>
              <w:bottom w:val="single" w:color="000000" w:sz="4" w:space="0"/>
              <w:right w:val="single" w:color="000000" w:sz="4" w:space="0"/>
            </w:tcBorders>
            <w:noWrap/>
            <w:vAlign w:val="center"/>
          </w:tcPr>
          <w:p w14:paraId="4A7E10BC">
            <w:pPr>
              <w:keepNext w:val="0"/>
              <w:keepLines w:val="0"/>
              <w:pageBreakBefore w:val="0"/>
              <w:kinsoku/>
              <w:wordWrap/>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结算周期：</w:t>
            </w:r>
          </w:p>
        </w:tc>
        <w:tc>
          <w:tcPr>
            <w:tcW w:w="1717" w:type="pct"/>
            <w:gridSpan w:val="6"/>
            <w:tcBorders>
              <w:top w:val="single" w:color="000000" w:sz="4" w:space="0"/>
              <w:left w:val="single" w:color="000000" w:sz="4" w:space="0"/>
              <w:bottom w:val="single" w:color="000000" w:sz="4" w:space="0"/>
              <w:right w:val="single" w:color="000000" w:sz="4" w:space="0"/>
            </w:tcBorders>
            <w:noWrap/>
            <w:vAlign w:val="center"/>
          </w:tcPr>
          <w:p w14:paraId="5FBB349B">
            <w:pPr>
              <w:keepNext w:val="0"/>
              <w:keepLines w:val="0"/>
              <w:pageBreakBefore w:val="0"/>
              <w:kinsoku/>
              <w:wordWrap/>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r>
      <w:tr w14:paraId="113EE0D9">
        <w:tblPrEx>
          <w:tblCellMar>
            <w:top w:w="0" w:type="dxa"/>
            <w:left w:w="108" w:type="dxa"/>
            <w:bottom w:w="0" w:type="dxa"/>
            <w:right w:w="108" w:type="dxa"/>
          </w:tblCellMar>
        </w:tblPrEx>
        <w:trPr>
          <w:trHeight w:val="850" w:hRule="atLeast"/>
        </w:trPr>
        <w:tc>
          <w:tcPr>
            <w:tcW w:w="5000" w:type="pct"/>
            <w:gridSpan w:val="16"/>
            <w:tcBorders>
              <w:top w:val="single" w:color="000000" w:sz="4" w:space="0"/>
              <w:left w:val="single" w:color="000000" w:sz="4" w:space="0"/>
              <w:bottom w:val="single" w:color="000000" w:sz="4" w:space="0"/>
              <w:right w:val="single" w:color="000000" w:sz="4" w:space="0"/>
            </w:tcBorders>
            <w:noWrap/>
            <w:vAlign w:val="center"/>
          </w:tcPr>
          <w:p w14:paraId="6F9291D1">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center"/>
              <w:rPr>
                <w:rStyle w:val="14"/>
                <w:rFonts w:hint="eastAsia" w:ascii="宋体" w:hAnsi="宋体" w:eastAsia="宋体" w:cs="宋体"/>
                <w:b/>
                <w:bCs/>
                <w:color w:val="auto"/>
                <w:sz w:val="21"/>
                <w:szCs w:val="21"/>
              </w:rPr>
            </w:pPr>
            <w:r>
              <w:rPr>
                <w:rStyle w:val="14"/>
                <w:rFonts w:hint="eastAsia" w:ascii="宋体" w:hAnsi="宋体" w:eastAsia="宋体" w:cs="宋体"/>
                <w:b/>
                <w:bCs/>
                <w:color w:val="auto"/>
                <w:kern w:val="0"/>
                <w:sz w:val="21"/>
                <w:szCs w:val="21"/>
                <w:lang w:bidi="ar"/>
              </w:rPr>
              <w:t>一、云服务使用量统计清单</w:t>
            </w:r>
          </w:p>
        </w:tc>
      </w:tr>
      <w:tr w14:paraId="5AF8F9E4">
        <w:tblPrEx>
          <w:tblCellMar>
            <w:top w:w="0" w:type="dxa"/>
            <w:left w:w="108" w:type="dxa"/>
            <w:bottom w:w="0" w:type="dxa"/>
            <w:right w:w="108" w:type="dxa"/>
          </w:tblCellMar>
        </w:tblPrEx>
        <w:trPr>
          <w:trHeight w:val="1134"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6CDC40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序号</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1B28D5B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使用单位</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37C1512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项目名称</w:t>
            </w:r>
          </w:p>
        </w:tc>
        <w:tc>
          <w:tcPr>
            <w:tcW w:w="374" w:type="pct"/>
            <w:tcBorders>
              <w:top w:val="single" w:color="000000" w:sz="4" w:space="0"/>
              <w:left w:val="single" w:color="000000" w:sz="4" w:space="0"/>
              <w:bottom w:val="single" w:color="000000" w:sz="4" w:space="0"/>
              <w:right w:val="single" w:color="000000" w:sz="4" w:space="0"/>
            </w:tcBorders>
            <w:noWrap w:val="0"/>
            <w:vAlign w:val="center"/>
          </w:tcPr>
          <w:p w14:paraId="30F5C393">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一级服务</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38D37BE1">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二级服务</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579EFC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三级服务</w:t>
            </w:r>
          </w:p>
        </w:tc>
        <w:tc>
          <w:tcPr>
            <w:tcW w:w="382" w:type="pct"/>
            <w:tcBorders>
              <w:top w:val="single" w:color="000000" w:sz="4" w:space="0"/>
              <w:left w:val="single" w:color="000000" w:sz="4" w:space="0"/>
              <w:bottom w:val="single" w:color="000000" w:sz="4" w:space="0"/>
              <w:right w:val="single" w:color="000000" w:sz="4" w:space="0"/>
            </w:tcBorders>
            <w:noWrap w:val="0"/>
            <w:vAlign w:val="center"/>
          </w:tcPr>
          <w:p w14:paraId="759D4AC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四级服务</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65694791">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服务配置</w:t>
            </w:r>
          </w:p>
        </w:tc>
        <w:tc>
          <w:tcPr>
            <w:tcW w:w="378" w:type="pct"/>
            <w:gridSpan w:val="2"/>
            <w:tcBorders>
              <w:top w:val="single" w:color="000000" w:sz="4" w:space="0"/>
              <w:left w:val="single" w:color="000000" w:sz="4" w:space="0"/>
              <w:bottom w:val="single" w:color="000000" w:sz="4" w:space="0"/>
              <w:right w:val="single" w:color="000000" w:sz="4" w:space="0"/>
            </w:tcBorders>
            <w:noWrap w:val="0"/>
            <w:vAlign w:val="center"/>
          </w:tcPr>
          <w:p w14:paraId="398808A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bidi="ar"/>
              </w:rPr>
              <w:t>计量</w:t>
            </w:r>
          </w:p>
          <w:p w14:paraId="17085E8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单位</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0E969D4">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单价</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0A90FC43">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数量</w:t>
            </w:r>
          </w:p>
        </w:tc>
        <w:tc>
          <w:tcPr>
            <w:tcW w:w="381" w:type="pct"/>
            <w:tcBorders>
              <w:top w:val="single" w:color="000000" w:sz="4" w:space="0"/>
              <w:left w:val="single" w:color="000000" w:sz="4" w:space="0"/>
              <w:bottom w:val="single" w:color="000000" w:sz="4" w:space="0"/>
              <w:right w:val="single" w:color="000000" w:sz="4" w:space="0"/>
            </w:tcBorders>
            <w:noWrap w:val="0"/>
            <w:vAlign w:val="center"/>
          </w:tcPr>
          <w:p w14:paraId="2A460751">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服务交付日期</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624B23F0">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服务终止日期</w:t>
            </w:r>
          </w:p>
        </w:tc>
        <w:tc>
          <w:tcPr>
            <w:tcW w:w="412" w:type="pct"/>
            <w:tcBorders>
              <w:top w:val="single" w:color="000000" w:sz="4" w:space="0"/>
              <w:left w:val="single" w:color="000000" w:sz="4" w:space="0"/>
              <w:bottom w:val="single" w:color="000000" w:sz="4" w:space="0"/>
              <w:right w:val="single" w:color="000000" w:sz="4" w:space="0"/>
            </w:tcBorders>
            <w:noWrap w:val="0"/>
            <w:vAlign w:val="center"/>
          </w:tcPr>
          <w:p w14:paraId="6DC740D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bidi="ar"/>
              </w:rPr>
              <w:t>服务</w:t>
            </w:r>
          </w:p>
          <w:p w14:paraId="1EBC86D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Style w:val="14"/>
                <w:rFonts w:hint="eastAsia" w:ascii="宋体" w:hAnsi="宋体" w:eastAsia="宋体" w:cs="宋体"/>
                <w:color w:val="auto"/>
                <w:sz w:val="21"/>
                <w:szCs w:val="21"/>
              </w:rPr>
            </w:pPr>
            <w:r>
              <w:rPr>
                <w:rStyle w:val="14"/>
                <w:rFonts w:hint="eastAsia" w:ascii="宋体" w:hAnsi="宋体" w:eastAsia="宋体" w:cs="宋体"/>
                <w:color w:val="auto"/>
                <w:kern w:val="0"/>
                <w:sz w:val="21"/>
                <w:szCs w:val="21"/>
                <w:lang w:bidi="ar"/>
              </w:rPr>
              <w:t>金额</w:t>
            </w:r>
          </w:p>
        </w:tc>
      </w:tr>
      <w:tr w14:paraId="27872A0D">
        <w:tblPrEx>
          <w:tblCellMar>
            <w:top w:w="0" w:type="dxa"/>
            <w:left w:w="108" w:type="dxa"/>
            <w:bottom w:w="0" w:type="dxa"/>
            <w:right w:w="108" w:type="dxa"/>
          </w:tblCellMar>
        </w:tblPrEx>
        <w:trPr>
          <w:trHeight w:val="850" w:hRule="atLeast"/>
        </w:trPr>
        <w:tc>
          <w:tcPr>
            <w:tcW w:w="242" w:type="pct"/>
            <w:tcBorders>
              <w:top w:val="single" w:color="000000" w:sz="4" w:space="0"/>
              <w:left w:val="single" w:color="000000" w:sz="4" w:space="0"/>
              <w:bottom w:val="single" w:color="000000" w:sz="4" w:space="0"/>
              <w:right w:val="single" w:color="000000" w:sz="4" w:space="0"/>
            </w:tcBorders>
            <w:noWrap/>
            <w:vAlign w:val="center"/>
          </w:tcPr>
          <w:p w14:paraId="22564FA8">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96" w:type="pct"/>
            <w:tcBorders>
              <w:top w:val="single" w:color="000000" w:sz="4" w:space="0"/>
              <w:left w:val="single" w:color="000000" w:sz="4" w:space="0"/>
              <w:bottom w:val="single" w:color="000000" w:sz="4" w:space="0"/>
              <w:right w:val="single" w:color="000000" w:sz="4" w:space="0"/>
            </w:tcBorders>
            <w:noWrap/>
            <w:vAlign w:val="center"/>
          </w:tcPr>
          <w:p w14:paraId="61F5FA97">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96" w:type="pct"/>
            <w:gridSpan w:val="2"/>
            <w:tcBorders>
              <w:top w:val="single" w:color="000000" w:sz="4" w:space="0"/>
              <w:left w:val="single" w:color="000000" w:sz="4" w:space="0"/>
              <w:bottom w:val="single" w:color="000000" w:sz="4" w:space="0"/>
              <w:right w:val="single" w:color="000000" w:sz="4" w:space="0"/>
            </w:tcBorders>
            <w:noWrap/>
            <w:vAlign w:val="center"/>
          </w:tcPr>
          <w:p w14:paraId="188CC907">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14:paraId="1169C762">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96" w:type="pct"/>
            <w:tcBorders>
              <w:top w:val="single" w:color="000000" w:sz="4" w:space="0"/>
              <w:left w:val="single" w:color="000000" w:sz="4" w:space="0"/>
              <w:bottom w:val="single" w:color="000000" w:sz="4" w:space="0"/>
              <w:right w:val="single" w:color="000000" w:sz="4" w:space="0"/>
            </w:tcBorders>
            <w:noWrap/>
            <w:vAlign w:val="center"/>
          </w:tcPr>
          <w:p w14:paraId="2042BCBB">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89" w:type="pct"/>
            <w:tcBorders>
              <w:top w:val="single" w:color="000000" w:sz="4" w:space="0"/>
              <w:left w:val="single" w:color="000000" w:sz="4" w:space="0"/>
              <w:bottom w:val="single" w:color="000000" w:sz="4" w:space="0"/>
              <w:right w:val="single" w:color="000000" w:sz="4" w:space="0"/>
            </w:tcBorders>
            <w:noWrap/>
            <w:vAlign w:val="center"/>
          </w:tcPr>
          <w:p w14:paraId="5F6461A6">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82" w:type="pct"/>
            <w:tcBorders>
              <w:top w:val="single" w:color="000000" w:sz="4" w:space="0"/>
              <w:left w:val="single" w:color="000000" w:sz="4" w:space="0"/>
              <w:bottom w:val="single" w:color="000000" w:sz="4" w:space="0"/>
              <w:right w:val="single" w:color="000000" w:sz="4" w:space="0"/>
            </w:tcBorders>
            <w:noWrap/>
            <w:vAlign w:val="center"/>
          </w:tcPr>
          <w:p w14:paraId="6355EB0E">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A42DAD4">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78" w:type="pct"/>
            <w:gridSpan w:val="2"/>
            <w:tcBorders>
              <w:top w:val="single" w:color="000000" w:sz="4" w:space="0"/>
              <w:left w:val="single" w:color="000000" w:sz="4" w:space="0"/>
              <w:bottom w:val="single" w:color="000000" w:sz="4" w:space="0"/>
              <w:right w:val="single" w:color="000000" w:sz="4" w:space="0"/>
            </w:tcBorders>
            <w:noWrap/>
            <w:vAlign w:val="center"/>
          </w:tcPr>
          <w:p w14:paraId="41C08480">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216" w:type="pct"/>
            <w:tcBorders>
              <w:top w:val="single" w:color="000000" w:sz="4" w:space="0"/>
              <w:left w:val="single" w:color="000000" w:sz="4" w:space="0"/>
              <w:bottom w:val="single" w:color="000000" w:sz="4" w:space="0"/>
              <w:right w:val="single" w:color="000000" w:sz="4" w:space="0"/>
            </w:tcBorders>
            <w:noWrap/>
            <w:vAlign w:val="center"/>
          </w:tcPr>
          <w:p w14:paraId="4C15E648">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219" w:type="pct"/>
            <w:tcBorders>
              <w:top w:val="single" w:color="000000" w:sz="4" w:space="0"/>
              <w:left w:val="single" w:color="000000" w:sz="4" w:space="0"/>
              <w:bottom w:val="single" w:color="000000" w:sz="4" w:space="0"/>
              <w:right w:val="single" w:color="000000" w:sz="4" w:space="0"/>
            </w:tcBorders>
            <w:noWrap/>
            <w:vAlign w:val="center"/>
          </w:tcPr>
          <w:p w14:paraId="4847755A">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63AA42C6">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403" w:type="pct"/>
            <w:tcBorders>
              <w:top w:val="single" w:color="000000" w:sz="4" w:space="0"/>
              <w:left w:val="single" w:color="000000" w:sz="4" w:space="0"/>
              <w:bottom w:val="single" w:color="000000" w:sz="4" w:space="0"/>
              <w:right w:val="single" w:color="000000" w:sz="4" w:space="0"/>
            </w:tcBorders>
            <w:noWrap/>
            <w:vAlign w:val="center"/>
          </w:tcPr>
          <w:p w14:paraId="1B62C275">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412" w:type="pct"/>
            <w:tcBorders>
              <w:top w:val="single" w:color="000000" w:sz="4" w:space="0"/>
              <w:left w:val="single" w:color="000000" w:sz="4" w:space="0"/>
              <w:bottom w:val="single" w:color="000000" w:sz="4" w:space="0"/>
              <w:right w:val="single" w:color="000000" w:sz="4" w:space="0"/>
            </w:tcBorders>
            <w:noWrap/>
            <w:vAlign w:val="center"/>
          </w:tcPr>
          <w:p w14:paraId="10AEA202">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4B704458">
        <w:tblPrEx>
          <w:tblCellMar>
            <w:top w:w="0" w:type="dxa"/>
            <w:left w:w="108" w:type="dxa"/>
            <w:bottom w:w="0" w:type="dxa"/>
            <w:right w:w="108" w:type="dxa"/>
          </w:tblCellMar>
        </w:tblPrEx>
        <w:trPr>
          <w:trHeight w:val="850" w:hRule="atLeast"/>
        </w:trPr>
        <w:tc>
          <w:tcPr>
            <w:tcW w:w="242" w:type="pct"/>
            <w:tcBorders>
              <w:top w:val="single" w:color="000000" w:sz="4" w:space="0"/>
              <w:left w:val="single" w:color="000000" w:sz="4" w:space="0"/>
              <w:bottom w:val="single" w:color="000000" w:sz="4" w:space="0"/>
              <w:right w:val="single" w:color="000000" w:sz="4" w:space="0"/>
            </w:tcBorders>
            <w:noWrap/>
            <w:vAlign w:val="center"/>
          </w:tcPr>
          <w:p w14:paraId="078EE01B">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96" w:type="pct"/>
            <w:tcBorders>
              <w:top w:val="single" w:color="000000" w:sz="4" w:space="0"/>
              <w:left w:val="single" w:color="000000" w:sz="4" w:space="0"/>
              <w:bottom w:val="single" w:color="000000" w:sz="4" w:space="0"/>
              <w:right w:val="single" w:color="000000" w:sz="4" w:space="0"/>
            </w:tcBorders>
            <w:noWrap/>
            <w:vAlign w:val="center"/>
          </w:tcPr>
          <w:p w14:paraId="43A8CED2">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96" w:type="pct"/>
            <w:gridSpan w:val="2"/>
            <w:tcBorders>
              <w:top w:val="single" w:color="000000" w:sz="4" w:space="0"/>
              <w:left w:val="single" w:color="000000" w:sz="4" w:space="0"/>
              <w:bottom w:val="single" w:color="000000" w:sz="4" w:space="0"/>
              <w:right w:val="single" w:color="000000" w:sz="4" w:space="0"/>
            </w:tcBorders>
            <w:noWrap/>
            <w:vAlign w:val="center"/>
          </w:tcPr>
          <w:p w14:paraId="38A88B83">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74" w:type="pct"/>
            <w:tcBorders>
              <w:top w:val="single" w:color="000000" w:sz="4" w:space="0"/>
              <w:left w:val="single" w:color="000000" w:sz="4" w:space="0"/>
              <w:bottom w:val="single" w:color="000000" w:sz="4" w:space="0"/>
              <w:right w:val="single" w:color="000000" w:sz="4" w:space="0"/>
            </w:tcBorders>
            <w:noWrap/>
            <w:vAlign w:val="center"/>
          </w:tcPr>
          <w:p w14:paraId="7C0571EA">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96" w:type="pct"/>
            <w:tcBorders>
              <w:top w:val="single" w:color="000000" w:sz="4" w:space="0"/>
              <w:left w:val="single" w:color="000000" w:sz="4" w:space="0"/>
              <w:bottom w:val="single" w:color="000000" w:sz="4" w:space="0"/>
              <w:right w:val="single" w:color="000000" w:sz="4" w:space="0"/>
            </w:tcBorders>
            <w:noWrap/>
            <w:vAlign w:val="center"/>
          </w:tcPr>
          <w:p w14:paraId="7C5758CB">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89" w:type="pct"/>
            <w:tcBorders>
              <w:top w:val="single" w:color="000000" w:sz="4" w:space="0"/>
              <w:left w:val="single" w:color="000000" w:sz="4" w:space="0"/>
              <w:bottom w:val="single" w:color="000000" w:sz="4" w:space="0"/>
              <w:right w:val="single" w:color="000000" w:sz="4" w:space="0"/>
            </w:tcBorders>
            <w:noWrap/>
            <w:vAlign w:val="center"/>
          </w:tcPr>
          <w:p w14:paraId="719F7946">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82" w:type="pct"/>
            <w:tcBorders>
              <w:top w:val="single" w:color="000000" w:sz="4" w:space="0"/>
              <w:left w:val="single" w:color="000000" w:sz="4" w:space="0"/>
              <w:bottom w:val="single" w:color="000000" w:sz="4" w:space="0"/>
              <w:right w:val="single" w:color="000000" w:sz="4" w:space="0"/>
            </w:tcBorders>
            <w:noWrap/>
            <w:vAlign w:val="center"/>
          </w:tcPr>
          <w:p w14:paraId="09317C2F">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D1FAF78">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78" w:type="pct"/>
            <w:gridSpan w:val="2"/>
            <w:tcBorders>
              <w:top w:val="single" w:color="000000" w:sz="4" w:space="0"/>
              <w:left w:val="single" w:color="000000" w:sz="4" w:space="0"/>
              <w:bottom w:val="single" w:color="000000" w:sz="4" w:space="0"/>
              <w:right w:val="single" w:color="000000" w:sz="4" w:space="0"/>
            </w:tcBorders>
            <w:noWrap/>
            <w:vAlign w:val="center"/>
          </w:tcPr>
          <w:p w14:paraId="0EF5DD1B">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216" w:type="pct"/>
            <w:tcBorders>
              <w:top w:val="single" w:color="000000" w:sz="4" w:space="0"/>
              <w:left w:val="single" w:color="000000" w:sz="4" w:space="0"/>
              <w:bottom w:val="single" w:color="000000" w:sz="4" w:space="0"/>
              <w:right w:val="single" w:color="000000" w:sz="4" w:space="0"/>
            </w:tcBorders>
            <w:noWrap/>
            <w:vAlign w:val="center"/>
          </w:tcPr>
          <w:p w14:paraId="59E822C0">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219" w:type="pct"/>
            <w:tcBorders>
              <w:top w:val="single" w:color="000000" w:sz="4" w:space="0"/>
              <w:left w:val="single" w:color="000000" w:sz="4" w:space="0"/>
              <w:bottom w:val="single" w:color="000000" w:sz="4" w:space="0"/>
              <w:right w:val="single" w:color="000000" w:sz="4" w:space="0"/>
            </w:tcBorders>
            <w:noWrap/>
            <w:vAlign w:val="center"/>
          </w:tcPr>
          <w:p w14:paraId="35198C9E">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381" w:type="pct"/>
            <w:tcBorders>
              <w:top w:val="single" w:color="000000" w:sz="4" w:space="0"/>
              <w:left w:val="single" w:color="000000" w:sz="4" w:space="0"/>
              <w:bottom w:val="single" w:color="000000" w:sz="4" w:space="0"/>
              <w:right w:val="single" w:color="000000" w:sz="4" w:space="0"/>
            </w:tcBorders>
            <w:noWrap/>
            <w:vAlign w:val="center"/>
          </w:tcPr>
          <w:p w14:paraId="7B965BAB">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403" w:type="pct"/>
            <w:tcBorders>
              <w:top w:val="single" w:color="000000" w:sz="4" w:space="0"/>
              <w:left w:val="single" w:color="000000" w:sz="4" w:space="0"/>
              <w:bottom w:val="single" w:color="000000" w:sz="4" w:space="0"/>
              <w:right w:val="single" w:color="000000" w:sz="4" w:space="0"/>
            </w:tcBorders>
            <w:noWrap/>
            <w:vAlign w:val="center"/>
          </w:tcPr>
          <w:p w14:paraId="00650BE1">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412" w:type="pct"/>
            <w:tcBorders>
              <w:top w:val="single" w:color="000000" w:sz="4" w:space="0"/>
              <w:left w:val="single" w:color="000000" w:sz="4" w:space="0"/>
              <w:bottom w:val="single" w:color="000000" w:sz="4" w:space="0"/>
              <w:right w:val="single" w:color="000000" w:sz="4" w:space="0"/>
            </w:tcBorders>
            <w:noWrap/>
            <w:vAlign w:val="center"/>
          </w:tcPr>
          <w:p w14:paraId="54BC8536">
            <w:pPr>
              <w:keepNext w:val="0"/>
              <w:keepLines w:val="0"/>
              <w:pageBreakBefore w:val="0"/>
              <w:kinsoku/>
              <w:wordWrap/>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5CC98F59">
        <w:tblPrEx>
          <w:tblCellMar>
            <w:top w:w="0" w:type="dxa"/>
            <w:left w:w="108" w:type="dxa"/>
            <w:bottom w:w="0" w:type="dxa"/>
            <w:right w:w="108" w:type="dxa"/>
          </w:tblCellMar>
        </w:tblPrEx>
        <w:trPr>
          <w:trHeight w:val="850" w:hRule="atLeast"/>
        </w:trPr>
        <w:tc>
          <w:tcPr>
            <w:tcW w:w="5000" w:type="pct"/>
            <w:gridSpan w:val="16"/>
            <w:tcBorders>
              <w:top w:val="single" w:color="000000" w:sz="4" w:space="0"/>
              <w:left w:val="single" w:color="000000" w:sz="4" w:space="0"/>
              <w:bottom w:val="single" w:color="000000" w:sz="4" w:space="0"/>
              <w:right w:val="single" w:color="000000" w:sz="4" w:space="0"/>
            </w:tcBorders>
            <w:noWrap/>
            <w:vAlign w:val="center"/>
          </w:tcPr>
          <w:p w14:paraId="5307BB29">
            <w:pPr>
              <w:keepNext w:val="0"/>
              <w:keepLines w:val="0"/>
              <w:pageBreakBefore w:val="0"/>
              <w:kinsoku/>
              <w:wordWrap/>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服务总金额（各项服务之和）：</w:t>
            </w:r>
          </w:p>
        </w:tc>
      </w:tr>
      <w:tr w14:paraId="235000ED">
        <w:tblPrEx>
          <w:tblCellMar>
            <w:top w:w="0" w:type="dxa"/>
            <w:left w:w="108" w:type="dxa"/>
            <w:bottom w:w="0" w:type="dxa"/>
            <w:right w:w="108" w:type="dxa"/>
          </w:tblCellMar>
        </w:tblPrEx>
        <w:trPr>
          <w:trHeight w:val="2268" w:hRule="atLeast"/>
        </w:trPr>
        <w:tc>
          <w:tcPr>
            <w:tcW w:w="5000" w:type="pct"/>
            <w:gridSpan w:val="16"/>
            <w:tcBorders>
              <w:top w:val="single" w:color="000000" w:sz="4" w:space="0"/>
              <w:left w:val="single" w:color="000000" w:sz="4" w:space="0"/>
              <w:bottom w:val="single" w:color="000000" w:sz="4" w:space="0"/>
              <w:right w:val="single" w:color="000000" w:sz="4" w:space="0"/>
            </w:tcBorders>
            <w:noWrap w:val="0"/>
            <w:vAlign w:val="center"/>
          </w:tcPr>
          <w:p w14:paraId="4E87E8B6">
            <w:pPr>
              <w:keepNext w:val="0"/>
              <w:keepLines w:val="0"/>
              <w:pageBreakBefore w:val="0"/>
              <w:kinsoku/>
              <w:overflowPunct/>
              <w:topLinePunct w:val="0"/>
              <w:autoSpaceDE/>
              <w:autoSpaceDN/>
              <w:bidi w:val="0"/>
              <w:adjustRightInd/>
              <w:snapToGrid w:val="0"/>
              <w:spacing w:line="240" w:lineRule="auto"/>
              <w:ind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云服务商意见：</w:t>
            </w:r>
          </w:p>
          <w:p w14:paraId="4A01CD0E">
            <w:pPr>
              <w:keepNext w:val="0"/>
              <w:keepLines w:val="0"/>
              <w:pageBreakBefore w:val="0"/>
              <w:kinsoku/>
              <w:overflowPunct/>
              <w:topLinePunct w:val="0"/>
              <w:autoSpaceDE/>
              <w:autoSpaceDN/>
              <w:bidi w:val="0"/>
              <w:adjustRightInd/>
              <w:snapToGrid w:val="0"/>
              <w:spacing w:line="240" w:lineRule="auto"/>
              <w:ind w:firstLine="0" w:firstLineChars="0"/>
              <w:rPr>
                <w:rFonts w:hint="eastAsia" w:ascii="宋体" w:hAnsi="宋体" w:eastAsia="宋体" w:cs="宋体"/>
                <w:color w:val="auto"/>
                <w:sz w:val="21"/>
                <w:szCs w:val="21"/>
                <w:lang w:val="en-US" w:eastAsia="zh-CN"/>
              </w:rPr>
            </w:pPr>
          </w:p>
          <w:p w14:paraId="75F00CC4">
            <w:pPr>
              <w:keepNext w:val="0"/>
              <w:keepLines w:val="0"/>
              <w:pageBreakBefore w:val="0"/>
              <w:kinsoku/>
              <w:overflowPunct/>
              <w:topLinePunct w:val="0"/>
              <w:autoSpaceDE/>
              <w:autoSpaceDN/>
              <w:bidi w:val="0"/>
              <w:adjustRightInd/>
              <w:snapToGrid w:val="0"/>
              <w:spacing w:line="240" w:lineRule="auto"/>
              <w:ind w:firstLine="0" w:firstLineChars="0"/>
              <w:rPr>
                <w:rFonts w:hint="eastAsia" w:ascii="宋体" w:hAnsi="宋体" w:eastAsia="宋体" w:cs="宋体"/>
                <w:color w:val="auto"/>
                <w:sz w:val="21"/>
                <w:szCs w:val="21"/>
                <w:lang w:val="en-US" w:eastAsia="zh-CN"/>
              </w:rPr>
            </w:pPr>
          </w:p>
          <w:p w14:paraId="75C10098">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Style w:val="14"/>
                <w:rFonts w:hint="eastAsia" w:ascii="宋体" w:hAnsi="宋体" w:eastAsia="宋体" w:cs="宋体"/>
                <w:color w:val="auto"/>
                <w:kern w:val="0"/>
                <w:sz w:val="21"/>
                <w:szCs w:val="21"/>
                <w:lang w:bidi="ar"/>
              </w:rPr>
            </w:pPr>
          </w:p>
          <w:p w14:paraId="2DFAC404">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eastAsia="zh-CN" w:bidi="ar"/>
              </w:rPr>
              <w:t>　　　　　　　　　　　　　　　　　　　　　　　　　　　</w:t>
            </w:r>
            <w:r>
              <w:rPr>
                <w:rStyle w:val="14"/>
                <w:rFonts w:hint="eastAsia" w:ascii="宋体" w:hAnsi="宋体" w:eastAsia="宋体" w:cs="宋体"/>
                <w:color w:val="auto"/>
                <w:kern w:val="0"/>
                <w:sz w:val="21"/>
                <w:szCs w:val="21"/>
                <w:lang w:bidi="ar"/>
              </w:rPr>
              <w:t>签章：</w:t>
            </w:r>
          </w:p>
          <w:p w14:paraId="34BDBF24">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color w:val="auto"/>
                <w:kern w:val="0"/>
                <w:sz w:val="21"/>
                <w:szCs w:val="21"/>
                <w:lang w:eastAsia="zh-CN" w:bidi="ar"/>
              </w:rPr>
              <w:t>　　　　　　　</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年</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月</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日</w:t>
            </w:r>
          </w:p>
        </w:tc>
      </w:tr>
      <w:tr w14:paraId="755196F1">
        <w:tblPrEx>
          <w:tblCellMar>
            <w:top w:w="0" w:type="dxa"/>
            <w:left w:w="108" w:type="dxa"/>
            <w:bottom w:w="0" w:type="dxa"/>
            <w:right w:w="108" w:type="dxa"/>
          </w:tblCellMar>
        </w:tblPrEx>
        <w:trPr>
          <w:trHeight w:val="2268" w:hRule="atLeast"/>
        </w:trPr>
        <w:tc>
          <w:tcPr>
            <w:tcW w:w="5000" w:type="pct"/>
            <w:gridSpan w:val="16"/>
            <w:tcBorders>
              <w:top w:val="single" w:color="000000" w:sz="4" w:space="0"/>
              <w:left w:val="single" w:color="000000" w:sz="4" w:space="0"/>
              <w:bottom w:val="single" w:color="000000" w:sz="4" w:space="0"/>
              <w:right w:val="single" w:color="000000" w:sz="4" w:space="0"/>
            </w:tcBorders>
            <w:noWrap w:val="0"/>
            <w:vAlign w:val="center"/>
          </w:tcPr>
          <w:p w14:paraId="530A2F44">
            <w:pPr>
              <w:keepNext w:val="0"/>
              <w:keepLines w:val="0"/>
              <w:pageBreakBefore w:val="0"/>
              <w:kinsoku/>
              <w:overflowPunct/>
              <w:topLinePunct w:val="0"/>
              <w:autoSpaceDE/>
              <w:autoSpaceDN/>
              <w:bidi w:val="0"/>
              <w:adjustRightInd/>
              <w:snapToGrid w:val="0"/>
              <w:spacing w:line="240" w:lineRule="auto"/>
              <w:ind w:firstLine="0" w:firstLineChars="0"/>
              <w:rPr>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lang w:val="en-US" w:eastAsia="zh-CN"/>
              </w:rPr>
              <w:t>第三方监理机构</w:t>
            </w:r>
            <w:r>
              <w:rPr>
                <w:rFonts w:hint="eastAsia" w:ascii="宋体" w:hAnsi="宋体" w:eastAsia="宋体" w:cs="宋体"/>
                <w:color w:val="auto"/>
                <w:sz w:val="21"/>
                <w:szCs w:val="21"/>
                <w:lang w:val="en-US" w:eastAsia="zh-CN"/>
              </w:rPr>
              <w:t>意见：</w:t>
            </w:r>
          </w:p>
          <w:p w14:paraId="6C9BB888">
            <w:pPr>
              <w:keepNext w:val="0"/>
              <w:keepLines w:val="0"/>
              <w:pageBreakBefore w:val="0"/>
              <w:kinsoku/>
              <w:overflowPunct/>
              <w:topLinePunct w:val="0"/>
              <w:autoSpaceDE/>
              <w:autoSpaceDN/>
              <w:bidi w:val="0"/>
              <w:adjustRightInd/>
              <w:snapToGrid w:val="0"/>
              <w:spacing w:line="240" w:lineRule="auto"/>
              <w:ind w:firstLine="0" w:firstLineChars="0"/>
              <w:rPr>
                <w:rFonts w:hint="eastAsia" w:ascii="宋体" w:hAnsi="宋体" w:eastAsia="宋体" w:cs="宋体"/>
                <w:color w:val="auto"/>
                <w:sz w:val="21"/>
                <w:szCs w:val="21"/>
                <w:lang w:val="en-US" w:eastAsia="zh-CN"/>
              </w:rPr>
            </w:pPr>
          </w:p>
          <w:p w14:paraId="33AB8FDA">
            <w:pPr>
              <w:keepNext w:val="0"/>
              <w:keepLines w:val="0"/>
              <w:pageBreakBefore w:val="0"/>
              <w:kinsoku/>
              <w:overflowPunct/>
              <w:topLinePunct w:val="0"/>
              <w:autoSpaceDE/>
              <w:autoSpaceDN/>
              <w:bidi w:val="0"/>
              <w:adjustRightInd/>
              <w:snapToGrid w:val="0"/>
              <w:spacing w:line="240" w:lineRule="auto"/>
              <w:ind w:firstLine="0" w:firstLineChars="0"/>
              <w:rPr>
                <w:rFonts w:hint="eastAsia" w:ascii="宋体" w:hAnsi="宋体" w:eastAsia="宋体" w:cs="宋体"/>
                <w:color w:val="auto"/>
                <w:sz w:val="21"/>
                <w:szCs w:val="21"/>
                <w:lang w:val="en-US" w:eastAsia="zh-CN"/>
              </w:rPr>
            </w:pPr>
          </w:p>
          <w:p w14:paraId="233B1D2F">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Style w:val="14"/>
                <w:rFonts w:hint="eastAsia" w:ascii="宋体" w:hAnsi="宋体" w:eastAsia="宋体" w:cs="宋体"/>
                <w:color w:val="auto"/>
                <w:kern w:val="0"/>
                <w:sz w:val="21"/>
                <w:szCs w:val="21"/>
                <w:lang w:bidi="ar"/>
              </w:rPr>
            </w:pPr>
          </w:p>
          <w:p w14:paraId="2D3BF3D8">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eastAsia="zh-CN" w:bidi="ar"/>
              </w:rPr>
              <w:t>　　　　　　　　　　　　　　　　　　　　　　　　　　　</w:t>
            </w:r>
            <w:r>
              <w:rPr>
                <w:rStyle w:val="14"/>
                <w:rFonts w:hint="eastAsia" w:ascii="宋体" w:hAnsi="宋体" w:eastAsia="宋体" w:cs="宋体"/>
                <w:color w:val="auto"/>
                <w:kern w:val="0"/>
                <w:sz w:val="21"/>
                <w:szCs w:val="21"/>
                <w:lang w:bidi="ar"/>
              </w:rPr>
              <w:t>签章：</w:t>
            </w:r>
          </w:p>
          <w:p w14:paraId="31DE7C9D">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smallCaps w:val="0"/>
                <w:color w:val="auto"/>
                <w:kern w:val="0"/>
                <w:sz w:val="21"/>
                <w:szCs w:val="21"/>
                <w:lang w:eastAsia="zh-CN" w:bidi="ar"/>
              </w:rPr>
            </w:pP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color w:val="auto"/>
                <w:kern w:val="0"/>
                <w:sz w:val="21"/>
                <w:szCs w:val="21"/>
                <w:lang w:eastAsia="zh-CN" w:bidi="ar"/>
              </w:rPr>
              <w:t>　　　　　　　</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年</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月</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日</w:t>
            </w:r>
          </w:p>
        </w:tc>
      </w:tr>
    </w:tbl>
    <w:p w14:paraId="6950575A">
      <w:pPr>
        <w:ind w:left="0" w:leftChars="0" w:firstLine="0" w:firstLineChars="0"/>
        <w:rPr>
          <w:rStyle w:val="14"/>
          <w:rFonts w:hint="eastAsia" w:ascii="宋体" w:hAnsi="宋体" w:eastAsia="宋体" w:cs="宋体"/>
          <w:iCs/>
          <w:color w:val="auto"/>
          <w:sz w:val="21"/>
          <w:szCs w:val="21"/>
        </w:rPr>
      </w:pPr>
      <w:r>
        <w:rPr>
          <w:rStyle w:val="14"/>
          <w:rFonts w:hint="eastAsia" w:ascii="宋体" w:hAnsi="宋体" w:eastAsia="宋体" w:cs="宋体"/>
          <w:iCs/>
          <w:color w:val="auto"/>
          <w:sz w:val="21"/>
          <w:szCs w:val="21"/>
        </w:rPr>
        <w:br w:type="page"/>
      </w:r>
    </w:p>
    <w:p w14:paraId="4EFE3742">
      <w:pPr>
        <w:pStyle w:val="10"/>
        <w:keepNext w:val="0"/>
        <w:keepLines w:val="0"/>
        <w:pageBreakBefore w:val="0"/>
        <w:widowControl/>
        <w:kinsoku/>
        <w:wordWrap/>
        <w:overflowPunct/>
        <w:topLinePunct w:val="0"/>
        <w:autoSpaceDE/>
        <w:autoSpaceDN/>
        <w:bidi w:val="0"/>
        <w:adjustRightInd/>
        <w:snapToGrid w:val="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表3 服务质量</w:t>
      </w:r>
      <w:r>
        <w:rPr>
          <w:rFonts w:hint="eastAsia" w:ascii="宋体" w:hAnsi="宋体" w:eastAsia="宋体" w:cs="宋体"/>
          <w:b/>
          <w:bCs/>
          <w:color w:val="auto"/>
          <w:sz w:val="24"/>
          <w:szCs w:val="24"/>
          <w:lang w:val="en-US" w:eastAsia="zh-CN"/>
        </w:rPr>
        <w:t>季</w:t>
      </w:r>
      <w:r>
        <w:rPr>
          <w:rFonts w:hint="eastAsia" w:ascii="宋体" w:hAnsi="宋体" w:eastAsia="宋体" w:cs="宋体"/>
          <w:b/>
          <w:bCs/>
          <w:color w:val="auto"/>
          <w:sz w:val="24"/>
          <w:szCs w:val="24"/>
        </w:rPr>
        <w:t>度考核表</w:t>
      </w:r>
    </w:p>
    <w:tbl>
      <w:tblPr>
        <w:tblStyle w:val="13"/>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1350"/>
        <w:gridCol w:w="2102"/>
        <w:gridCol w:w="3268"/>
        <w:gridCol w:w="872"/>
      </w:tblGrid>
      <w:tr w14:paraId="615B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652" w:type="pct"/>
            <w:noWrap/>
            <w:vAlign w:val="center"/>
          </w:tcPr>
          <w:p w14:paraId="2248A0E1">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一级指标</w:t>
            </w:r>
          </w:p>
        </w:tc>
        <w:tc>
          <w:tcPr>
            <w:tcW w:w="772" w:type="pct"/>
            <w:noWrap/>
            <w:vAlign w:val="center"/>
          </w:tcPr>
          <w:p w14:paraId="32ED81F2">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二级指标</w:t>
            </w:r>
          </w:p>
        </w:tc>
        <w:tc>
          <w:tcPr>
            <w:tcW w:w="1203" w:type="pct"/>
            <w:noWrap w:val="0"/>
            <w:vAlign w:val="center"/>
          </w:tcPr>
          <w:p w14:paraId="00FDF1E3">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描述项</w:t>
            </w:r>
          </w:p>
        </w:tc>
        <w:tc>
          <w:tcPr>
            <w:tcW w:w="1871" w:type="pct"/>
            <w:noWrap/>
            <w:vAlign w:val="center"/>
          </w:tcPr>
          <w:p w14:paraId="23D562C6">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扣分标准</w:t>
            </w:r>
          </w:p>
        </w:tc>
        <w:tc>
          <w:tcPr>
            <w:tcW w:w="499" w:type="pct"/>
            <w:noWrap/>
            <w:vAlign w:val="center"/>
          </w:tcPr>
          <w:p w14:paraId="2824F8CF">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扣分值</w:t>
            </w:r>
          </w:p>
        </w:tc>
      </w:tr>
      <w:tr w14:paraId="6EF2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652" w:type="pct"/>
            <w:vMerge w:val="restart"/>
            <w:noWrap w:val="0"/>
            <w:vAlign w:val="center"/>
          </w:tcPr>
          <w:p w14:paraId="40EFB972">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w:t>
            </w:r>
          </w:p>
          <w:p w14:paraId="76F1D1D7">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合规性</w:t>
            </w:r>
          </w:p>
        </w:tc>
        <w:tc>
          <w:tcPr>
            <w:tcW w:w="772" w:type="pct"/>
            <w:noWrap w:val="0"/>
            <w:vAlign w:val="center"/>
          </w:tcPr>
          <w:p w14:paraId="1F082AA5">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合同要求满足情况</w:t>
            </w:r>
          </w:p>
        </w:tc>
        <w:tc>
          <w:tcPr>
            <w:tcW w:w="1203" w:type="pct"/>
            <w:noWrap w:val="0"/>
            <w:vAlign w:val="center"/>
          </w:tcPr>
          <w:p w14:paraId="6EBC9E54">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云服务商在服务周期中对招标文件、投标文件、合同的满足情况</w:t>
            </w:r>
          </w:p>
        </w:tc>
        <w:tc>
          <w:tcPr>
            <w:tcW w:w="1871" w:type="pct"/>
            <w:noWrap w:val="0"/>
            <w:vAlign w:val="center"/>
          </w:tcPr>
          <w:p w14:paraId="13EA4C68">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未满足，每项扣5分，按次数累加，扣分上限为20分</w:t>
            </w:r>
          </w:p>
        </w:tc>
        <w:tc>
          <w:tcPr>
            <w:tcW w:w="499" w:type="pct"/>
            <w:noWrap w:val="0"/>
            <w:vAlign w:val="center"/>
          </w:tcPr>
          <w:p w14:paraId="5DE59B3D">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37C2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652" w:type="pct"/>
            <w:vMerge w:val="continue"/>
            <w:noWrap w:val="0"/>
            <w:vAlign w:val="center"/>
          </w:tcPr>
          <w:p w14:paraId="4AC59105">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5DC5ADB8">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lang w:val="en-US" w:eastAsia="zh-CN"/>
              </w:rPr>
              <w:t>云使用单位投诉情况</w:t>
            </w:r>
          </w:p>
        </w:tc>
        <w:tc>
          <w:tcPr>
            <w:tcW w:w="1203" w:type="pct"/>
            <w:noWrap w:val="0"/>
            <w:vAlign w:val="center"/>
          </w:tcPr>
          <w:p w14:paraId="53C3F8F2">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lang w:val="en-US" w:eastAsia="zh-CN"/>
              </w:rPr>
              <w:t>云服务商在服务期间收到所服务的云使用单位投诉的次数，投诉认定以云主管部门收到云使用单位的正式函件为准</w:t>
            </w:r>
          </w:p>
        </w:tc>
        <w:tc>
          <w:tcPr>
            <w:tcW w:w="1871" w:type="pct"/>
            <w:noWrap w:val="0"/>
            <w:vAlign w:val="center"/>
          </w:tcPr>
          <w:p w14:paraId="6D435C05">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lang w:val="en-US" w:eastAsia="zh-CN"/>
              </w:rPr>
              <w:t>每收到投诉1次，扣5分</w:t>
            </w:r>
          </w:p>
        </w:tc>
        <w:tc>
          <w:tcPr>
            <w:tcW w:w="499" w:type="pct"/>
            <w:noWrap w:val="0"/>
            <w:vAlign w:val="center"/>
          </w:tcPr>
          <w:p w14:paraId="583EB4F8">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3D5B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652" w:type="pct"/>
            <w:vMerge w:val="restart"/>
            <w:noWrap w:val="0"/>
            <w:vAlign w:val="center"/>
          </w:tcPr>
          <w:p w14:paraId="320BF129">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w:t>
            </w:r>
          </w:p>
          <w:p w14:paraId="686430E6">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lang w:val="en-US"/>
              </w:rPr>
              <w:t>可用</w:t>
            </w:r>
            <w:r>
              <w:rPr>
                <w:rStyle w:val="14"/>
                <w:rFonts w:hint="eastAsia" w:ascii="宋体" w:hAnsi="宋体" w:eastAsia="宋体" w:cs="宋体"/>
                <w:color w:val="auto"/>
                <w:sz w:val="21"/>
                <w:szCs w:val="21"/>
              </w:rPr>
              <w:t>性</w:t>
            </w:r>
          </w:p>
        </w:tc>
        <w:tc>
          <w:tcPr>
            <w:tcW w:w="772" w:type="pct"/>
            <w:noWrap w:val="0"/>
            <w:vAlign w:val="center"/>
          </w:tcPr>
          <w:p w14:paraId="76038322">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云主机服务可用率</w:t>
            </w:r>
          </w:p>
        </w:tc>
        <w:tc>
          <w:tcPr>
            <w:tcW w:w="1203" w:type="pct"/>
            <w:vMerge w:val="restart"/>
            <w:noWrap w:val="0"/>
            <w:vAlign w:val="center"/>
          </w:tcPr>
          <w:p w14:paraId="3F480765">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服务可用率计算公式：</w:t>
            </w:r>
          </w:p>
          <w:p w14:paraId="61279E2F">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服务可用率</w:t>
            </w:r>
            <w:r>
              <w:rPr>
                <w:rStyle w:val="14"/>
                <w:rFonts w:hint="eastAsia" w:ascii="宋体" w:hAnsi="宋体" w:eastAsia="宋体" w:cs="宋体"/>
                <w:color w:val="auto"/>
                <w:sz w:val="21"/>
                <w:szCs w:val="21"/>
                <w:lang w:val="en-GB"/>
              </w:rPr>
              <w:t>=</w:t>
            </w:r>
            <w:r>
              <w:rPr>
                <w:rStyle w:val="14"/>
                <w:rFonts w:hint="eastAsia" w:ascii="宋体" w:hAnsi="宋体" w:eastAsia="宋体" w:cs="宋体"/>
                <w:color w:val="auto"/>
                <w:sz w:val="21"/>
                <w:szCs w:val="21"/>
              </w:rPr>
              <w:t>正常运行时间/（正常运行时间+服务中断时间）</w:t>
            </w:r>
          </w:p>
          <w:p w14:paraId="73FF1317">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服务中断时间剔除可允许的服务不可用时间，如系统升级维护，配置变更等</w:t>
            </w:r>
          </w:p>
        </w:tc>
        <w:tc>
          <w:tcPr>
            <w:tcW w:w="1871" w:type="pct"/>
            <w:noWrap w:val="0"/>
            <w:vAlign w:val="center"/>
          </w:tcPr>
          <w:p w14:paraId="3CB6DA07">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1、99.95%≤服务可用率&lt;99.99%，扣5分；</w:t>
            </w:r>
          </w:p>
          <w:p w14:paraId="5546DAF8">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2、99.9%≤服务可用率&lt;99.95%，扣10分；</w:t>
            </w:r>
          </w:p>
          <w:p w14:paraId="3BE894C3">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3、服务可用率&lt;99.9%，扣15分；</w:t>
            </w:r>
          </w:p>
        </w:tc>
        <w:tc>
          <w:tcPr>
            <w:tcW w:w="499" w:type="pct"/>
            <w:noWrap w:val="0"/>
            <w:vAlign w:val="center"/>
          </w:tcPr>
          <w:p w14:paraId="58BD9E4D">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4D21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652" w:type="pct"/>
            <w:vMerge w:val="continue"/>
            <w:noWrap w:val="0"/>
            <w:vAlign w:val="center"/>
          </w:tcPr>
          <w:p w14:paraId="4284DC55">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4A18FD66">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裸金属服务可用率</w:t>
            </w:r>
          </w:p>
        </w:tc>
        <w:tc>
          <w:tcPr>
            <w:tcW w:w="1203" w:type="pct"/>
            <w:vMerge w:val="continue"/>
            <w:noWrap w:val="0"/>
            <w:vAlign w:val="center"/>
          </w:tcPr>
          <w:p w14:paraId="7A58A11C">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871" w:type="pct"/>
            <w:noWrap w:val="0"/>
            <w:vAlign w:val="center"/>
          </w:tcPr>
          <w:p w14:paraId="0D21B519">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1、99.95%≤服务可用率&lt;99.99%，扣5分；</w:t>
            </w:r>
          </w:p>
          <w:p w14:paraId="4E42628F">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2、99.9%≤服务可用率&lt;99.95%，扣10分；</w:t>
            </w:r>
          </w:p>
          <w:p w14:paraId="2CCBC0E2">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3、服务可用率&lt;99.9%，扣15分；</w:t>
            </w:r>
          </w:p>
        </w:tc>
        <w:tc>
          <w:tcPr>
            <w:tcW w:w="499" w:type="pct"/>
            <w:noWrap w:val="0"/>
            <w:vAlign w:val="center"/>
          </w:tcPr>
          <w:p w14:paraId="4653AD95">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1AD0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652" w:type="pct"/>
            <w:vMerge w:val="continue"/>
            <w:noWrap w:val="0"/>
            <w:vAlign w:val="center"/>
          </w:tcPr>
          <w:p w14:paraId="4011D011">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1C9B95F3">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块存储服务可用率</w:t>
            </w:r>
          </w:p>
        </w:tc>
        <w:tc>
          <w:tcPr>
            <w:tcW w:w="1203" w:type="pct"/>
            <w:vMerge w:val="continue"/>
            <w:noWrap w:val="0"/>
            <w:vAlign w:val="center"/>
          </w:tcPr>
          <w:p w14:paraId="281BBDCA">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871" w:type="pct"/>
            <w:noWrap w:val="0"/>
            <w:vAlign w:val="center"/>
          </w:tcPr>
          <w:p w14:paraId="60981A3C">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1、99.95%≤服务可用率&lt;99.99%，扣5分；</w:t>
            </w:r>
          </w:p>
          <w:p w14:paraId="7E85CC09">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2、99.9%≤服务可用率&lt;99.95%，扣10分；</w:t>
            </w:r>
          </w:p>
          <w:p w14:paraId="5149BA91">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3、服务可用率&lt;99.9%，扣15分；</w:t>
            </w:r>
          </w:p>
        </w:tc>
        <w:tc>
          <w:tcPr>
            <w:tcW w:w="499" w:type="pct"/>
            <w:noWrap w:val="0"/>
            <w:vAlign w:val="center"/>
          </w:tcPr>
          <w:p w14:paraId="4A2728D8">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14A1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52" w:type="pct"/>
            <w:vMerge w:val="continue"/>
            <w:noWrap w:val="0"/>
            <w:vAlign w:val="center"/>
          </w:tcPr>
          <w:p w14:paraId="2D26C5B9">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4256C366">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文件存储服务可用率</w:t>
            </w:r>
          </w:p>
        </w:tc>
        <w:tc>
          <w:tcPr>
            <w:tcW w:w="1203" w:type="pct"/>
            <w:vMerge w:val="continue"/>
            <w:noWrap w:val="0"/>
            <w:vAlign w:val="center"/>
          </w:tcPr>
          <w:p w14:paraId="13945D9E">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871" w:type="pct"/>
            <w:noWrap w:val="0"/>
            <w:vAlign w:val="center"/>
          </w:tcPr>
          <w:p w14:paraId="0F769F00">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1、99.95%≤服务可用率&lt;99.99%，扣5分；</w:t>
            </w:r>
          </w:p>
          <w:p w14:paraId="1782E723">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2、99.9%≤服务可用率&lt;99.95%，扣10分；</w:t>
            </w:r>
          </w:p>
          <w:p w14:paraId="7F014972">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3、服务可用率&lt;99.9%，扣15分</w:t>
            </w:r>
            <w:r>
              <w:rPr>
                <w:rStyle w:val="14"/>
                <w:rFonts w:hint="eastAsia" w:ascii="宋体" w:hAnsi="宋体" w:eastAsia="宋体" w:cs="宋体"/>
                <w:color w:val="auto"/>
                <w:sz w:val="21"/>
                <w:szCs w:val="21"/>
                <w:lang w:eastAsia="zh-CN"/>
              </w:rPr>
              <w:t>。</w:t>
            </w:r>
          </w:p>
        </w:tc>
        <w:tc>
          <w:tcPr>
            <w:tcW w:w="499" w:type="pct"/>
            <w:noWrap w:val="0"/>
            <w:vAlign w:val="center"/>
          </w:tcPr>
          <w:p w14:paraId="5DB3000D">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236E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2" w:type="pct"/>
            <w:vMerge w:val="continue"/>
            <w:noWrap w:val="0"/>
            <w:vAlign w:val="center"/>
          </w:tcPr>
          <w:p w14:paraId="5FB34A66">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609FB40B">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对象存储服务可用率</w:t>
            </w:r>
          </w:p>
        </w:tc>
        <w:tc>
          <w:tcPr>
            <w:tcW w:w="1203" w:type="pct"/>
            <w:vMerge w:val="continue"/>
            <w:noWrap w:val="0"/>
            <w:vAlign w:val="center"/>
          </w:tcPr>
          <w:p w14:paraId="0EB503C1">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871" w:type="pct"/>
            <w:noWrap w:val="0"/>
            <w:vAlign w:val="center"/>
          </w:tcPr>
          <w:p w14:paraId="50FEC000">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1、99.95%≤服务可用率&lt;99.99%，扣5分；</w:t>
            </w:r>
          </w:p>
          <w:p w14:paraId="5E601C60">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2、99.9%≤服务可用率&lt;99.95%，扣10分；</w:t>
            </w:r>
          </w:p>
          <w:p w14:paraId="0E808262">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3、服务可用率&lt;99.9%，扣15分</w:t>
            </w:r>
            <w:r>
              <w:rPr>
                <w:rStyle w:val="14"/>
                <w:rFonts w:hint="eastAsia" w:ascii="宋体" w:hAnsi="宋体" w:eastAsia="宋体" w:cs="宋体"/>
                <w:color w:val="auto"/>
                <w:sz w:val="21"/>
                <w:szCs w:val="21"/>
                <w:lang w:eastAsia="zh-CN"/>
              </w:rPr>
              <w:t>。</w:t>
            </w:r>
          </w:p>
        </w:tc>
        <w:tc>
          <w:tcPr>
            <w:tcW w:w="499" w:type="pct"/>
            <w:noWrap w:val="0"/>
            <w:vAlign w:val="center"/>
          </w:tcPr>
          <w:p w14:paraId="73682B4B">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2005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652" w:type="pct"/>
            <w:vMerge w:val="continue"/>
            <w:noWrap w:val="0"/>
            <w:vAlign w:val="center"/>
          </w:tcPr>
          <w:p w14:paraId="7E94F948">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74DC9F82">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lang w:val="en-US" w:eastAsia="zh-CN"/>
              </w:rPr>
              <w:t>数据中心</w:t>
            </w:r>
            <w:r>
              <w:rPr>
                <w:rStyle w:val="14"/>
                <w:rFonts w:hint="eastAsia" w:ascii="宋体" w:hAnsi="宋体" w:eastAsia="宋体" w:cs="宋体"/>
                <w:color w:val="auto"/>
                <w:sz w:val="21"/>
                <w:szCs w:val="21"/>
              </w:rPr>
              <w:t>内部网络带宽利用率</w:t>
            </w:r>
            <w:r>
              <w:rPr>
                <w:rStyle w:val="14"/>
                <w:rFonts w:hint="eastAsia" w:ascii="宋体" w:hAnsi="宋体" w:eastAsia="宋体" w:cs="宋体"/>
                <w:color w:val="auto"/>
                <w:sz w:val="21"/>
                <w:szCs w:val="21"/>
                <w:lang w:val="en-US" w:eastAsia="zh-CN"/>
              </w:rPr>
              <w:t>和时延</w:t>
            </w:r>
          </w:p>
        </w:tc>
        <w:tc>
          <w:tcPr>
            <w:tcW w:w="1203" w:type="pct"/>
            <w:noWrap w:val="0"/>
            <w:vAlign w:val="center"/>
          </w:tcPr>
          <w:p w14:paraId="6193DB59">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lang w:val="en-US" w:eastAsia="zh-CN"/>
              </w:rPr>
              <w:t>云服务商数据中心内部网络（管理网、存储网、业务网等）的网络带宽利用率及端到端时延需满足</w:t>
            </w:r>
            <w:r>
              <w:rPr>
                <w:rStyle w:val="14"/>
                <w:rFonts w:hint="eastAsia" w:ascii="宋体" w:hAnsi="宋体" w:eastAsia="宋体" w:cs="宋体"/>
                <w:color w:val="auto"/>
                <w:sz w:val="21"/>
                <w:szCs w:val="21"/>
              </w:rPr>
              <w:t>招标文件及合同规定的要求</w:t>
            </w:r>
          </w:p>
        </w:tc>
        <w:tc>
          <w:tcPr>
            <w:tcW w:w="1871" w:type="pct"/>
            <w:noWrap w:val="0"/>
            <w:vAlign w:val="center"/>
          </w:tcPr>
          <w:p w14:paraId="01387F90">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lang w:val="en-US" w:eastAsia="zh-CN"/>
              </w:rPr>
              <w:t>1、利用率未满足</w:t>
            </w:r>
            <w:r>
              <w:rPr>
                <w:rStyle w:val="14"/>
                <w:rFonts w:hint="eastAsia" w:ascii="宋体" w:hAnsi="宋体" w:eastAsia="宋体" w:cs="宋体"/>
                <w:color w:val="auto"/>
                <w:sz w:val="21"/>
                <w:szCs w:val="21"/>
              </w:rPr>
              <w:t>，扣</w:t>
            </w:r>
            <w:r>
              <w:rPr>
                <w:rStyle w:val="14"/>
                <w:rFonts w:hint="eastAsia" w:ascii="宋体" w:hAnsi="宋体" w:eastAsia="宋体" w:cs="宋体"/>
                <w:color w:val="auto"/>
                <w:sz w:val="21"/>
                <w:szCs w:val="21"/>
                <w:lang w:val="en-US" w:eastAsia="zh-CN"/>
              </w:rPr>
              <w:t>5</w:t>
            </w:r>
            <w:r>
              <w:rPr>
                <w:rStyle w:val="14"/>
                <w:rFonts w:hint="eastAsia" w:ascii="宋体" w:hAnsi="宋体" w:eastAsia="宋体" w:cs="宋体"/>
                <w:color w:val="auto"/>
                <w:sz w:val="21"/>
                <w:szCs w:val="21"/>
              </w:rPr>
              <w:t>分</w:t>
            </w:r>
            <w:r>
              <w:rPr>
                <w:rStyle w:val="14"/>
                <w:rFonts w:hint="eastAsia" w:ascii="宋体" w:hAnsi="宋体" w:eastAsia="宋体" w:cs="宋体"/>
                <w:color w:val="auto"/>
                <w:sz w:val="21"/>
                <w:szCs w:val="21"/>
                <w:lang w:eastAsia="zh-CN"/>
              </w:rPr>
              <w:t>；</w:t>
            </w:r>
          </w:p>
          <w:p w14:paraId="32DC19A6">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lang w:val="en-US" w:eastAsia="zh-CN"/>
              </w:rPr>
              <w:t>2、时延未满足，扣5分。</w:t>
            </w:r>
          </w:p>
        </w:tc>
        <w:tc>
          <w:tcPr>
            <w:tcW w:w="499" w:type="pct"/>
            <w:noWrap w:val="0"/>
            <w:vAlign w:val="center"/>
          </w:tcPr>
          <w:p w14:paraId="2C14A6A4">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74A4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652" w:type="pct"/>
            <w:vMerge w:val="restart"/>
            <w:noWrap w:val="0"/>
            <w:vAlign w:val="center"/>
          </w:tcPr>
          <w:p w14:paraId="27A37FAF">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w:t>
            </w:r>
          </w:p>
          <w:p w14:paraId="2786100C">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响应性</w:t>
            </w:r>
          </w:p>
        </w:tc>
        <w:tc>
          <w:tcPr>
            <w:tcW w:w="772" w:type="pct"/>
            <w:noWrap w:val="0"/>
            <w:vAlign w:val="center"/>
          </w:tcPr>
          <w:p w14:paraId="7CBBF6B9">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特级事故处置情况</w:t>
            </w:r>
          </w:p>
        </w:tc>
        <w:tc>
          <w:tcPr>
            <w:tcW w:w="1203" w:type="pct"/>
            <w:vMerge w:val="restart"/>
            <w:noWrap w:val="0"/>
            <w:vAlign w:val="center"/>
          </w:tcPr>
          <w:p w14:paraId="595740B4">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云服务商未按照合同规定要求进行应急处置和提交故障解决报告的次数，事故等级由云</w:t>
            </w:r>
            <w:r>
              <w:rPr>
                <w:rStyle w:val="14"/>
                <w:rFonts w:hint="eastAsia" w:ascii="宋体" w:hAnsi="宋体" w:eastAsia="宋体" w:cs="宋体"/>
                <w:color w:val="auto"/>
                <w:sz w:val="21"/>
                <w:szCs w:val="21"/>
                <w:lang w:val="en-US" w:eastAsia="zh-CN"/>
              </w:rPr>
              <w:t>主管</w:t>
            </w:r>
            <w:r>
              <w:rPr>
                <w:rStyle w:val="14"/>
                <w:rFonts w:hint="eastAsia" w:ascii="宋体" w:hAnsi="宋体" w:eastAsia="宋体" w:cs="宋体"/>
                <w:color w:val="auto"/>
                <w:sz w:val="21"/>
                <w:szCs w:val="21"/>
              </w:rPr>
              <w:t>部门按照合同及相关国家标准认定</w:t>
            </w:r>
          </w:p>
        </w:tc>
        <w:tc>
          <w:tcPr>
            <w:tcW w:w="1871" w:type="pct"/>
            <w:noWrap w:val="0"/>
            <w:vAlign w:val="center"/>
          </w:tcPr>
          <w:p w14:paraId="0D484DE3">
            <w:pPr>
              <w:keepNext w:val="0"/>
              <w:keepLines w:val="0"/>
              <w:pageBreakBefore w:val="0"/>
              <w:numPr>
                <w:ilvl w:val="0"/>
                <w:numId w:val="0"/>
              </w:numPr>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1、</w:t>
            </w:r>
            <w:r>
              <w:rPr>
                <w:rStyle w:val="14"/>
                <w:rFonts w:hint="eastAsia" w:ascii="宋体" w:hAnsi="宋体" w:eastAsia="宋体" w:cs="宋体"/>
                <w:color w:val="auto"/>
                <w:sz w:val="21"/>
                <w:szCs w:val="21"/>
              </w:rPr>
              <w:t>在紧急恢复业务后，未在1个小时内提交应急解决措施的，每次扣40分，每超时半小时加扣5分，按次数累加</w:t>
            </w:r>
            <w:r>
              <w:rPr>
                <w:rStyle w:val="14"/>
                <w:rFonts w:hint="eastAsia" w:ascii="宋体" w:hAnsi="宋体" w:eastAsia="宋体" w:cs="宋体"/>
                <w:color w:val="auto"/>
                <w:sz w:val="21"/>
                <w:szCs w:val="21"/>
                <w:lang w:eastAsia="zh-CN"/>
              </w:rPr>
              <w:t>；</w:t>
            </w:r>
          </w:p>
          <w:p w14:paraId="3814C9C9">
            <w:pPr>
              <w:keepNext w:val="0"/>
              <w:keepLines w:val="0"/>
              <w:pageBreakBefore w:val="0"/>
              <w:numPr>
                <w:ilvl w:val="0"/>
                <w:numId w:val="0"/>
              </w:numPr>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2、</w:t>
            </w:r>
            <w:r>
              <w:rPr>
                <w:rStyle w:val="14"/>
                <w:rFonts w:hint="eastAsia" w:ascii="宋体" w:hAnsi="宋体" w:eastAsia="宋体" w:cs="宋体"/>
                <w:color w:val="auto"/>
                <w:sz w:val="21"/>
                <w:szCs w:val="21"/>
              </w:rPr>
              <w:t>事故发生后，未在10个工作日内提交审核通过的故障解决报告，每次扣10分，每超时1个自然日加扣1分，按次数累加</w:t>
            </w:r>
            <w:r>
              <w:rPr>
                <w:rStyle w:val="14"/>
                <w:rFonts w:hint="eastAsia" w:ascii="宋体" w:hAnsi="宋体" w:eastAsia="宋体" w:cs="宋体"/>
                <w:color w:val="auto"/>
                <w:sz w:val="21"/>
                <w:szCs w:val="21"/>
                <w:lang w:eastAsia="zh-CN"/>
              </w:rPr>
              <w:t>。</w:t>
            </w:r>
          </w:p>
        </w:tc>
        <w:tc>
          <w:tcPr>
            <w:tcW w:w="499" w:type="pct"/>
            <w:noWrap w:val="0"/>
            <w:vAlign w:val="center"/>
          </w:tcPr>
          <w:p w14:paraId="305A7578">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74BF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52" w:type="pct"/>
            <w:vMerge w:val="continue"/>
            <w:noWrap w:val="0"/>
            <w:vAlign w:val="center"/>
          </w:tcPr>
          <w:p w14:paraId="49811BCC">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2BD45F5D">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一级事故处置情况</w:t>
            </w:r>
          </w:p>
        </w:tc>
        <w:tc>
          <w:tcPr>
            <w:tcW w:w="1203" w:type="pct"/>
            <w:vMerge w:val="continue"/>
            <w:noWrap w:val="0"/>
            <w:vAlign w:val="center"/>
          </w:tcPr>
          <w:p w14:paraId="26EDB162">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871" w:type="pct"/>
            <w:noWrap w:val="0"/>
            <w:vAlign w:val="center"/>
          </w:tcPr>
          <w:p w14:paraId="6299C702">
            <w:pPr>
              <w:keepNext w:val="0"/>
              <w:keepLines w:val="0"/>
              <w:pageBreakBefore w:val="0"/>
              <w:numPr>
                <w:ilvl w:val="0"/>
                <w:numId w:val="0"/>
              </w:numPr>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1、</w:t>
            </w:r>
            <w:r>
              <w:rPr>
                <w:rStyle w:val="14"/>
                <w:rFonts w:hint="eastAsia" w:ascii="宋体" w:hAnsi="宋体" w:eastAsia="宋体" w:cs="宋体"/>
                <w:color w:val="auto"/>
                <w:sz w:val="21"/>
                <w:szCs w:val="21"/>
              </w:rPr>
              <w:t>在紧急恢复业务后，未在2个小时内提交应急解决措施的，每次扣30分，每超时半小时加扣5分，按次数累加</w:t>
            </w:r>
            <w:r>
              <w:rPr>
                <w:rStyle w:val="14"/>
                <w:rFonts w:hint="eastAsia" w:ascii="宋体" w:hAnsi="宋体" w:eastAsia="宋体" w:cs="宋体"/>
                <w:color w:val="auto"/>
                <w:sz w:val="21"/>
                <w:szCs w:val="21"/>
                <w:lang w:eastAsia="zh-CN"/>
              </w:rPr>
              <w:t>；</w:t>
            </w:r>
          </w:p>
          <w:p w14:paraId="68E4F62F">
            <w:pPr>
              <w:keepNext w:val="0"/>
              <w:keepLines w:val="0"/>
              <w:pageBreakBefore w:val="0"/>
              <w:numPr>
                <w:ilvl w:val="0"/>
                <w:numId w:val="0"/>
              </w:numPr>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2、</w:t>
            </w:r>
            <w:r>
              <w:rPr>
                <w:rStyle w:val="14"/>
                <w:rFonts w:hint="eastAsia" w:ascii="宋体" w:hAnsi="宋体" w:eastAsia="宋体" w:cs="宋体"/>
                <w:color w:val="auto"/>
                <w:sz w:val="21"/>
                <w:szCs w:val="21"/>
              </w:rPr>
              <w:t>事故发生后，未在10个工作日内提交审核通过的故障解决报告，每次扣10分，每超时1个自然日加扣1分，按次数累加</w:t>
            </w:r>
            <w:r>
              <w:rPr>
                <w:rStyle w:val="14"/>
                <w:rFonts w:hint="eastAsia" w:ascii="宋体" w:hAnsi="宋体" w:eastAsia="宋体" w:cs="宋体"/>
                <w:color w:val="auto"/>
                <w:sz w:val="21"/>
                <w:szCs w:val="21"/>
                <w:lang w:eastAsia="zh-CN"/>
              </w:rPr>
              <w:t>。</w:t>
            </w:r>
          </w:p>
        </w:tc>
        <w:tc>
          <w:tcPr>
            <w:tcW w:w="499" w:type="pct"/>
            <w:noWrap w:val="0"/>
            <w:vAlign w:val="center"/>
          </w:tcPr>
          <w:p w14:paraId="6BF97209">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588F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652" w:type="pct"/>
            <w:vMerge w:val="continue"/>
            <w:noWrap w:val="0"/>
            <w:vAlign w:val="center"/>
          </w:tcPr>
          <w:p w14:paraId="20B3B444">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6D8F7D77">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二级事故处置情况</w:t>
            </w:r>
          </w:p>
        </w:tc>
        <w:tc>
          <w:tcPr>
            <w:tcW w:w="1203" w:type="pct"/>
            <w:vMerge w:val="continue"/>
            <w:noWrap w:val="0"/>
            <w:vAlign w:val="center"/>
          </w:tcPr>
          <w:p w14:paraId="02D40CC5">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871" w:type="pct"/>
            <w:noWrap w:val="0"/>
            <w:vAlign w:val="center"/>
          </w:tcPr>
          <w:p w14:paraId="55545DB1">
            <w:pPr>
              <w:keepNext w:val="0"/>
              <w:keepLines w:val="0"/>
              <w:pageBreakBefore w:val="0"/>
              <w:numPr>
                <w:ilvl w:val="0"/>
                <w:numId w:val="0"/>
              </w:numPr>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1、</w:t>
            </w:r>
            <w:r>
              <w:rPr>
                <w:rStyle w:val="14"/>
                <w:rFonts w:hint="eastAsia" w:ascii="宋体" w:hAnsi="宋体" w:eastAsia="宋体" w:cs="宋体"/>
                <w:color w:val="auto"/>
                <w:sz w:val="21"/>
                <w:szCs w:val="21"/>
              </w:rPr>
              <w:t>紧急恢复业务后，未在4个小时内提交应急解决措施的，每次扣20分，每超时半小时加扣5分，按次数累加</w:t>
            </w:r>
            <w:r>
              <w:rPr>
                <w:rStyle w:val="14"/>
                <w:rFonts w:hint="eastAsia" w:ascii="宋体" w:hAnsi="宋体" w:eastAsia="宋体" w:cs="宋体"/>
                <w:color w:val="auto"/>
                <w:sz w:val="21"/>
                <w:szCs w:val="21"/>
                <w:lang w:eastAsia="zh-CN"/>
              </w:rPr>
              <w:t>；</w:t>
            </w:r>
          </w:p>
          <w:p w14:paraId="69E66D6A">
            <w:pPr>
              <w:keepNext w:val="0"/>
              <w:keepLines w:val="0"/>
              <w:pageBreakBefore w:val="0"/>
              <w:numPr>
                <w:ilvl w:val="0"/>
                <w:numId w:val="0"/>
              </w:numPr>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2、</w:t>
            </w:r>
            <w:r>
              <w:rPr>
                <w:rStyle w:val="14"/>
                <w:rFonts w:hint="eastAsia" w:ascii="宋体" w:hAnsi="宋体" w:eastAsia="宋体" w:cs="宋体"/>
                <w:color w:val="auto"/>
                <w:sz w:val="21"/>
                <w:szCs w:val="21"/>
              </w:rPr>
              <w:t>事故发生后，未在10个工作日内提交审核通过的故障解决报告，每次扣10分，每超时1个自然日加扣1分，按次数累加</w:t>
            </w:r>
            <w:r>
              <w:rPr>
                <w:rStyle w:val="14"/>
                <w:rFonts w:hint="eastAsia" w:ascii="宋体" w:hAnsi="宋体" w:eastAsia="宋体" w:cs="宋体"/>
                <w:color w:val="auto"/>
                <w:sz w:val="21"/>
                <w:szCs w:val="21"/>
                <w:lang w:eastAsia="zh-CN"/>
              </w:rPr>
              <w:t>。</w:t>
            </w:r>
          </w:p>
        </w:tc>
        <w:tc>
          <w:tcPr>
            <w:tcW w:w="499" w:type="pct"/>
            <w:noWrap w:val="0"/>
            <w:vAlign w:val="center"/>
          </w:tcPr>
          <w:p w14:paraId="2FDF7C58">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3FB2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652" w:type="pct"/>
            <w:vMerge w:val="continue"/>
            <w:noWrap w:val="0"/>
            <w:vAlign w:val="center"/>
          </w:tcPr>
          <w:p w14:paraId="2782A800">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72FEB208">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三级事故处置情况</w:t>
            </w:r>
          </w:p>
        </w:tc>
        <w:tc>
          <w:tcPr>
            <w:tcW w:w="1203" w:type="pct"/>
            <w:vMerge w:val="continue"/>
            <w:noWrap w:val="0"/>
            <w:vAlign w:val="center"/>
          </w:tcPr>
          <w:p w14:paraId="66EEB6B3">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871" w:type="pct"/>
            <w:noWrap w:val="0"/>
            <w:vAlign w:val="center"/>
          </w:tcPr>
          <w:p w14:paraId="409FC3ED">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事故发生后，未在10个工作日内提交审核通过的故障解决报告，每次扣10分，每超时1个自然日加扣1分，按次数累加</w:t>
            </w:r>
            <w:r>
              <w:rPr>
                <w:rStyle w:val="14"/>
                <w:rFonts w:hint="eastAsia" w:ascii="宋体" w:hAnsi="宋体" w:eastAsia="宋体" w:cs="宋体"/>
                <w:color w:val="auto"/>
                <w:sz w:val="21"/>
                <w:szCs w:val="21"/>
                <w:lang w:eastAsia="zh-CN"/>
              </w:rPr>
              <w:t>。</w:t>
            </w:r>
          </w:p>
        </w:tc>
        <w:tc>
          <w:tcPr>
            <w:tcW w:w="499" w:type="pct"/>
            <w:noWrap w:val="0"/>
            <w:vAlign w:val="center"/>
          </w:tcPr>
          <w:p w14:paraId="42EAB67C">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76AB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652" w:type="pct"/>
            <w:vMerge w:val="continue"/>
            <w:noWrap w:val="0"/>
            <w:vAlign w:val="center"/>
          </w:tcPr>
          <w:p w14:paraId="6CA0A6F9">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448F9811">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lang w:val="en-US" w:eastAsia="zh-CN"/>
              </w:rPr>
              <w:t>一般性事务响应程度</w:t>
            </w:r>
          </w:p>
        </w:tc>
        <w:tc>
          <w:tcPr>
            <w:tcW w:w="1203" w:type="pct"/>
            <w:noWrap w:val="0"/>
            <w:vAlign w:val="center"/>
          </w:tcPr>
          <w:p w14:paraId="66DB165E">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lang w:val="en-US" w:eastAsia="zh-CN"/>
              </w:rPr>
              <w:t>云服务商在招标文件、投标文件、合同之外的关于政务云日常运营运维工作中对云主管部门提出的一般性事务的响应程度</w:t>
            </w:r>
          </w:p>
        </w:tc>
        <w:tc>
          <w:tcPr>
            <w:tcW w:w="1871" w:type="pct"/>
            <w:noWrap w:val="0"/>
            <w:vAlign w:val="center"/>
          </w:tcPr>
          <w:p w14:paraId="639D7585">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lang w:val="en-US" w:eastAsia="zh-CN"/>
              </w:rPr>
              <w:t>以工单形式提交，工单逾期</w:t>
            </w:r>
            <w:r>
              <w:rPr>
                <w:rStyle w:val="14"/>
                <w:rFonts w:hint="eastAsia" w:ascii="宋体" w:hAnsi="宋体" w:eastAsia="宋体" w:cs="宋体"/>
                <w:color w:val="auto"/>
                <w:sz w:val="21"/>
                <w:szCs w:val="21"/>
              </w:rPr>
              <w:t>未满足，每次扣</w:t>
            </w:r>
            <w:r>
              <w:rPr>
                <w:rStyle w:val="14"/>
                <w:rFonts w:hint="eastAsia" w:ascii="宋体" w:hAnsi="宋体" w:eastAsia="宋体" w:cs="宋体"/>
                <w:color w:val="auto"/>
                <w:sz w:val="21"/>
                <w:szCs w:val="21"/>
                <w:lang w:val="en-US" w:eastAsia="zh-CN"/>
              </w:rPr>
              <w:t>5</w:t>
            </w:r>
            <w:r>
              <w:rPr>
                <w:rStyle w:val="14"/>
                <w:rFonts w:hint="eastAsia" w:ascii="宋体" w:hAnsi="宋体" w:eastAsia="宋体" w:cs="宋体"/>
                <w:color w:val="auto"/>
                <w:sz w:val="21"/>
                <w:szCs w:val="21"/>
              </w:rPr>
              <w:t>分，每逾期</w:t>
            </w:r>
            <w:r>
              <w:rPr>
                <w:rStyle w:val="14"/>
                <w:rFonts w:hint="eastAsia" w:ascii="宋体" w:hAnsi="宋体" w:eastAsia="宋体" w:cs="宋体"/>
                <w:color w:val="auto"/>
                <w:sz w:val="21"/>
                <w:szCs w:val="21"/>
                <w:lang w:val="en-US" w:eastAsia="zh-CN"/>
              </w:rPr>
              <w:t>3</w:t>
            </w:r>
            <w:r>
              <w:rPr>
                <w:rStyle w:val="14"/>
                <w:rFonts w:hint="eastAsia" w:ascii="宋体" w:hAnsi="宋体" w:eastAsia="宋体" w:cs="宋体"/>
                <w:color w:val="auto"/>
                <w:sz w:val="21"/>
                <w:szCs w:val="21"/>
              </w:rPr>
              <w:t>天，加扣</w:t>
            </w:r>
            <w:r>
              <w:rPr>
                <w:rStyle w:val="14"/>
                <w:rFonts w:hint="eastAsia" w:ascii="宋体" w:hAnsi="宋体" w:eastAsia="宋体" w:cs="宋体"/>
                <w:color w:val="auto"/>
                <w:sz w:val="21"/>
                <w:szCs w:val="21"/>
                <w:lang w:val="en-US" w:eastAsia="zh-CN"/>
              </w:rPr>
              <w:t>1</w:t>
            </w:r>
            <w:r>
              <w:rPr>
                <w:rStyle w:val="14"/>
                <w:rFonts w:hint="eastAsia" w:ascii="宋体" w:hAnsi="宋体" w:eastAsia="宋体" w:cs="宋体"/>
                <w:color w:val="auto"/>
                <w:sz w:val="21"/>
                <w:szCs w:val="21"/>
              </w:rPr>
              <w:t>分，按次数累加</w:t>
            </w:r>
            <w:r>
              <w:rPr>
                <w:rStyle w:val="14"/>
                <w:rFonts w:hint="eastAsia" w:ascii="宋体" w:hAnsi="宋体" w:eastAsia="宋体" w:cs="宋体"/>
                <w:color w:val="auto"/>
                <w:sz w:val="21"/>
                <w:szCs w:val="21"/>
                <w:lang w:eastAsia="zh-CN"/>
              </w:rPr>
              <w:t>。</w:t>
            </w:r>
          </w:p>
        </w:tc>
        <w:tc>
          <w:tcPr>
            <w:tcW w:w="499" w:type="pct"/>
            <w:noWrap w:val="0"/>
            <w:vAlign w:val="center"/>
          </w:tcPr>
          <w:p w14:paraId="2D335C23">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0C0F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2" w:type="pct"/>
            <w:vMerge w:val="continue"/>
            <w:noWrap w:val="0"/>
            <w:vAlign w:val="center"/>
          </w:tcPr>
          <w:p w14:paraId="24842E34">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772" w:type="pct"/>
            <w:noWrap w:val="0"/>
            <w:vAlign w:val="center"/>
          </w:tcPr>
          <w:p w14:paraId="236B8660">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资源交付执行程度</w:t>
            </w:r>
          </w:p>
        </w:tc>
        <w:tc>
          <w:tcPr>
            <w:tcW w:w="1203" w:type="pct"/>
            <w:noWrap w:val="0"/>
            <w:vAlign w:val="center"/>
          </w:tcPr>
          <w:p w14:paraId="5AA4D2BE">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云服务商未按照招标文件及合同规定的时限和要求完成政务云日常使用中的资源交付</w:t>
            </w:r>
          </w:p>
        </w:tc>
        <w:tc>
          <w:tcPr>
            <w:tcW w:w="1871" w:type="pct"/>
            <w:noWrap w:val="0"/>
            <w:vAlign w:val="center"/>
          </w:tcPr>
          <w:p w14:paraId="35170A81">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未满足，每次扣10分，每逾期1天，加扣2分，按次数累加</w:t>
            </w:r>
            <w:r>
              <w:rPr>
                <w:rStyle w:val="14"/>
                <w:rFonts w:hint="eastAsia" w:ascii="宋体" w:hAnsi="宋体" w:eastAsia="宋体" w:cs="宋体"/>
                <w:color w:val="auto"/>
                <w:sz w:val="21"/>
                <w:szCs w:val="21"/>
                <w:lang w:eastAsia="zh-CN"/>
              </w:rPr>
              <w:t>。</w:t>
            </w:r>
          </w:p>
        </w:tc>
        <w:tc>
          <w:tcPr>
            <w:tcW w:w="499" w:type="pct"/>
            <w:noWrap w:val="0"/>
            <w:vAlign w:val="center"/>
          </w:tcPr>
          <w:p w14:paraId="14A3045B">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7484B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noWrap w:val="0"/>
            <w:vAlign w:val="center"/>
          </w:tcPr>
          <w:p w14:paraId="5FBEFFC7">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服务质量</w:t>
            </w:r>
            <w:r>
              <w:rPr>
                <w:rStyle w:val="14"/>
                <w:rFonts w:hint="eastAsia" w:ascii="宋体" w:hAnsi="宋体" w:eastAsia="宋体" w:cs="宋体"/>
                <w:color w:val="auto"/>
                <w:sz w:val="21"/>
                <w:szCs w:val="21"/>
                <w:lang w:val="en-US" w:eastAsia="zh-CN"/>
              </w:rPr>
              <w:t>季度</w:t>
            </w:r>
            <w:r>
              <w:rPr>
                <w:rStyle w:val="14"/>
                <w:rFonts w:hint="eastAsia" w:ascii="宋体" w:hAnsi="宋体" w:eastAsia="宋体" w:cs="宋体"/>
                <w:color w:val="auto"/>
                <w:sz w:val="21"/>
                <w:szCs w:val="21"/>
              </w:rPr>
              <w:t>得分（满分100分）：</w:t>
            </w:r>
          </w:p>
        </w:tc>
      </w:tr>
      <w:tr w14:paraId="0A1F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5000" w:type="pct"/>
            <w:gridSpan w:val="5"/>
            <w:noWrap w:val="0"/>
            <w:vAlign w:val="center"/>
          </w:tcPr>
          <w:p w14:paraId="2B3DD260">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云主管部门意见：</w:t>
            </w:r>
          </w:p>
          <w:p w14:paraId="12BB253C">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p w14:paraId="591E8838">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p w14:paraId="7EF83A4A">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p w14:paraId="155BBB42">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eastAsia="zh-CN" w:bidi="ar"/>
              </w:rPr>
              <w:t>　　　　　　　　　　　　　　　　　　　　　　　　　　　</w:t>
            </w:r>
            <w:r>
              <w:rPr>
                <w:rStyle w:val="14"/>
                <w:rFonts w:hint="eastAsia" w:ascii="宋体" w:hAnsi="宋体" w:eastAsia="宋体" w:cs="宋体"/>
                <w:color w:val="auto"/>
                <w:kern w:val="0"/>
                <w:sz w:val="21"/>
                <w:szCs w:val="21"/>
                <w:lang w:bidi="ar"/>
              </w:rPr>
              <w:t>签章：</w:t>
            </w:r>
          </w:p>
          <w:p w14:paraId="36D722D0">
            <w:pPr>
              <w:keepNext w:val="0"/>
              <w:keepLines w:val="0"/>
              <w:pageBreakBefore w:val="0"/>
              <w:kinsoku/>
              <w:wordWrap w:val="0"/>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sz w:val="21"/>
                <w:szCs w:val="21"/>
                <w:lang w:val="en-US" w:eastAsia="zh-CN"/>
              </w:rPr>
            </w:pP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color w:val="auto"/>
                <w:kern w:val="0"/>
                <w:sz w:val="21"/>
                <w:szCs w:val="21"/>
                <w:lang w:eastAsia="zh-CN" w:bidi="ar"/>
              </w:rPr>
              <w:t>　　　　　　　</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年</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月</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日</w:t>
            </w:r>
          </w:p>
        </w:tc>
      </w:tr>
    </w:tbl>
    <w:p w14:paraId="243090B3">
      <w:pPr>
        <w:ind w:left="0" w:leftChars="0" w:firstLine="0" w:firstLineChars="0"/>
        <w:rPr>
          <w:rStyle w:val="14"/>
          <w:rFonts w:hint="eastAsia" w:ascii="宋体" w:hAnsi="宋体" w:eastAsia="宋体" w:cs="宋体"/>
          <w:iCs/>
          <w:color w:val="auto"/>
          <w:sz w:val="21"/>
          <w:szCs w:val="21"/>
        </w:rPr>
      </w:pPr>
      <w:r>
        <w:rPr>
          <w:rStyle w:val="14"/>
          <w:rFonts w:hint="eastAsia" w:ascii="宋体" w:hAnsi="宋体" w:eastAsia="宋体" w:cs="宋体"/>
          <w:iCs/>
          <w:color w:val="auto"/>
          <w:sz w:val="21"/>
          <w:szCs w:val="21"/>
        </w:rPr>
        <w:br w:type="page"/>
      </w:r>
    </w:p>
    <w:p w14:paraId="66828DCC">
      <w:pPr>
        <w:pStyle w:val="10"/>
        <w:keepNext w:val="0"/>
        <w:keepLines w:val="0"/>
        <w:pageBreakBefore w:val="0"/>
        <w:widowControl/>
        <w:kinsoku/>
        <w:wordWrap/>
        <w:overflowPunct/>
        <w:topLinePunct w:val="0"/>
        <w:autoSpaceDE/>
        <w:autoSpaceDN/>
        <w:bidi w:val="0"/>
        <w:adjustRightInd/>
        <w:snapToGrid w:val="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表4 服务质量年度考核表</w:t>
      </w:r>
    </w:p>
    <w:tbl>
      <w:tblPr>
        <w:tblStyle w:val="1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5"/>
        <w:gridCol w:w="2040"/>
        <w:gridCol w:w="2609"/>
        <w:gridCol w:w="1841"/>
      </w:tblGrid>
      <w:tr w14:paraId="01B9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189" w:type="pct"/>
            <w:noWrap/>
            <w:vAlign w:val="center"/>
          </w:tcPr>
          <w:p w14:paraId="46A20048">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云服务商</w:t>
            </w:r>
          </w:p>
        </w:tc>
        <w:tc>
          <w:tcPr>
            <w:tcW w:w="1198" w:type="pct"/>
            <w:noWrap/>
            <w:vAlign w:val="center"/>
          </w:tcPr>
          <w:p w14:paraId="58C61A6B">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lang w:val="en-US" w:eastAsia="zh-CN"/>
              </w:rPr>
              <w:t>季度</w:t>
            </w:r>
          </w:p>
        </w:tc>
        <w:tc>
          <w:tcPr>
            <w:tcW w:w="1532" w:type="pct"/>
            <w:noWrap w:val="0"/>
            <w:vAlign w:val="center"/>
          </w:tcPr>
          <w:p w14:paraId="243AB507">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服务质量</w:t>
            </w:r>
            <w:r>
              <w:rPr>
                <w:rStyle w:val="14"/>
                <w:rFonts w:hint="eastAsia" w:ascii="宋体" w:hAnsi="宋体" w:eastAsia="宋体" w:cs="宋体"/>
                <w:color w:val="auto"/>
                <w:sz w:val="21"/>
                <w:szCs w:val="21"/>
                <w:lang w:val="en-US" w:eastAsia="zh-CN"/>
              </w:rPr>
              <w:t>季度</w:t>
            </w:r>
            <w:r>
              <w:rPr>
                <w:rStyle w:val="14"/>
                <w:rFonts w:hint="eastAsia" w:ascii="宋体" w:hAnsi="宋体" w:eastAsia="宋体" w:cs="宋体"/>
                <w:color w:val="auto"/>
                <w:sz w:val="21"/>
                <w:szCs w:val="21"/>
              </w:rPr>
              <w:t>得分</w:t>
            </w:r>
          </w:p>
        </w:tc>
        <w:tc>
          <w:tcPr>
            <w:tcW w:w="1079" w:type="pct"/>
            <w:noWrap/>
            <w:vAlign w:val="center"/>
          </w:tcPr>
          <w:p w14:paraId="1FD69D05">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备注</w:t>
            </w:r>
          </w:p>
        </w:tc>
      </w:tr>
      <w:tr w14:paraId="503F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189" w:type="pct"/>
            <w:noWrap/>
            <w:vAlign w:val="center"/>
          </w:tcPr>
          <w:p w14:paraId="4069DDA1">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198" w:type="pct"/>
            <w:noWrap/>
            <w:vAlign w:val="center"/>
          </w:tcPr>
          <w:p w14:paraId="5758A610">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532" w:type="pct"/>
            <w:noWrap w:val="0"/>
            <w:vAlign w:val="center"/>
          </w:tcPr>
          <w:p w14:paraId="40E6B896">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079" w:type="pct"/>
            <w:noWrap/>
            <w:vAlign w:val="center"/>
          </w:tcPr>
          <w:p w14:paraId="2ED4A05A">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4CDB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189" w:type="pct"/>
            <w:noWrap/>
            <w:vAlign w:val="center"/>
          </w:tcPr>
          <w:p w14:paraId="73F973CD">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198" w:type="pct"/>
            <w:noWrap/>
            <w:vAlign w:val="center"/>
          </w:tcPr>
          <w:p w14:paraId="7136925B">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532" w:type="pct"/>
            <w:noWrap w:val="0"/>
            <w:vAlign w:val="center"/>
          </w:tcPr>
          <w:p w14:paraId="4A4BD2B6">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c>
          <w:tcPr>
            <w:tcW w:w="1079" w:type="pct"/>
            <w:noWrap/>
            <w:vAlign w:val="center"/>
          </w:tcPr>
          <w:p w14:paraId="57EB3E38">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tc>
      </w:tr>
      <w:tr w14:paraId="58C8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000" w:type="pct"/>
            <w:gridSpan w:val="4"/>
            <w:noWrap w:val="0"/>
            <w:vAlign w:val="center"/>
          </w:tcPr>
          <w:p w14:paraId="1F966E33">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服务质量年度得分：</w:t>
            </w:r>
          </w:p>
        </w:tc>
      </w:tr>
      <w:tr w14:paraId="04E2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000" w:type="pct"/>
            <w:gridSpan w:val="4"/>
            <w:noWrap w:val="0"/>
            <w:vAlign w:val="center"/>
          </w:tcPr>
          <w:p w14:paraId="5030DC42">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服务质量年度考核系数：</w:t>
            </w:r>
          </w:p>
        </w:tc>
      </w:tr>
      <w:tr w14:paraId="5900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trPr>
        <w:tc>
          <w:tcPr>
            <w:tcW w:w="5000" w:type="pct"/>
            <w:gridSpan w:val="4"/>
            <w:noWrap w:val="0"/>
            <w:vAlign w:val="center"/>
          </w:tcPr>
          <w:p w14:paraId="42805150">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备注：</w:t>
            </w:r>
          </w:p>
          <w:p w14:paraId="0A3A22FF">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1、服务质量年度得分在服务周期结束时进行计算，取各</w:t>
            </w:r>
            <w:r>
              <w:rPr>
                <w:rStyle w:val="14"/>
                <w:rFonts w:hint="eastAsia" w:ascii="宋体" w:hAnsi="宋体" w:eastAsia="宋体" w:cs="宋体"/>
                <w:color w:val="auto"/>
                <w:sz w:val="21"/>
                <w:szCs w:val="21"/>
                <w:lang w:val="en-US" w:eastAsia="zh-CN"/>
              </w:rPr>
              <w:t>季度</w:t>
            </w:r>
            <w:r>
              <w:rPr>
                <w:rStyle w:val="14"/>
                <w:rFonts w:hint="eastAsia" w:ascii="宋体" w:hAnsi="宋体" w:eastAsia="宋体" w:cs="宋体"/>
                <w:color w:val="auto"/>
                <w:sz w:val="21"/>
                <w:szCs w:val="21"/>
              </w:rPr>
              <w:t>服务质量得分的平均分作为服务质量年度得分</w:t>
            </w:r>
            <w:r>
              <w:rPr>
                <w:rStyle w:val="14"/>
                <w:rFonts w:hint="eastAsia" w:ascii="宋体" w:hAnsi="宋体" w:eastAsia="宋体" w:cs="宋体"/>
                <w:color w:val="auto"/>
                <w:sz w:val="21"/>
                <w:szCs w:val="21"/>
                <w:lang w:eastAsia="zh-CN"/>
              </w:rPr>
              <w:t>；</w:t>
            </w:r>
          </w:p>
          <w:p w14:paraId="0D0A1342">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2、服务质量年度考核系数在服务周期结束时进行计算，并取服务质量年度得分按照评分换算规则进行换算</w:t>
            </w:r>
            <w:r>
              <w:rPr>
                <w:rStyle w:val="14"/>
                <w:rFonts w:hint="eastAsia" w:ascii="宋体" w:hAnsi="宋体" w:eastAsia="宋体" w:cs="宋体"/>
                <w:color w:val="auto"/>
                <w:sz w:val="21"/>
                <w:szCs w:val="21"/>
                <w:lang w:eastAsia="zh-CN"/>
              </w:rPr>
              <w:t>；</w:t>
            </w:r>
          </w:p>
          <w:p w14:paraId="48955DC5">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3、评分换算规则：</w:t>
            </w:r>
          </w:p>
          <w:p w14:paraId="2E9880CF">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90＜得分≤100，服务质量年度考核系数取1</w:t>
            </w:r>
          </w:p>
          <w:p w14:paraId="6E215136">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80＜得分≤90，服务质量年度考核系数取0.8</w:t>
            </w:r>
          </w:p>
          <w:p w14:paraId="1F5A9B24">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70＜得分≤80，服务质量年度考核系数取0.5</w:t>
            </w:r>
          </w:p>
          <w:p w14:paraId="01860623">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得分≤70，服务质量年度考核系数取0</w:t>
            </w:r>
            <w:r>
              <w:rPr>
                <w:rStyle w:val="14"/>
                <w:rFonts w:hint="eastAsia" w:ascii="宋体" w:hAnsi="宋体" w:eastAsia="宋体" w:cs="宋体"/>
                <w:color w:val="auto"/>
                <w:sz w:val="21"/>
                <w:szCs w:val="21"/>
                <w:lang w:eastAsia="zh-CN"/>
              </w:rPr>
              <w:t>。</w:t>
            </w:r>
          </w:p>
        </w:tc>
      </w:tr>
      <w:tr w14:paraId="2A28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5000" w:type="pct"/>
            <w:gridSpan w:val="4"/>
            <w:noWrap w:val="0"/>
            <w:vAlign w:val="center"/>
          </w:tcPr>
          <w:p w14:paraId="33EA4F83">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云</w:t>
            </w:r>
            <w:r>
              <w:rPr>
                <w:rStyle w:val="14"/>
                <w:rFonts w:hint="eastAsia" w:ascii="宋体" w:hAnsi="宋体" w:eastAsia="宋体" w:cs="宋体"/>
                <w:color w:val="auto"/>
                <w:sz w:val="21"/>
                <w:szCs w:val="21"/>
                <w:lang w:val="en-US" w:eastAsia="zh-CN"/>
              </w:rPr>
              <w:t>主管</w:t>
            </w:r>
            <w:r>
              <w:rPr>
                <w:rStyle w:val="14"/>
                <w:rFonts w:hint="eastAsia" w:ascii="宋体" w:hAnsi="宋体" w:eastAsia="宋体" w:cs="宋体"/>
                <w:color w:val="auto"/>
                <w:sz w:val="21"/>
                <w:szCs w:val="21"/>
              </w:rPr>
              <w:t>部门意见：</w:t>
            </w:r>
          </w:p>
          <w:p w14:paraId="242537F4">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p w14:paraId="258A1F48">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p w14:paraId="2E9330D1">
            <w:pPr>
              <w:keepNext w:val="0"/>
              <w:keepLines w:val="0"/>
              <w:pageBreakBefore w:val="0"/>
              <w:kinsoku/>
              <w:overflowPunct/>
              <w:topLinePunct w:val="0"/>
              <w:autoSpaceDE/>
              <w:autoSpaceDN/>
              <w:bidi w:val="0"/>
              <w:adjustRightInd/>
              <w:snapToGrid w:val="0"/>
              <w:spacing w:line="240" w:lineRule="auto"/>
              <w:ind w:firstLine="0" w:firstLineChars="0"/>
              <w:rPr>
                <w:rStyle w:val="14"/>
                <w:rFonts w:hint="eastAsia" w:ascii="宋体" w:hAnsi="宋体" w:eastAsia="宋体" w:cs="宋体"/>
                <w:color w:val="auto"/>
                <w:sz w:val="21"/>
                <w:szCs w:val="21"/>
              </w:rPr>
            </w:pPr>
          </w:p>
          <w:p w14:paraId="7425B97A">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textAlignment w:val="auto"/>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eastAsia="zh-CN" w:bidi="ar"/>
              </w:rPr>
              <w:t>　　　　　　　　　　　　　　　　　　　　　　　　　　　</w:t>
            </w:r>
            <w:r>
              <w:rPr>
                <w:rStyle w:val="14"/>
                <w:rFonts w:hint="eastAsia" w:ascii="宋体" w:hAnsi="宋体" w:eastAsia="宋体" w:cs="宋体"/>
                <w:color w:val="auto"/>
                <w:kern w:val="0"/>
                <w:sz w:val="21"/>
                <w:szCs w:val="21"/>
                <w:lang w:bidi="ar"/>
              </w:rPr>
              <w:t>签章：</w:t>
            </w:r>
          </w:p>
          <w:p w14:paraId="039B28D0">
            <w:pPr>
              <w:keepNext w:val="0"/>
              <w:keepLines w:val="0"/>
              <w:pageBreakBefore w:val="0"/>
              <w:kinsoku/>
              <w:wordWrap w:val="0"/>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lang w:val="en-US" w:eastAsia="zh-CN"/>
              </w:rPr>
            </w:pP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color w:val="auto"/>
                <w:kern w:val="0"/>
                <w:sz w:val="21"/>
                <w:szCs w:val="21"/>
                <w:lang w:eastAsia="zh-CN" w:bidi="ar"/>
              </w:rPr>
              <w:t>　　　　　　　</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年</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月</w:t>
            </w:r>
            <w:r>
              <w:rPr>
                <w:rStyle w:val="14"/>
                <w:rFonts w:hint="eastAsia" w:ascii="宋体" w:hAnsi="宋体" w:eastAsia="宋体" w:cs="宋体"/>
                <w:smallCaps w:val="0"/>
                <w:color w:val="auto"/>
                <w:kern w:val="0"/>
                <w:sz w:val="21"/>
                <w:szCs w:val="21"/>
                <w:lang w:eastAsia="zh-CN" w:bidi="ar"/>
              </w:rPr>
              <w:t>　　</w:t>
            </w:r>
            <w:r>
              <w:rPr>
                <w:rStyle w:val="14"/>
                <w:rFonts w:hint="eastAsia" w:ascii="宋体" w:hAnsi="宋体" w:eastAsia="宋体" w:cs="宋体"/>
                <w:smallCaps w:val="0"/>
                <w:color w:val="auto"/>
                <w:kern w:val="0"/>
                <w:sz w:val="21"/>
                <w:szCs w:val="21"/>
                <w:lang w:bidi="ar"/>
              </w:rPr>
              <w:t>日</w:t>
            </w:r>
          </w:p>
        </w:tc>
      </w:tr>
    </w:tbl>
    <w:p w14:paraId="00A5727D">
      <w:pPr>
        <w:ind w:left="0" w:leftChars="0" w:firstLine="0" w:firstLineChars="0"/>
        <w:rPr>
          <w:rStyle w:val="14"/>
          <w:rFonts w:hint="eastAsia" w:ascii="宋体" w:hAnsi="宋体" w:eastAsia="宋体" w:cs="宋体"/>
          <w:color w:val="auto"/>
          <w:kern w:val="0"/>
          <w:sz w:val="21"/>
          <w:szCs w:val="21"/>
          <w:lang w:bidi="ar"/>
        </w:rPr>
      </w:pPr>
      <w:r>
        <w:rPr>
          <w:rStyle w:val="14"/>
          <w:rFonts w:hint="eastAsia" w:ascii="宋体" w:hAnsi="宋体" w:eastAsia="宋体" w:cs="宋体"/>
          <w:color w:val="auto"/>
          <w:kern w:val="0"/>
          <w:sz w:val="21"/>
          <w:szCs w:val="21"/>
          <w:lang w:bidi="ar"/>
        </w:rPr>
        <w:br w:type="page"/>
      </w:r>
    </w:p>
    <w:p w14:paraId="6ADC4A3A">
      <w:pPr>
        <w:pStyle w:val="10"/>
        <w:keepNext w:val="0"/>
        <w:keepLines w:val="0"/>
        <w:pageBreakBefore w:val="0"/>
        <w:widowControl/>
        <w:kinsoku/>
        <w:wordWrap/>
        <w:overflowPunct/>
        <w:topLinePunct w:val="0"/>
        <w:autoSpaceDE/>
        <w:autoSpaceDN/>
        <w:bidi w:val="0"/>
        <w:adjustRightInd/>
        <w:snapToGrid w:val="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表5 服务满意度年度评价表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8"/>
        <w:gridCol w:w="4532"/>
        <w:gridCol w:w="1165"/>
        <w:gridCol w:w="1117"/>
      </w:tblGrid>
      <w:tr w14:paraId="7538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799" w:type="dxa"/>
            <w:noWrap w:val="0"/>
            <w:vAlign w:val="center"/>
          </w:tcPr>
          <w:p w14:paraId="71D53E67">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一级指标</w:t>
            </w:r>
          </w:p>
        </w:tc>
        <w:tc>
          <w:tcPr>
            <w:tcW w:w="4860" w:type="dxa"/>
            <w:noWrap w:val="0"/>
            <w:vAlign w:val="center"/>
          </w:tcPr>
          <w:p w14:paraId="6E6FBF41">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指标项描述</w:t>
            </w:r>
          </w:p>
        </w:tc>
        <w:tc>
          <w:tcPr>
            <w:tcW w:w="1227" w:type="dxa"/>
            <w:noWrap w:val="0"/>
            <w:vAlign w:val="center"/>
          </w:tcPr>
          <w:p w14:paraId="38D2D9E7">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得分</w:t>
            </w:r>
          </w:p>
        </w:tc>
        <w:tc>
          <w:tcPr>
            <w:tcW w:w="1175" w:type="dxa"/>
            <w:noWrap w:val="0"/>
            <w:vAlign w:val="center"/>
          </w:tcPr>
          <w:p w14:paraId="1CB518EF">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备注</w:t>
            </w:r>
          </w:p>
        </w:tc>
      </w:tr>
      <w:tr w14:paraId="2DC5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799" w:type="dxa"/>
            <w:vMerge w:val="restart"/>
            <w:noWrap w:val="0"/>
            <w:vAlign w:val="center"/>
          </w:tcPr>
          <w:p w14:paraId="0A112470">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rPr>
              <w:t>服务</w:t>
            </w:r>
            <w:r>
              <w:rPr>
                <w:rStyle w:val="14"/>
                <w:rFonts w:hint="eastAsia" w:ascii="宋体" w:hAnsi="宋体" w:eastAsia="宋体" w:cs="宋体"/>
                <w:color w:val="auto"/>
                <w:sz w:val="21"/>
                <w:szCs w:val="21"/>
                <w:lang w:val="en-US" w:eastAsia="zh-CN"/>
              </w:rPr>
              <w:t>能力</w:t>
            </w:r>
          </w:p>
          <w:p w14:paraId="24D47251">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lang w:val="en-US" w:eastAsia="zh-CN"/>
              </w:rPr>
              <w:t>（70分）</w:t>
            </w:r>
          </w:p>
        </w:tc>
        <w:tc>
          <w:tcPr>
            <w:tcW w:w="4860" w:type="dxa"/>
            <w:noWrap w:val="0"/>
            <w:vAlign w:val="center"/>
          </w:tcPr>
          <w:p w14:paraId="7B8C008A">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对云</w:t>
            </w:r>
            <w:r>
              <w:rPr>
                <w:rStyle w:val="14"/>
                <w:rFonts w:hint="eastAsia" w:ascii="宋体" w:hAnsi="宋体" w:eastAsia="宋体" w:cs="宋体"/>
                <w:color w:val="auto"/>
                <w:sz w:val="21"/>
                <w:szCs w:val="21"/>
                <w:lang w:val="en-US" w:eastAsia="zh-CN"/>
              </w:rPr>
              <w:t>服务商所提供云服务可用性、</w:t>
            </w:r>
            <w:r>
              <w:rPr>
                <w:rStyle w:val="14"/>
                <w:rFonts w:hint="eastAsia" w:ascii="宋体" w:hAnsi="宋体" w:eastAsia="宋体" w:cs="宋体"/>
                <w:color w:val="auto"/>
                <w:sz w:val="21"/>
                <w:szCs w:val="21"/>
              </w:rPr>
              <w:t>稳定性的</w:t>
            </w:r>
            <w:r>
              <w:rPr>
                <w:rStyle w:val="14"/>
                <w:rFonts w:hint="eastAsia" w:ascii="宋体" w:hAnsi="宋体" w:eastAsia="宋体" w:cs="宋体"/>
                <w:color w:val="auto"/>
                <w:sz w:val="21"/>
                <w:szCs w:val="21"/>
                <w:lang w:val="en-US" w:eastAsia="zh-CN"/>
              </w:rPr>
              <w:t>评价</w:t>
            </w:r>
            <w:r>
              <w:rPr>
                <w:rStyle w:val="14"/>
                <w:rFonts w:hint="eastAsia" w:ascii="宋体" w:hAnsi="宋体" w:eastAsia="宋体" w:cs="宋体"/>
                <w:color w:val="auto"/>
                <w:sz w:val="21"/>
                <w:szCs w:val="21"/>
              </w:rPr>
              <w:t>（</w:t>
            </w:r>
            <w:r>
              <w:rPr>
                <w:rStyle w:val="14"/>
                <w:rFonts w:hint="eastAsia" w:ascii="宋体" w:hAnsi="宋体" w:eastAsia="宋体" w:cs="宋体"/>
                <w:color w:val="auto"/>
                <w:sz w:val="21"/>
                <w:szCs w:val="21"/>
                <w:lang w:val="en-US" w:eastAsia="zh-CN"/>
              </w:rPr>
              <w:t>30</w:t>
            </w:r>
            <w:r>
              <w:rPr>
                <w:rStyle w:val="14"/>
                <w:rFonts w:hint="eastAsia" w:ascii="宋体" w:hAnsi="宋体" w:eastAsia="宋体" w:cs="宋体"/>
                <w:color w:val="auto"/>
                <w:sz w:val="21"/>
                <w:szCs w:val="21"/>
              </w:rPr>
              <w:t>分）</w:t>
            </w:r>
          </w:p>
        </w:tc>
        <w:tc>
          <w:tcPr>
            <w:tcW w:w="1227" w:type="dxa"/>
            <w:noWrap w:val="0"/>
            <w:vAlign w:val="center"/>
          </w:tcPr>
          <w:p w14:paraId="7267B6B7">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1175" w:type="dxa"/>
            <w:noWrap w:val="0"/>
            <w:vAlign w:val="center"/>
          </w:tcPr>
          <w:p w14:paraId="41807CAA">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r>
      <w:tr w14:paraId="308A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799" w:type="dxa"/>
            <w:vMerge w:val="continue"/>
            <w:noWrap w:val="0"/>
            <w:vAlign w:val="center"/>
          </w:tcPr>
          <w:p w14:paraId="1E8E9B4F">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p>
        </w:tc>
        <w:tc>
          <w:tcPr>
            <w:tcW w:w="4860" w:type="dxa"/>
            <w:noWrap w:val="0"/>
            <w:vAlign w:val="center"/>
          </w:tcPr>
          <w:p w14:paraId="714AA922">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lang w:val="en-US" w:eastAsia="zh-CN"/>
              </w:rPr>
              <w:t>对云服务商所提供云平台的可用性、稳定性的评价（10分）</w:t>
            </w:r>
          </w:p>
        </w:tc>
        <w:tc>
          <w:tcPr>
            <w:tcW w:w="1227" w:type="dxa"/>
            <w:noWrap w:val="0"/>
            <w:vAlign w:val="center"/>
          </w:tcPr>
          <w:p w14:paraId="1037A204">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1175" w:type="dxa"/>
            <w:noWrap w:val="0"/>
            <w:vAlign w:val="center"/>
          </w:tcPr>
          <w:p w14:paraId="7A689DB2">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r>
      <w:tr w14:paraId="016F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799" w:type="dxa"/>
            <w:vMerge w:val="continue"/>
            <w:noWrap w:val="0"/>
            <w:vAlign w:val="center"/>
          </w:tcPr>
          <w:p w14:paraId="089BA3B1">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p>
        </w:tc>
        <w:tc>
          <w:tcPr>
            <w:tcW w:w="4860" w:type="dxa"/>
            <w:noWrap w:val="0"/>
            <w:vAlign w:val="center"/>
          </w:tcPr>
          <w:p w14:paraId="52EF7186">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lang w:val="en-US" w:eastAsia="zh-CN"/>
              </w:rPr>
              <w:t>对云服务商提供的技术支持、解决方案、事故处置结果的评价（30分）</w:t>
            </w:r>
          </w:p>
        </w:tc>
        <w:tc>
          <w:tcPr>
            <w:tcW w:w="1227" w:type="dxa"/>
            <w:noWrap w:val="0"/>
            <w:vAlign w:val="center"/>
          </w:tcPr>
          <w:p w14:paraId="7357E73A">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1175" w:type="dxa"/>
            <w:noWrap w:val="0"/>
            <w:vAlign w:val="center"/>
          </w:tcPr>
          <w:p w14:paraId="0A5A5DE4">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r>
      <w:tr w14:paraId="6077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799" w:type="dxa"/>
            <w:vMerge w:val="restart"/>
            <w:noWrap w:val="0"/>
            <w:vAlign w:val="center"/>
          </w:tcPr>
          <w:p w14:paraId="7711664D">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lang w:val="en-US" w:eastAsia="zh-CN"/>
              </w:rPr>
            </w:pPr>
            <w:r>
              <w:rPr>
                <w:rStyle w:val="14"/>
                <w:rFonts w:hint="eastAsia" w:ascii="宋体" w:hAnsi="宋体" w:eastAsia="宋体" w:cs="宋体"/>
                <w:color w:val="auto"/>
                <w:sz w:val="21"/>
                <w:szCs w:val="21"/>
                <w:lang w:val="en-US" w:eastAsia="zh-CN"/>
              </w:rPr>
              <w:t>服务时效</w:t>
            </w:r>
          </w:p>
          <w:p w14:paraId="7C932247">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lang w:val="en-US" w:eastAsia="zh-CN"/>
              </w:rPr>
              <w:t>（30分）</w:t>
            </w:r>
          </w:p>
        </w:tc>
        <w:tc>
          <w:tcPr>
            <w:tcW w:w="4860" w:type="dxa"/>
            <w:noWrap w:val="0"/>
            <w:vAlign w:val="center"/>
          </w:tcPr>
          <w:p w14:paraId="4C8D3B06">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lang w:val="en-US" w:eastAsia="zh-CN"/>
              </w:rPr>
              <w:t>对云服务商资源交付及时性和准确性的评价（10分）</w:t>
            </w:r>
          </w:p>
        </w:tc>
        <w:tc>
          <w:tcPr>
            <w:tcW w:w="1227" w:type="dxa"/>
            <w:noWrap w:val="0"/>
            <w:vAlign w:val="center"/>
          </w:tcPr>
          <w:p w14:paraId="461409A0">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1175" w:type="dxa"/>
            <w:noWrap w:val="0"/>
            <w:vAlign w:val="center"/>
          </w:tcPr>
          <w:p w14:paraId="043E59D4">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r>
      <w:tr w14:paraId="0859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799" w:type="dxa"/>
            <w:vMerge w:val="continue"/>
            <w:noWrap w:val="0"/>
            <w:vAlign w:val="center"/>
          </w:tcPr>
          <w:p w14:paraId="7548AD05">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p>
        </w:tc>
        <w:tc>
          <w:tcPr>
            <w:tcW w:w="4860" w:type="dxa"/>
            <w:noWrap w:val="0"/>
            <w:vAlign w:val="center"/>
          </w:tcPr>
          <w:p w14:paraId="35C1A1CD">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对云服务商响应服务请求的时效性的</w:t>
            </w:r>
            <w:r>
              <w:rPr>
                <w:rStyle w:val="14"/>
                <w:rFonts w:hint="eastAsia" w:ascii="宋体" w:hAnsi="宋体" w:eastAsia="宋体" w:cs="宋体"/>
                <w:color w:val="auto"/>
                <w:sz w:val="21"/>
                <w:szCs w:val="21"/>
                <w:lang w:val="en-US" w:eastAsia="zh-CN"/>
              </w:rPr>
              <w:t>评价</w:t>
            </w:r>
            <w:r>
              <w:rPr>
                <w:rStyle w:val="14"/>
                <w:rFonts w:hint="eastAsia" w:ascii="宋体" w:hAnsi="宋体" w:eastAsia="宋体" w:cs="宋体"/>
                <w:color w:val="auto"/>
                <w:sz w:val="21"/>
                <w:szCs w:val="21"/>
              </w:rPr>
              <w:t>（</w:t>
            </w:r>
            <w:r>
              <w:rPr>
                <w:rStyle w:val="14"/>
                <w:rFonts w:hint="eastAsia" w:ascii="宋体" w:hAnsi="宋体" w:eastAsia="宋体" w:cs="宋体"/>
                <w:color w:val="auto"/>
                <w:sz w:val="21"/>
                <w:szCs w:val="21"/>
                <w:lang w:val="en-US" w:eastAsia="zh-CN"/>
              </w:rPr>
              <w:t>10</w:t>
            </w:r>
            <w:r>
              <w:rPr>
                <w:rStyle w:val="14"/>
                <w:rFonts w:hint="eastAsia" w:ascii="宋体" w:hAnsi="宋体" w:eastAsia="宋体" w:cs="宋体"/>
                <w:color w:val="auto"/>
                <w:sz w:val="21"/>
                <w:szCs w:val="21"/>
              </w:rPr>
              <w:t>分）</w:t>
            </w:r>
          </w:p>
        </w:tc>
        <w:tc>
          <w:tcPr>
            <w:tcW w:w="1227" w:type="dxa"/>
            <w:noWrap w:val="0"/>
            <w:vAlign w:val="center"/>
          </w:tcPr>
          <w:p w14:paraId="638B977F">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1175" w:type="dxa"/>
            <w:noWrap w:val="0"/>
            <w:vAlign w:val="center"/>
          </w:tcPr>
          <w:p w14:paraId="17AAEBB4">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r>
      <w:tr w14:paraId="4C8E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799" w:type="dxa"/>
            <w:vMerge w:val="continue"/>
            <w:noWrap w:val="0"/>
            <w:vAlign w:val="center"/>
          </w:tcPr>
          <w:p w14:paraId="49D0956A">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p>
        </w:tc>
        <w:tc>
          <w:tcPr>
            <w:tcW w:w="4860" w:type="dxa"/>
            <w:noWrap w:val="0"/>
            <w:vAlign w:val="center"/>
          </w:tcPr>
          <w:p w14:paraId="06BB0F27">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对云服务商</w:t>
            </w:r>
            <w:r>
              <w:rPr>
                <w:rStyle w:val="14"/>
                <w:rFonts w:hint="eastAsia" w:ascii="宋体" w:hAnsi="宋体" w:eastAsia="宋体" w:cs="宋体"/>
                <w:color w:val="auto"/>
                <w:sz w:val="21"/>
                <w:szCs w:val="21"/>
                <w:lang w:val="en-US" w:eastAsia="zh-CN"/>
              </w:rPr>
              <w:t>事故处置、问题处理</w:t>
            </w:r>
            <w:r>
              <w:rPr>
                <w:rStyle w:val="14"/>
                <w:rFonts w:hint="eastAsia" w:ascii="宋体" w:hAnsi="宋体" w:eastAsia="宋体" w:cs="宋体"/>
                <w:color w:val="auto"/>
                <w:sz w:val="21"/>
                <w:szCs w:val="21"/>
              </w:rPr>
              <w:t>时效性的</w:t>
            </w:r>
            <w:r>
              <w:rPr>
                <w:rStyle w:val="14"/>
                <w:rFonts w:hint="eastAsia" w:ascii="宋体" w:hAnsi="宋体" w:eastAsia="宋体" w:cs="宋体"/>
                <w:color w:val="auto"/>
                <w:sz w:val="21"/>
                <w:szCs w:val="21"/>
                <w:lang w:val="en-US" w:eastAsia="zh-CN"/>
              </w:rPr>
              <w:t>评价</w:t>
            </w:r>
            <w:r>
              <w:rPr>
                <w:rStyle w:val="14"/>
                <w:rFonts w:hint="eastAsia" w:ascii="宋体" w:hAnsi="宋体" w:eastAsia="宋体" w:cs="宋体"/>
                <w:color w:val="auto"/>
                <w:sz w:val="21"/>
                <w:szCs w:val="21"/>
              </w:rPr>
              <w:t>（</w:t>
            </w:r>
            <w:r>
              <w:rPr>
                <w:rStyle w:val="14"/>
                <w:rFonts w:hint="eastAsia" w:ascii="宋体" w:hAnsi="宋体" w:eastAsia="宋体" w:cs="宋体"/>
                <w:color w:val="auto"/>
                <w:sz w:val="21"/>
                <w:szCs w:val="21"/>
                <w:lang w:val="en-US" w:eastAsia="zh-CN"/>
              </w:rPr>
              <w:t>10</w:t>
            </w:r>
            <w:r>
              <w:rPr>
                <w:rStyle w:val="14"/>
                <w:rFonts w:hint="eastAsia" w:ascii="宋体" w:hAnsi="宋体" w:eastAsia="宋体" w:cs="宋体"/>
                <w:color w:val="auto"/>
                <w:sz w:val="21"/>
                <w:szCs w:val="21"/>
              </w:rPr>
              <w:t>分）</w:t>
            </w:r>
          </w:p>
        </w:tc>
        <w:tc>
          <w:tcPr>
            <w:tcW w:w="1227" w:type="dxa"/>
            <w:noWrap w:val="0"/>
            <w:vAlign w:val="center"/>
          </w:tcPr>
          <w:p w14:paraId="7EDBD667">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c>
          <w:tcPr>
            <w:tcW w:w="1175" w:type="dxa"/>
            <w:noWrap w:val="0"/>
            <w:vAlign w:val="center"/>
          </w:tcPr>
          <w:p w14:paraId="6319F139">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r>
      <w:tr w14:paraId="40A6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799" w:type="dxa"/>
            <w:noWrap w:val="0"/>
            <w:vAlign w:val="center"/>
          </w:tcPr>
          <w:p w14:paraId="1AC2BDD5">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服务满意度</w:t>
            </w:r>
          </w:p>
          <w:p w14:paraId="049C4BFA">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年度得分</w:t>
            </w:r>
          </w:p>
          <w:p w14:paraId="0D6AC5C1">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（满分100分）</w:t>
            </w:r>
          </w:p>
        </w:tc>
        <w:tc>
          <w:tcPr>
            <w:tcW w:w="7262" w:type="dxa"/>
            <w:gridSpan w:val="3"/>
            <w:noWrap w:val="0"/>
            <w:vAlign w:val="center"/>
          </w:tcPr>
          <w:p w14:paraId="658BC192">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r>
      <w:tr w14:paraId="295A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799" w:type="dxa"/>
            <w:noWrap w:val="0"/>
            <w:vAlign w:val="center"/>
          </w:tcPr>
          <w:p w14:paraId="516B8C7C">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服务满意度</w:t>
            </w:r>
          </w:p>
          <w:p w14:paraId="499AD17B">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年度考核系数</w:t>
            </w:r>
          </w:p>
        </w:tc>
        <w:tc>
          <w:tcPr>
            <w:tcW w:w="7262" w:type="dxa"/>
            <w:gridSpan w:val="3"/>
            <w:noWrap w:val="0"/>
            <w:vAlign w:val="center"/>
          </w:tcPr>
          <w:p w14:paraId="52C00753">
            <w:pPr>
              <w:keepNext w:val="0"/>
              <w:keepLines w:val="0"/>
              <w:pageBreakBefore w:val="0"/>
              <w:kinsoku/>
              <w:overflowPunct/>
              <w:topLinePunct w:val="0"/>
              <w:autoSpaceDE/>
              <w:autoSpaceDN/>
              <w:bidi w:val="0"/>
              <w:adjustRightInd/>
              <w:snapToGrid w:val="0"/>
              <w:spacing w:line="240" w:lineRule="auto"/>
              <w:ind w:firstLine="0" w:firstLineChars="0"/>
              <w:jc w:val="center"/>
              <w:rPr>
                <w:rStyle w:val="14"/>
                <w:rFonts w:hint="eastAsia" w:ascii="宋体" w:hAnsi="宋体" w:eastAsia="宋体" w:cs="宋体"/>
                <w:color w:val="auto"/>
                <w:sz w:val="21"/>
                <w:szCs w:val="21"/>
              </w:rPr>
            </w:pPr>
          </w:p>
        </w:tc>
      </w:tr>
      <w:tr w14:paraId="35AD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trPr>
        <w:tc>
          <w:tcPr>
            <w:tcW w:w="9061" w:type="dxa"/>
            <w:gridSpan w:val="4"/>
            <w:noWrap w:val="0"/>
            <w:vAlign w:val="center"/>
          </w:tcPr>
          <w:p w14:paraId="2E19E03C">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备注：</w:t>
            </w:r>
          </w:p>
          <w:p w14:paraId="2DB13943">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1、服务满意度年度考核系数由服务满意度年度得分按照评分换算规则进行取值</w:t>
            </w:r>
            <w:r>
              <w:rPr>
                <w:rStyle w:val="14"/>
                <w:rFonts w:hint="eastAsia" w:ascii="宋体" w:hAnsi="宋体" w:eastAsia="宋体" w:cs="宋体"/>
                <w:color w:val="auto"/>
                <w:sz w:val="21"/>
                <w:szCs w:val="21"/>
                <w:lang w:eastAsia="zh-CN"/>
              </w:rPr>
              <w:t>；</w:t>
            </w:r>
          </w:p>
          <w:p w14:paraId="09C4891C">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sz w:val="21"/>
                <w:szCs w:val="21"/>
              </w:rPr>
            </w:pPr>
            <w:r>
              <w:rPr>
                <w:rStyle w:val="14"/>
                <w:rFonts w:hint="eastAsia" w:ascii="宋体" w:hAnsi="宋体" w:eastAsia="宋体" w:cs="宋体"/>
                <w:color w:val="auto"/>
                <w:sz w:val="21"/>
                <w:szCs w:val="21"/>
              </w:rPr>
              <w:t>2、评分换算规则：</w:t>
            </w:r>
          </w:p>
          <w:p w14:paraId="3A589BBA">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90＜得分≤100，服务质量年度考核系数取1</w:t>
            </w:r>
            <w:r>
              <w:rPr>
                <w:rStyle w:val="14"/>
                <w:rFonts w:hint="eastAsia" w:ascii="宋体" w:hAnsi="宋体" w:eastAsia="宋体" w:cs="宋体"/>
                <w:color w:val="auto"/>
                <w:sz w:val="21"/>
                <w:szCs w:val="21"/>
                <w:lang w:eastAsia="zh-CN"/>
              </w:rPr>
              <w:t>；</w:t>
            </w:r>
          </w:p>
          <w:p w14:paraId="6C3CCACD">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80＜得分≤90，服务质量年度考核系数取0.8</w:t>
            </w:r>
            <w:r>
              <w:rPr>
                <w:rStyle w:val="14"/>
                <w:rFonts w:hint="eastAsia" w:ascii="宋体" w:hAnsi="宋体" w:eastAsia="宋体" w:cs="宋体"/>
                <w:color w:val="auto"/>
                <w:sz w:val="21"/>
                <w:szCs w:val="21"/>
                <w:lang w:eastAsia="zh-CN"/>
              </w:rPr>
              <w:t>；</w:t>
            </w:r>
          </w:p>
          <w:p w14:paraId="6DBF1B60">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sz w:val="21"/>
                <w:szCs w:val="21"/>
                <w:lang w:eastAsia="zh-CN"/>
              </w:rPr>
            </w:pPr>
            <w:r>
              <w:rPr>
                <w:rStyle w:val="14"/>
                <w:rFonts w:hint="eastAsia" w:ascii="宋体" w:hAnsi="宋体" w:eastAsia="宋体" w:cs="宋体"/>
                <w:color w:val="auto"/>
                <w:sz w:val="21"/>
                <w:szCs w:val="21"/>
              </w:rPr>
              <w:t>70＜得分≤80，服务质量年度考核系数取0.5</w:t>
            </w:r>
            <w:r>
              <w:rPr>
                <w:rStyle w:val="14"/>
                <w:rFonts w:hint="eastAsia" w:ascii="宋体" w:hAnsi="宋体" w:eastAsia="宋体" w:cs="宋体"/>
                <w:color w:val="auto"/>
                <w:sz w:val="21"/>
                <w:szCs w:val="21"/>
                <w:lang w:eastAsia="zh-CN"/>
              </w:rPr>
              <w:t>；</w:t>
            </w:r>
          </w:p>
          <w:p w14:paraId="6E47AF34">
            <w:pPr>
              <w:keepNext w:val="0"/>
              <w:keepLines w:val="0"/>
              <w:pageBreakBefore w:val="0"/>
              <w:kinsoku/>
              <w:overflowPunct/>
              <w:topLinePunct w:val="0"/>
              <w:autoSpaceDE/>
              <w:autoSpaceDN/>
              <w:bidi w:val="0"/>
              <w:adjustRightInd/>
              <w:snapToGrid w:val="0"/>
              <w:spacing w:line="240" w:lineRule="auto"/>
              <w:ind w:firstLine="0" w:firstLineChars="0"/>
              <w:jc w:val="both"/>
              <w:rPr>
                <w:rStyle w:val="14"/>
                <w:rFonts w:hint="eastAsia" w:ascii="宋体" w:hAnsi="宋体" w:eastAsia="宋体" w:cs="宋体"/>
                <w:color w:val="auto"/>
                <w:kern w:val="0"/>
                <w:sz w:val="21"/>
                <w:szCs w:val="21"/>
                <w:vertAlign w:val="baseline"/>
                <w:lang w:bidi="ar"/>
              </w:rPr>
            </w:pPr>
            <w:r>
              <w:rPr>
                <w:rStyle w:val="14"/>
                <w:rFonts w:hint="eastAsia" w:ascii="宋体" w:hAnsi="宋体" w:eastAsia="宋体" w:cs="宋体"/>
                <w:color w:val="auto"/>
                <w:sz w:val="21"/>
                <w:szCs w:val="21"/>
              </w:rPr>
              <w:t>得分≤70，服务质量年度考核系数取0</w:t>
            </w:r>
            <w:r>
              <w:rPr>
                <w:rStyle w:val="14"/>
                <w:rFonts w:hint="eastAsia" w:ascii="宋体" w:hAnsi="宋体" w:eastAsia="宋体" w:cs="宋体"/>
                <w:color w:val="auto"/>
                <w:sz w:val="21"/>
                <w:szCs w:val="21"/>
                <w:lang w:eastAsia="zh-CN"/>
              </w:rPr>
              <w:t>。</w:t>
            </w:r>
          </w:p>
        </w:tc>
      </w:tr>
    </w:tbl>
    <w:p w14:paraId="13D8B1C9">
      <w:pPr>
        <w:rPr>
          <w:rFonts w:hint="eastAsia" w:ascii="宋体" w:hAnsi="宋体" w:eastAsia="宋体" w:cs="宋体"/>
          <w:b/>
          <w:bCs/>
          <w:color w:val="auto"/>
          <w:kern w:val="0"/>
          <w:sz w:val="28"/>
          <w:szCs w:val="28"/>
          <w:lang w:val="en-US" w:eastAsia="zh-CN"/>
        </w:rPr>
      </w:pPr>
      <w:r>
        <w:rPr>
          <w:rFonts w:hint="eastAsia" w:ascii="宋体" w:hAnsi="宋体" w:eastAsia="宋体" w:cs="宋体"/>
          <w:color w:val="auto"/>
          <w:sz w:val="21"/>
          <w:szCs w:val="21"/>
          <w:lang w:val="en-US" w:eastAsia="zh-CN"/>
        </w:rPr>
        <w:br w:type="page"/>
      </w:r>
      <w:r>
        <w:rPr>
          <w:rFonts w:hint="eastAsia" w:ascii="宋体" w:hAnsi="宋体" w:eastAsia="宋体" w:cs="宋体"/>
          <w:b/>
          <w:bCs/>
          <w:color w:val="auto"/>
          <w:kern w:val="0"/>
          <w:sz w:val="28"/>
          <w:szCs w:val="28"/>
          <w:lang w:val="en-US" w:eastAsia="zh-CN"/>
        </w:rPr>
        <w:t xml:space="preserve">附件3 </w:t>
      </w:r>
    </w:p>
    <w:p w14:paraId="35216796">
      <w:pPr>
        <w:bidi w:val="0"/>
        <w:ind w:left="0" w:leftChars="0" w:firstLine="0" w:firstLineChars="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政务云服务结算金额计算规则</w:t>
      </w:r>
    </w:p>
    <w:p w14:paraId="059F4139">
      <w:pPr>
        <w:bidi w:val="0"/>
        <w:rPr>
          <w:rFonts w:hint="eastAsia" w:ascii="宋体" w:hAnsi="宋体" w:eastAsia="宋体" w:cs="宋体"/>
          <w:color w:val="auto"/>
          <w:sz w:val="21"/>
          <w:szCs w:val="21"/>
          <w:lang w:val="en-US" w:eastAsia="zh-CN"/>
        </w:rPr>
      </w:pPr>
    </w:p>
    <w:p w14:paraId="56C63B7B">
      <w:pPr>
        <w:pStyle w:val="2"/>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一、政务云服务结算总金额计算</w:t>
      </w:r>
    </w:p>
    <w:p w14:paraId="1D9788A5">
      <w:pPr>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政务云服务结算总金额</w:t>
      </w:r>
      <w:r>
        <w:rPr>
          <w:rFonts w:hint="eastAsia" w:ascii="宋体" w:hAnsi="宋体" w:eastAsia="宋体" w:cs="宋体"/>
          <w:b/>
          <w:bCs/>
          <w:color w:val="auto"/>
          <w:sz w:val="21"/>
          <w:szCs w:val="21"/>
          <w:lang w:val="en-US" w:eastAsia="zh-CN"/>
        </w:rPr>
        <w:t>A＝B×C－D</w:t>
      </w:r>
    </w:p>
    <w:p w14:paraId="71789CCC">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B</w:t>
      </w:r>
      <w:r>
        <w:rPr>
          <w:rFonts w:hint="eastAsia" w:ascii="宋体" w:hAnsi="宋体" w:eastAsia="宋体" w:cs="宋体"/>
          <w:color w:val="auto"/>
          <w:sz w:val="21"/>
          <w:szCs w:val="21"/>
          <w:lang w:val="en-US" w:eastAsia="zh-CN"/>
        </w:rPr>
        <w:t>：政务云服务总金额</w:t>
      </w:r>
    </w:p>
    <w:p w14:paraId="0241EA32">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C</w:t>
      </w:r>
      <w:r>
        <w:rPr>
          <w:rFonts w:hint="eastAsia" w:ascii="宋体" w:hAnsi="宋体" w:eastAsia="宋体" w:cs="宋体"/>
          <w:color w:val="auto"/>
          <w:sz w:val="21"/>
          <w:szCs w:val="21"/>
          <w:lang w:val="en-US" w:eastAsia="zh-CN"/>
        </w:rPr>
        <w:t>：服务费用年度结算系数</w:t>
      </w:r>
    </w:p>
    <w:p w14:paraId="418C72EA">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D</w:t>
      </w:r>
      <w:r>
        <w:rPr>
          <w:rFonts w:hint="eastAsia" w:ascii="宋体" w:hAnsi="宋体" w:eastAsia="宋体" w:cs="宋体"/>
          <w:color w:val="auto"/>
          <w:sz w:val="21"/>
          <w:szCs w:val="21"/>
          <w:lang w:val="en-US" w:eastAsia="zh-CN"/>
        </w:rPr>
        <w:t>：合同处罚金额，即云服务商未满足合同要求的处罚金额</w:t>
      </w:r>
    </w:p>
    <w:p w14:paraId="429CEA11">
      <w:pPr>
        <w:pStyle w:val="2"/>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二、政务云服务总金额</w:t>
      </w:r>
    </w:p>
    <w:p w14:paraId="1B98E2E7">
      <w:pPr>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政务云服务总金额</w:t>
      </w:r>
      <w:r>
        <w:rPr>
          <w:rFonts w:hint="eastAsia" w:ascii="宋体" w:hAnsi="宋体" w:eastAsia="宋体" w:cs="宋体"/>
          <w:b/>
          <w:bCs/>
          <w:color w:val="auto"/>
          <w:sz w:val="21"/>
          <w:szCs w:val="21"/>
          <w:lang w:val="en-US" w:eastAsia="zh-CN"/>
        </w:rPr>
        <w:t>B＝∑（E×T×N）</w:t>
      </w:r>
    </w:p>
    <w:p w14:paraId="2716E2B4">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E</w:t>
      </w:r>
      <w:r>
        <w:rPr>
          <w:rFonts w:hint="eastAsia" w:ascii="宋体" w:hAnsi="宋体" w:eastAsia="宋体" w:cs="宋体"/>
          <w:color w:val="auto"/>
          <w:sz w:val="21"/>
          <w:szCs w:val="21"/>
          <w:lang w:val="en-US" w:eastAsia="zh-CN"/>
        </w:rPr>
        <w:t>：政务云服务目录中四级服务配置项单价</w:t>
      </w:r>
    </w:p>
    <w:p w14:paraId="7DB3167E">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T</w:t>
      </w:r>
      <w:r>
        <w:rPr>
          <w:rFonts w:hint="eastAsia" w:ascii="宋体" w:hAnsi="宋体" w:eastAsia="宋体" w:cs="宋体"/>
          <w:color w:val="auto"/>
          <w:sz w:val="21"/>
          <w:szCs w:val="21"/>
          <w:lang w:val="en-US" w:eastAsia="zh-CN"/>
        </w:rPr>
        <w:t>：结算周期内服务实例的服务时长</w:t>
      </w:r>
    </w:p>
    <w:p w14:paraId="6FB8F23A">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N</w:t>
      </w:r>
      <w:r>
        <w:rPr>
          <w:rFonts w:hint="eastAsia" w:ascii="宋体" w:hAnsi="宋体" w:eastAsia="宋体" w:cs="宋体"/>
          <w:color w:val="auto"/>
          <w:sz w:val="21"/>
          <w:szCs w:val="21"/>
          <w:lang w:val="en-US" w:eastAsia="zh-CN"/>
        </w:rPr>
        <w:t>：结算周期内服务实例的数量</w:t>
      </w:r>
    </w:p>
    <w:p w14:paraId="351A36ED">
      <w:pPr>
        <w:pStyle w:val="2"/>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三、服务费用年度结算系数</w:t>
      </w:r>
    </w:p>
    <w:p w14:paraId="43CBDE5E">
      <w:pPr>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服务费用年度结算系数</w:t>
      </w:r>
      <w:r>
        <w:rPr>
          <w:rFonts w:hint="eastAsia" w:ascii="宋体" w:hAnsi="宋体" w:eastAsia="宋体" w:cs="宋体"/>
          <w:b/>
          <w:bCs/>
          <w:color w:val="auto"/>
          <w:sz w:val="21"/>
          <w:szCs w:val="21"/>
          <w:lang w:val="en-US" w:eastAsia="zh-CN"/>
        </w:rPr>
        <w:t>C＝0.9＋0.1×F</w:t>
      </w:r>
    </w:p>
    <w:p w14:paraId="744E9F5B">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F</w:t>
      </w:r>
      <w:r>
        <w:rPr>
          <w:rFonts w:hint="eastAsia" w:ascii="宋体" w:hAnsi="宋体" w:eastAsia="宋体" w:cs="宋体"/>
          <w:color w:val="auto"/>
          <w:sz w:val="21"/>
          <w:szCs w:val="21"/>
          <w:lang w:val="en-US" w:eastAsia="zh-CN"/>
        </w:rPr>
        <w:t>为云服务商年度考核系数</w:t>
      </w:r>
    </w:p>
    <w:p w14:paraId="0BC66297">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F＝S×60%＋Q×40%</w:t>
      </w:r>
    </w:p>
    <w:p w14:paraId="12D7E9C6">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S</w:t>
      </w:r>
      <w:r>
        <w:rPr>
          <w:rFonts w:hint="eastAsia" w:ascii="宋体" w:hAnsi="宋体" w:eastAsia="宋体" w:cs="宋体"/>
          <w:color w:val="auto"/>
          <w:sz w:val="21"/>
          <w:szCs w:val="21"/>
          <w:lang w:val="en-US" w:eastAsia="zh-CN"/>
        </w:rPr>
        <w:t>：服务满意度年度考核系数（权重占比60%）：各云使用单位依照《服务满意度年度评价表》进行评分，评分结果按照评分换算规则换算成对应服务满意度年度考核系数。</w:t>
      </w:r>
    </w:p>
    <w:p w14:paraId="47D1885E">
      <w:pPr>
        <w:bidi w:val="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Q</w:t>
      </w:r>
      <w:r>
        <w:rPr>
          <w:rFonts w:hint="eastAsia" w:ascii="宋体" w:hAnsi="宋体" w:eastAsia="宋体" w:cs="宋体"/>
          <w:color w:val="auto"/>
          <w:sz w:val="21"/>
          <w:szCs w:val="21"/>
          <w:lang w:val="en-US" w:eastAsia="zh-CN"/>
        </w:rPr>
        <w:t>：服务质量年度考核系数（权重占比40%），云主管部门依照《服务质量季度考核表》按季度进行评分，服务周期结束时，取各季度服务质量考核得分结果的平均分按照评分换算规则换算成对应服务质量年度考核系数。</w:t>
      </w:r>
    </w:p>
    <w:p w14:paraId="4C2DEAB7">
      <w:pPr>
        <w:pStyle w:val="9"/>
        <w:adjustRightInd w:val="0"/>
        <w:snapToGrid w:val="0"/>
        <w:spacing w:line="360" w:lineRule="auto"/>
        <w:jc w:val="center"/>
        <w:outlineLvl w:val="0"/>
        <w:rPr>
          <w:rFonts w:hint="eastAsia" w:ascii="黑体" w:hAnsi="华文中宋" w:eastAsia="黑体"/>
          <w:b/>
          <w:color w:val="auto"/>
          <w:sz w:val="32"/>
          <w:szCs w:val="32"/>
        </w:rPr>
      </w:pPr>
    </w:p>
    <w:p w14:paraId="4EE670D8">
      <w:pPr>
        <w:widowControl/>
        <w:jc w:val="left"/>
        <w:rPr>
          <w:color w:val="auto"/>
        </w:rPr>
      </w:pPr>
    </w:p>
    <w:p w14:paraId="37316146">
      <w:pPr>
        <w:spacing w:line="360" w:lineRule="auto"/>
        <w:jc w:val="left"/>
        <w:rPr>
          <w:rFonts w:hint="eastAsia" w:ascii="宋体" w:hAnsi="宋体" w:eastAsia="宋体" w:cs="宋体"/>
          <w:b/>
          <w:i w:val="0"/>
          <w:iCs w:val="0"/>
          <w:color w:val="auto"/>
        </w:rPr>
      </w:pPr>
    </w:p>
    <w:p w14:paraId="31162597">
      <w:bookmarkStart w:id="589" w:name="_GoBack"/>
      <w:bookmarkEnd w:id="58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0000000000000000000"/>
    <w:charset w:val="86"/>
    <w:family w:val="auto"/>
    <w:pitch w:val="default"/>
    <w:sig w:usb0="00000000" w:usb1="00000000" w:usb2="00000016" w:usb3="00000000" w:csb0="0004000F" w:csb1="00000000"/>
  </w:font>
  <w:font w:name="方正小标宋简体">
    <w:altName w:val="黑体"/>
    <w:panose1 w:val="00000000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BA6C50"/>
    <w:multiLevelType w:val="singleLevel"/>
    <w:tmpl w:val="D3BA6C50"/>
    <w:lvl w:ilvl="0" w:tentative="0">
      <w:start w:val="2"/>
      <w:numFmt w:val="chineseCounting"/>
      <w:suff w:val="space"/>
      <w:lvlText w:val="第%1节"/>
      <w:lvlJc w:val="left"/>
      <w:rPr>
        <w:rFonts w:hint="eastAsia"/>
      </w:rPr>
    </w:lvl>
  </w:abstractNum>
  <w:abstractNum w:abstractNumId="1">
    <w:nsid w:val="7C9958A4"/>
    <w:multiLevelType w:val="multilevel"/>
    <w:tmpl w:val="7C9958A4"/>
    <w:lvl w:ilvl="0" w:tentative="0">
      <w:start w:val="1"/>
      <w:numFmt w:val="chineseCountingThousand"/>
      <w:suff w:val="space"/>
      <w:lvlText w:val="第%1章"/>
      <w:lvlJc w:val="left"/>
      <w:pPr>
        <w:ind w:left="0" w:firstLine="0"/>
      </w:pPr>
      <w:rPr>
        <w:rFonts w:hint="eastAsia"/>
        <w:color w:val="auto"/>
      </w:rPr>
    </w:lvl>
    <w:lvl w:ilvl="1" w:tentative="0">
      <w:start w:val="1"/>
      <w:numFmt w:val="decimal"/>
      <w:isLgl/>
      <w:suff w:val="space"/>
      <w:lvlText w:val="%1.%2"/>
      <w:lvlJc w:val="left"/>
      <w:pPr>
        <w:ind w:left="0" w:firstLine="0"/>
      </w:pPr>
      <w:rPr>
        <w:rFonts w:hint="default" w:ascii="Times New Roman" w:hAnsi="Times New Roman" w:cs="Times New Roman"/>
        <w:b/>
        <w:bCs w:val="0"/>
      </w:rPr>
    </w:lvl>
    <w:lvl w:ilvl="2" w:tentative="0">
      <w:start w:val="1"/>
      <w:numFmt w:val="decimal"/>
      <w:isLgl/>
      <w:suff w:val="space"/>
      <w:lvlText w:val="%1.%2.%3"/>
      <w:lvlJc w:val="left"/>
      <w:pPr>
        <w:ind w:left="0" w:firstLine="0"/>
      </w:pPr>
      <w:rPr>
        <w:rFonts w:hint="eastAsia" w:cs="Times New Roman"/>
        <w:b/>
        <w:bCs w:val="0"/>
        <w:i w:val="0"/>
        <w:iCs w:val="0"/>
        <w:caps w:val="0"/>
        <w:smallCaps w:val="0"/>
        <w:vanish w:val="0"/>
        <w:color w:val="000000"/>
        <w:spacing w:val="0"/>
        <w:position w:val="0"/>
        <w:u w:val="none"/>
        <w:vertAlign w:val="baseline"/>
      </w:rPr>
    </w:lvl>
    <w:lvl w:ilvl="3" w:tentative="0">
      <w:start w:val="1"/>
      <w:numFmt w:val="decimal"/>
      <w:isLgl/>
      <w:suff w:val="space"/>
      <w:lvlText w:val="%1.%2.%3.%4"/>
      <w:lvlJc w:val="left"/>
      <w:pPr>
        <w:ind w:left="0" w:firstLine="0"/>
      </w:pPr>
      <w:rPr>
        <w:rFonts w:hint="default" w:ascii="Times New Roman" w:hAnsi="Times New Roman" w:cs="Times New Roman"/>
        <w:b/>
        <w:bCs w:val="0"/>
      </w:rPr>
    </w:lvl>
    <w:lvl w:ilvl="4" w:tentative="0">
      <w:start w:val="1"/>
      <w:numFmt w:val="decimal"/>
      <w:isLgl/>
      <w:suff w:val="space"/>
      <w:lvlText w:val="%1.%2.%3.%4.%5"/>
      <w:lvlJc w:val="left"/>
      <w:pPr>
        <w:ind w:left="0" w:firstLine="0"/>
      </w:pPr>
      <w:rPr>
        <w:rFonts w:hint="default" w:ascii="Times New Roman" w:hAnsi="Times New Roman" w:cs="Times New Roman"/>
      </w:rPr>
    </w:lvl>
    <w:lvl w:ilvl="5" w:tentative="0">
      <w:start w:val="1"/>
      <w:numFmt w:val="decimal"/>
      <w:isLgl/>
      <w:suff w:val="space"/>
      <w:lvlText w:val="%1.%2.%3.%4.%5.%6"/>
      <w:lvlJc w:val="left"/>
      <w:pPr>
        <w:ind w:left="0" w:firstLine="0"/>
      </w:pPr>
      <w:rPr>
        <w:rFonts w:hint="default"/>
      </w:rPr>
    </w:lvl>
    <w:lvl w:ilvl="6" w:tentative="0">
      <w:start w:val="1"/>
      <w:numFmt w:val="decimal"/>
      <w:isLgl/>
      <w:suff w:val="space"/>
      <w:lvlText w:val="%1.%2.%3.%4.%5.%6.%7"/>
      <w:lvlJc w:val="left"/>
      <w:pPr>
        <w:ind w:left="0" w:firstLine="0"/>
      </w:pPr>
      <w:rPr>
        <w:rFonts w:hint="default"/>
      </w:rPr>
    </w:lvl>
    <w:lvl w:ilvl="7" w:tentative="0">
      <w:start w:val="1"/>
      <w:numFmt w:val="decimal"/>
      <w:isLgl/>
      <w:suff w:val="space"/>
      <w:lvlText w:val="%1.%2.%3.%4.%5.%6.%7.%8"/>
      <w:lvlJc w:val="left"/>
      <w:pPr>
        <w:ind w:left="0" w:firstLine="0"/>
      </w:pPr>
      <w:rPr>
        <w:rFonts w:hint="default"/>
      </w:rPr>
    </w:lvl>
    <w:lvl w:ilvl="8" w:tentative="0">
      <w:start w:val="1"/>
      <w:numFmt w:val="decimal"/>
      <w:isLgl/>
      <w:suff w:val="space"/>
      <w:lvlText w:val="%1.%2.%3.%4.%5.%6.%7.%8.%9"/>
      <w:lvlJc w:val="left"/>
      <w:pPr>
        <w:ind w:left="0" w:firstLine="0"/>
      </w:pPr>
      <w:rPr>
        <w:rFonts w:hint="default"/>
      </w:rPr>
    </w:lvl>
  </w:abstractNum>
  <w:abstractNum w:abstractNumId="2">
    <w:nsid w:val="7C9958A5"/>
    <w:multiLevelType w:val="multilevel"/>
    <w:tmpl w:val="7C9958A5"/>
    <w:lvl w:ilvl="0" w:tentative="0">
      <w:start w:val="1"/>
      <w:numFmt w:val="decimal"/>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7C9958A6"/>
    <w:multiLevelType w:val="singleLevel"/>
    <w:tmpl w:val="7C9958A6"/>
    <w:lvl w:ilvl="0" w:tentative="0">
      <w:start w:val="1"/>
      <w:numFmt w:val="decimal"/>
      <w:suff w:val="nothing"/>
      <w:lvlText w:val="（%1）"/>
      <w:lvlJc w:val="left"/>
    </w:lvl>
  </w:abstractNum>
  <w:abstractNum w:abstractNumId="4">
    <w:nsid w:val="7C9958A7"/>
    <w:multiLevelType w:val="multilevel"/>
    <w:tmpl w:val="7C9958A7"/>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5">
    <w:nsid w:val="7C9958A8"/>
    <w:multiLevelType w:val="multilevel"/>
    <w:tmpl w:val="7C9958A8"/>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6">
    <w:nsid w:val="7C9958A9"/>
    <w:multiLevelType w:val="multilevel"/>
    <w:tmpl w:val="7C9958A9"/>
    <w:lvl w:ilvl="0" w:tentative="0">
      <w:start w:val="1"/>
      <w:numFmt w:val="decimal"/>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7">
    <w:nsid w:val="7C9958AA"/>
    <w:multiLevelType w:val="multilevel"/>
    <w:tmpl w:val="7C9958AA"/>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8">
    <w:nsid w:val="7C9958AB"/>
    <w:multiLevelType w:val="multilevel"/>
    <w:tmpl w:val="7C9958AB"/>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9">
    <w:nsid w:val="7C9958AC"/>
    <w:multiLevelType w:val="multilevel"/>
    <w:tmpl w:val="7C9958AC"/>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0">
    <w:nsid w:val="7C9958AD"/>
    <w:multiLevelType w:val="multilevel"/>
    <w:tmpl w:val="7C9958AD"/>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1">
    <w:nsid w:val="7C9958AE"/>
    <w:multiLevelType w:val="multilevel"/>
    <w:tmpl w:val="7C9958AE"/>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2">
    <w:nsid w:val="7C9958AF"/>
    <w:multiLevelType w:val="multilevel"/>
    <w:tmpl w:val="7C9958AF"/>
    <w:lvl w:ilvl="0" w:tentative="0">
      <w:start w:val="1"/>
      <w:numFmt w:val="decimal"/>
      <w:lvlText w:val="（%1）"/>
      <w:lvlJc w:val="left"/>
      <w:pPr>
        <w:ind w:left="1260" w:hanging="7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7C9958B0"/>
    <w:multiLevelType w:val="multilevel"/>
    <w:tmpl w:val="7C9958B0"/>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4">
    <w:nsid w:val="7C9958B1"/>
    <w:multiLevelType w:val="multilevel"/>
    <w:tmpl w:val="7C9958B1"/>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5">
    <w:nsid w:val="7C9958B2"/>
    <w:multiLevelType w:val="multilevel"/>
    <w:tmpl w:val="7C9958B2"/>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6">
    <w:nsid w:val="7C9958B3"/>
    <w:multiLevelType w:val="multilevel"/>
    <w:tmpl w:val="7C9958B3"/>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7">
    <w:nsid w:val="7C9958B4"/>
    <w:multiLevelType w:val="multilevel"/>
    <w:tmpl w:val="7C9958B4"/>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8">
    <w:nsid w:val="7C9958B5"/>
    <w:multiLevelType w:val="multilevel"/>
    <w:tmpl w:val="7C9958B5"/>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9">
    <w:nsid w:val="7C9958B6"/>
    <w:multiLevelType w:val="multilevel"/>
    <w:tmpl w:val="7C9958B6"/>
    <w:lvl w:ilvl="0" w:tentative="0">
      <w:start w:val="1"/>
      <w:numFmt w:val="decimal"/>
      <w:lvlText w:val="（%1）"/>
      <w:lvlJc w:val="left"/>
      <w:pPr>
        <w:ind w:left="1200" w:hanging="72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0">
    <w:nsid w:val="7C9958B7"/>
    <w:multiLevelType w:val="multilevel"/>
    <w:tmpl w:val="7C9958B7"/>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21">
    <w:nsid w:val="7C9958B8"/>
    <w:multiLevelType w:val="multilevel"/>
    <w:tmpl w:val="7C9958B8"/>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2">
    <w:nsid w:val="7C9958B9"/>
    <w:multiLevelType w:val="multilevel"/>
    <w:tmpl w:val="7C9958B9"/>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23">
    <w:nsid w:val="7C9958BA"/>
    <w:multiLevelType w:val="multilevel"/>
    <w:tmpl w:val="7C9958BA"/>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24">
    <w:nsid w:val="7C9958BB"/>
    <w:multiLevelType w:val="multilevel"/>
    <w:tmpl w:val="7C9958BB"/>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25">
    <w:nsid w:val="7C9958BC"/>
    <w:multiLevelType w:val="singleLevel"/>
    <w:tmpl w:val="7C9958BC"/>
    <w:lvl w:ilvl="0" w:tentative="0">
      <w:start w:val="1"/>
      <w:numFmt w:val="decimal"/>
      <w:suff w:val="nothing"/>
      <w:lvlText w:val="（%1）"/>
      <w:lvlJc w:val="left"/>
      <w:pPr>
        <w:ind w:left="0" w:firstLine="0"/>
      </w:pPr>
    </w:lvl>
  </w:abstractNum>
  <w:abstractNum w:abstractNumId="26">
    <w:nsid w:val="7C9958BD"/>
    <w:multiLevelType w:val="singleLevel"/>
    <w:tmpl w:val="7C9958BD"/>
    <w:lvl w:ilvl="0" w:tentative="0">
      <w:start w:val="2"/>
      <w:numFmt w:val="decimal"/>
      <w:suff w:val="nothing"/>
      <w:lvlText w:val="（%1）"/>
      <w:lvlJc w:val="left"/>
      <w:pPr>
        <w:ind w:left="0" w:firstLine="0"/>
      </w:pPr>
    </w:lvl>
  </w:abstractNum>
  <w:abstractNum w:abstractNumId="27">
    <w:nsid w:val="7C9958BE"/>
    <w:multiLevelType w:val="singleLevel"/>
    <w:tmpl w:val="7C9958BE"/>
    <w:lvl w:ilvl="0" w:tentative="0">
      <w:start w:val="1"/>
      <w:numFmt w:val="decimal"/>
      <w:suff w:val="nothing"/>
      <w:lvlText w:val="（%1）"/>
      <w:lvlJc w:val="left"/>
      <w:pPr>
        <w:ind w:left="0" w:firstLine="0"/>
      </w:pPr>
    </w:lvl>
  </w:abstractNum>
  <w:abstractNum w:abstractNumId="28">
    <w:nsid w:val="7C9958BF"/>
    <w:multiLevelType w:val="multilevel"/>
    <w:tmpl w:val="7C9958BF"/>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29">
    <w:nsid w:val="7C9958C0"/>
    <w:multiLevelType w:val="singleLevel"/>
    <w:tmpl w:val="7C9958C0"/>
    <w:lvl w:ilvl="0" w:tentative="0">
      <w:start w:val="1"/>
      <w:numFmt w:val="decimal"/>
      <w:suff w:val="nothing"/>
      <w:lvlText w:val="（%1）"/>
      <w:lvlJc w:val="left"/>
      <w:pPr>
        <w:ind w:left="0" w:firstLine="0"/>
      </w:pPr>
    </w:lvl>
  </w:abstractNum>
  <w:abstractNum w:abstractNumId="30">
    <w:nsid w:val="7C9958C1"/>
    <w:multiLevelType w:val="multilevel"/>
    <w:tmpl w:val="7C9958C1"/>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31">
    <w:nsid w:val="7C9958C2"/>
    <w:multiLevelType w:val="singleLevel"/>
    <w:tmpl w:val="7C9958C2"/>
    <w:lvl w:ilvl="0" w:tentative="0">
      <w:start w:val="1"/>
      <w:numFmt w:val="decimal"/>
      <w:suff w:val="nothing"/>
      <w:lvlText w:val="（%1）"/>
      <w:lvlJc w:val="left"/>
      <w:pPr>
        <w:ind w:left="0" w:firstLine="0"/>
      </w:pPr>
    </w:lvl>
  </w:abstractNum>
  <w:abstractNum w:abstractNumId="32">
    <w:nsid w:val="7C9958C3"/>
    <w:multiLevelType w:val="multilevel"/>
    <w:tmpl w:val="7C9958C3"/>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33">
    <w:nsid w:val="7C9958C4"/>
    <w:multiLevelType w:val="singleLevel"/>
    <w:tmpl w:val="7C9958C4"/>
    <w:lvl w:ilvl="0" w:tentative="0">
      <w:start w:val="1"/>
      <w:numFmt w:val="decimal"/>
      <w:suff w:val="nothing"/>
      <w:lvlText w:val="（%1）"/>
      <w:lvlJc w:val="left"/>
      <w:pPr>
        <w:ind w:left="0" w:firstLine="0"/>
      </w:pPr>
    </w:lvl>
  </w:abstractNum>
  <w:abstractNum w:abstractNumId="34">
    <w:nsid w:val="7C9958C5"/>
    <w:multiLevelType w:val="multilevel"/>
    <w:tmpl w:val="7C9958C5"/>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35">
    <w:nsid w:val="7C9958C6"/>
    <w:multiLevelType w:val="singleLevel"/>
    <w:tmpl w:val="7C9958C6"/>
    <w:lvl w:ilvl="0" w:tentative="0">
      <w:start w:val="1"/>
      <w:numFmt w:val="decimal"/>
      <w:suff w:val="nothing"/>
      <w:lvlText w:val="（%1）"/>
      <w:lvlJc w:val="left"/>
      <w:pPr>
        <w:ind w:left="0" w:firstLine="0"/>
      </w:pPr>
    </w:lvl>
  </w:abstractNum>
  <w:abstractNum w:abstractNumId="36">
    <w:nsid w:val="7C9958C7"/>
    <w:multiLevelType w:val="singleLevel"/>
    <w:tmpl w:val="7C9958C7"/>
    <w:lvl w:ilvl="0" w:tentative="0">
      <w:start w:val="2"/>
      <w:numFmt w:val="decimal"/>
      <w:suff w:val="nothing"/>
      <w:lvlText w:val="（%1）"/>
      <w:lvlJc w:val="left"/>
      <w:pPr>
        <w:ind w:left="0" w:firstLine="0"/>
      </w:pPr>
    </w:lvl>
  </w:abstractNum>
  <w:abstractNum w:abstractNumId="37">
    <w:nsid w:val="7C9958C8"/>
    <w:multiLevelType w:val="singleLevel"/>
    <w:tmpl w:val="7C9958C8"/>
    <w:lvl w:ilvl="0" w:tentative="0">
      <w:start w:val="1"/>
      <w:numFmt w:val="decimal"/>
      <w:suff w:val="nothing"/>
      <w:lvlText w:val="（%1）"/>
      <w:lvlJc w:val="left"/>
      <w:pPr>
        <w:ind w:left="0" w:firstLine="0"/>
      </w:pPr>
    </w:lvl>
  </w:abstractNum>
  <w:abstractNum w:abstractNumId="38">
    <w:nsid w:val="7C9958C9"/>
    <w:multiLevelType w:val="singleLevel"/>
    <w:tmpl w:val="7C9958C9"/>
    <w:lvl w:ilvl="0" w:tentative="0">
      <w:start w:val="1"/>
      <w:numFmt w:val="decimal"/>
      <w:suff w:val="nothing"/>
      <w:lvlText w:val="（%1）"/>
      <w:lvlJc w:val="left"/>
      <w:pPr>
        <w:ind w:left="0" w:firstLine="0"/>
      </w:pPr>
    </w:lvl>
  </w:abstractNum>
  <w:abstractNum w:abstractNumId="39">
    <w:nsid w:val="7C9958CA"/>
    <w:multiLevelType w:val="multilevel"/>
    <w:tmpl w:val="7C9958CA"/>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40">
    <w:nsid w:val="7C9958CB"/>
    <w:multiLevelType w:val="singleLevel"/>
    <w:tmpl w:val="7C9958CB"/>
    <w:lvl w:ilvl="0" w:tentative="0">
      <w:start w:val="1"/>
      <w:numFmt w:val="decimal"/>
      <w:suff w:val="nothing"/>
      <w:lvlText w:val="（%1）"/>
      <w:lvlJc w:val="left"/>
      <w:pPr>
        <w:ind w:left="0" w:firstLine="0"/>
      </w:pPr>
    </w:lvl>
  </w:abstractNum>
  <w:abstractNum w:abstractNumId="41">
    <w:nsid w:val="7C9958CC"/>
    <w:multiLevelType w:val="singleLevel"/>
    <w:tmpl w:val="7C9958CC"/>
    <w:lvl w:ilvl="0" w:tentative="0">
      <w:start w:val="2"/>
      <w:numFmt w:val="decimal"/>
      <w:suff w:val="nothing"/>
      <w:lvlText w:val="（%1）"/>
      <w:lvlJc w:val="left"/>
      <w:pPr>
        <w:ind w:left="0" w:firstLine="0"/>
      </w:pPr>
    </w:lvl>
  </w:abstractNum>
  <w:abstractNum w:abstractNumId="42">
    <w:nsid w:val="7C9958CD"/>
    <w:multiLevelType w:val="singleLevel"/>
    <w:tmpl w:val="7C9958CD"/>
    <w:lvl w:ilvl="0" w:tentative="0">
      <w:start w:val="1"/>
      <w:numFmt w:val="decimal"/>
      <w:suff w:val="nothing"/>
      <w:lvlText w:val="（%1）"/>
      <w:lvlJc w:val="left"/>
      <w:pPr>
        <w:ind w:left="0" w:firstLine="0"/>
      </w:pPr>
    </w:lvl>
  </w:abstractNum>
  <w:abstractNum w:abstractNumId="43">
    <w:nsid w:val="7C9958CE"/>
    <w:multiLevelType w:val="multilevel"/>
    <w:tmpl w:val="7C9958CE"/>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44">
    <w:nsid w:val="7C9958CF"/>
    <w:multiLevelType w:val="singleLevel"/>
    <w:tmpl w:val="7C9958CF"/>
    <w:lvl w:ilvl="0" w:tentative="0">
      <w:start w:val="1"/>
      <w:numFmt w:val="decimal"/>
      <w:suff w:val="nothing"/>
      <w:lvlText w:val="（%1）"/>
      <w:lvlJc w:val="left"/>
      <w:pPr>
        <w:ind w:left="0" w:firstLine="0"/>
      </w:pPr>
      <w:rPr>
        <w:b w:val="0"/>
        <w:bCs w:val="0"/>
      </w:rPr>
    </w:lvl>
  </w:abstractNum>
  <w:abstractNum w:abstractNumId="45">
    <w:nsid w:val="7C9958D0"/>
    <w:multiLevelType w:val="multilevel"/>
    <w:tmpl w:val="7C9958D0"/>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46">
    <w:nsid w:val="7C9958D1"/>
    <w:multiLevelType w:val="singleLevel"/>
    <w:tmpl w:val="7C9958D1"/>
    <w:lvl w:ilvl="0" w:tentative="0">
      <w:start w:val="1"/>
      <w:numFmt w:val="decimal"/>
      <w:suff w:val="nothing"/>
      <w:lvlText w:val="（%1）"/>
      <w:lvlJc w:val="left"/>
      <w:pPr>
        <w:ind w:left="0" w:firstLine="0"/>
      </w:pPr>
      <w:rPr>
        <w:b w:val="0"/>
        <w:bCs w:val="0"/>
      </w:rPr>
    </w:lvl>
  </w:abstractNum>
  <w:abstractNum w:abstractNumId="47">
    <w:nsid w:val="7C9958D2"/>
    <w:multiLevelType w:val="singleLevel"/>
    <w:tmpl w:val="7C9958D2"/>
    <w:lvl w:ilvl="0" w:tentative="0">
      <w:start w:val="1"/>
      <w:numFmt w:val="decimal"/>
      <w:suff w:val="nothing"/>
      <w:lvlText w:val="（%1）"/>
      <w:lvlJc w:val="left"/>
      <w:pPr>
        <w:ind w:left="0" w:firstLine="0"/>
      </w:pPr>
    </w:lvl>
  </w:abstractNum>
  <w:abstractNum w:abstractNumId="48">
    <w:nsid w:val="7C9958D3"/>
    <w:multiLevelType w:val="multilevel"/>
    <w:tmpl w:val="7C9958D3"/>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49">
    <w:nsid w:val="7C9958D4"/>
    <w:multiLevelType w:val="singleLevel"/>
    <w:tmpl w:val="7C9958D4"/>
    <w:lvl w:ilvl="0" w:tentative="0">
      <w:start w:val="1"/>
      <w:numFmt w:val="decimal"/>
      <w:suff w:val="nothing"/>
      <w:lvlText w:val="（%1）"/>
      <w:lvlJc w:val="left"/>
      <w:pPr>
        <w:ind w:left="0" w:firstLine="0"/>
      </w:pPr>
      <w:rPr>
        <w:b w:val="0"/>
        <w:bCs w:val="0"/>
      </w:rPr>
    </w:lvl>
  </w:abstractNum>
  <w:abstractNum w:abstractNumId="50">
    <w:nsid w:val="7C9958D5"/>
    <w:multiLevelType w:val="singleLevel"/>
    <w:tmpl w:val="7C9958D5"/>
    <w:lvl w:ilvl="0" w:tentative="0">
      <w:start w:val="1"/>
      <w:numFmt w:val="decimal"/>
      <w:suff w:val="nothing"/>
      <w:lvlText w:val="（%1）"/>
      <w:lvlJc w:val="left"/>
      <w:pPr>
        <w:ind w:left="0" w:firstLine="0"/>
      </w:pPr>
    </w:lvl>
  </w:abstractNum>
  <w:abstractNum w:abstractNumId="51">
    <w:nsid w:val="7C9958D6"/>
    <w:multiLevelType w:val="multilevel"/>
    <w:tmpl w:val="7C9958D6"/>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52">
    <w:nsid w:val="7C9958D7"/>
    <w:multiLevelType w:val="singleLevel"/>
    <w:tmpl w:val="7C9958D7"/>
    <w:lvl w:ilvl="0" w:tentative="0">
      <w:start w:val="1"/>
      <w:numFmt w:val="decimal"/>
      <w:suff w:val="nothing"/>
      <w:lvlText w:val="（%1）"/>
      <w:lvlJc w:val="left"/>
      <w:pPr>
        <w:ind w:left="0" w:firstLine="0"/>
      </w:pPr>
    </w:lvl>
  </w:abstractNum>
  <w:abstractNum w:abstractNumId="53">
    <w:nsid w:val="7C9958D8"/>
    <w:multiLevelType w:val="singleLevel"/>
    <w:tmpl w:val="7C9958D8"/>
    <w:lvl w:ilvl="0" w:tentative="0">
      <w:start w:val="2"/>
      <w:numFmt w:val="decimal"/>
      <w:suff w:val="nothing"/>
      <w:lvlText w:val="（%1）"/>
      <w:lvlJc w:val="left"/>
      <w:pPr>
        <w:ind w:left="0" w:firstLine="0"/>
      </w:pPr>
    </w:lvl>
  </w:abstractNum>
  <w:abstractNum w:abstractNumId="54">
    <w:nsid w:val="7C9958D9"/>
    <w:multiLevelType w:val="singleLevel"/>
    <w:tmpl w:val="7C9958D9"/>
    <w:lvl w:ilvl="0" w:tentative="0">
      <w:start w:val="1"/>
      <w:numFmt w:val="decimal"/>
      <w:suff w:val="nothing"/>
      <w:lvlText w:val="（%1）"/>
      <w:lvlJc w:val="left"/>
      <w:pPr>
        <w:ind w:left="0" w:firstLine="0"/>
      </w:pPr>
      <w:rPr>
        <w:b w:val="0"/>
        <w:bCs w:val="0"/>
      </w:rPr>
    </w:lvl>
  </w:abstractNum>
  <w:abstractNum w:abstractNumId="55">
    <w:nsid w:val="7C9958DA"/>
    <w:multiLevelType w:val="multilevel"/>
    <w:tmpl w:val="7C9958D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7C9958DB"/>
    <w:multiLevelType w:val="multilevel"/>
    <w:tmpl w:val="7C9958DB"/>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57">
    <w:nsid w:val="7C9958DC"/>
    <w:multiLevelType w:val="singleLevel"/>
    <w:tmpl w:val="7C9958DC"/>
    <w:lvl w:ilvl="0" w:tentative="0">
      <w:start w:val="1"/>
      <w:numFmt w:val="decimal"/>
      <w:suff w:val="nothing"/>
      <w:lvlText w:val="（%1）"/>
      <w:lvlJc w:val="left"/>
      <w:pPr>
        <w:ind w:left="0" w:firstLine="0"/>
      </w:pPr>
    </w:lvl>
  </w:abstractNum>
  <w:abstractNum w:abstractNumId="58">
    <w:nsid w:val="7C9958DD"/>
    <w:multiLevelType w:val="singleLevel"/>
    <w:tmpl w:val="7C9958DD"/>
    <w:lvl w:ilvl="0" w:tentative="0">
      <w:start w:val="2"/>
      <w:numFmt w:val="decimal"/>
      <w:suff w:val="nothing"/>
      <w:lvlText w:val="（%1）"/>
      <w:lvlJc w:val="left"/>
      <w:pPr>
        <w:ind w:left="0" w:firstLine="0"/>
      </w:pPr>
    </w:lvl>
  </w:abstractNum>
  <w:abstractNum w:abstractNumId="59">
    <w:nsid w:val="7C9958DE"/>
    <w:multiLevelType w:val="singleLevel"/>
    <w:tmpl w:val="7C9958DE"/>
    <w:lvl w:ilvl="0" w:tentative="0">
      <w:start w:val="1"/>
      <w:numFmt w:val="decimal"/>
      <w:suff w:val="nothing"/>
      <w:lvlText w:val="（%1）"/>
      <w:lvlJc w:val="left"/>
      <w:pPr>
        <w:ind w:left="0" w:firstLine="0"/>
      </w:pPr>
      <w:rPr>
        <w:b w:val="0"/>
        <w:bCs w:val="0"/>
      </w:rPr>
    </w:lvl>
  </w:abstractNum>
  <w:abstractNum w:abstractNumId="60">
    <w:nsid w:val="7C9958DF"/>
    <w:multiLevelType w:val="multilevel"/>
    <w:tmpl w:val="7C9958DF"/>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61">
    <w:nsid w:val="7C9958E0"/>
    <w:multiLevelType w:val="singleLevel"/>
    <w:tmpl w:val="7C9958E0"/>
    <w:lvl w:ilvl="0" w:tentative="0">
      <w:start w:val="1"/>
      <w:numFmt w:val="decimal"/>
      <w:suff w:val="nothing"/>
      <w:lvlText w:val="（%1）"/>
      <w:lvlJc w:val="left"/>
      <w:pPr>
        <w:ind w:left="0" w:firstLine="0"/>
      </w:pPr>
    </w:lvl>
  </w:abstractNum>
  <w:abstractNum w:abstractNumId="62">
    <w:nsid w:val="7C9958E1"/>
    <w:multiLevelType w:val="singleLevel"/>
    <w:tmpl w:val="7C9958E1"/>
    <w:lvl w:ilvl="0" w:tentative="0">
      <w:start w:val="1"/>
      <w:numFmt w:val="decimal"/>
      <w:suff w:val="nothing"/>
      <w:lvlText w:val="（%1）"/>
      <w:lvlJc w:val="left"/>
      <w:pPr>
        <w:ind w:left="0" w:firstLine="0"/>
      </w:pPr>
    </w:lvl>
  </w:abstractNum>
  <w:abstractNum w:abstractNumId="63">
    <w:nsid w:val="7C9958E2"/>
    <w:multiLevelType w:val="multilevel"/>
    <w:tmpl w:val="7C9958E2"/>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64">
    <w:nsid w:val="7C9958E3"/>
    <w:multiLevelType w:val="multilevel"/>
    <w:tmpl w:val="7C9958E3"/>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65">
    <w:nsid w:val="7C9958E4"/>
    <w:multiLevelType w:val="multilevel"/>
    <w:tmpl w:val="7C9958E4"/>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66">
    <w:nsid w:val="7C9958E5"/>
    <w:multiLevelType w:val="multilevel"/>
    <w:tmpl w:val="7C9958E5"/>
    <w:lvl w:ilvl="0" w:tentative="0">
      <w:start w:val="1"/>
      <w:numFmt w:val="decimal"/>
      <w:lvlText w:val="（%1）"/>
      <w:lvlJc w:val="left"/>
      <w:pPr>
        <w:ind w:left="1200" w:hanging="72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67">
    <w:nsid w:val="7C9958E6"/>
    <w:multiLevelType w:val="multilevel"/>
    <w:tmpl w:val="7C9958E6"/>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68">
    <w:nsid w:val="7C9958E7"/>
    <w:multiLevelType w:val="multilevel"/>
    <w:tmpl w:val="7C9958E7"/>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69">
    <w:nsid w:val="7C9958E8"/>
    <w:multiLevelType w:val="multilevel"/>
    <w:tmpl w:val="7C9958E8"/>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70">
    <w:nsid w:val="7C9958E9"/>
    <w:multiLevelType w:val="multilevel"/>
    <w:tmpl w:val="7C9958E9"/>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71">
    <w:nsid w:val="7C9958EA"/>
    <w:multiLevelType w:val="multilevel"/>
    <w:tmpl w:val="7C9958EA"/>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72">
    <w:nsid w:val="7C9958EB"/>
    <w:multiLevelType w:val="multilevel"/>
    <w:tmpl w:val="7C9958EB"/>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73">
    <w:nsid w:val="7C9958EC"/>
    <w:multiLevelType w:val="multilevel"/>
    <w:tmpl w:val="7C9958EC"/>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74">
    <w:nsid w:val="7C9958ED"/>
    <w:multiLevelType w:val="multilevel"/>
    <w:tmpl w:val="7C9958ED"/>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75">
    <w:nsid w:val="7C9958EE"/>
    <w:multiLevelType w:val="multilevel"/>
    <w:tmpl w:val="7C9958EE"/>
    <w:lvl w:ilvl="0" w:tentative="0">
      <w:start w:val="1"/>
      <w:numFmt w:val="decimal"/>
      <w:lvlText w:val="%1."/>
      <w:lvlJc w:val="left"/>
      <w:pPr>
        <w:ind w:left="922" w:hanging="440"/>
      </w:p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76">
    <w:nsid w:val="7C9958EF"/>
    <w:multiLevelType w:val="singleLevel"/>
    <w:tmpl w:val="7C9958EF"/>
    <w:lvl w:ilvl="0" w:tentative="0">
      <w:start w:val="1"/>
      <w:numFmt w:val="decimal"/>
      <w:lvlText w:val="%1."/>
      <w:lvlJc w:val="left"/>
      <w:pPr>
        <w:tabs>
          <w:tab w:val="left" w:pos="312"/>
        </w:tabs>
      </w:pPr>
    </w:lvl>
  </w:abstractNum>
  <w:abstractNum w:abstractNumId="77">
    <w:nsid w:val="7C9958F0"/>
    <w:multiLevelType w:val="singleLevel"/>
    <w:tmpl w:val="7C9958F0"/>
    <w:lvl w:ilvl="0" w:tentative="0">
      <w:start w:val="1"/>
      <w:numFmt w:val="decimal"/>
      <w:suff w:val="nothing"/>
      <w:lvlText w:val="（%1）"/>
      <w:lvlJc w:val="left"/>
    </w:lvl>
  </w:abstractNum>
  <w:abstractNum w:abstractNumId="78">
    <w:nsid w:val="7C9958F1"/>
    <w:multiLevelType w:val="singleLevel"/>
    <w:tmpl w:val="7C9958F1"/>
    <w:lvl w:ilvl="0" w:tentative="0">
      <w:start w:val="1"/>
      <w:numFmt w:val="decimal"/>
      <w:suff w:val="nothing"/>
      <w:lvlText w:val="（%1）"/>
      <w:lvlJc w:val="left"/>
    </w:lvl>
  </w:abstractNum>
  <w:abstractNum w:abstractNumId="79">
    <w:nsid w:val="7C9958F2"/>
    <w:multiLevelType w:val="singleLevel"/>
    <w:tmpl w:val="7C9958F2"/>
    <w:lvl w:ilvl="0" w:tentative="0">
      <w:start w:val="1"/>
      <w:numFmt w:val="decimal"/>
      <w:suff w:val="nothing"/>
      <w:lvlText w:val="（%1）"/>
      <w:lvlJc w:val="left"/>
    </w:lvl>
  </w:abstractNum>
  <w:abstractNum w:abstractNumId="80">
    <w:nsid w:val="7C9958F3"/>
    <w:multiLevelType w:val="singleLevel"/>
    <w:tmpl w:val="7C9958F3"/>
    <w:lvl w:ilvl="0" w:tentative="0">
      <w:start w:val="1"/>
      <w:numFmt w:val="decimal"/>
      <w:suff w:val="nothing"/>
      <w:lvlText w:val="（%1）"/>
      <w:lvlJc w:val="left"/>
    </w:lvl>
  </w:abstractNum>
  <w:abstractNum w:abstractNumId="81">
    <w:nsid w:val="7C9958F4"/>
    <w:multiLevelType w:val="singleLevel"/>
    <w:tmpl w:val="7C9958F4"/>
    <w:lvl w:ilvl="0" w:tentative="0">
      <w:start w:val="1"/>
      <w:numFmt w:val="decimal"/>
      <w:lvlText w:val="%1."/>
      <w:lvlJc w:val="left"/>
      <w:pPr>
        <w:tabs>
          <w:tab w:val="left" w:pos="312"/>
        </w:tabs>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num>
  <w:num w:numId="28">
    <w:abstractNumId w:val="26"/>
    <w:lvlOverride w:ilvl="0">
      <w:startOverride w:val="2"/>
    </w:lvlOverride>
  </w:num>
  <w:num w:numId="29">
    <w:abstractNumId w:val="27"/>
    <w:lvlOverride w:ilvl="0">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lvlOverride w:ilvl="0">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num>
  <w:num w:numId="38">
    <w:abstractNumId w:val="36"/>
    <w:lvlOverride w:ilvl="0">
      <w:startOverride w:val="2"/>
    </w:lvlOverride>
  </w:num>
  <w:num w:numId="39">
    <w:abstractNumId w:val="37"/>
    <w:lvlOverride w:ilvl="0">
      <w:startOverride w:val="1"/>
    </w:lvlOverride>
  </w:num>
  <w:num w:numId="40">
    <w:abstractNumId w:val="38"/>
    <w:lvlOverride w:ilvl="0">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startOverride w:val="1"/>
    </w:lvlOverride>
  </w:num>
  <w:num w:numId="43">
    <w:abstractNumId w:val="41"/>
    <w:lvlOverride w:ilvl="0">
      <w:startOverride w:val="2"/>
    </w:lvlOverride>
  </w:num>
  <w:num w:numId="44">
    <w:abstractNumId w:val="42"/>
    <w:lvlOverride w:ilvl="0">
      <w:startOverride w:val="1"/>
    </w:lvlOverride>
  </w:num>
  <w:num w:numId="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lvlOverride w:ilvl="0">
      <w:startOverride w:val="1"/>
    </w:lvlOverride>
  </w:num>
  <w:num w:numId="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6"/>
    <w:lvlOverride w:ilvl="0">
      <w:startOverride w:val="1"/>
    </w:lvlOverride>
  </w:num>
  <w:num w:numId="49">
    <w:abstractNumId w:val="47"/>
    <w:lvlOverride w:ilvl="0">
      <w:startOverride w:val="1"/>
    </w:lvlOverride>
  </w:num>
  <w:num w:numId="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9"/>
    <w:lvlOverride w:ilvl="0">
      <w:startOverride w:val="1"/>
    </w:lvlOverride>
  </w:num>
  <w:num w:numId="52">
    <w:abstractNumId w:val="50"/>
    <w:lvlOverride w:ilvl="0">
      <w:startOverride w:val="1"/>
    </w:lvlOverride>
  </w:num>
  <w:num w:numId="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2"/>
    <w:lvlOverride w:ilvl="0">
      <w:startOverride w:val="1"/>
    </w:lvlOverride>
  </w:num>
  <w:num w:numId="55">
    <w:abstractNumId w:val="53"/>
    <w:lvlOverride w:ilvl="0">
      <w:startOverride w:val="2"/>
    </w:lvlOverride>
  </w:num>
  <w:num w:numId="56">
    <w:abstractNumId w:val="54"/>
    <w:lvlOverride w:ilvl="0">
      <w:startOverride w:val="1"/>
    </w:lvlOverride>
  </w:num>
  <w:num w:numId="5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7"/>
    <w:lvlOverride w:ilvl="0">
      <w:startOverride w:val="1"/>
    </w:lvlOverride>
  </w:num>
  <w:num w:numId="60">
    <w:abstractNumId w:val="58"/>
    <w:lvlOverride w:ilvl="0">
      <w:startOverride w:val="2"/>
    </w:lvlOverride>
  </w:num>
  <w:num w:numId="61">
    <w:abstractNumId w:val="59"/>
    <w:lvlOverride w:ilvl="0">
      <w:startOverride w:val="1"/>
    </w:lvlOverride>
  </w:num>
  <w:num w:numId="6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1"/>
    <w:lvlOverride w:ilvl="0">
      <w:startOverride w:val="1"/>
    </w:lvlOverride>
  </w:num>
  <w:num w:numId="64">
    <w:abstractNumId w:val="62"/>
    <w:lvlOverride w:ilvl="0">
      <w:startOverride w:val="1"/>
    </w:lvlOverride>
  </w:num>
  <w:num w:numId="6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6"/>
  </w:num>
  <w:num w:numId="79">
    <w:abstractNumId w:val="77"/>
  </w:num>
  <w:num w:numId="80">
    <w:abstractNumId w:val="78"/>
  </w:num>
  <w:num w:numId="81">
    <w:abstractNumId w:val="79"/>
  </w:num>
  <w:num w:numId="82">
    <w:abstractNumId w:val="80"/>
  </w:num>
  <w:num w:numId="83">
    <w:abstractNumId w:val="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E35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14">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styleId="4">
    <w:name w:val="caption"/>
    <w:next w:val="5"/>
    <w:unhideWhenUsed/>
    <w:qFormat/>
    <w:uiPriority w:val="35"/>
    <w:pPr>
      <w:widowControl w:val="0"/>
      <w:jc w:val="both"/>
    </w:pPr>
    <w:rPr>
      <w:rFonts w:ascii="等线 Light" w:hAnsi="等线 Light" w:eastAsia="黑体" w:cs="宋体"/>
      <w:kern w:val="2"/>
      <w:lang w:val="en-US" w:eastAsia="zh-CN" w:bidi="ar-SA"/>
    </w:rPr>
  </w:style>
  <w:style w:type="paragraph" w:customStyle="1" w:styleId="5">
    <w:name w:val="正文_0"/>
    <w:next w:val="6"/>
    <w:qFormat/>
    <w:uiPriority w:val="0"/>
    <w:pPr>
      <w:widowControl w:val="0"/>
      <w:jc w:val="both"/>
    </w:pPr>
    <w:rPr>
      <w:rFonts w:ascii="Calibri" w:hAnsi="Calibri" w:eastAsia="宋体" w:cs="Times New Roman"/>
      <w:kern w:val="2"/>
      <w:sz w:val="21"/>
      <w:szCs w:val="22"/>
      <w:lang w:val="en-US" w:eastAsia="zh-CN" w:bidi="ar-SA"/>
    </w:rPr>
  </w:style>
  <w:style w:type="paragraph" w:customStyle="1" w:styleId="6">
    <w:name w:val="正文文本_0"/>
    <w:basedOn w:val="5"/>
    <w:next w:val="5"/>
    <w:qFormat/>
    <w:uiPriority w:val="99"/>
    <w:pPr>
      <w:spacing w:after="120"/>
    </w:pPr>
  </w:style>
  <w:style w:type="paragraph" w:styleId="7">
    <w:name w:val="Body Text Indent"/>
    <w:basedOn w:val="1"/>
    <w:next w:val="8"/>
    <w:qFormat/>
    <w:uiPriority w:val="0"/>
    <w:pPr>
      <w:spacing w:after="120"/>
      <w:ind w:left="420" w:leftChars="200"/>
    </w:pPr>
  </w:style>
  <w:style w:type="paragraph" w:styleId="8">
    <w:name w:val="Body Text Indent 2"/>
    <w:basedOn w:val="1"/>
    <w:next w:val="1"/>
    <w:qFormat/>
    <w:uiPriority w:val="0"/>
    <w:pPr>
      <w:spacing w:after="120" w:line="480" w:lineRule="auto"/>
      <w:ind w:left="420" w:leftChars="200"/>
    </w:pPr>
  </w:style>
  <w:style w:type="paragraph" w:styleId="9">
    <w:name w:val="Plain Text"/>
    <w:basedOn w:val="1"/>
    <w:qFormat/>
    <w:uiPriority w:val="0"/>
    <w:rPr>
      <w:rFonts w:ascii="宋体" w:hAnsi="Courier New" w:cs="Courier New"/>
      <w:szCs w:val="21"/>
    </w:rPr>
  </w:style>
  <w:style w:type="paragraph" w:styleId="10">
    <w:name w:val="Title"/>
    <w:qFormat/>
    <w:uiPriority w:val="0"/>
    <w:pPr>
      <w:jc w:val="center"/>
      <w:outlineLvl w:val="0"/>
    </w:pPr>
    <w:rPr>
      <w:rFonts w:ascii="方正小标宋简体" w:hAnsi="方正小标宋简体" w:eastAsia="方正小标宋简体" w:cs="方正小标宋简体"/>
      <w:sz w:val="44"/>
      <w:szCs w:val="44"/>
      <w:lang w:val="en-US" w:eastAsia="zh-CN" w:bidi="ar-SA"/>
    </w:rPr>
  </w:style>
  <w:style w:type="paragraph" w:styleId="11">
    <w:name w:val="Body Text First Indent 2"/>
    <w:basedOn w:val="7"/>
    <w:next w:val="12"/>
    <w:qFormat/>
    <w:uiPriority w:val="0"/>
    <w:pPr>
      <w:ind w:firstLine="420" w:firstLineChars="200"/>
    </w:pPr>
  </w:style>
  <w:style w:type="paragraph" w:customStyle="1" w:styleId="12">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15">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插入式样"/>
    <w:basedOn w:val="1"/>
    <w:qFormat/>
    <w:uiPriority w:val="99"/>
    <w:pPr>
      <w:spacing w:line="360" w:lineRule="auto"/>
      <w:ind w:firstLine="480" w:firstLineChars="200"/>
    </w:pPr>
    <w:rPr>
      <w:rFonts w:ascii="宋体" w:hAnsi="宋体"/>
      <w:bCs/>
      <w:kern w:val="0"/>
    </w:rPr>
  </w:style>
  <w:style w:type="table" w:customStyle="1" w:styleId="17">
    <w:name w:val="网格型_0"/>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8">
    <w:name w:val="NormalCharacter"/>
    <w:qFormat/>
    <w:uiPriority w:val="0"/>
    <w:rPr>
      <w:rFonts w:ascii="Times New Roman" w:hAnsi="Times New Roman" w:eastAsia="宋体" w:cs="Times New Roman"/>
      <w:kern w:val="2"/>
      <w:sz w:val="21"/>
      <w:szCs w:val="24"/>
      <w:lang w:val="en-US" w:eastAsia="zh-CN" w:bidi="ar-SA"/>
    </w:rPr>
  </w:style>
  <w:style w:type="paragraph" w:customStyle="1" w:styleId="19">
    <w:name w:val="样式2"/>
    <w:basedOn w:val="20"/>
    <w:qFormat/>
    <w:uiPriority w:val="0"/>
    <w:pPr>
      <w:tabs>
        <w:tab w:val="left" w:pos="360"/>
      </w:tabs>
      <w:outlineLvl w:val="2"/>
    </w:pPr>
  </w:style>
  <w:style w:type="paragraph" w:customStyle="1" w:styleId="20">
    <w:name w:val="样式1"/>
    <w:basedOn w:val="1"/>
    <w:next w:val="1"/>
    <w:qFormat/>
    <w:uiPriority w:val="0"/>
    <w:pPr>
      <w:tabs>
        <w:tab w:val="left" w:pos="360"/>
      </w:tabs>
      <w:adjustRightInd w:val="0"/>
      <w:ind w:left="360" w:hanging="360"/>
      <w:textAlignment w:val="baseline"/>
    </w:pPr>
    <w:rPr>
      <w:rFonts w:ascii="宋体" w:hAnsi="宋体"/>
      <w:kern w:val="0"/>
      <w:sz w:val="2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2026-09-22T03:36:09Z</dcterms:created>
  <dc:creator>Administrator</dc:creator>
  <cp:lastModifiedBy>雨下有辰</cp:lastModifiedBy>
  <dcterms:modified xsi:type="dcterms:W3CDTF">2026-09-22T03:36:23Z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eyJoZGlkIjoiMzk1NTc4ZWVhNWY4Y2Y4MzQ0N2VjYjE4N2Y5M2QxZDYiLCJ1c2VySWQiOiIzNzg2ODk4NjgifQ==</vt:lpwstr>
  </property>
  <property fmtid="{D5CDD505-2E9C-101B-9397-08002B2CF9AE}" pid="4" name="ICV">
    <vt:lpwstr>B62DE5018AAC41B1B11B0BECF766E990_12</vt:lpwstr>
  </property>
</Properties>
</file>