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98CEFC">
      <w:pPr>
        <w:widowControl/>
        <w:tabs>
          <w:tab w:val="left" w:pos="1342"/>
        </w:tabs>
        <w:snapToGrid w:val="0"/>
        <w:spacing w:after="0" w:line="360" w:lineRule="auto"/>
        <w:ind w:left="0"/>
        <w:contextualSpacing/>
        <w:jc w:val="center"/>
        <w:textAlignment w:val="baseline"/>
        <w:outlineLvl w:val="1"/>
        <w:rPr>
          <w:rFonts w:hint="eastAsia" w:ascii="宋体" w:hAnsi="宋体" w:eastAsia="宋体" w:cs="华文中宋"/>
          <w:b/>
          <w:color w:val="000000"/>
          <w:kern w:val="0"/>
          <w:sz w:val="32"/>
          <w:szCs w:val="32"/>
          <w:highlight w:val="none"/>
          <w:lang w:val="en-US" w:eastAsia="zh-CN" w:bidi="ar-SA"/>
        </w:rPr>
      </w:pPr>
      <w:r>
        <w:rPr>
          <w:rFonts w:hint="eastAsia" w:ascii="宋体" w:hAnsi="宋体" w:eastAsia="宋体" w:cs="华文中宋"/>
          <w:b/>
          <w:color w:val="000000"/>
          <w:kern w:val="0"/>
          <w:sz w:val="32"/>
          <w:szCs w:val="32"/>
          <w:highlight w:val="none"/>
          <w:lang w:val="en-US" w:eastAsia="zh-CN" w:bidi="ar-SA"/>
        </w:rPr>
        <w:t>第四章 技术规格、参数及要求</w:t>
      </w:r>
      <w:r>
        <w:rPr>
          <w:rFonts w:hint="eastAsia" w:ascii="宋体" w:hAnsi="宋体" w:eastAsia="宋体" w:cs="华文中宋"/>
          <w:b/>
          <w:color w:val="000000"/>
          <w:kern w:val="0"/>
          <w:sz w:val="32"/>
          <w:szCs w:val="32"/>
          <w:highlight w:val="none"/>
          <w:lang w:val="en-US" w:eastAsia="zh-CN" w:bidi="ar-SA"/>
        </w:rPr>
        <w:br w:type="textWrapping"/>
      </w:r>
      <w:bookmarkStart w:id="0" w:name="_Hlk206569330"/>
    </w:p>
    <w:p w14:paraId="62A6CD4D">
      <w:pPr>
        <w:widowControl/>
        <w:tabs>
          <w:tab w:val="left" w:pos="1342"/>
        </w:tabs>
        <w:snapToGrid w:val="0"/>
        <w:spacing w:after="0" w:line="360" w:lineRule="auto"/>
        <w:ind w:left="0"/>
        <w:contextualSpacing/>
        <w:jc w:val="center"/>
        <w:textAlignment w:val="baseline"/>
        <w:outlineLvl w:val="1"/>
        <w:rPr>
          <w:rFonts w:hint="eastAsia" w:ascii="宋体" w:hAnsi="宋体" w:eastAsia="宋体" w:cs="宋体"/>
          <w:b/>
          <w:bCs/>
          <w:color w:val="000000"/>
          <w:kern w:val="0"/>
          <w:sz w:val="28"/>
          <w:szCs w:val="24"/>
          <w:highlight w:val="none"/>
          <w:lang w:val="en-US" w:eastAsia="zh-CN" w:bidi="ar-SA"/>
        </w:rPr>
      </w:pPr>
      <w:r>
        <w:rPr>
          <w:rFonts w:hint="eastAsia" w:ascii="宋体" w:hAnsi="宋体" w:eastAsia="宋体" w:cs="宋体"/>
          <w:b/>
          <w:bCs/>
          <w:color w:val="000000"/>
          <w:kern w:val="0"/>
          <w:sz w:val="28"/>
          <w:szCs w:val="24"/>
          <w:highlight w:val="none"/>
          <w:lang w:val="en-US" w:eastAsia="zh-CN" w:bidi="ar-SA"/>
        </w:rPr>
        <w:t>第一节  服务内容一览表</w:t>
      </w:r>
    </w:p>
    <w:tbl>
      <w:tblPr>
        <w:tblStyle w:val="2"/>
        <w:tblW w:w="10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3"/>
        <w:gridCol w:w="2275"/>
        <w:gridCol w:w="995"/>
        <w:gridCol w:w="1337"/>
        <w:gridCol w:w="1772"/>
        <w:gridCol w:w="1939"/>
        <w:gridCol w:w="1397"/>
      </w:tblGrid>
      <w:tr w14:paraId="31276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1" w:hRule="atLeast"/>
          <w:jc w:val="center"/>
        </w:trPr>
        <w:tc>
          <w:tcPr>
            <w:tcW w:w="1103" w:type="dxa"/>
            <w:noWrap w:val="0"/>
            <w:vAlign w:val="center"/>
          </w:tcPr>
          <w:p w14:paraId="607CEE8E">
            <w:pPr>
              <w:adjustRightInd w:val="0"/>
              <w:snapToGrid w:val="0"/>
              <w:jc w:val="center"/>
              <w:rPr>
                <w:rFonts w:hint="eastAsia" w:ascii="宋体" w:hAnsi="宋体" w:eastAsia="宋体" w:cs="Times New Roman"/>
                <w:b/>
                <w:bCs/>
                <w:color w:val="000000"/>
                <w:sz w:val="24"/>
                <w:highlight w:val="none"/>
                <w:lang w:eastAsia="zh-CN"/>
              </w:rPr>
            </w:pPr>
            <w:r>
              <w:rPr>
                <w:rFonts w:hint="eastAsia" w:ascii="宋体" w:hAnsi="宋体" w:eastAsia="宋体" w:cs="Times New Roman"/>
                <w:b/>
                <w:bCs/>
                <w:color w:val="000000"/>
                <w:sz w:val="24"/>
                <w:highlight w:val="none"/>
                <w:lang w:val="en-US" w:eastAsia="zh-CN"/>
              </w:rPr>
              <w:t>包名称</w:t>
            </w:r>
          </w:p>
        </w:tc>
        <w:tc>
          <w:tcPr>
            <w:tcW w:w="2275" w:type="dxa"/>
            <w:noWrap w:val="0"/>
            <w:vAlign w:val="center"/>
          </w:tcPr>
          <w:p w14:paraId="74C2E280">
            <w:pPr>
              <w:adjustRightInd w:val="0"/>
              <w:snapToGrid w:val="0"/>
              <w:jc w:val="center"/>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lang w:val="en-US" w:eastAsia="zh-CN"/>
              </w:rPr>
              <w:t>标的名称</w:t>
            </w:r>
          </w:p>
        </w:tc>
        <w:tc>
          <w:tcPr>
            <w:tcW w:w="995" w:type="dxa"/>
            <w:noWrap w:val="0"/>
            <w:vAlign w:val="center"/>
          </w:tcPr>
          <w:p w14:paraId="6C7BA846">
            <w:pPr>
              <w:adjustRightInd w:val="0"/>
              <w:snapToGrid w:val="0"/>
              <w:jc w:val="center"/>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数量</w:t>
            </w:r>
          </w:p>
        </w:tc>
        <w:tc>
          <w:tcPr>
            <w:tcW w:w="1337" w:type="dxa"/>
            <w:noWrap w:val="0"/>
            <w:vAlign w:val="center"/>
          </w:tcPr>
          <w:p w14:paraId="3508AD48">
            <w:pPr>
              <w:adjustRightInd w:val="0"/>
              <w:snapToGrid w:val="0"/>
              <w:jc w:val="center"/>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进口/国产</w:t>
            </w:r>
          </w:p>
        </w:tc>
        <w:tc>
          <w:tcPr>
            <w:tcW w:w="1772" w:type="dxa"/>
            <w:noWrap w:val="0"/>
            <w:vAlign w:val="center"/>
          </w:tcPr>
          <w:p w14:paraId="21C67FF7">
            <w:pPr>
              <w:adjustRightInd w:val="0"/>
              <w:snapToGrid w:val="0"/>
              <w:jc w:val="center"/>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预算金额（元）</w:t>
            </w:r>
          </w:p>
        </w:tc>
        <w:tc>
          <w:tcPr>
            <w:tcW w:w="1939" w:type="dxa"/>
            <w:noWrap w:val="0"/>
            <w:vAlign w:val="center"/>
          </w:tcPr>
          <w:p w14:paraId="559E0DA6">
            <w:pPr>
              <w:adjustRightInd w:val="0"/>
              <w:snapToGrid w:val="0"/>
              <w:jc w:val="center"/>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最高限价（元）</w:t>
            </w:r>
          </w:p>
        </w:tc>
        <w:tc>
          <w:tcPr>
            <w:tcW w:w="1397" w:type="dxa"/>
            <w:noWrap w:val="0"/>
            <w:vAlign w:val="center"/>
          </w:tcPr>
          <w:p w14:paraId="3FC77825">
            <w:pPr>
              <w:adjustRightInd w:val="0"/>
              <w:snapToGrid w:val="0"/>
              <w:jc w:val="center"/>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说明</w:t>
            </w:r>
          </w:p>
        </w:tc>
      </w:tr>
      <w:tr w14:paraId="6D5A1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5" w:hRule="atLeast"/>
          <w:jc w:val="center"/>
        </w:trPr>
        <w:tc>
          <w:tcPr>
            <w:tcW w:w="1103" w:type="dxa"/>
            <w:noWrap w:val="0"/>
            <w:vAlign w:val="center"/>
          </w:tcPr>
          <w:p w14:paraId="519210FF">
            <w:pPr>
              <w:adjustRightInd w:val="0"/>
              <w:snapToGrid w:val="0"/>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包1</w:t>
            </w:r>
          </w:p>
        </w:tc>
        <w:tc>
          <w:tcPr>
            <w:tcW w:w="2275" w:type="dxa"/>
            <w:noWrap w:val="0"/>
            <w:vAlign w:val="center"/>
          </w:tcPr>
          <w:p w14:paraId="67D6CE95">
            <w:pPr>
              <w:adjustRightInd w:val="0"/>
              <w:snapToGrid w:val="0"/>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奥林巴斯内镜</w:t>
            </w:r>
          </w:p>
          <w:p w14:paraId="6231D091">
            <w:pPr>
              <w:adjustRightInd w:val="0"/>
              <w:snapToGrid w:val="0"/>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维保服务</w:t>
            </w:r>
          </w:p>
        </w:tc>
        <w:tc>
          <w:tcPr>
            <w:tcW w:w="995" w:type="dxa"/>
            <w:noWrap w:val="0"/>
            <w:vAlign w:val="center"/>
          </w:tcPr>
          <w:p w14:paraId="4A7258A3">
            <w:pPr>
              <w:adjustRightInd w:val="0"/>
              <w:snapToGrid w:val="0"/>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w:t>
            </w:r>
          </w:p>
        </w:tc>
        <w:tc>
          <w:tcPr>
            <w:tcW w:w="1337" w:type="dxa"/>
            <w:noWrap w:val="0"/>
            <w:vAlign w:val="center"/>
          </w:tcPr>
          <w:p w14:paraId="0E08F884">
            <w:pPr>
              <w:adjustRightInd w:val="0"/>
              <w:snapToGrid w:val="0"/>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国产</w:t>
            </w:r>
          </w:p>
        </w:tc>
        <w:tc>
          <w:tcPr>
            <w:tcW w:w="1772" w:type="dxa"/>
            <w:noWrap w:val="0"/>
            <w:vAlign w:val="center"/>
          </w:tcPr>
          <w:p w14:paraId="12C9F21F">
            <w:pPr>
              <w:adjustRightInd w:val="0"/>
              <w:snapToGrid w:val="0"/>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1400000.00</w:t>
            </w:r>
          </w:p>
        </w:tc>
        <w:tc>
          <w:tcPr>
            <w:tcW w:w="1939" w:type="dxa"/>
            <w:noWrap w:val="0"/>
            <w:vAlign w:val="center"/>
          </w:tcPr>
          <w:p w14:paraId="0E020B15">
            <w:pPr>
              <w:adjustRightInd w:val="0"/>
              <w:snapToGrid w:val="0"/>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1400000.00</w:t>
            </w:r>
          </w:p>
        </w:tc>
        <w:tc>
          <w:tcPr>
            <w:tcW w:w="1397" w:type="dxa"/>
            <w:vMerge w:val="restart"/>
            <w:noWrap w:val="0"/>
            <w:vAlign w:val="center"/>
          </w:tcPr>
          <w:p w14:paraId="021D9538">
            <w:pPr>
              <w:adjustRightInd w:val="0"/>
              <w:snapToGrid w:val="0"/>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投标报价均不允许超过服务内容一览表制定的最高限价单价及总价</w:t>
            </w:r>
          </w:p>
        </w:tc>
      </w:tr>
      <w:tr w14:paraId="1581F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21" w:hRule="atLeast"/>
          <w:jc w:val="center"/>
        </w:trPr>
        <w:tc>
          <w:tcPr>
            <w:tcW w:w="1103" w:type="dxa"/>
            <w:noWrap w:val="0"/>
            <w:vAlign w:val="center"/>
          </w:tcPr>
          <w:p w14:paraId="0103E022">
            <w:pPr>
              <w:adjustRightInd w:val="0"/>
              <w:snapToGrid w:val="0"/>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包2</w:t>
            </w:r>
          </w:p>
        </w:tc>
        <w:tc>
          <w:tcPr>
            <w:tcW w:w="2275" w:type="dxa"/>
            <w:noWrap w:val="0"/>
            <w:vAlign w:val="center"/>
          </w:tcPr>
          <w:p w14:paraId="083ED6F5">
            <w:pPr>
              <w:adjustRightInd w:val="0"/>
              <w:snapToGrid w:val="0"/>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GE64排CT（Optima CT680 Expert）、GE256排超高端CT（Revolution CT）维保服务</w:t>
            </w:r>
          </w:p>
        </w:tc>
        <w:tc>
          <w:tcPr>
            <w:tcW w:w="995" w:type="dxa"/>
            <w:noWrap w:val="0"/>
            <w:vAlign w:val="center"/>
          </w:tcPr>
          <w:p w14:paraId="014B8CF1">
            <w:pPr>
              <w:adjustRightInd w:val="0"/>
              <w:snapToGrid w:val="0"/>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w:t>
            </w:r>
          </w:p>
        </w:tc>
        <w:tc>
          <w:tcPr>
            <w:tcW w:w="1337" w:type="dxa"/>
            <w:noWrap w:val="0"/>
            <w:vAlign w:val="center"/>
          </w:tcPr>
          <w:p w14:paraId="48CAE585">
            <w:pPr>
              <w:adjustRightInd w:val="0"/>
              <w:snapToGrid w:val="0"/>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国产</w:t>
            </w:r>
          </w:p>
        </w:tc>
        <w:tc>
          <w:tcPr>
            <w:tcW w:w="1772" w:type="dxa"/>
            <w:noWrap w:val="0"/>
            <w:vAlign w:val="center"/>
          </w:tcPr>
          <w:p w14:paraId="0E1B229B">
            <w:pPr>
              <w:adjustRightInd w:val="0"/>
              <w:snapToGrid w:val="0"/>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4700000.00</w:t>
            </w:r>
          </w:p>
        </w:tc>
        <w:tc>
          <w:tcPr>
            <w:tcW w:w="1939" w:type="dxa"/>
            <w:noWrap w:val="0"/>
            <w:vAlign w:val="center"/>
          </w:tcPr>
          <w:p w14:paraId="0476AAA2">
            <w:pPr>
              <w:adjustRightInd w:val="0"/>
              <w:snapToGrid w:val="0"/>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4700000.00</w:t>
            </w:r>
          </w:p>
        </w:tc>
        <w:tc>
          <w:tcPr>
            <w:tcW w:w="1397" w:type="dxa"/>
            <w:vMerge w:val="continue"/>
            <w:noWrap w:val="0"/>
            <w:vAlign w:val="center"/>
          </w:tcPr>
          <w:p w14:paraId="36296395">
            <w:pPr>
              <w:adjustRightInd w:val="0"/>
              <w:snapToGrid w:val="0"/>
              <w:jc w:val="center"/>
              <w:rPr>
                <w:rFonts w:hint="eastAsia" w:ascii="宋体" w:hAnsi="宋体" w:eastAsia="宋体" w:cs="宋体"/>
                <w:sz w:val="24"/>
                <w:highlight w:val="none"/>
                <w:lang w:val="en-US" w:eastAsia="zh-CN"/>
              </w:rPr>
            </w:pPr>
          </w:p>
        </w:tc>
      </w:tr>
      <w:tr w14:paraId="14B4C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02" w:hRule="atLeast"/>
          <w:jc w:val="center"/>
        </w:trPr>
        <w:tc>
          <w:tcPr>
            <w:tcW w:w="1103" w:type="dxa"/>
            <w:noWrap w:val="0"/>
            <w:vAlign w:val="center"/>
          </w:tcPr>
          <w:p w14:paraId="67EAC3DD">
            <w:pPr>
              <w:adjustRightInd w:val="0"/>
              <w:snapToGrid w:val="0"/>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包3</w:t>
            </w:r>
          </w:p>
        </w:tc>
        <w:tc>
          <w:tcPr>
            <w:tcW w:w="2275" w:type="dxa"/>
            <w:noWrap w:val="0"/>
            <w:vAlign w:val="center"/>
          </w:tcPr>
          <w:p w14:paraId="6B3C3B5A">
            <w:pPr>
              <w:adjustRightInd w:val="0"/>
              <w:snapToGrid w:val="0"/>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介入医学科DSA机维保（新院区飞利浦7M12DSA）</w:t>
            </w:r>
          </w:p>
        </w:tc>
        <w:tc>
          <w:tcPr>
            <w:tcW w:w="995" w:type="dxa"/>
            <w:noWrap w:val="0"/>
            <w:vAlign w:val="center"/>
          </w:tcPr>
          <w:p w14:paraId="21B60AAA">
            <w:pPr>
              <w:adjustRightInd w:val="0"/>
              <w:snapToGrid w:val="0"/>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w:t>
            </w:r>
          </w:p>
        </w:tc>
        <w:tc>
          <w:tcPr>
            <w:tcW w:w="1337" w:type="dxa"/>
            <w:noWrap w:val="0"/>
            <w:vAlign w:val="center"/>
          </w:tcPr>
          <w:p w14:paraId="672E6CC0">
            <w:pPr>
              <w:adjustRightInd w:val="0"/>
              <w:snapToGrid w:val="0"/>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国产</w:t>
            </w:r>
          </w:p>
        </w:tc>
        <w:tc>
          <w:tcPr>
            <w:tcW w:w="1772" w:type="dxa"/>
            <w:noWrap w:val="0"/>
            <w:vAlign w:val="center"/>
          </w:tcPr>
          <w:p w14:paraId="0C044984">
            <w:pPr>
              <w:adjustRightInd w:val="0"/>
              <w:snapToGrid w:val="0"/>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1500000.00</w:t>
            </w:r>
          </w:p>
        </w:tc>
        <w:tc>
          <w:tcPr>
            <w:tcW w:w="1939" w:type="dxa"/>
            <w:noWrap w:val="0"/>
            <w:vAlign w:val="center"/>
          </w:tcPr>
          <w:p w14:paraId="0D9E5A34">
            <w:pPr>
              <w:adjustRightInd w:val="0"/>
              <w:snapToGrid w:val="0"/>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1500000.00</w:t>
            </w:r>
          </w:p>
        </w:tc>
        <w:tc>
          <w:tcPr>
            <w:tcW w:w="1397" w:type="dxa"/>
            <w:vMerge w:val="continue"/>
            <w:noWrap w:val="0"/>
            <w:vAlign w:val="center"/>
          </w:tcPr>
          <w:p w14:paraId="65A8DC69">
            <w:pPr>
              <w:adjustRightInd w:val="0"/>
              <w:snapToGrid w:val="0"/>
              <w:jc w:val="center"/>
              <w:rPr>
                <w:rFonts w:hint="eastAsia" w:ascii="宋体" w:hAnsi="宋体" w:eastAsia="宋体" w:cs="宋体"/>
                <w:sz w:val="24"/>
                <w:highlight w:val="none"/>
                <w:lang w:val="en-US" w:eastAsia="zh-CN"/>
              </w:rPr>
            </w:pPr>
          </w:p>
        </w:tc>
      </w:tr>
    </w:tbl>
    <w:p w14:paraId="038D3517">
      <w:pPr>
        <w:adjustRightInd w:val="0"/>
        <w:snapToGrid w:val="0"/>
        <w:spacing w:line="360" w:lineRule="auto"/>
        <w:ind w:firstLine="220" w:firstLineChars="100"/>
        <w:rPr>
          <w:rFonts w:hint="eastAsia" w:ascii="宋体" w:hAnsi="宋体" w:eastAsia="宋体" w:cs="Arial"/>
          <w:color w:val="000000"/>
          <w:kern w:val="0"/>
          <w:sz w:val="22"/>
          <w:szCs w:val="21"/>
          <w:highlight w:val="none"/>
        </w:rPr>
      </w:pPr>
      <w:r>
        <w:rPr>
          <w:rFonts w:hint="eastAsia" w:ascii="宋体" w:hAnsi="宋体" w:eastAsia="宋体" w:cs="Arial"/>
          <w:color w:val="000000"/>
          <w:kern w:val="0"/>
          <w:sz w:val="22"/>
          <w:szCs w:val="21"/>
          <w:highlight w:val="none"/>
        </w:rPr>
        <w:t>注：1、投标人必须对一个完整、独立的包进行投标，不得仅对一个包中的部分品目投标，否则</w:t>
      </w:r>
      <w:r>
        <w:rPr>
          <w:rFonts w:hint="eastAsia" w:ascii="宋体" w:hAnsi="宋体" w:eastAsia="宋体" w:cs="Arial"/>
          <w:b/>
          <w:bCs/>
          <w:color w:val="000000"/>
          <w:kern w:val="0"/>
          <w:sz w:val="22"/>
          <w:szCs w:val="21"/>
          <w:highlight w:val="none"/>
        </w:rPr>
        <w:t>投标无效</w:t>
      </w:r>
      <w:r>
        <w:rPr>
          <w:rFonts w:hint="eastAsia" w:ascii="宋体" w:hAnsi="宋体" w:eastAsia="宋体" w:cs="Arial"/>
          <w:color w:val="000000"/>
          <w:kern w:val="0"/>
          <w:sz w:val="22"/>
          <w:szCs w:val="21"/>
          <w:highlight w:val="none"/>
        </w:rPr>
        <w:t>。</w:t>
      </w:r>
    </w:p>
    <w:p w14:paraId="7B1A4FA5">
      <w:pPr>
        <w:adjustRightInd w:val="0"/>
        <w:snapToGrid w:val="0"/>
        <w:spacing w:line="360" w:lineRule="auto"/>
        <w:ind w:firstLine="220" w:firstLineChars="100"/>
        <w:rPr>
          <w:rFonts w:hint="eastAsia" w:ascii="宋体" w:hAnsi="宋体" w:eastAsia="宋体" w:cs="Arial"/>
          <w:color w:val="000000"/>
          <w:kern w:val="0"/>
          <w:sz w:val="22"/>
          <w:szCs w:val="21"/>
          <w:highlight w:val="none"/>
        </w:rPr>
      </w:pPr>
      <w:r>
        <w:rPr>
          <w:rFonts w:hint="eastAsia" w:ascii="宋体" w:hAnsi="宋体" w:eastAsia="宋体" w:cs="Arial"/>
          <w:color w:val="000000"/>
          <w:kern w:val="0"/>
          <w:sz w:val="22"/>
          <w:szCs w:val="21"/>
          <w:highlight w:val="none"/>
        </w:rPr>
        <w:t>2、投标人所投产品与采购清单产品名称不一致的，需在《开标一览表》单独注明。</w:t>
      </w:r>
    </w:p>
    <w:p w14:paraId="672D0437">
      <w:pPr>
        <w:adjustRightInd w:val="0"/>
        <w:snapToGrid w:val="0"/>
        <w:spacing w:line="360" w:lineRule="auto"/>
        <w:ind w:firstLine="220" w:firstLineChars="100"/>
        <w:rPr>
          <w:rFonts w:hint="eastAsia" w:ascii="宋体" w:hAnsi="宋体" w:eastAsia="宋体" w:cs="Arial"/>
          <w:color w:val="000000"/>
          <w:kern w:val="0"/>
          <w:sz w:val="22"/>
          <w:szCs w:val="21"/>
          <w:highlight w:val="none"/>
        </w:rPr>
      </w:pPr>
      <w:r>
        <w:rPr>
          <w:rFonts w:hint="eastAsia" w:ascii="宋体" w:hAnsi="宋体" w:eastAsia="宋体" w:cs="Arial"/>
          <w:color w:val="000000"/>
          <w:kern w:val="0"/>
          <w:sz w:val="22"/>
          <w:szCs w:val="21"/>
          <w:highlight w:val="none"/>
        </w:rPr>
        <w:t>3、货物的主要技术参数或规格：详见“技术要求”中的具体技术参数。</w:t>
      </w:r>
    </w:p>
    <w:p w14:paraId="57F8A917">
      <w:pPr>
        <w:widowControl/>
        <w:tabs>
          <w:tab w:val="left" w:pos="1342"/>
        </w:tabs>
        <w:snapToGrid w:val="0"/>
        <w:spacing w:after="0" w:line="360" w:lineRule="auto"/>
        <w:ind w:left="720"/>
        <w:contextualSpacing/>
        <w:jc w:val="left"/>
        <w:textAlignment w:val="baseline"/>
        <w:rPr>
          <w:rFonts w:ascii="宋体" w:hAnsi="宋体" w:eastAsia="宋体" w:cs="Arial"/>
          <w:color w:val="000000"/>
          <w:kern w:val="0"/>
          <w:sz w:val="22"/>
          <w:szCs w:val="21"/>
          <w:highlight w:val="none"/>
          <w:lang w:val="en-US" w:eastAsia="zh-CN" w:bidi="ar-SA"/>
        </w:rPr>
      </w:pPr>
    </w:p>
    <w:p w14:paraId="1C36196D">
      <w:pPr>
        <w:widowControl/>
        <w:tabs>
          <w:tab w:val="left" w:pos="1342"/>
        </w:tabs>
        <w:snapToGrid w:val="0"/>
        <w:spacing w:after="0" w:line="360" w:lineRule="auto"/>
        <w:ind w:left="0"/>
        <w:contextualSpacing/>
        <w:jc w:val="left"/>
        <w:textAlignment w:val="baseline"/>
        <w:outlineLvl w:val="9"/>
        <w:rPr>
          <w:rFonts w:ascii="宋体" w:hAnsi="宋体" w:eastAsia="宋体" w:cs="宋体"/>
          <w:b/>
          <w:bCs/>
          <w:color w:val="000000"/>
          <w:kern w:val="0"/>
          <w:sz w:val="24"/>
          <w:szCs w:val="22"/>
          <w:highlight w:val="none"/>
          <w:lang w:val="en-US" w:eastAsia="zh-CN" w:bidi="ar-SA"/>
        </w:rPr>
      </w:pPr>
    </w:p>
    <w:p w14:paraId="07E7FFD2">
      <w:pPr>
        <w:widowControl/>
        <w:tabs>
          <w:tab w:val="left" w:pos="1342"/>
        </w:tabs>
        <w:spacing w:before="67" w:after="200" w:line="288" w:lineRule="auto"/>
        <w:ind w:left="0"/>
        <w:contextualSpacing/>
        <w:jc w:val="center"/>
        <w:textAlignment w:val="baseline"/>
        <w:outlineLvl w:val="9"/>
        <w:rPr>
          <w:rFonts w:hint="eastAsia" w:ascii="宋体" w:hAnsi="宋体" w:eastAsia="宋体" w:cs="宋体"/>
          <w:b/>
          <w:bCs/>
          <w:kern w:val="0"/>
          <w:sz w:val="24"/>
          <w:szCs w:val="22"/>
          <w:highlight w:val="none"/>
          <w:lang w:val="en-US" w:eastAsia="zh-CN" w:bidi="ar-SA"/>
        </w:rPr>
      </w:pPr>
    </w:p>
    <w:p w14:paraId="09005111">
      <w:pPr>
        <w:widowControl/>
        <w:tabs>
          <w:tab w:val="left" w:pos="1342"/>
        </w:tabs>
        <w:spacing w:before="67" w:after="200" w:line="288" w:lineRule="auto"/>
        <w:ind w:left="0"/>
        <w:contextualSpacing/>
        <w:jc w:val="center"/>
        <w:textAlignment w:val="baseline"/>
        <w:outlineLvl w:val="9"/>
        <w:rPr>
          <w:rFonts w:hint="eastAsia" w:ascii="宋体" w:hAnsi="宋体" w:eastAsia="宋体" w:cs="宋体"/>
          <w:b/>
          <w:bCs/>
          <w:kern w:val="0"/>
          <w:sz w:val="24"/>
          <w:szCs w:val="22"/>
          <w:highlight w:val="none"/>
          <w:lang w:val="en-US" w:eastAsia="zh-CN" w:bidi="ar-SA"/>
        </w:rPr>
      </w:pPr>
    </w:p>
    <w:p w14:paraId="6D1A20B3">
      <w:pPr>
        <w:widowControl/>
        <w:tabs>
          <w:tab w:val="left" w:pos="1342"/>
        </w:tabs>
        <w:spacing w:before="67" w:after="200" w:line="288" w:lineRule="auto"/>
        <w:ind w:left="0"/>
        <w:contextualSpacing/>
        <w:jc w:val="center"/>
        <w:textAlignment w:val="baseline"/>
        <w:outlineLvl w:val="9"/>
        <w:rPr>
          <w:rFonts w:hint="eastAsia" w:ascii="宋体" w:hAnsi="宋体" w:eastAsia="宋体" w:cs="宋体"/>
          <w:b/>
          <w:bCs/>
          <w:kern w:val="0"/>
          <w:sz w:val="24"/>
          <w:szCs w:val="22"/>
          <w:highlight w:val="none"/>
          <w:lang w:val="en-US" w:eastAsia="zh-CN" w:bidi="ar-SA"/>
        </w:rPr>
      </w:pPr>
    </w:p>
    <w:p w14:paraId="2724D904">
      <w:pPr>
        <w:widowControl/>
        <w:tabs>
          <w:tab w:val="left" w:pos="1342"/>
        </w:tabs>
        <w:spacing w:before="67" w:after="200" w:line="288" w:lineRule="auto"/>
        <w:ind w:left="0"/>
        <w:contextualSpacing/>
        <w:jc w:val="center"/>
        <w:textAlignment w:val="baseline"/>
        <w:outlineLvl w:val="9"/>
        <w:rPr>
          <w:rFonts w:hint="eastAsia" w:ascii="宋体" w:hAnsi="宋体" w:eastAsia="宋体" w:cs="宋体"/>
          <w:b/>
          <w:bCs/>
          <w:kern w:val="0"/>
          <w:sz w:val="24"/>
          <w:szCs w:val="22"/>
          <w:highlight w:val="none"/>
          <w:lang w:val="en-US" w:eastAsia="zh-CN" w:bidi="ar-SA"/>
        </w:rPr>
      </w:pPr>
    </w:p>
    <w:p w14:paraId="1B32EA9E">
      <w:pPr>
        <w:widowControl/>
        <w:tabs>
          <w:tab w:val="left" w:pos="1342"/>
        </w:tabs>
        <w:spacing w:before="67" w:after="200" w:line="288" w:lineRule="auto"/>
        <w:ind w:left="0"/>
        <w:contextualSpacing/>
        <w:jc w:val="center"/>
        <w:textAlignment w:val="baseline"/>
        <w:outlineLvl w:val="9"/>
        <w:rPr>
          <w:rFonts w:hint="eastAsia" w:ascii="宋体" w:hAnsi="宋体" w:eastAsia="宋体" w:cs="宋体"/>
          <w:b/>
          <w:bCs/>
          <w:kern w:val="0"/>
          <w:sz w:val="24"/>
          <w:szCs w:val="22"/>
          <w:highlight w:val="none"/>
          <w:lang w:val="en-US" w:eastAsia="zh-CN" w:bidi="ar-SA"/>
        </w:rPr>
      </w:pPr>
    </w:p>
    <w:p w14:paraId="41D1FCE0">
      <w:pPr>
        <w:widowControl/>
        <w:tabs>
          <w:tab w:val="left" w:pos="1342"/>
        </w:tabs>
        <w:spacing w:before="67" w:after="200" w:line="288" w:lineRule="auto"/>
        <w:ind w:left="0"/>
        <w:contextualSpacing/>
        <w:jc w:val="center"/>
        <w:textAlignment w:val="baseline"/>
        <w:outlineLvl w:val="9"/>
        <w:rPr>
          <w:rFonts w:hint="eastAsia" w:ascii="宋体" w:hAnsi="宋体" w:eastAsia="宋体" w:cs="宋体"/>
          <w:b/>
          <w:bCs/>
          <w:kern w:val="0"/>
          <w:sz w:val="24"/>
          <w:szCs w:val="22"/>
          <w:highlight w:val="none"/>
          <w:lang w:val="en-US" w:eastAsia="zh-CN" w:bidi="ar-SA"/>
        </w:rPr>
      </w:pPr>
    </w:p>
    <w:p w14:paraId="2ADBBBD3">
      <w:pPr>
        <w:widowControl/>
        <w:tabs>
          <w:tab w:val="left" w:pos="1342"/>
        </w:tabs>
        <w:spacing w:before="67" w:after="200" w:line="288" w:lineRule="auto"/>
        <w:ind w:left="0"/>
        <w:contextualSpacing/>
        <w:jc w:val="center"/>
        <w:textAlignment w:val="baseline"/>
        <w:outlineLvl w:val="9"/>
        <w:rPr>
          <w:rFonts w:hint="eastAsia" w:ascii="宋体" w:hAnsi="宋体" w:eastAsia="宋体" w:cs="宋体"/>
          <w:b/>
          <w:bCs/>
          <w:kern w:val="0"/>
          <w:sz w:val="24"/>
          <w:szCs w:val="22"/>
          <w:highlight w:val="none"/>
          <w:lang w:val="en-US" w:eastAsia="zh-CN" w:bidi="ar-SA"/>
        </w:rPr>
      </w:pPr>
    </w:p>
    <w:p w14:paraId="102B563F">
      <w:pPr>
        <w:widowControl/>
        <w:tabs>
          <w:tab w:val="left" w:pos="1342"/>
        </w:tabs>
        <w:spacing w:before="67" w:after="200" w:line="288" w:lineRule="auto"/>
        <w:ind w:left="0"/>
        <w:contextualSpacing/>
        <w:jc w:val="center"/>
        <w:textAlignment w:val="baseline"/>
        <w:outlineLvl w:val="9"/>
        <w:rPr>
          <w:rFonts w:hint="eastAsia" w:ascii="宋体" w:hAnsi="宋体" w:eastAsia="宋体" w:cs="宋体"/>
          <w:b/>
          <w:bCs/>
          <w:kern w:val="0"/>
          <w:sz w:val="24"/>
          <w:szCs w:val="22"/>
          <w:highlight w:val="none"/>
          <w:lang w:val="en-US" w:eastAsia="zh-CN" w:bidi="ar-SA"/>
        </w:rPr>
      </w:pPr>
    </w:p>
    <w:p w14:paraId="67460BD5">
      <w:pPr>
        <w:widowControl/>
        <w:tabs>
          <w:tab w:val="left" w:pos="1342"/>
        </w:tabs>
        <w:spacing w:before="67" w:after="200" w:line="288" w:lineRule="auto"/>
        <w:ind w:left="0"/>
        <w:contextualSpacing/>
        <w:jc w:val="center"/>
        <w:textAlignment w:val="baseline"/>
        <w:outlineLvl w:val="9"/>
        <w:rPr>
          <w:rFonts w:hint="eastAsia" w:ascii="宋体" w:hAnsi="宋体" w:eastAsia="宋体" w:cs="宋体"/>
          <w:b/>
          <w:bCs/>
          <w:kern w:val="0"/>
          <w:sz w:val="24"/>
          <w:szCs w:val="22"/>
          <w:highlight w:val="none"/>
          <w:lang w:val="en-US" w:eastAsia="zh-CN" w:bidi="ar-SA"/>
        </w:rPr>
      </w:pPr>
    </w:p>
    <w:p w14:paraId="64EE4E6C">
      <w:pPr>
        <w:widowControl/>
        <w:tabs>
          <w:tab w:val="left" w:pos="1342"/>
        </w:tabs>
        <w:spacing w:before="67" w:after="200" w:line="288" w:lineRule="auto"/>
        <w:ind w:left="0"/>
        <w:contextualSpacing/>
        <w:jc w:val="both"/>
        <w:textAlignment w:val="baseline"/>
        <w:outlineLvl w:val="9"/>
        <w:rPr>
          <w:rFonts w:hint="eastAsia" w:ascii="宋体" w:hAnsi="宋体" w:eastAsia="宋体" w:cs="宋体"/>
          <w:b/>
          <w:bCs/>
          <w:kern w:val="0"/>
          <w:sz w:val="24"/>
          <w:szCs w:val="22"/>
          <w:highlight w:val="none"/>
          <w:lang w:val="en-US" w:eastAsia="zh-CN" w:bidi="ar-SA"/>
        </w:rPr>
      </w:pPr>
    </w:p>
    <w:p w14:paraId="021E0568">
      <w:pPr>
        <w:widowControl/>
        <w:tabs>
          <w:tab w:val="left" w:pos="1342"/>
        </w:tabs>
        <w:snapToGrid w:val="0"/>
        <w:spacing w:after="0" w:line="360" w:lineRule="auto"/>
        <w:ind w:left="0"/>
        <w:contextualSpacing/>
        <w:jc w:val="center"/>
        <w:textAlignment w:val="baseline"/>
        <w:outlineLvl w:val="1"/>
        <w:rPr>
          <w:rFonts w:hint="eastAsia" w:ascii="宋体" w:hAnsi="宋体" w:eastAsia="宋体" w:cs="宋体"/>
          <w:b/>
          <w:bCs/>
          <w:color w:val="000000"/>
          <w:kern w:val="0"/>
          <w:sz w:val="28"/>
          <w:szCs w:val="24"/>
          <w:highlight w:val="none"/>
          <w:lang w:val="en-US" w:eastAsia="zh-CN" w:bidi="ar-SA"/>
        </w:rPr>
      </w:pPr>
      <w:r>
        <w:rPr>
          <w:rFonts w:hint="eastAsia" w:ascii="宋体" w:hAnsi="宋体" w:eastAsia="宋体" w:cs="宋体"/>
          <w:b/>
          <w:bCs/>
          <w:color w:val="000000"/>
          <w:kern w:val="0"/>
          <w:sz w:val="28"/>
          <w:szCs w:val="24"/>
          <w:highlight w:val="none"/>
          <w:lang w:val="en-US" w:eastAsia="zh-CN" w:bidi="ar-SA"/>
        </w:rPr>
        <w:t>第二节  技术要求</w:t>
      </w:r>
    </w:p>
    <w:bookmarkEnd w:id="0"/>
    <w:p w14:paraId="7BC2DE66">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b/>
          <w:sz w:val="28"/>
          <w:szCs w:val="28"/>
          <w:highlight w:val="none"/>
          <w:lang w:val="en-US" w:eastAsia="zh-CN"/>
        </w:rPr>
        <w:t>包1：内镜维保服务要求</w:t>
      </w:r>
      <w:r>
        <w:rPr>
          <w:rFonts w:hint="eastAsia" w:ascii="宋体" w:hAnsi="宋体" w:eastAsia="宋体" w:cs="宋体"/>
          <w:b/>
          <w:sz w:val="28"/>
          <w:szCs w:val="28"/>
          <w:highlight w:val="none"/>
          <w:lang w:val="en-US" w:eastAsia="zh-CN"/>
        </w:rPr>
        <w:br w:type="textWrapping"/>
      </w:r>
      <w:r>
        <w:rPr>
          <w:rFonts w:hint="eastAsia" w:ascii="宋体" w:hAnsi="宋体" w:eastAsia="宋体" w:cs="宋体"/>
          <w:color w:val="000000"/>
          <w:kern w:val="0"/>
          <w:sz w:val="24"/>
          <w:szCs w:val="24"/>
          <w:highlight w:val="none"/>
        </w:rPr>
        <w:t>1.投标人每年提供不限次数的人工上门维修服务；提供一年至少4次的定期维护与保养，定期的维护保养服务项目包括：设备的机械安全检查、电气安全检查、影像质量检查、设备除尘保养、运行状态检查等。维修或保养完成后，投标人需提供维修报告、保养报告及质控报告等。</w:t>
      </w:r>
    </w:p>
    <w:p w14:paraId="6770C394">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▲2.售后服务时间：全年7*24小时：电话响应时间≤1小时；如内窥镜要送出医院维修则需要提供备用镜，备用内窥镜备用镜在下达通知的72小时内送货到位。</w:t>
      </w:r>
    </w:p>
    <w:p w14:paraId="0D6491F8">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3.在保修合同执行期间，如厂家有新的软硬件版本，且医院需要，则投标人将为医院升级，相关费用包含在投标报价中。</w:t>
      </w:r>
    </w:p>
    <w:p w14:paraId="5DA9E864">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rPr>
        <w:t>▲4.提供≥3名电子内镜专业维修工程师名单及联系方式（提供证书复印件及社保证明），工程师具备原厂有效期内的工作证书，并提供至少一名驻场联络人员</w:t>
      </w:r>
      <w:r>
        <w:rPr>
          <w:rFonts w:hint="eastAsia" w:ascii="宋体" w:hAnsi="宋体" w:eastAsia="宋体" w:cs="宋体"/>
          <w:color w:val="000000"/>
          <w:kern w:val="0"/>
          <w:sz w:val="24"/>
          <w:szCs w:val="24"/>
          <w:highlight w:val="none"/>
          <w:lang w:eastAsia="zh-CN"/>
        </w:rPr>
        <w:t>。</w:t>
      </w:r>
    </w:p>
    <w:p w14:paraId="2FAB2060">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rPr>
        <w:t>5.根据院方的需求，随时对附件内所列设备的使用、清洗和保养方法为院方提供院内培训</w:t>
      </w:r>
      <w:r>
        <w:rPr>
          <w:rFonts w:hint="eastAsia" w:ascii="宋体" w:hAnsi="宋体" w:eastAsia="宋体" w:cs="宋体"/>
          <w:color w:val="000000"/>
          <w:kern w:val="0"/>
          <w:sz w:val="24"/>
          <w:szCs w:val="24"/>
          <w:highlight w:val="none"/>
          <w:lang w:eastAsia="zh-CN"/>
        </w:rPr>
        <w:t>。</w:t>
      </w:r>
    </w:p>
    <w:p w14:paraId="0DA71064">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6.合同期内，医院将对投标人的服务质量进行考核（包括：软件安装升级、开机率、故障响应时间、故障排除时间及维保服务条款履行情况等），每半年为一个考核周期，若考核不合格，医院可解除合同并有权要求投标人赔偿由于设备停机造成的直接和间接损失。</w:t>
      </w:r>
    </w:p>
    <w:p w14:paraId="7F859C03">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▲7、本项目要求为返原厂维修，中标人在每次维修后需要提供原厂维修的证明文件。</w:t>
      </w:r>
    </w:p>
    <w:p w14:paraId="55CDD54C">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▲8、根据临床需求提供备用镜，备用镜为合格合规正常运行，符合临床使用需求。</w:t>
      </w:r>
    </w:p>
    <w:p w14:paraId="2F9BF041">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▲9、投标人承诺签订合同前具备原厂授权。</w:t>
      </w:r>
    </w:p>
    <w:p w14:paraId="75C687A3">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10、每年提供所保设备维修服务保养报告，提交医院备档。包含但不限于如下项目：</w:t>
      </w:r>
    </w:p>
    <w:p w14:paraId="5BE3555E">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①机器清洁；</w:t>
      </w:r>
    </w:p>
    <w:p w14:paraId="5DCAFC7B">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②性能测试及校准；</w:t>
      </w:r>
    </w:p>
    <w:p w14:paraId="39863D43">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③必要的机械或电气环境的检查；</w:t>
      </w:r>
    </w:p>
    <w:p w14:paraId="321246FD">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④提供计划性的定期维护报告，且经原厂资深专家审核合格。</w:t>
      </w:r>
    </w:p>
    <w:p w14:paraId="32C298D5">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11、预防性保养：提供定期保养计划（时间、工时、保养内容等）,与医院协商安排具体保养时间。</w:t>
      </w:r>
    </w:p>
    <w:p w14:paraId="23A7C775">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（1）执行原厂国际标准，提供一年2次定期点检。</w:t>
      </w:r>
    </w:p>
    <w:p w14:paraId="355285EC">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（2）提供定期巡回，3个月1次。</w:t>
      </w:r>
    </w:p>
    <w:p w14:paraId="4825CD35">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（3）提供1年1次的周边仪器除尘清洁服务，除尘清洁服务费用已包含在报价中（周边仪器是指维修范围清单内的周边仪器）。</w:t>
      </w:r>
    </w:p>
    <w:p w14:paraId="56B292F2">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（4）按照保养计划对所保设备进行定期点检、运行检测、除尘及内部清洁。</w:t>
      </w:r>
    </w:p>
    <w:p w14:paraId="541DBDB1">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（5）确认各项技术指标及性能。</w:t>
      </w:r>
    </w:p>
    <w:p w14:paraId="4D90C43F">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（6）记录设备状况，提出存在问题和解决方案。</w:t>
      </w:r>
    </w:p>
    <w:p w14:paraId="5F0B87AB">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（7）提供点检报告。</w:t>
      </w:r>
    </w:p>
    <w:p w14:paraId="1E2C080F">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（8）对设备的使用、清洗、和保养方法提供培训。</w:t>
      </w:r>
    </w:p>
    <w:p w14:paraId="5AFBAA60">
      <w:pPr>
        <w:adjustRightInd w:val="0"/>
        <w:snapToGrid w:val="0"/>
        <w:spacing w:line="440" w:lineRule="exact"/>
        <w:rPr>
          <w:rFonts w:hint="eastAsia" w:ascii="宋体" w:hAnsi="宋体" w:eastAsia="宋体" w:cs="宋体"/>
          <w:b/>
          <w:sz w:val="28"/>
          <w:szCs w:val="28"/>
          <w:highlight w:val="none"/>
          <w:lang w:val="en-US" w:eastAsia="zh-CN"/>
        </w:rPr>
      </w:pPr>
    </w:p>
    <w:p w14:paraId="0D0FF03F">
      <w:pPr>
        <w:adjustRightInd w:val="0"/>
        <w:snapToGrid w:val="0"/>
        <w:spacing w:line="440" w:lineRule="exact"/>
        <w:rPr>
          <w:rFonts w:hint="eastAsia" w:ascii="宋体" w:hAnsi="宋体" w:eastAsia="宋体" w:cs="宋体"/>
          <w:b/>
          <w:sz w:val="28"/>
          <w:szCs w:val="28"/>
          <w:highlight w:val="none"/>
          <w:lang w:val="en-US" w:eastAsia="zh-CN"/>
        </w:rPr>
      </w:pPr>
    </w:p>
    <w:p w14:paraId="47A63CD4">
      <w:pPr>
        <w:adjustRightInd w:val="0"/>
        <w:snapToGrid w:val="0"/>
        <w:spacing w:line="440" w:lineRule="exact"/>
        <w:rPr>
          <w:rFonts w:hint="eastAsia" w:ascii="宋体" w:hAnsi="宋体" w:eastAsia="宋体" w:cs="宋体"/>
          <w:b/>
          <w:sz w:val="28"/>
          <w:szCs w:val="28"/>
          <w:highlight w:val="none"/>
          <w:lang w:val="en-US" w:eastAsia="zh-CN"/>
        </w:rPr>
      </w:pPr>
    </w:p>
    <w:p w14:paraId="078DD902">
      <w:pPr>
        <w:adjustRightInd w:val="0"/>
        <w:snapToGrid w:val="0"/>
        <w:spacing w:line="440" w:lineRule="exact"/>
        <w:rPr>
          <w:rFonts w:hint="eastAsia" w:ascii="宋体" w:hAnsi="宋体" w:eastAsia="宋体" w:cs="宋体"/>
          <w:b/>
          <w:sz w:val="28"/>
          <w:szCs w:val="28"/>
          <w:highlight w:val="none"/>
          <w:lang w:val="en-US" w:eastAsia="zh-CN"/>
        </w:rPr>
      </w:pPr>
    </w:p>
    <w:p w14:paraId="135A45D4">
      <w:pPr>
        <w:adjustRightInd w:val="0"/>
        <w:snapToGrid w:val="0"/>
        <w:spacing w:line="440" w:lineRule="exact"/>
        <w:rPr>
          <w:rFonts w:hint="eastAsia" w:ascii="宋体" w:hAnsi="宋体" w:eastAsia="宋体" w:cs="宋体"/>
          <w:b/>
          <w:sz w:val="28"/>
          <w:szCs w:val="28"/>
          <w:highlight w:val="none"/>
          <w:lang w:val="en-US" w:eastAsia="zh-CN"/>
        </w:rPr>
      </w:pPr>
    </w:p>
    <w:p w14:paraId="6620BA6C">
      <w:pPr>
        <w:adjustRightInd w:val="0"/>
        <w:snapToGrid w:val="0"/>
        <w:spacing w:line="440" w:lineRule="exact"/>
        <w:rPr>
          <w:rFonts w:hint="eastAsia" w:ascii="宋体" w:hAnsi="宋体" w:eastAsia="宋体" w:cs="宋体"/>
          <w:b/>
          <w:sz w:val="28"/>
          <w:szCs w:val="28"/>
          <w:highlight w:val="none"/>
          <w:lang w:val="en-US" w:eastAsia="zh-CN"/>
        </w:rPr>
      </w:pPr>
    </w:p>
    <w:p w14:paraId="25ECAA45">
      <w:pPr>
        <w:adjustRightInd w:val="0"/>
        <w:snapToGrid w:val="0"/>
        <w:spacing w:line="440" w:lineRule="exact"/>
        <w:rPr>
          <w:rFonts w:hint="eastAsia" w:ascii="宋体" w:hAnsi="宋体" w:eastAsia="宋体" w:cs="宋体"/>
          <w:b/>
          <w:sz w:val="28"/>
          <w:szCs w:val="28"/>
          <w:highlight w:val="none"/>
          <w:lang w:val="en-US" w:eastAsia="zh-CN"/>
        </w:rPr>
      </w:pPr>
    </w:p>
    <w:p w14:paraId="700312F6">
      <w:pPr>
        <w:adjustRightInd w:val="0"/>
        <w:snapToGrid w:val="0"/>
        <w:spacing w:line="440" w:lineRule="exact"/>
        <w:rPr>
          <w:rFonts w:hint="eastAsia" w:ascii="宋体" w:hAnsi="宋体" w:eastAsia="宋体" w:cs="宋体"/>
          <w:b/>
          <w:sz w:val="28"/>
          <w:szCs w:val="28"/>
          <w:highlight w:val="none"/>
          <w:lang w:val="en-US" w:eastAsia="zh-CN"/>
        </w:rPr>
      </w:pPr>
    </w:p>
    <w:p w14:paraId="24C4CA33">
      <w:pPr>
        <w:adjustRightInd w:val="0"/>
        <w:snapToGrid w:val="0"/>
        <w:spacing w:line="440" w:lineRule="exact"/>
        <w:rPr>
          <w:rFonts w:hint="eastAsia" w:ascii="宋体" w:hAnsi="宋体" w:eastAsia="宋体" w:cs="宋体"/>
          <w:b/>
          <w:sz w:val="28"/>
          <w:szCs w:val="28"/>
          <w:highlight w:val="none"/>
          <w:lang w:val="en-US" w:eastAsia="zh-CN"/>
        </w:rPr>
      </w:pPr>
    </w:p>
    <w:p w14:paraId="3840F412">
      <w:pPr>
        <w:adjustRightInd w:val="0"/>
        <w:snapToGrid w:val="0"/>
        <w:spacing w:line="440" w:lineRule="exact"/>
        <w:rPr>
          <w:rFonts w:hint="eastAsia" w:ascii="宋体" w:hAnsi="宋体" w:eastAsia="宋体" w:cs="宋体"/>
          <w:b/>
          <w:sz w:val="28"/>
          <w:szCs w:val="28"/>
          <w:highlight w:val="none"/>
          <w:lang w:val="en-US" w:eastAsia="zh-CN"/>
        </w:rPr>
      </w:pPr>
    </w:p>
    <w:p w14:paraId="1224B119">
      <w:pPr>
        <w:adjustRightInd w:val="0"/>
        <w:snapToGrid w:val="0"/>
        <w:spacing w:line="440" w:lineRule="exact"/>
        <w:rPr>
          <w:rFonts w:hint="eastAsia" w:ascii="宋体" w:hAnsi="宋体" w:eastAsia="宋体" w:cs="宋体"/>
          <w:b/>
          <w:sz w:val="28"/>
          <w:szCs w:val="28"/>
          <w:highlight w:val="none"/>
          <w:lang w:val="en-US" w:eastAsia="zh-CN"/>
        </w:rPr>
      </w:pPr>
    </w:p>
    <w:p w14:paraId="2398B1AD">
      <w:pPr>
        <w:adjustRightInd w:val="0"/>
        <w:snapToGrid w:val="0"/>
        <w:spacing w:line="440" w:lineRule="exact"/>
        <w:rPr>
          <w:rFonts w:hint="eastAsia" w:ascii="宋体" w:hAnsi="宋体" w:eastAsia="宋体" w:cs="宋体"/>
          <w:b/>
          <w:sz w:val="28"/>
          <w:szCs w:val="28"/>
          <w:highlight w:val="none"/>
          <w:lang w:val="en-US" w:eastAsia="zh-CN"/>
        </w:rPr>
      </w:pPr>
    </w:p>
    <w:p w14:paraId="242E9211">
      <w:pPr>
        <w:adjustRightInd w:val="0"/>
        <w:snapToGrid w:val="0"/>
        <w:spacing w:line="440" w:lineRule="exact"/>
        <w:rPr>
          <w:rFonts w:hint="eastAsia" w:ascii="宋体" w:hAnsi="宋体" w:eastAsia="宋体" w:cs="宋体"/>
          <w:b/>
          <w:sz w:val="28"/>
          <w:szCs w:val="28"/>
          <w:highlight w:val="none"/>
          <w:lang w:val="en-US" w:eastAsia="zh-CN"/>
        </w:rPr>
      </w:pPr>
    </w:p>
    <w:p w14:paraId="2B0BABA8">
      <w:pPr>
        <w:adjustRightInd w:val="0"/>
        <w:snapToGrid w:val="0"/>
        <w:spacing w:line="440" w:lineRule="exact"/>
        <w:rPr>
          <w:rFonts w:hint="eastAsia" w:ascii="宋体" w:hAnsi="宋体" w:eastAsia="宋体" w:cs="宋体"/>
          <w:b/>
          <w:sz w:val="28"/>
          <w:szCs w:val="28"/>
          <w:highlight w:val="none"/>
          <w:lang w:val="en-US" w:eastAsia="zh-CN"/>
        </w:rPr>
      </w:pPr>
    </w:p>
    <w:p w14:paraId="61643C3D">
      <w:pPr>
        <w:adjustRightInd w:val="0"/>
        <w:snapToGrid w:val="0"/>
        <w:spacing w:line="440" w:lineRule="exact"/>
        <w:rPr>
          <w:rFonts w:hint="eastAsia" w:ascii="宋体" w:hAnsi="宋体" w:eastAsia="宋体" w:cs="宋体"/>
          <w:b/>
          <w:sz w:val="28"/>
          <w:szCs w:val="28"/>
          <w:highlight w:val="none"/>
          <w:lang w:val="en-US" w:eastAsia="zh-CN"/>
        </w:rPr>
      </w:pPr>
    </w:p>
    <w:p w14:paraId="599FA3F3">
      <w:pPr>
        <w:adjustRightInd w:val="0"/>
        <w:snapToGrid w:val="0"/>
        <w:spacing w:line="440" w:lineRule="exact"/>
        <w:rPr>
          <w:rFonts w:hint="eastAsia" w:ascii="宋体" w:hAnsi="宋体" w:eastAsia="宋体" w:cs="宋体"/>
          <w:b/>
          <w:sz w:val="28"/>
          <w:szCs w:val="28"/>
          <w:highlight w:val="none"/>
          <w:lang w:val="en-US" w:eastAsia="zh-CN"/>
        </w:rPr>
      </w:pPr>
    </w:p>
    <w:p w14:paraId="0867280B">
      <w:pPr>
        <w:adjustRightInd w:val="0"/>
        <w:snapToGrid w:val="0"/>
        <w:spacing w:line="440" w:lineRule="exact"/>
        <w:rPr>
          <w:rFonts w:hint="eastAsia" w:ascii="宋体" w:hAnsi="宋体" w:eastAsia="宋体" w:cs="宋体"/>
          <w:b/>
          <w:sz w:val="28"/>
          <w:szCs w:val="28"/>
          <w:highlight w:val="none"/>
          <w:lang w:val="en-US" w:eastAsia="zh-CN"/>
        </w:rPr>
      </w:pPr>
    </w:p>
    <w:p w14:paraId="658E1D00">
      <w:pPr>
        <w:adjustRightInd w:val="0"/>
        <w:snapToGrid w:val="0"/>
        <w:spacing w:line="440" w:lineRule="exact"/>
        <w:rPr>
          <w:rFonts w:hint="eastAsia" w:ascii="宋体" w:hAnsi="宋体" w:eastAsia="宋体" w:cs="宋体"/>
          <w:b/>
          <w:sz w:val="28"/>
          <w:szCs w:val="28"/>
          <w:highlight w:val="none"/>
          <w:lang w:val="en-US" w:eastAsia="zh-CN"/>
        </w:rPr>
      </w:pPr>
    </w:p>
    <w:p w14:paraId="3FB3A999">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sz w:val="24"/>
          <w:szCs w:val="24"/>
          <w:highlight w:val="none"/>
        </w:rPr>
      </w:pPr>
      <w:r>
        <w:rPr>
          <w:rFonts w:hint="eastAsia" w:ascii="宋体" w:hAnsi="宋体" w:eastAsia="宋体" w:cs="宋体"/>
          <w:b/>
          <w:sz w:val="28"/>
          <w:szCs w:val="28"/>
          <w:highlight w:val="none"/>
          <w:lang w:val="en-US" w:eastAsia="zh-CN"/>
        </w:rPr>
        <w:br w:type="textWrapping"/>
      </w:r>
      <w:r>
        <w:rPr>
          <w:rFonts w:hint="eastAsia" w:ascii="宋体" w:hAnsi="宋体" w:eastAsia="宋体" w:cs="宋体"/>
          <w:b/>
          <w:sz w:val="28"/>
          <w:szCs w:val="28"/>
          <w:highlight w:val="none"/>
          <w:lang w:val="en-US" w:eastAsia="zh-CN"/>
        </w:rPr>
        <w:t>包2：CT维保服务要求</w:t>
      </w:r>
      <w:r>
        <w:rPr>
          <w:rFonts w:hint="eastAsia" w:ascii="宋体" w:hAnsi="宋体" w:eastAsia="宋体" w:cs="宋体"/>
          <w:b/>
          <w:sz w:val="28"/>
          <w:szCs w:val="28"/>
          <w:highlight w:val="none"/>
          <w:lang w:val="en-US" w:eastAsia="zh-CN"/>
        </w:rPr>
        <w:br w:type="textWrapping"/>
      </w:r>
      <w:r>
        <w:rPr>
          <w:rFonts w:hint="eastAsia" w:ascii="宋体" w:hAnsi="宋体" w:eastAsia="宋体" w:cs="宋体"/>
          <w:b/>
          <w:sz w:val="24"/>
          <w:szCs w:val="24"/>
          <w:highlight w:val="none"/>
        </w:rPr>
        <w:t>一、项目范围及期限</w:t>
      </w:r>
    </w:p>
    <w:p w14:paraId="523F05A2">
      <w:pPr>
        <w:keepNext w:val="0"/>
        <w:keepLines w:val="0"/>
        <w:pageBreakBefore w:val="0"/>
        <w:kinsoku/>
        <w:wordWrap/>
        <w:overflowPunct/>
        <w:topLinePunct w:val="0"/>
        <w:autoSpaceDE/>
        <w:autoSpaceDN/>
        <w:bidi w:val="0"/>
        <w:adjustRightInd w:val="0"/>
        <w:snapToGrid w:val="0"/>
        <w:spacing w:line="360" w:lineRule="auto"/>
        <w:ind w:left="660" w:leftChars="200" w:hanging="240" w:hanging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1、需要维保项目：GE </w:t>
      </w:r>
      <w:r>
        <w:rPr>
          <w:rFonts w:hint="eastAsia" w:ascii="宋体" w:hAnsi="宋体" w:eastAsia="宋体" w:cs="宋体"/>
          <w:color w:val="000000"/>
          <w:kern w:val="0"/>
          <w:sz w:val="24"/>
          <w:szCs w:val="24"/>
          <w:highlight w:val="none"/>
        </w:rPr>
        <w:t>revolution CT，</w:t>
      </w:r>
      <w:r>
        <w:rPr>
          <w:rFonts w:hint="eastAsia" w:ascii="宋体" w:hAnsi="宋体" w:eastAsia="宋体" w:cs="宋体"/>
          <w:sz w:val="24"/>
          <w:szCs w:val="24"/>
          <w:highlight w:val="none"/>
        </w:rPr>
        <w:t xml:space="preserve">GE CT Optima 680 </w:t>
      </w:r>
      <w:r>
        <w:rPr>
          <w:rFonts w:hint="eastAsia" w:ascii="宋体" w:hAnsi="宋体" w:eastAsia="宋体" w:cs="宋体"/>
          <w:color w:val="000000"/>
          <w:kern w:val="0"/>
          <w:sz w:val="24"/>
          <w:szCs w:val="24"/>
          <w:highlight w:val="none"/>
        </w:rPr>
        <w:t>保修范围：整机全保保修，包含主机所有人工及备件。</w:t>
      </w:r>
    </w:p>
    <w:p w14:paraId="039DC6BB">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2、保修期限：两年。</w:t>
      </w:r>
    </w:p>
    <w:p w14:paraId="16B2EE26">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kern w:val="0"/>
          <w:sz w:val="24"/>
          <w:szCs w:val="24"/>
          <w:highlight w:val="none"/>
        </w:rPr>
      </w:pPr>
      <w:r>
        <w:rPr>
          <w:rFonts w:hint="eastAsia" w:ascii="宋体" w:hAnsi="宋体" w:eastAsia="宋体" w:cs="宋体"/>
          <w:b/>
          <w:sz w:val="24"/>
          <w:szCs w:val="24"/>
          <w:highlight w:val="none"/>
        </w:rPr>
        <w:t>二、项目实施地点：</w:t>
      </w:r>
      <w:r>
        <w:rPr>
          <w:rFonts w:hint="eastAsia" w:ascii="宋体" w:hAnsi="宋体" w:eastAsia="宋体" w:cs="宋体"/>
          <w:color w:val="000000"/>
          <w:kern w:val="0"/>
          <w:sz w:val="24"/>
          <w:szCs w:val="24"/>
          <w:highlight w:val="none"/>
        </w:rPr>
        <w:t>岳阳市中心医院</w:t>
      </w:r>
    </w:p>
    <w:p w14:paraId="0595145A">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三、技术参数和服务要求</w:t>
      </w:r>
    </w:p>
    <w:p w14:paraId="2912A8E9">
      <w:pPr>
        <w:keepNext w:val="0"/>
        <w:keepLines w:val="0"/>
        <w:pageBreakBefore w:val="0"/>
        <w:widowControl/>
        <w:shd w:val="clear" w:color="auto" w:fill="FFFFFF"/>
        <w:kinsoku/>
        <w:wordWrap/>
        <w:overflowPunct/>
        <w:topLinePunct w:val="0"/>
        <w:autoSpaceDE/>
        <w:autoSpaceDN/>
        <w:bidi w:val="0"/>
        <w:spacing w:line="360" w:lineRule="auto"/>
        <w:ind w:firstLine="482"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b/>
          <w:bCs/>
          <w:color w:val="000000"/>
          <w:kern w:val="0"/>
          <w:sz w:val="24"/>
          <w:szCs w:val="24"/>
          <w:highlight w:val="none"/>
        </w:rPr>
        <w:t>1、技术要求</w:t>
      </w:r>
    </w:p>
    <w:p w14:paraId="289724E5">
      <w:pPr>
        <w:keepNext w:val="0"/>
        <w:keepLines w:val="0"/>
        <w:pageBreakBefore w:val="0"/>
        <w:widowControl/>
        <w:shd w:val="clear" w:color="auto" w:fill="FFFFFF"/>
        <w:kinsoku/>
        <w:wordWrap/>
        <w:overflowPunct/>
        <w:topLinePunct w:val="0"/>
        <w:autoSpaceDE/>
        <w:autoSpaceDN/>
        <w:bidi w:val="0"/>
        <w:spacing w:line="360" w:lineRule="auto"/>
        <w:ind w:firstLine="465"/>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1.1、保修设备在保修期内不限次数提供维修服务；</w:t>
      </w:r>
    </w:p>
    <w:p w14:paraId="6269072D">
      <w:pPr>
        <w:keepNext w:val="0"/>
        <w:keepLines w:val="0"/>
        <w:pageBreakBefore w:val="0"/>
        <w:widowControl/>
        <w:shd w:val="clear" w:color="auto" w:fill="FFFFFF"/>
        <w:kinsoku/>
        <w:wordWrap/>
        <w:overflowPunct/>
        <w:topLinePunct w:val="0"/>
        <w:autoSpaceDE/>
        <w:autoSpaceDN/>
        <w:bidi w:val="0"/>
        <w:spacing w:line="360" w:lineRule="auto"/>
        <w:ind w:firstLine="465"/>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1.2、每年度进行定期现场校准和保养服务</w:t>
      </w:r>
      <w:r>
        <w:rPr>
          <w:rFonts w:hint="eastAsia" w:ascii="宋体" w:hAnsi="宋体" w:eastAsia="宋体" w:cs="宋体"/>
          <w:color w:val="000000"/>
          <w:kern w:val="0"/>
          <w:sz w:val="24"/>
          <w:szCs w:val="24"/>
          <w:highlight w:val="none"/>
          <w:lang w:val="en-US" w:eastAsia="zh-CN"/>
        </w:rPr>
        <w:t>≥4次</w:t>
      </w:r>
      <w:r>
        <w:rPr>
          <w:rFonts w:hint="eastAsia" w:ascii="宋体" w:hAnsi="宋体" w:eastAsia="宋体" w:cs="宋体"/>
          <w:color w:val="000000"/>
          <w:kern w:val="0"/>
          <w:sz w:val="24"/>
          <w:szCs w:val="24"/>
          <w:highlight w:val="none"/>
        </w:rPr>
        <w:t>，并提供书面保养报告；</w:t>
      </w:r>
    </w:p>
    <w:p w14:paraId="067F228A">
      <w:pPr>
        <w:keepNext w:val="0"/>
        <w:keepLines w:val="0"/>
        <w:pageBreakBefore w:val="0"/>
        <w:widowControl/>
        <w:shd w:val="clear" w:color="auto" w:fill="FFFFFF"/>
        <w:kinsoku/>
        <w:wordWrap/>
        <w:overflowPunct/>
        <w:topLinePunct w:val="0"/>
        <w:autoSpaceDE/>
        <w:autoSpaceDN/>
        <w:bidi w:val="0"/>
        <w:spacing w:line="360" w:lineRule="auto"/>
        <w:ind w:firstLine="465"/>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1.3、保修期内免费提供设备的系统软件及硬件的安全性改版升级和技术支持；</w:t>
      </w:r>
    </w:p>
    <w:p w14:paraId="709118AA">
      <w:pPr>
        <w:keepNext w:val="0"/>
        <w:keepLines w:val="0"/>
        <w:pageBreakBefore w:val="0"/>
        <w:widowControl/>
        <w:shd w:val="clear" w:color="auto" w:fill="FFFFFF"/>
        <w:kinsoku/>
        <w:wordWrap/>
        <w:overflowPunct/>
        <w:topLinePunct w:val="0"/>
        <w:autoSpaceDE/>
        <w:autoSpaceDN/>
        <w:bidi w:val="0"/>
        <w:spacing w:line="360" w:lineRule="auto"/>
        <w:ind w:firstLine="465"/>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1.4、投标人须能合法获得使用在有效期内的原厂故障诊断软件及诊断Service Key,并保证不违反国家有关知识产权的法律规定，投标人须对此进行承诺。</w:t>
      </w:r>
    </w:p>
    <w:p w14:paraId="621400AD">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sz w:val="24"/>
          <w:szCs w:val="24"/>
          <w:highlight w:val="none"/>
        </w:rPr>
        <w:t>▲</w:t>
      </w:r>
      <w:r>
        <w:rPr>
          <w:rFonts w:hint="eastAsia" w:ascii="宋体" w:hAnsi="宋体" w:eastAsia="宋体" w:cs="宋体"/>
          <w:b/>
          <w:bCs/>
          <w:color w:val="000000"/>
          <w:kern w:val="0"/>
          <w:sz w:val="24"/>
          <w:szCs w:val="24"/>
          <w:highlight w:val="none"/>
        </w:rPr>
        <w:t>1.5</w:t>
      </w:r>
      <w:r>
        <w:rPr>
          <w:rFonts w:hint="eastAsia" w:ascii="宋体" w:hAnsi="宋体" w:eastAsia="宋体" w:cs="宋体"/>
          <w:color w:val="000000"/>
          <w:kern w:val="0"/>
          <w:sz w:val="24"/>
          <w:szCs w:val="24"/>
          <w:highlight w:val="none"/>
        </w:rPr>
        <w:t>、</w:t>
      </w:r>
      <w:r>
        <w:rPr>
          <w:rFonts w:hint="eastAsia" w:ascii="宋体" w:hAnsi="宋体" w:eastAsia="宋体" w:cs="宋体"/>
          <w:b/>
          <w:bCs/>
          <w:color w:val="000000"/>
          <w:kern w:val="0"/>
          <w:sz w:val="24"/>
          <w:szCs w:val="24"/>
          <w:highlight w:val="none"/>
        </w:rPr>
        <w:t>服务机构须在省内配备相对应产品类别的服务工程师≥3名，不少于3名服务工程师均获得设备生产商盖章技术培训认证的有效期内技术资质证明，须提供培训证书复印件。（可在线及拨打厂家400电话查询）</w:t>
      </w:r>
    </w:p>
    <w:p w14:paraId="2BB05F4B">
      <w:pPr>
        <w:keepNext w:val="0"/>
        <w:keepLines w:val="0"/>
        <w:pageBreakBefore w:val="0"/>
        <w:widowControl/>
        <w:shd w:val="clear" w:color="auto" w:fill="FFFFFF"/>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1.6、提供常设400售后服务热线电话。接到故障报修电话后不超过12小时内响应,并及时提供相关的维修解决方案。</w:t>
      </w:r>
    </w:p>
    <w:p w14:paraId="1ED2FEE0">
      <w:pPr>
        <w:keepNext w:val="0"/>
        <w:keepLines w:val="0"/>
        <w:pageBreakBefore w:val="0"/>
        <w:widowControl/>
        <w:shd w:val="clear" w:color="auto" w:fill="FFFFFF"/>
        <w:kinsoku/>
        <w:wordWrap/>
        <w:overflowPunct/>
        <w:topLinePunct w:val="0"/>
        <w:autoSpaceDE/>
        <w:autoSpaceDN/>
        <w:bidi w:val="0"/>
        <w:spacing w:line="360" w:lineRule="auto"/>
        <w:ind w:firstLine="465"/>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1.7、保证设备开机率≥95%(以全年365天计算），开机率未达95%，停机每超出一个天，维修服务合同期限自动延长两天。</w:t>
      </w:r>
    </w:p>
    <w:p w14:paraId="27C1133B">
      <w:pPr>
        <w:keepNext w:val="0"/>
        <w:keepLines w:val="0"/>
        <w:pageBreakBefore w:val="0"/>
        <w:widowControl/>
        <w:shd w:val="clear" w:color="auto" w:fill="FFFFFF"/>
        <w:kinsoku/>
        <w:wordWrap/>
        <w:overflowPunct/>
        <w:topLinePunct w:val="0"/>
        <w:autoSpaceDE/>
        <w:autoSpaceDN/>
        <w:bidi w:val="0"/>
        <w:spacing w:line="360" w:lineRule="auto"/>
        <w:ind w:firstLine="465"/>
        <w:jc w:val="left"/>
        <w:textAlignment w:val="auto"/>
        <w:rPr>
          <w:rFonts w:hint="eastAsia" w:ascii="宋体" w:hAnsi="宋体" w:eastAsia="宋体" w:cs="宋体"/>
          <w:b/>
          <w:bCs/>
          <w:color w:val="000000"/>
          <w:kern w:val="0"/>
          <w:sz w:val="24"/>
          <w:szCs w:val="24"/>
          <w:highlight w:val="none"/>
        </w:rPr>
      </w:pPr>
      <w:r>
        <w:rPr>
          <w:rFonts w:hint="eastAsia" w:ascii="宋体" w:hAnsi="宋体" w:eastAsia="宋体" w:cs="宋体"/>
          <w:sz w:val="24"/>
          <w:szCs w:val="24"/>
          <w:highlight w:val="none"/>
        </w:rPr>
        <w:t>★</w:t>
      </w:r>
      <w:r>
        <w:rPr>
          <w:rFonts w:hint="eastAsia" w:ascii="宋体" w:hAnsi="宋体" w:eastAsia="宋体" w:cs="宋体"/>
          <w:b/>
          <w:bCs/>
          <w:color w:val="000000"/>
          <w:kern w:val="0"/>
          <w:sz w:val="24"/>
          <w:szCs w:val="24"/>
          <w:highlight w:val="none"/>
        </w:rPr>
        <w:t>1.8、所更换的备件必须是原厂认证合格的零配件,满足设备运行要求,不会给设备带来危害且备件来源合法；投标人须对此进行承诺。</w:t>
      </w:r>
    </w:p>
    <w:p w14:paraId="490B55FB">
      <w:pPr>
        <w:keepNext w:val="0"/>
        <w:keepLines w:val="0"/>
        <w:pageBreakBefore w:val="0"/>
        <w:widowControl/>
        <w:shd w:val="clear" w:color="auto" w:fill="FFFFFF"/>
        <w:kinsoku/>
        <w:wordWrap/>
        <w:overflowPunct/>
        <w:topLinePunct w:val="0"/>
        <w:autoSpaceDE/>
        <w:autoSpaceDN/>
        <w:bidi w:val="0"/>
        <w:spacing w:line="360" w:lineRule="auto"/>
        <w:ind w:firstLine="465"/>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1.9、服务机构针对该设备必须提供基于宽带接入的、内嵌式的具备对设备的运行状况进行实时监测的远程服务系统；投标人须对此进行承诺。</w:t>
      </w:r>
    </w:p>
    <w:p w14:paraId="4A3F3DC9">
      <w:pPr>
        <w:keepNext w:val="0"/>
        <w:keepLines w:val="0"/>
        <w:pageBreakBefore w:val="0"/>
        <w:widowControl/>
        <w:shd w:val="clear" w:color="auto" w:fill="FFFFFF"/>
        <w:kinsoku/>
        <w:wordWrap/>
        <w:overflowPunct/>
        <w:topLinePunct w:val="0"/>
        <w:autoSpaceDE/>
        <w:autoSpaceDN/>
        <w:bidi w:val="0"/>
        <w:spacing w:line="360" w:lineRule="auto"/>
        <w:ind w:firstLine="465"/>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sz w:val="24"/>
          <w:szCs w:val="24"/>
          <w:highlight w:val="none"/>
        </w:rPr>
        <w:t>★</w:t>
      </w:r>
      <w:r>
        <w:rPr>
          <w:rFonts w:hint="eastAsia" w:ascii="宋体" w:hAnsi="宋体" w:eastAsia="宋体" w:cs="宋体"/>
          <w:b/>
          <w:bCs/>
          <w:color w:val="000000"/>
          <w:kern w:val="0"/>
          <w:sz w:val="24"/>
          <w:szCs w:val="24"/>
          <w:highlight w:val="none"/>
        </w:rPr>
        <w:t>1.10、投标人在服务期内所提供保修更换的球管需符合国家食品药品监督管理局NMPA原机整机注册证要求，必须是设备主机生产厂家同规格同型号的全新球管。要求现有库存中有上述球管，并且库存球管出厂日期不大于6个月，须提供海关清关证明复印件，并提供球管与CT整机匹配的NMPA认证报告。</w:t>
      </w:r>
    </w:p>
    <w:p w14:paraId="5A31E2B0">
      <w:pPr>
        <w:keepNext w:val="0"/>
        <w:keepLines w:val="0"/>
        <w:pageBreakBefore w:val="0"/>
        <w:widowControl/>
        <w:shd w:val="clear" w:color="auto" w:fill="FFFFFF"/>
        <w:kinsoku/>
        <w:wordWrap/>
        <w:overflowPunct/>
        <w:topLinePunct w:val="0"/>
        <w:autoSpaceDE/>
        <w:autoSpaceDN/>
        <w:bidi w:val="0"/>
        <w:spacing w:line="360" w:lineRule="auto"/>
        <w:ind w:firstLine="465"/>
        <w:jc w:val="left"/>
        <w:textAlignment w:val="auto"/>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1.11、投标人提供能及时获取并实施原厂系统安全性软硬件改版通知(FMI)能力的证明，保修期内免费提供设备（含独立工作站）的系统软件升级补丁和技术支持，保证所有系统软件为最新版本，投标人须对此进行承诺。</w:t>
      </w:r>
    </w:p>
    <w:p w14:paraId="3CCB4813">
      <w:pPr>
        <w:keepNext w:val="0"/>
        <w:keepLines w:val="0"/>
        <w:pageBreakBefore w:val="0"/>
        <w:widowControl/>
        <w:kinsoku/>
        <w:wordWrap/>
        <w:overflowPunct/>
        <w:topLinePunct w:val="0"/>
        <w:autoSpaceDE/>
        <w:autoSpaceDN/>
        <w:bidi w:val="0"/>
        <w:spacing w:line="360" w:lineRule="auto"/>
        <w:ind w:firstLine="480"/>
        <w:jc w:val="left"/>
        <w:textAlignment w:val="auto"/>
        <w:rPr>
          <w:rFonts w:hint="eastAsia" w:ascii="宋体" w:hAnsi="宋体" w:eastAsia="宋体" w:cs="宋体"/>
          <w:b/>
          <w:bCs/>
          <w:kern w:val="0"/>
          <w:sz w:val="24"/>
          <w:szCs w:val="24"/>
          <w:highlight w:val="none"/>
        </w:rPr>
      </w:pPr>
      <w:r>
        <w:rPr>
          <w:rFonts w:hint="eastAsia" w:ascii="宋体" w:hAnsi="宋体" w:eastAsia="宋体" w:cs="宋体"/>
          <w:b/>
          <w:bCs/>
          <w:color w:val="000000"/>
          <w:kern w:val="0"/>
          <w:sz w:val="24"/>
          <w:szCs w:val="24"/>
          <w:highlight w:val="none"/>
        </w:rPr>
        <w:t>1.12、</w:t>
      </w:r>
      <w:r>
        <w:rPr>
          <w:rFonts w:hint="eastAsia" w:ascii="宋体" w:hAnsi="宋体" w:eastAsia="宋体" w:cs="宋体"/>
          <w:b/>
          <w:bCs/>
          <w:color w:val="000000"/>
          <w:kern w:val="0"/>
          <w:sz w:val="24"/>
          <w:szCs w:val="24"/>
          <w:highlight w:val="none"/>
          <w:lang w:val="en-US" w:eastAsia="zh-CN"/>
        </w:rPr>
        <w:t>提供设备原厂数字化远程监测解决方案，</w:t>
      </w:r>
      <w:r>
        <w:rPr>
          <w:rFonts w:hint="eastAsia" w:ascii="宋体" w:hAnsi="宋体" w:eastAsia="宋体" w:cs="宋体"/>
          <w:b/>
          <w:bCs/>
          <w:kern w:val="0"/>
          <w:sz w:val="24"/>
          <w:szCs w:val="24"/>
          <w:highlight w:val="none"/>
        </w:rPr>
        <w:t>投标人须对此提供相关资料证明。</w:t>
      </w:r>
    </w:p>
    <w:p w14:paraId="4222DA20">
      <w:pPr>
        <w:keepNext w:val="0"/>
        <w:keepLines w:val="0"/>
        <w:pageBreakBefore w:val="0"/>
        <w:widowControl w:val="0"/>
        <w:kinsoku/>
        <w:wordWrap/>
        <w:overflowPunct/>
        <w:topLinePunct w:val="0"/>
        <w:autoSpaceDE/>
        <w:autoSpaceDN/>
        <w:bidi w:val="0"/>
        <w:spacing w:after="120" w:line="360" w:lineRule="auto"/>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 xml:space="preserve">    ▲</w:t>
      </w:r>
      <w:r>
        <w:rPr>
          <w:rFonts w:hint="eastAsia" w:ascii="宋体" w:hAnsi="宋体" w:eastAsia="宋体" w:cs="宋体"/>
          <w:color w:val="000000"/>
          <w:kern w:val="0"/>
          <w:sz w:val="24"/>
          <w:szCs w:val="24"/>
          <w:highlight w:val="none"/>
          <w:lang w:val="en-US" w:eastAsia="zh-CN" w:bidi="ar-SA"/>
        </w:rPr>
        <w:t>1.13、中标后三个月内为</w:t>
      </w:r>
      <w:r>
        <w:rPr>
          <w:rFonts w:hint="eastAsia" w:ascii="宋体" w:hAnsi="宋体" w:eastAsia="宋体" w:cs="宋体"/>
          <w:kern w:val="2"/>
          <w:sz w:val="24"/>
          <w:szCs w:val="24"/>
          <w:highlight w:val="none"/>
          <w:lang w:val="en-US" w:eastAsia="zh-CN" w:bidi="ar-SA"/>
        </w:rPr>
        <w:t>CT Optima 680提供软硬件升级服务，升级后可实现Ultra Kernal超精细组织成像，Smart MAR原始数据域去金属伪影，全心冻结平台Snapshot Freeze 2及全脑灌注等功能。实现图像重建速度提升100%。</w:t>
      </w:r>
    </w:p>
    <w:p w14:paraId="3FF12765">
      <w:pPr>
        <w:keepNext w:val="0"/>
        <w:keepLines w:val="0"/>
        <w:pageBreakBefore w:val="0"/>
        <w:widowControl/>
        <w:kinsoku/>
        <w:wordWrap/>
        <w:overflowPunct/>
        <w:topLinePunct w:val="0"/>
        <w:autoSpaceDE/>
        <w:autoSpaceDN/>
        <w:bidi w:val="0"/>
        <w:spacing w:line="360" w:lineRule="auto"/>
        <w:ind w:firstLine="48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1.14、保修内所更换的revolution球管参数要求：</w:t>
      </w:r>
    </w:p>
    <w:tbl>
      <w:tblPr>
        <w:tblStyle w:val="2"/>
        <w:tblW w:w="9719" w:type="dxa"/>
        <w:tblCellSpacing w:w="15" w:type="dxa"/>
        <w:tblInd w:w="1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131"/>
        <w:gridCol w:w="8588"/>
      </w:tblGrid>
      <w:tr w14:paraId="446B7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tblCellSpacing w:w="15" w:type="dxa"/>
        </w:trPr>
        <w:tc>
          <w:tcPr>
            <w:tcW w:w="1086" w:type="dxa"/>
            <w:noWrap w:val="0"/>
            <w:tcMar>
              <w:top w:w="0" w:type="dxa"/>
              <w:left w:w="105" w:type="dxa"/>
              <w:bottom w:w="0" w:type="dxa"/>
              <w:right w:w="105" w:type="dxa"/>
            </w:tcMar>
            <w:vAlign w:val="center"/>
          </w:tcPr>
          <w:p w14:paraId="7A2C90E5">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b/>
                <w:bCs/>
                <w:color w:val="000000"/>
                <w:kern w:val="0"/>
                <w:sz w:val="24"/>
                <w:szCs w:val="24"/>
                <w:highlight w:val="none"/>
              </w:rPr>
              <w:t>序号</w:t>
            </w:r>
          </w:p>
        </w:tc>
        <w:tc>
          <w:tcPr>
            <w:tcW w:w="8543" w:type="dxa"/>
            <w:noWrap w:val="0"/>
            <w:tcMar>
              <w:top w:w="0" w:type="dxa"/>
              <w:left w:w="105" w:type="dxa"/>
              <w:bottom w:w="0" w:type="dxa"/>
              <w:right w:w="105" w:type="dxa"/>
            </w:tcMar>
            <w:vAlign w:val="center"/>
          </w:tcPr>
          <w:p w14:paraId="3C0B3F60">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b/>
                <w:bCs/>
                <w:color w:val="000000"/>
                <w:kern w:val="0"/>
                <w:sz w:val="24"/>
                <w:szCs w:val="24"/>
                <w:highlight w:val="none"/>
              </w:rPr>
              <w:t>CT   REVOLUTION球管参数要求：</w:t>
            </w:r>
          </w:p>
        </w:tc>
      </w:tr>
      <w:tr w14:paraId="1C700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57" w:hRule="atLeast"/>
          <w:tblCellSpacing w:w="15" w:type="dxa"/>
        </w:trPr>
        <w:tc>
          <w:tcPr>
            <w:tcW w:w="1086" w:type="dxa"/>
            <w:noWrap w:val="0"/>
            <w:tcMar>
              <w:top w:w="0" w:type="dxa"/>
              <w:left w:w="105" w:type="dxa"/>
              <w:bottom w:w="0" w:type="dxa"/>
              <w:right w:w="105" w:type="dxa"/>
            </w:tcMar>
            <w:vAlign w:val="center"/>
          </w:tcPr>
          <w:p w14:paraId="11445122">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w:t>
            </w:r>
          </w:p>
        </w:tc>
        <w:tc>
          <w:tcPr>
            <w:tcW w:w="8543" w:type="dxa"/>
            <w:noWrap w:val="0"/>
            <w:tcMar>
              <w:top w:w="0" w:type="dxa"/>
              <w:left w:w="105" w:type="dxa"/>
              <w:bottom w:w="0" w:type="dxa"/>
              <w:right w:w="105" w:type="dxa"/>
            </w:tcMar>
            <w:vAlign w:val="center"/>
          </w:tcPr>
          <w:p w14:paraId="5326BDD1">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b/>
                <w:bCs/>
                <w:color w:val="000000"/>
                <w:kern w:val="0"/>
                <w:sz w:val="24"/>
                <w:szCs w:val="24"/>
                <w:highlight w:val="none"/>
              </w:rPr>
              <w:t>提供投标型号球管的原版技术白皮书（DATA SHEET），且以下应标参数均以此技术白皮书为准。</w:t>
            </w:r>
          </w:p>
        </w:tc>
      </w:tr>
      <w:tr w14:paraId="174F8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7" w:hRule="atLeast"/>
          <w:tblCellSpacing w:w="15" w:type="dxa"/>
        </w:trPr>
        <w:tc>
          <w:tcPr>
            <w:tcW w:w="1086" w:type="dxa"/>
            <w:noWrap w:val="0"/>
            <w:tcMar>
              <w:top w:w="0" w:type="dxa"/>
              <w:left w:w="105" w:type="dxa"/>
              <w:bottom w:w="0" w:type="dxa"/>
              <w:right w:w="105" w:type="dxa"/>
            </w:tcMar>
            <w:vAlign w:val="center"/>
          </w:tcPr>
          <w:p w14:paraId="6FCF4F7B">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w:t>
            </w:r>
          </w:p>
        </w:tc>
        <w:tc>
          <w:tcPr>
            <w:tcW w:w="8543" w:type="dxa"/>
            <w:noWrap w:val="0"/>
            <w:tcMar>
              <w:top w:w="0" w:type="dxa"/>
              <w:left w:w="105" w:type="dxa"/>
              <w:bottom w:w="0" w:type="dxa"/>
              <w:right w:w="105" w:type="dxa"/>
            </w:tcMar>
            <w:vAlign w:val="center"/>
          </w:tcPr>
          <w:p w14:paraId="3A6476DD">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阳极热容量：5.5 MHU</w:t>
            </w:r>
          </w:p>
        </w:tc>
      </w:tr>
      <w:tr w14:paraId="60424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42" w:hRule="atLeast"/>
          <w:tblCellSpacing w:w="15" w:type="dxa"/>
        </w:trPr>
        <w:tc>
          <w:tcPr>
            <w:tcW w:w="1086" w:type="dxa"/>
            <w:noWrap w:val="0"/>
            <w:tcMar>
              <w:top w:w="0" w:type="dxa"/>
              <w:left w:w="105" w:type="dxa"/>
              <w:bottom w:w="0" w:type="dxa"/>
              <w:right w:w="105" w:type="dxa"/>
            </w:tcMar>
            <w:vAlign w:val="center"/>
          </w:tcPr>
          <w:p w14:paraId="10E5F5DE">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w:t>
            </w:r>
          </w:p>
        </w:tc>
        <w:tc>
          <w:tcPr>
            <w:tcW w:w="8543" w:type="dxa"/>
            <w:noWrap w:val="0"/>
            <w:tcMar>
              <w:top w:w="0" w:type="dxa"/>
              <w:left w:w="105" w:type="dxa"/>
              <w:bottom w:w="0" w:type="dxa"/>
              <w:right w:w="105" w:type="dxa"/>
            </w:tcMar>
            <w:vAlign w:val="center"/>
          </w:tcPr>
          <w:p w14:paraId="34B9E1B0">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焦点数量：≥三个</w:t>
            </w:r>
          </w:p>
        </w:tc>
      </w:tr>
      <w:tr w14:paraId="6676D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7" w:hRule="atLeast"/>
          <w:tblCellSpacing w:w="15" w:type="dxa"/>
        </w:trPr>
        <w:tc>
          <w:tcPr>
            <w:tcW w:w="1086" w:type="dxa"/>
            <w:noWrap w:val="0"/>
            <w:tcMar>
              <w:top w:w="0" w:type="dxa"/>
              <w:left w:w="105" w:type="dxa"/>
              <w:bottom w:w="0" w:type="dxa"/>
              <w:right w:w="105" w:type="dxa"/>
            </w:tcMar>
            <w:vAlign w:val="center"/>
          </w:tcPr>
          <w:p w14:paraId="7DD12220">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4</w:t>
            </w:r>
          </w:p>
        </w:tc>
        <w:tc>
          <w:tcPr>
            <w:tcW w:w="8543" w:type="dxa"/>
            <w:noWrap w:val="0"/>
            <w:tcMar>
              <w:top w:w="0" w:type="dxa"/>
              <w:left w:w="105" w:type="dxa"/>
              <w:bottom w:w="0" w:type="dxa"/>
              <w:right w:w="105" w:type="dxa"/>
            </w:tcMar>
            <w:vAlign w:val="center"/>
          </w:tcPr>
          <w:p w14:paraId="7121E170">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X-大焦点（per IEC 60336/2005 ≤2.0mm x 1.2 mm</w:t>
            </w:r>
          </w:p>
        </w:tc>
      </w:tr>
      <w:tr w14:paraId="0AA9F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7" w:hRule="atLeast"/>
          <w:tblCellSpacing w:w="15" w:type="dxa"/>
        </w:trPr>
        <w:tc>
          <w:tcPr>
            <w:tcW w:w="1086" w:type="dxa"/>
            <w:noWrap w:val="0"/>
            <w:tcMar>
              <w:top w:w="0" w:type="dxa"/>
              <w:left w:w="105" w:type="dxa"/>
              <w:bottom w:w="0" w:type="dxa"/>
              <w:right w:w="105" w:type="dxa"/>
            </w:tcMar>
            <w:vAlign w:val="center"/>
          </w:tcPr>
          <w:p w14:paraId="3DC505AD">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5</w:t>
            </w:r>
          </w:p>
        </w:tc>
        <w:tc>
          <w:tcPr>
            <w:tcW w:w="8543" w:type="dxa"/>
            <w:noWrap w:val="0"/>
            <w:tcMar>
              <w:top w:w="0" w:type="dxa"/>
              <w:left w:w="105" w:type="dxa"/>
              <w:bottom w:w="0" w:type="dxa"/>
              <w:right w:w="105" w:type="dxa"/>
            </w:tcMar>
            <w:vAlign w:val="center"/>
          </w:tcPr>
          <w:p w14:paraId="5197EA5A">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X-大焦点可输出最大mA≥740mA，大焦点可输出最大mA≥720mA。</w:t>
            </w:r>
          </w:p>
        </w:tc>
      </w:tr>
      <w:tr w14:paraId="20A7D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7" w:hRule="atLeast"/>
          <w:tblCellSpacing w:w="15" w:type="dxa"/>
        </w:trPr>
        <w:tc>
          <w:tcPr>
            <w:tcW w:w="1086" w:type="dxa"/>
            <w:noWrap w:val="0"/>
            <w:tcMar>
              <w:top w:w="0" w:type="dxa"/>
              <w:left w:w="105" w:type="dxa"/>
              <w:bottom w:w="0" w:type="dxa"/>
              <w:right w:w="105" w:type="dxa"/>
            </w:tcMar>
            <w:vAlign w:val="center"/>
          </w:tcPr>
          <w:p w14:paraId="23820E1C">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6</w:t>
            </w:r>
          </w:p>
        </w:tc>
        <w:tc>
          <w:tcPr>
            <w:tcW w:w="8543" w:type="dxa"/>
            <w:noWrap w:val="0"/>
            <w:tcMar>
              <w:top w:w="0" w:type="dxa"/>
              <w:left w:w="105" w:type="dxa"/>
              <w:bottom w:w="0" w:type="dxa"/>
              <w:right w:w="105" w:type="dxa"/>
            </w:tcMar>
            <w:vAlign w:val="center"/>
          </w:tcPr>
          <w:p w14:paraId="13EF12CB">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大焦点（per IEC   60336/2005 ）≤1.6mm x 1.2 mm</w:t>
            </w:r>
          </w:p>
        </w:tc>
      </w:tr>
      <w:tr w14:paraId="180B6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7" w:hRule="atLeast"/>
          <w:tblCellSpacing w:w="15" w:type="dxa"/>
        </w:trPr>
        <w:tc>
          <w:tcPr>
            <w:tcW w:w="1086" w:type="dxa"/>
            <w:noWrap w:val="0"/>
            <w:tcMar>
              <w:top w:w="0" w:type="dxa"/>
              <w:left w:w="105" w:type="dxa"/>
              <w:bottom w:w="0" w:type="dxa"/>
              <w:right w:w="105" w:type="dxa"/>
            </w:tcMar>
            <w:vAlign w:val="center"/>
          </w:tcPr>
          <w:p w14:paraId="4E22290E">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7</w:t>
            </w:r>
          </w:p>
        </w:tc>
        <w:tc>
          <w:tcPr>
            <w:tcW w:w="8543" w:type="dxa"/>
            <w:noWrap w:val="0"/>
            <w:tcMar>
              <w:top w:w="0" w:type="dxa"/>
              <w:left w:w="105" w:type="dxa"/>
              <w:bottom w:w="0" w:type="dxa"/>
              <w:right w:w="105" w:type="dxa"/>
            </w:tcMar>
            <w:vAlign w:val="center"/>
          </w:tcPr>
          <w:p w14:paraId="7CBCD274">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小焦点（per IEC   60336/2005 ）≤1.0mm x 0.7mm</w:t>
            </w:r>
          </w:p>
        </w:tc>
      </w:tr>
      <w:tr w14:paraId="4B0D3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7" w:hRule="atLeast"/>
          <w:tblCellSpacing w:w="15" w:type="dxa"/>
        </w:trPr>
        <w:tc>
          <w:tcPr>
            <w:tcW w:w="1086" w:type="dxa"/>
            <w:noWrap w:val="0"/>
            <w:tcMar>
              <w:top w:w="0" w:type="dxa"/>
              <w:left w:w="105" w:type="dxa"/>
              <w:bottom w:w="0" w:type="dxa"/>
              <w:right w:w="105" w:type="dxa"/>
            </w:tcMar>
            <w:vAlign w:val="center"/>
          </w:tcPr>
          <w:p w14:paraId="04E90F37">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8</w:t>
            </w:r>
          </w:p>
        </w:tc>
        <w:tc>
          <w:tcPr>
            <w:tcW w:w="8543" w:type="dxa"/>
            <w:noWrap w:val="0"/>
            <w:tcMar>
              <w:top w:w="0" w:type="dxa"/>
              <w:left w:w="105" w:type="dxa"/>
              <w:bottom w:w="0" w:type="dxa"/>
              <w:right w:w="105" w:type="dxa"/>
            </w:tcMar>
            <w:vAlign w:val="center"/>
          </w:tcPr>
          <w:p w14:paraId="02AE6706">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小焦点可输出最大mA≥580mA。</w:t>
            </w:r>
          </w:p>
        </w:tc>
      </w:tr>
      <w:tr w14:paraId="077E9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57" w:hRule="atLeast"/>
          <w:tblCellSpacing w:w="15" w:type="dxa"/>
        </w:trPr>
        <w:tc>
          <w:tcPr>
            <w:tcW w:w="1086" w:type="dxa"/>
            <w:noWrap w:val="0"/>
            <w:tcMar>
              <w:top w:w="0" w:type="dxa"/>
              <w:left w:w="105" w:type="dxa"/>
              <w:bottom w:w="0" w:type="dxa"/>
              <w:right w:w="105" w:type="dxa"/>
            </w:tcMar>
            <w:vAlign w:val="center"/>
          </w:tcPr>
          <w:p w14:paraId="46600DEE">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9</w:t>
            </w:r>
          </w:p>
        </w:tc>
        <w:tc>
          <w:tcPr>
            <w:tcW w:w="8543" w:type="dxa"/>
            <w:noWrap w:val="0"/>
            <w:tcMar>
              <w:top w:w="0" w:type="dxa"/>
              <w:left w:w="105" w:type="dxa"/>
              <w:bottom w:w="0" w:type="dxa"/>
              <w:right w:w="105" w:type="dxa"/>
            </w:tcMar>
            <w:vAlign w:val="center"/>
          </w:tcPr>
          <w:p w14:paraId="1D22E8FC">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提供以DATASHEET（技术白皮书）为准的普通扫描和螺旋扫描在70kv、80kv、100kv、120kv、140kv五种条件下，可持续0.3秒扫描的X-大焦点、大焦点、小焦点最大mA输出参数</w:t>
            </w:r>
          </w:p>
        </w:tc>
      </w:tr>
      <w:tr w14:paraId="5508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57" w:hRule="atLeast"/>
          <w:tblCellSpacing w:w="15" w:type="dxa"/>
        </w:trPr>
        <w:tc>
          <w:tcPr>
            <w:tcW w:w="1086" w:type="dxa"/>
            <w:noWrap w:val="0"/>
            <w:tcMar>
              <w:top w:w="0" w:type="dxa"/>
              <w:left w:w="105" w:type="dxa"/>
              <w:bottom w:w="0" w:type="dxa"/>
              <w:right w:w="105" w:type="dxa"/>
            </w:tcMar>
            <w:vAlign w:val="center"/>
          </w:tcPr>
          <w:p w14:paraId="685C54C7">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10</w:t>
            </w:r>
          </w:p>
        </w:tc>
        <w:tc>
          <w:tcPr>
            <w:tcW w:w="8543" w:type="dxa"/>
            <w:noWrap w:val="0"/>
            <w:tcMar>
              <w:top w:w="0" w:type="dxa"/>
              <w:left w:w="105" w:type="dxa"/>
              <w:bottom w:w="0" w:type="dxa"/>
              <w:right w:w="105" w:type="dxa"/>
            </w:tcMar>
            <w:vAlign w:val="center"/>
          </w:tcPr>
          <w:p w14:paraId="3B1ACD15">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提供以DATASHEET（技术白皮书）为准的普通扫描和螺旋扫描在70kv、80kv、100kv、120kv、140kv五种条件下，可持续4秒扫描的X-大焦点、大焦点、小焦点最大mA输出参数</w:t>
            </w:r>
          </w:p>
        </w:tc>
      </w:tr>
      <w:tr w14:paraId="19E4E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57" w:hRule="atLeast"/>
          <w:tblCellSpacing w:w="15" w:type="dxa"/>
        </w:trPr>
        <w:tc>
          <w:tcPr>
            <w:tcW w:w="1086" w:type="dxa"/>
            <w:noWrap w:val="0"/>
            <w:tcMar>
              <w:top w:w="0" w:type="dxa"/>
              <w:left w:w="105" w:type="dxa"/>
              <w:bottom w:w="0" w:type="dxa"/>
              <w:right w:w="105" w:type="dxa"/>
            </w:tcMar>
            <w:vAlign w:val="center"/>
          </w:tcPr>
          <w:p w14:paraId="64529664">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11</w:t>
            </w:r>
          </w:p>
        </w:tc>
        <w:tc>
          <w:tcPr>
            <w:tcW w:w="8543" w:type="dxa"/>
            <w:noWrap w:val="0"/>
            <w:tcMar>
              <w:top w:w="0" w:type="dxa"/>
              <w:left w:w="105" w:type="dxa"/>
              <w:bottom w:w="0" w:type="dxa"/>
              <w:right w:w="105" w:type="dxa"/>
            </w:tcMar>
            <w:vAlign w:val="center"/>
          </w:tcPr>
          <w:p w14:paraId="600D1AD5">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提供以DATASHEET（技术白皮书）为准的快速KV切换可持续0.3秒，4秒扫描的X-大焦点、大焦点、小焦点最大mA输出参数。</w:t>
            </w:r>
          </w:p>
        </w:tc>
      </w:tr>
      <w:tr w14:paraId="7EAF9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7" w:hRule="atLeast"/>
          <w:tblCellSpacing w:w="15" w:type="dxa"/>
        </w:trPr>
        <w:tc>
          <w:tcPr>
            <w:tcW w:w="1086" w:type="dxa"/>
            <w:noWrap w:val="0"/>
            <w:tcMar>
              <w:top w:w="0" w:type="dxa"/>
              <w:left w:w="105" w:type="dxa"/>
              <w:bottom w:w="0" w:type="dxa"/>
              <w:right w:w="105" w:type="dxa"/>
            </w:tcMar>
            <w:vAlign w:val="center"/>
          </w:tcPr>
          <w:p w14:paraId="590CB027">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12</w:t>
            </w:r>
          </w:p>
        </w:tc>
        <w:tc>
          <w:tcPr>
            <w:tcW w:w="8543" w:type="dxa"/>
            <w:noWrap w:val="0"/>
            <w:tcMar>
              <w:top w:w="0" w:type="dxa"/>
              <w:left w:w="105" w:type="dxa"/>
              <w:bottom w:w="0" w:type="dxa"/>
              <w:right w:w="105" w:type="dxa"/>
            </w:tcMar>
            <w:vAlign w:val="center"/>
          </w:tcPr>
          <w:p w14:paraId="173D1B4C">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球管最大电压≥140KV。</w:t>
            </w:r>
          </w:p>
        </w:tc>
      </w:tr>
      <w:tr w14:paraId="6B0FA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tblCellSpacing w:w="15" w:type="dxa"/>
        </w:trPr>
        <w:tc>
          <w:tcPr>
            <w:tcW w:w="1086" w:type="dxa"/>
            <w:noWrap w:val="0"/>
            <w:tcMar>
              <w:top w:w="0" w:type="dxa"/>
              <w:left w:w="105" w:type="dxa"/>
              <w:bottom w:w="0" w:type="dxa"/>
              <w:right w:w="105" w:type="dxa"/>
            </w:tcMar>
            <w:vAlign w:val="center"/>
          </w:tcPr>
          <w:p w14:paraId="7465FD48">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13</w:t>
            </w:r>
          </w:p>
        </w:tc>
        <w:tc>
          <w:tcPr>
            <w:tcW w:w="8543" w:type="dxa"/>
            <w:noWrap w:val="0"/>
            <w:tcMar>
              <w:top w:w="0" w:type="dxa"/>
              <w:left w:w="105" w:type="dxa"/>
              <w:bottom w:w="0" w:type="dxa"/>
              <w:right w:w="105" w:type="dxa"/>
            </w:tcMar>
            <w:vAlign w:val="center"/>
          </w:tcPr>
          <w:p w14:paraId="37997F09">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阳极靶面角度：10.5度。</w:t>
            </w:r>
          </w:p>
        </w:tc>
      </w:tr>
    </w:tbl>
    <w:p w14:paraId="0823DDD6">
      <w:pPr>
        <w:keepNext w:val="0"/>
        <w:keepLines w:val="0"/>
        <w:pageBreakBefore w:val="0"/>
        <w:widowControl/>
        <w:kinsoku/>
        <w:wordWrap/>
        <w:overflowPunct/>
        <w:topLinePunct w:val="0"/>
        <w:autoSpaceDE/>
        <w:autoSpaceDN/>
        <w:bidi w:val="0"/>
        <w:spacing w:line="360" w:lineRule="auto"/>
        <w:ind w:firstLine="48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1.15、保修内所更换的CT Optima 680球管参数要求：</w:t>
      </w:r>
    </w:p>
    <w:tbl>
      <w:tblPr>
        <w:tblStyle w:val="2"/>
        <w:tblW w:w="9719" w:type="dxa"/>
        <w:tblCellSpacing w:w="15" w:type="dxa"/>
        <w:tblInd w:w="1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4"/>
        <w:gridCol w:w="8615"/>
      </w:tblGrid>
      <w:tr w14:paraId="0FFFF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blCellSpacing w:w="15" w:type="dxa"/>
        </w:trPr>
        <w:tc>
          <w:tcPr>
            <w:tcW w:w="1059"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A2424DF">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b/>
                <w:bCs/>
                <w:color w:val="000000"/>
                <w:kern w:val="0"/>
                <w:sz w:val="24"/>
                <w:szCs w:val="24"/>
                <w:highlight w:val="none"/>
              </w:rPr>
              <w:t>序号</w:t>
            </w:r>
          </w:p>
        </w:tc>
        <w:tc>
          <w:tcPr>
            <w:tcW w:w="8570"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48678B9">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b/>
                <w:bCs/>
                <w:color w:val="000000"/>
                <w:kern w:val="0"/>
                <w:sz w:val="24"/>
                <w:szCs w:val="24"/>
                <w:highlight w:val="none"/>
              </w:rPr>
              <w:t>CT optima 680球管参数要求：</w:t>
            </w:r>
          </w:p>
        </w:tc>
      </w:tr>
      <w:tr w14:paraId="0A03A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7" w:hRule="atLeast"/>
          <w:tblCellSpacing w:w="15" w:type="dxa"/>
        </w:trPr>
        <w:tc>
          <w:tcPr>
            <w:tcW w:w="1059"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67B48AA">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w:t>
            </w:r>
          </w:p>
        </w:tc>
        <w:tc>
          <w:tcPr>
            <w:tcW w:w="8570"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3C2D58F">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b/>
                <w:bCs/>
                <w:color w:val="000000"/>
                <w:kern w:val="0"/>
                <w:sz w:val="24"/>
                <w:szCs w:val="24"/>
                <w:highlight w:val="none"/>
              </w:rPr>
              <w:t>提供投标型号球管的原版技术白皮书（DATA SHEET），且以下应标参数均以此技术白皮书为准。</w:t>
            </w:r>
          </w:p>
        </w:tc>
      </w:tr>
      <w:tr w14:paraId="5D47E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blCellSpacing w:w="15" w:type="dxa"/>
        </w:trPr>
        <w:tc>
          <w:tcPr>
            <w:tcW w:w="1059"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F296581">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w:t>
            </w:r>
          </w:p>
        </w:tc>
        <w:tc>
          <w:tcPr>
            <w:tcW w:w="8570"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EA6F0CA">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kern w:val="0"/>
                <w:sz w:val="24"/>
                <w:szCs w:val="24"/>
                <w:highlight w:val="none"/>
              </w:rPr>
              <w:t>阳极热容量：5.0MJ</w:t>
            </w:r>
          </w:p>
        </w:tc>
      </w:tr>
      <w:tr w14:paraId="50D9B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blCellSpacing w:w="15" w:type="dxa"/>
        </w:trPr>
        <w:tc>
          <w:tcPr>
            <w:tcW w:w="1059"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F0F0FC7">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w:t>
            </w:r>
          </w:p>
        </w:tc>
        <w:tc>
          <w:tcPr>
            <w:tcW w:w="8570"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0A3EFE9">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管套热容量要求不小于7.7MJ</w:t>
            </w:r>
          </w:p>
        </w:tc>
      </w:tr>
      <w:tr w14:paraId="5951C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blCellSpacing w:w="15" w:type="dxa"/>
        </w:trPr>
        <w:tc>
          <w:tcPr>
            <w:tcW w:w="1059"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7226E47">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4</w:t>
            </w:r>
          </w:p>
        </w:tc>
        <w:tc>
          <w:tcPr>
            <w:tcW w:w="8570"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A147FBB">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焦点个数≥2个</w:t>
            </w:r>
          </w:p>
        </w:tc>
      </w:tr>
      <w:tr w14:paraId="0A238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blCellSpacing w:w="15" w:type="dxa"/>
        </w:trPr>
        <w:tc>
          <w:tcPr>
            <w:tcW w:w="1059"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67A0CD5">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5</w:t>
            </w:r>
          </w:p>
        </w:tc>
        <w:tc>
          <w:tcPr>
            <w:tcW w:w="8570"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1C3CEDB">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kern w:val="0"/>
                <w:sz w:val="24"/>
                <w:szCs w:val="24"/>
                <w:highlight w:val="none"/>
              </w:rPr>
              <w:t>焦点尺寸（IEC 336/2005）：小焦点≤0.9mm*0.7mm；大焦点≥1.2mm*1.1mm</w:t>
            </w:r>
          </w:p>
        </w:tc>
      </w:tr>
      <w:tr w14:paraId="2E5E0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blCellSpacing w:w="15" w:type="dxa"/>
        </w:trPr>
        <w:tc>
          <w:tcPr>
            <w:tcW w:w="1059"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D02C86E">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6</w:t>
            </w:r>
          </w:p>
        </w:tc>
        <w:tc>
          <w:tcPr>
            <w:tcW w:w="8570"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74054F2">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kern w:val="0"/>
                <w:sz w:val="24"/>
                <w:szCs w:val="24"/>
                <w:highlight w:val="none"/>
              </w:rPr>
              <w:t>焦点功率要求最大≥72KW</w:t>
            </w:r>
          </w:p>
        </w:tc>
      </w:tr>
      <w:tr w14:paraId="43C66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blCellSpacing w:w="15" w:type="dxa"/>
        </w:trPr>
        <w:tc>
          <w:tcPr>
            <w:tcW w:w="1059"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15E88A8">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7</w:t>
            </w:r>
          </w:p>
        </w:tc>
        <w:tc>
          <w:tcPr>
            <w:tcW w:w="8570"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BCDD519">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kern w:val="0"/>
                <w:sz w:val="24"/>
                <w:szCs w:val="24"/>
                <w:highlight w:val="none"/>
              </w:rPr>
              <w:t>120KV时最大毫安输出不低于600mA</w:t>
            </w:r>
          </w:p>
        </w:tc>
      </w:tr>
      <w:tr w14:paraId="6692A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blCellSpacing w:w="15" w:type="dxa"/>
        </w:trPr>
        <w:tc>
          <w:tcPr>
            <w:tcW w:w="1059"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F2DCC8B">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8</w:t>
            </w:r>
          </w:p>
        </w:tc>
        <w:tc>
          <w:tcPr>
            <w:tcW w:w="8570"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BE3450B">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kern w:val="0"/>
                <w:sz w:val="24"/>
                <w:szCs w:val="24"/>
                <w:highlight w:val="none"/>
              </w:rPr>
              <w:t>管套出线窗口FOV（Field of View）尺寸：40mm</w:t>
            </w:r>
          </w:p>
        </w:tc>
      </w:tr>
      <w:tr w14:paraId="24B37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blCellSpacing w:w="15" w:type="dxa"/>
        </w:trPr>
        <w:tc>
          <w:tcPr>
            <w:tcW w:w="1059"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7FEF541">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9</w:t>
            </w:r>
          </w:p>
        </w:tc>
        <w:tc>
          <w:tcPr>
            <w:tcW w:w="8570"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61208F0">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支持0.35秒每圈的高速旋转</w:t>
            </w:r>
          </w:p>
        </w:tc>
      </w:tr>
      <w:tr w14:paraId="67E4A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blCellSpacing w:w="15" w:type="dxa"/>
        </w:trPr>
        <w:tc>
          <w:tcPr>
            <w:tcW w:w="1059"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13E0DA2">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10</w:t>
            </w:r>
          </w:p>
        </w:tc>
        <w:tc>
          <w:tcPr>
            <w:tcW w:w="8570"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05B2BFE">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kern w:val="0"/>
                <w:sz w:val="24"/>
                <w:szCs w:val="24"/>
                <w:highlight w:val="none"/>
              </w:rPr>
              <w:t>球管拥有ASiR芯片，并提供接口，以支持小宝石CT的ASiR技术</w:t>
            </w:r>
          </w:p>
        </w:tc>
      </w:tr>
      <w:tr w14:paraId="4BAA5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blCellSpacing w:w="15" w:type="dxa"/>
        </w:trPr>
        <w:tc>
          <w:tcPr>
            <w:tcW w:w="1059"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F2B86E6">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11</w:t>
            </w:r>
          </w:p>
        </w:tc>
        <w:tc>
          <w:tcPr>
            <w:tcW w:w="8570"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61DCD5D">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kern w:val="0"/>
                <w:sz w:val="24"/>
                <w:szCs w:val="24"/>
                <w:highlight w:val="none"/>
              </w:rPr>
              <w:t>球管最大额定电压≥140KV</w:t>
            </w:r>
          </w:p>
        </w:tc>
      </w:tr>
      <w:tr w14:paraId="0E238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blCellSpacing w:w="15" w:type="dxa"/>
        </w:trPr>
        <w:tc>
          <w:tcPr>
            <w:tcW w:w="1059"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223E8B0">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12</w:t>
            </w:r>
          </w:p>
        </w:tc>
        <w:tc>
          <w:tcPr>
            <w:tcW w:w="8570"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439075D">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kern w:val="0"/>
                <w:sz w:val="24"/>
                <w:szCs w:val="24"/>
                <w:highlight w:val="none"/>
              </w:rPr>
              <w:t>阳极靶面角度：7度</w:t>
            </w:r>
          </w:p>
        </w:tc>
      </w:tr>
    </w:tbl>
    <w:p w14:paraId="78163531">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b/>
          <w:sz w:val="28"/>
          <w:szCs w:val="28"/>
          <w:highlight w:val="none"/>
          <w:lang w:val="en-US" w:eastAsia="zh-CN"/>
        </w:rPr>
      </w:pPr>
    </w:p>
    <w:p w14:paraId="73BBCE1D">
      <w:pPr>
        <w:keepNext w:val="0"/>
        <w:keepLines w:val="0"/>
        <w:pageBreakBefore w:val="0"/>
        <w:widowControl/>
        <w:kinsoku/>
        <w:wordWrap/>
        <w:overflowPunct/>
        <w:topLinePunct w:val="0"/>
        <w:autoSpaceDE/>
        <w:autoSpaceDN/>
        <w:bidi w:val="0"/>
        <w:spacing w:line="360" w:lineRule="auto"/>
        <w:jc w:val="left"/>
        <w:textAlignment w:val="auto"/>
        <w:rPr>
          <w:rFonts w:hint="default" w:ascii="宋体" w:hAnsi="宋体" w:eastAsia="宋体" w:cs="宋体"/>
          <w:color w:val="000000"/>
          <w:kern w:val="0"/>
          <w:sz w:val="24"/>
          <w:szCs w:val="24"/>
          <w:highlight w:val="none"/>
          <w:lang w:val="en-US"/>
        </w:rPr>
      </w:pPr>
      <w:bookmarkStart w:id="1" w:name="_GoBack"/>
      <w:bookmarkEnd w:id="1"/>
      <w:r>
        <w:rPr>
          <w:rFonts w:hint="eastAsia" w:ascii="宋体" w:hAnsi="宋体" w:eastAsia="宋体" w:cs="宋体"/>
          <w:b/>
          <w:sz w:val="28"/>
          <w:szCs w:val="28"/>
          <w:highlight w:val="none"/>
          <w:lang w:val="en-US" w:eastAsia="zh-CN"/>
        </w:rPr>
        <w:t>包3：DSA机维保服务要求</w:t>
      </w:r>
      <w:r>
        <w:rPr>
          <w:rFonts w:hint="eastAsia" w:ascii="宋体" w:hAnsi="宋体" w:eastAsia="宋体" w:cs="宋体"/>
          <w:b/>
          <w:sz w:val="28"/>
          <w:szCs w:val="28"/>
          <w:highlight w:val="none"/>
          <w:lang w:val="en-US" w:eastAsia="zh-CN"/>
        </w:rPr>
        <w:br w:type="textWrapping"/>
      </w:r>
      <w:r>
        <w:rPr>
          <w:rFonts w:hint="eastAsia" w:ascii="宋体" w:hAnsi="宋体" w:eastAsia="宋体" w:cs="宋体"/>
          <w:color w:val="000000"/>
          <w:kern w:val="0"/>
          <w:sz w:val="24"/>
          <w:szCs w:val="24"/>
          <w:highlight w:val="none"/>
        </w:rPr>
        <w:t>一、维保项目：医用血管造影X射线系统</w:t>
      </w:r>
      <w:r>
        <w:rPr>
          <w:rFonts w:hint="eastAsia" w:ascii="宋体" w:hAnsi="宋体" w:eastAsia="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飞利浦</w:t>
      </w:r>
      <w:r>
        <w:rPr>
          <w:rFonts w:hint="eastAsia" w:ascii="宋体" w:hAnsi="宋体" w:eastAsia="宋体" w:cs="宋体"/>
          <w:color w:val="000000"/>
          <w:kern w:val="0"/>
          <w:sz w:val="24"/>
          <w:szCs w:val="24"/>
          <w:highlight w:val="none"/>
          <w:lang w:val="en-US" w:eastAsia="zh-CN"/>
        </w:rPr>
        <w:t>Azurion 7M12</w:t>
      </w:r>
      <w:r>
        <w:rPr>
          <w:rFonts w:hint="eastAsia" w:ascii="宋体" w:hAnsi="宋体" w:eastAsia="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lang w:val="en-US" w:eastAsia="zh-CN"/>
        </w:rPr>
        <w:t>整机维保服务</w:t>
      </w:r>
    </w:p>
    <w:p w14:paraId="22780CFE">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二、服务期限：</w:t>
      </w:r>
      <w:r>
        <w:rPr>
          <w:rFonts w:hint="eastAsia" w:ascii="宋体" w:hAnsi="宋体" w:eastAsia="宋体" w:cs="宋体"/>
          <w:color w:val="000000"/>
          <w:kern w:val="0"/>
          <w:sz w:val="24"/>
          <w:szCs w:val="24"/>
          <w:highlight w:val="none"/>
          <w:lang w:val="en-US" w:eastAsia="zh-CN"/>
        </w:rPr>
        <w:t>两</w:t>
      </w:r>
      <w:r>
        <w:rPr>
          <w:rFonts w:hint="eastAsia" w:ascii="宋体" w:hAnsi="宋体" w:eastAsia="宋体" w:cs="宋体"/>
          <w:color w:val="000000"/>
          <w:kern w:val="0"/>
          <w:sz w:val="24"/>
          <w:szCs w:val="24"/>
          <w:highlight w:val="none"/>
        </w:rPr>
        <w:t>年</w:t>
      </w:r>
    </w:p>
    <w:p w14:paraId="10E958A0">
      <w:pPr>
        <w:keepNext w:val="0"/>
        <w:keepLines w:val="0"/>
        <w:pageBreakBefore w:val="0"/>
        <w:widowControl/>
        <w:kinsoku/>
        <w:wordWrap/>
        <w:overflowPunct/>
        <w:topLinePunct w:val="0"/>
        <w:autoSpaceDE/>
        <w:autoSpaceDN/>
        <w:bidi w:val="0"/>
        <w:spacing w:line="360" w:lineRule="auto"/>
        <w:jc w:val="left"/>
        <w:textAlignment w:val="auto"/>
        <w:rPr>
          <w:rFonts w:hint="default"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三、采购预算：150.00万元</w:t>
      </w:r>
    </w:p>
    <w:p w14:paraId="4F2ECCD5">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四</w:t>
      </w:r>
      <w:r>
        <w:rPr>
          <w:rFonts w:hint="eastAsia" w:ascii="宋体" w:hAnsi="宋体" w:eastAsia="宋体" w:cs="宋体"/>
          <w:color w:val="000000"/>
          <w:kern w:val="0"/>
          <w:sz w:val="24"/>
          <w:szCs w:val="24"/>
          <w:highlight w:val="none"/>
        </w:rPr>
        <w:t>、服务内容及要求：</w:t>
      </w:r>
    </w:p>
    <w:p w14:paraId="1BDCE0B0">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1、投标人对维保设备（飞利浦</w:t>
      </w:r>
      <w:r>
        <w:rPr>
          <w:rFonts w:hint="eastAsia" w:ascii="宋体" w:hAnsi="宋体" w:eastAsia="宋体" w:cs="宋体"/>
          <w:color w:val="000000"/>
          <w:kern w:val="0"/>
          <w:sz w:val="24"/>
          <w:szCs w:val="24"/>
          <w:highlight w:val="none"/>
          <w:lang w:val="en-US" w:eastAsia="zh-CN"/>
        </w:rPr>
        <w:t>Azurion 7M12</w:t>
      </w:r>
      <w:r>
        <w:rPr>
          <w:rFonts w:hint="eastAsia" w:ascii="宋体" w:hAnsi="宋体" w:eastAsia="宋体" w:cs="宋体"/>
          <w:color w:val="000000"/>
          <w:kern w:val="0"/>
          <w:sz w:val="24"/>
          <w:szCs w:val="24"/>
          <w:highlight w:val="none"/>
        </w:rPr>
        <w:t>）所有软硬件提供全包式维保服务，保养服务和不限次数人工维修服务等，包含</w:t>
      </w:r>
      <w:r>
        <w:rPr>
          <w:rFonts w:hint="eastAsia" w:ascii="宋体" w:hAnsi="宋体" w:eastAsia="宋体" w:cs="宋体"/>
          <w:color w:val="000000"/>
          <w:kern w:val="0"/>
          <w:sz w:val="24"/>
          <w:szCs w:val="24"/>
          <w:highlight w:val="none"/>
          <w:lang w:val="en-US" w:eastAsia="zh-CN"/>
        </w:rPr>
        <w:t>整机的球管、主机、高压发生器、影像后处理工作站</w:t>
      </w:r>
      <w:r>
        <w:rPr>
          <w:rFonts w:hint="eastAsia" w:ascii="宋体" w:hAnsi="宋体" w:eastAsia="宋体" w:cs="宋体"/>
          <w:color w:val="000000"/>
          <w:kern w:val="0"/>
          <w:sz w:val="24"/>
          <w:szCs w:val="24"/>
          <w:highlight w:val="none"/>
        </w:rPr>
        <w:t>等所有备品备件，所更换备件必须是原厂认证合格的备件，不包括高压注射器、监护仪、稳压柜等第三方备件。</w:t>
      </w:r>
    </w:p>
    <w:p w14:paraId="73360F26">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2、合同有效期内，维修及保养服务所涉及的人工费用、交通差旅费及备件费均由中标方承担。</w:t>
      </w:r>
      <w:r>
        <w:rPr>
          <w:rFonts w:hint="eastAsia" w:ascii="宋体" w:hAnsi="宋体" w:eastAsia="宋体" w:cs="宋体"/>
          <w:color w:val="000000"/>
          <w:kern w:val="0"/>
          <w:sz w:val="24"/>
          <w:szCs w:val="24"/>
          <w:highlight w:val="none"/>
          <w:lang w:val="en-US" w:eastAsia="zh-CN"/>
        </w:rPr>
        <w:br w:type="textWrapping"/>
      </w:r>
      <w:r>
        <w:rPr>
          <w:rFonts w:hint="eastAsia" w:ascii="宋体" w:hAnsi="宋体" w:eastAsia="宋体" w:cs="宋体"/>
          <w:color w:val="000000"/>
          <w:kern w:val="0"/>
          <w:sz w:val="24"/>
          <w:szCs w:val="24"/>
          <w:highlight w:val="none"/>
          <w:lang w:val="en-US" w:eastAsia="zh-CN"/>
        </w:rPr>
        <w:t>3</w:t>
      </w:r>
      <w:r>
        <w:rPr>
          <w:rFonts w:hint="eastAsia" w:ascii="宋体" w:hAnsi="宋体" w:eastAsia="宋体" w:cs="宋体"/>
          <w:color w:val="000000"/>
          <w:kern w:val="0"/>
          <w:sz w:val="24"/>
          <w:szCs w:val="24"/>
          <w:highlight w:val="none"/>
        </w:rPr>
        <w:t>、投标人本身若只具备商务承担能力，不具备技术及备件供应能力，需提供设备生产厂商</w:t>
      </w:r>
      <w:r>
        <w:rPr>
          <w:rFonts w:hint="eastAsia" w:ascii="宋体" w:hAnsi="宋体" w:eastAsia="宋体" w:cs="宋体"/>
          <w:color w:val="000000"/>
          <w:kern w:val="0"/>
          <w:sz w:val="24"/>
          <w:szCs w:val="24"/>
          <w:highlight w:val="none"/>
          <w:lang w:val="en-US" w:eastAsia="zh-CN"/>
        </w:rPr>
        <w:t>出具</w:t>
      </w:r>
      <w:r>
        <w:rPr>
          <w:rFonts w:hint="eastAsia" w:ascii="宋体" w:hAnsi="宋体" w:eastAsia="宋体" w:cs="宋体"/>
          <w:color w:val="000000"/>
          <w:kern w:val="0"/>
          <w:sz w:val="24"/>
          <w:szCs w:val="24"/>
          <w:highlight w:val="none"/>
        </w:rPr>
        <w:t>的</w:t>
      </w:r>
      <w:r>
        <w:rPr>
          <w:rFonts w:hint="eastAsia" w:ascii="宋体" w:hAnsi="宋体" w:eastAsia="宋体" w:cs="宋体"/>
          <w:color w:val="000000"/>
          <w:kern w:val="0"/>
          <w:sz w:val="24"/>
          <w:szCs w:val="24"/>
          <w:highlight w:val="none"/>
          <w:lang w:val="en-US" w:eastAsia="zh-CN"/>
        </w:rPr>
        <w:t>有效期内</w:t>
      </w:r>
      <w:r>
        <w:rPr>
          <w:rFonts w:hint="eastAsia" w:ascii="宋体" w:hAnsi="宋体" w:eastAsia="宋体" w:cs="宋体"/>
          <w:color w:val="000000"/>
          <w:kern w:val="0"/>
          <w:sz w:val="24"/>
          <w:szCs w:val="24"/>
          <w:highlight w:val="none"/>
        </w:rPr>
        <w:t>售后服务授权书或设备生产厂商的技术合作协议，相应提供的资料得分有效，否则无效。</w:t>
      </w:r>
    </w:p>
    <w:p w14:paraId="245BC852">
      <w:pPr>
        <w:keepNext w:val="0"/>
        <w:keepLines w:val="0"/>
        <w:pageBreakBefore w:val="0"/>
        <w:widowControl/>
        <w:kinsoku/>
        <w:wordWrap/>
        <w:overflowPunct/>
        <w:topLinePunct w:val="0"/>
        <w:autoSpaceDE/>
        <w:autoSpaceDN/>
        <w:bidi w:val="0"/>
        <w:spacing w:line="360" w:lineRule="auto"/>
        <w:jc w:val="left"/>
        <w:textAlignment w:val="auto"/>
        <w:rPr>
          <w:rFonts w:hint="default"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rPr>
        <w:t>▲</w:t>
      </w: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rPr>
        <w:t>、投标人（投标人具有厂家授权的，厂家</w:t>
      </w:r>
      <w:r>
        <w:rPr>
          <w:rFonts w:hint="eastAsia" w:ascii="宋体" w:hAnsi="宋体" w:eastAsia="宋体" w:cs="宋体"/>
          <w:color w:val="000000"/>
          <w:kern w:val="0"/>
          <w:sz w:val="24"/>
          <w:szCs w:val="24"/>
          <w:highlight w:val="none"/>
          <w:lang w:val="en-US" w:eastAsia="zh-CN"/>
        </w:rPr>
        <w:t>工程师</w:t>
      </w:r>
      <w:r>
        <w:rPr>
          <w:rFonts w:hint="eastAsia" w:ascii="宋体" w:hAnsi="宋体" w:eastAsia="宋体" w:cs="宋体"/>
          <w:color w:val="000000"/>
          <w:kern w:val="0"/>
          <w:sz w:val="24"/>
          <w:szCs w:val="24"/>
          <w:highlight w:val="none"/>
        </w:rPr>
        <w:t>视同投标人具有）至少拥有具备同型号设备维修资质的专业工程师4人，需提供以上每位工程师的针对同型号设备的有效期内的原厂培训证明文件，证明文件上面有有效二维码，二维码内容包括生产厂家对工程师的认证信息。</w:t>
      </w:r>
    </w:p>
    <w:p w14:paraId="661DFE60">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5</w:t>
      </w:r>
      <w:r>
        <w:rPr>
          <w:rFonts w:hint="eastAsia" w:ascii="宋体" w:hAnsi="宋体" w:eastAsia="宋体" w:cs="宋体"/>
          <w:color w:val="000000"/>
          <w:kern w:val="0"/>
          <w:sz w:val="24"/>
          <w:szCs w:val="24"/>
          <w:highlight w:val="none"/>
        </w:rPr>
        <w:t>、投标人需在国内设有保税零备件仓库</w:t>
      </w:r>
      <w:r>
        <w:rPr>
          <w:rFonts w:hint="eastAsia" w:ascii="宋体" w:hAnsi="宋体" w:eastAsia="宋体" w:cs="宋体"/>
          <w:color w:val="000000"/>
          <w:kern w:val="0"/>
          <w:sz w:val="24"/>
          <w:szCs w:val="24"/>
          <w:highlight w:val="none"/>
          <w:lang w:val="en-US" w:eastAsia="zh-CN"/>
        </w:rPr>
        <w:t>或</w:t>
      </w:r>
      <w:r>
        <w:rPr>
          <w:rFonts w:hint="eastAsia" w:ascii="宋体" w:hAnsi="宋体" w:eastAsia="宋体" w:cs="宋体"/>
          <w:color w:val="000000"/>
          <w:kern w:val="0"/>
          <w:sz w:val="24"/>
          <w:szCs w:val="24"/>
          <w:highlight w:val="none"/>
        </w:rPr>
        <w:t>非保税零备件仓库，需提供仓库租赁或产权合同供核实，具备具有医疗器械存储资质的库房，需提供证明文件。</w:t>
      </w:r>
    </w:p>
    <w:p w14:paraId="6723CE3C">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6</w:t>
      </w:r>
      <w:r>
        <w:rPr>
          <w:rFonts w:hint="eastAsia" w:ascii="宋体" w:hAnsi="宋体" w:eastAsia="宋体" w:cs="宋体"/>
          <w:color w:val="000000"/>
          <w:kern w:val="0"/>
          <w:sz w:val="24"/>
          <w:szCs w:val="24"/>
          <w:highlight w:val="none"/>
        </w:rPr>
        <w:t>、投标人（投标人具有厂家授权的，厂家具有的视同投标人具有）提供相关设备维修保养需使用的特殊精密专业工具列表，提供专用维修工具校准记录及年度国家级校正认证机构或其授权单位出具的有效检测报告。</w:t>
      </w:r>
    </w:p>
    <w:p w14:paraId="6102235B">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7</w:t>
      </w:r>
      <w:r>
        <w:rPr>
          <w:rFonts w:hint="eastAsia" w:ascii="宋体" w:hAnsi="宋体" w:eastAsia="宋体" w:cs="宋体"/>
          <w:color w:val="000000"/>
          <w:kern w:val="0"/>
          <w:sz w:val="24"/>
          <w:szCs w:val="24"/>
          <w:highlight w:val="none"/>
        </w:rPr>
        <w:t>、投标人（投标人具有厂家授权的，厂家具有的视同投标人具有）提供24*7的800或400免费维修服务热线支持，初次响应时间≤1小时，现场响应时间≤24小时。除不可抗拒因素外完成修复时间≤72小时。</w:t>
      </w:r>
    </w:p>
    <w:p w14:paraId="7AA03163">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8</w:t>
      </w:r>
      <w:r>
        <w:rPr>
          <w:rFonts w:hint="eastAsia" w:ascii="宋体" w:hAnsi="宋体" w:eastAsia="宋体" w:cs="宋体"/>
          <w:color w:val="000000"/>
          <w:kern w:val="0"/>
          <w:sz w:val="24"/>
          <w:szCs w:val="24"/>
          <w:highlight w:val="none"/>
        </w:rPr>
        <w:t>、保证设备开机率≥95%(以全年365天计算），开机率未达95%，停机每超出一个天，维修服务合同期限自动延长两天。</w:t>
      </w:r>
    </w:p>
    <w:p w14:paraId="1455AF46">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9</w:t>
      </w:r>
      <w:r>
        <w:rPr>
          <w:rFonts w:hint="eastAsia" w:ascii="宋体" w:hAnsi="宋体" w:eastAsia="宋体" w:cs="宋体"/>
          <w:color w:val="000000"/>
          <w:kern w:val="0"/>
          <w:sz w:val="24"/>
          <w:szCs w:val="24"/>
          <w:highlight w:val="none"/>
        </w:rPr>
        <w:t>、每年度提供原厂标准的定期现场校准和保养服务不少于</w:t>
      </w: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rPr>
        <w:t>次，包含且不仅限于设备的机械安全检测、电气安全检测、图像质量检测等，并提供报告，确保设备符合原厂的质量要求。</w:t>
      </w:r>
    </w:p>
    <w:p w14:paraId="65C2B02B">
      <w:pPr>
        <w:keepNext w:val="0"/>
        <w:keepLines w:val="0"/>
        <w:pageBreakBefore w:val="0"/>
        <w:widowControl/>
        <w:kinsoku/>
        <w:wordWrap/>
        <w:overflowPunct/>
        <w:topLinePunct w:val="0"/>
        <w:autoSpaceDE/>
        <w:autoSpaceDN/>
        <w:bidi w:val="0"/>
        <w:spacing w:line="360" w:lineRule="auto"/>
        <w:jc w:val="left"/>
        <w:textAlignment w:val="auto"/>
        <w:rPr>
          <w:rFonts w:hint="default"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rPr>
        <w:t>▲1</w:t>
      </w:r>
      <w:r>
        <w:rPr>
          <w:rFonts w:hint="eastAsia" w:ascii="宋体" w:hAnsi="宋体" w:eastAsia="宋体" w:cs="宋体"/>
          <w:color w:val="000000"/>
          <w:kern w:val="0"/>
          <w:sz w:val="24"/>
          <w:szCs w:val="24"/>
          <w:highlight w:val="none"/>
          <w:lang w:val="en-US" w:eastAsia="zh-CN"/>
        </w:rPr>
        <w:t>0</w:t>
      </w:r>
      <w:r>
        <w:rPr>
          <w:rFonts w:hint="eastAsia" w:ascii="宋体" w:hAnsi="宋体" w:eastAsia="宋体" w:cs="宋体"/>
          <w:color w:val="000000"/>
          <w:kern w:val="0"/>
          <w:sz w:val="24"/>
          <w:szCs w:val="24"/>
          <w:highlight w:val="none"/>
        </w:rPr>
        <w:t>、投标人具备完全使用飞利浦原厂远程诊断系统(PRS)的权力和能力，能够提供嵌入式远程连接的实时远程服务，通过远程系统24小时不间断监测设备运行健康状况，提供</w:t>
      </w:r>
      <w:r>
        <w:rPr>
          <w:rFonts w:hint="eastAsia" w:ascii="宋体" w:hAnsi="宋体" w:eastAsia="宋体" w:cs="宋体"/>
          <w:color w:val="000000"/>
          <w:kern w:val="0"/>
          <w:sz w:val="24"/>
          <w:szCs w:val="24"/>
          <w:highlight w:val="none"/>
          <w:lang w:val="en-US" w:eastAsia="zh-CN"/>
        </w:rPr>
        <w:t>有效</w:t>
      </w:r>
      <w:r>
        <w:rPr>
          <w:rFonts w:hint="eastAsia" w:ascii="宋体" w:hAnsi="宋体" w:eastAsia="宋体" w:cs="宋体"/>
          <w:color w:val="000000"/>
          <w:kern w:val="0"/>
          <w:sz w:val="24"/>
          <w:szCs w:val="24"/>
          <w:highlight w:val="none"/>
        </w:rPr>
        <w:t>证明文件。</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▲1</w:t>
      </w:r>
      <w:r>
        <w:rPr>
          <w:rFonts w:hint="eastAsia" w:ascii="宋体" w:hAnsi="宋体" w:eastAsia="宋体" w:cs="宋体"/>
          <w:color w:val="000000"/>
          <w:kern w:val="0"/>
          <w:sz w:val="24"/>
          <w:szCs w:val="24"/>
          <w:highlight w:val="none"/>
          <w:lang w:val="en-US" w:eastAsia="zh-CN"/>
        </w:rPr>
        <w:t>1</w:t>
      </w:r>
      <w:r>
        <w:rPr>
          <w:rFonts w:hint="eastAsia" w:ascii="宋体" w:hAnsi="宋体" w:eastAsia="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投标人需提供飞利浦</w:t>
      </w:r>
      <w:r>
        <w:rPr>
          <w:rFonts w:hint="eastAsia" w:ascii="宋体" w:hAnsi="宋体" w:eastAsia="宋体" w:cs="宋体"/>
          <w:color w:val="000000"/>
          <w:kern w:val="0"/>
          <w:sz w:val="24"/>
          <w:szCs w:val="24"/>
          <w:highlight w:val="none"/>
          <w:lang w:val="en-US" w:eastAsia="zh-CN"/>
        </w:rPr>
        <w:t>Azurion 7M12</w:t>
      </w:r>
      <w:r>
        <w:rPr>
          <w:rFonts w:hint="eastAsia" w:ascii="宋体" w:hAnsi="宋体" w:eastAsia="宋体" w:cs="宋体"/>
          <w:color w:val="000000"/>
          <w:kern w:val="0"/>
          <w:sz w:val="24"/>
          <w:szCs w:val="24"/>
          <w:highlight w:val="none"/>
        </w:rPr>
        <w:t>设备适用球管</w:t>
      </w:r>
      <w:r>
        <w:rPr>
          <w:rFonts w:hint="eastAsia" w:ascii="宋体" w:hAnsi="宋体" w:eastAsia="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lang w:val="en-US" w:eastAsia="zh-CN"/>
        </w:rPr>
        <w:t>MRC200+</w:t>
      </w:r>
      <w:r>
        <w:rPr>
          <w:rFonts w:hint="eastAsia" w:ascii="宋体" w:hAnsi="宋体" w:eastAsia="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的NMPA注册证或整机注册证，注册证需在有效期内，且至少提供一只当前库存同型号球管的中文标签。并提供近一年内至少三只该型号球管的合法进口文件，包括但不限于货运单、报关单等。</w:t>
      </w:r>
    </w:p>
    <w:p w14:paraId="4AF56D85">
      <w:pPr>
        <w:keepNext w:val="0"/>
        <w:keepLines w:val="0"/>
        <w:pageBreakBefore w:val="0"/>
        <w:widowControl/>
        <w:kinsoku/>
        <w:wordWrap/>
        <w:overflowPunct/>
        <w:topLinePunct w:val="0"/>
        <w:autoSpaceDE/>
        <w:autoSpaceDN/>
        <w:bidi w:val="0"/>
        <w:spacing w:line="360" w:lineRule="auto"/>
        <w:jc w:val="left"/>
        <w:textAlignment w:val="auto"/>
        <w:rPr>
          <w:rFonts w:hint="default"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rPr>
        <w:t>1</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、中标方提供维修、保养等服务时，按要求在采购人的设备管理部门进行备案，完成相关服务后，须在采购人的设备管理科、使用科室保留原始工作记录（维修工单及保养清单），并经双方签字确认。</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lang w:val="en-US" w:eastAsia="zh-CN"/>
        </w:rPr>
        <w:t>13、中标人在维保期内所提供的球管、探测器等核心备件必须是原厂原装全新并渠道来源合法，球管更换后的有关各项指标必须符合国家有关法规要求，确保能通过有合法资质的检测公司检测。</w:t>
      </w:r>
    </w:p>
    <w:p w14:paraId="2AEE22FD">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w:t>
      </w: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rPr>
        <w:t>、高级诊断</w:t>
      </w:r>
    </w:p>
    <w:p w14:paraId="650D0663">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highlight w:val="none"/>
        </w:rPr>
        <w:t>投标人（投标人具有厂家授权的，厂家具有的视同投标人具有）整个合同期内都能合法获得原厂高级故障诊断软件的诊断维修钥</w:t>
      </w:r>
      <w:r>
        <w:rPr>
          <w:rFonts w:hint="eastAsia" w:ascii="宋体" w:hAnsi="宋体" w:eastAsia="宋体" w:cs="宋体"/>
          <w:color w:val="000000"/>
          <w:kern w:val="0"/>
          <w:sz w:val="24"/>
          <w:szCs w:val="24"/>
        </w:rPr>
        <w:t>匙（service key），并保证不违反国家有关知识产权的法律规定，提供有效证明材料并做出相应书面承诺。</w:t>
      </w:r>
    </w:p>
    <w:p w14:paraId="76A036F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moder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C5B1C00"/>
    <w:rsid w:val="65A617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styleId="4">
    <w:name w:val="List Paragraph"/>
    <w:qFormat/>
    <w:uiPriority w:val="34"/>
    <w:pPr>
      <w:widowControl/>
      <w:spacing w:after="200" w:line="276" w:lineRule="auto"/>
      <w:ind w:left="720"/>
      <w:contextualSpacing/>
      <w:jc w:val="left"/>
    </w:pPr>
    <w:rPr>
      <w:rFonts w:ascii="Calibri" w:hAnsi="Calibri" w:eastAsia="宋体" w:cs="Times New Roman"/>
      <w:kern w:val="0"/>
      <w:sz w:val="22"/>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3995</Words>
  <Characters>4597</Characters>
  <Lines>0</Lines>
  <Paragraphs>0</Paragraphs>
  <TotalTime>0</TotalTime>
  <ScaleCrop>false</ScaleCrop>
  <LinksUpToDate>false</LinksUpToDate>
  <CharactersWithSpaces>4660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2026-09-04T11:08:00Z</dcterms:created>
  <dc:creator>Administrator</dc:creator>
  <cp:lastModifiedBy>Administrator</cp:lastModifiedBy>
  <dcterms:modified xsi:type="dcterms:W3CDTF">2026-09-10T01:09:56Z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eyJoZGlkIjoiMmI3NmMxY2YzNDVjYTZkZGM4ZWQzZTE3NTg0NDAyN2EiLCJ1c2VySWQiOiIzNTk5NzY1NzAifQ==</vt:lpwstr>
  </property>
  <property fmtid="{D5CDD505-2E9C-101B-9397-08002B2CF9AE}" pid="4" name="ICV">
    <vt:lpwstr>D50E657BD2D844EF8D0366469D609778_12</vt:lpwstr>
  </property>
</Properties>
</file>