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F58AA">
      <w:pPr>
        <w:pStyle w:val="2"/>
        <w:keepNext w:val="0"/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采购需求</w:t>
      </w:r>
    </w:p>
    <w:p w14:paraId="72CE6AE6">
      <w:pPr>
        <w:spacing w:line="360" w:lineRule="auto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bidi="ar"/>
        </w:rPr>
      </w:pPr>
    </w:p>
    <w:p w14:paraId="03B76E63">
      <w:pPr>
        <w:widowControl w:val="0"/>
        <w:kinsoku/>
        <w:autoSpaceDE w:val="0"/>
        <w:autoSpaceDN w:val="0"/>
        <w:adjustRightInd w:val="0"/>
        <w:snapToGrid/>
        <w:spacing w:line="4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color w:val="auto"/>
          <w:kern w:val="2"/>
          <w:sz w:val="24"/>
          <w:szCs w:val="24"/>
          <w:highlight w:val="none"/>
          <w:lang w:eastAsia="zh-CN"/>
        </w:rPr>
        <w:t>一、项目名称：</w:t>
      </w: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  <w:t>市委、市政府机关食堂服务团队采购项目</w:t>
      </w:r>
    </w:p>
    <w:p w14:paraId="2B0D6A4F">
      <w:pPr>
        <w:widowControl w:val="0"/>
        <w:kinsoku/>
        <w:autoSpaceDE w:val="0"/>
        <w:autoSpaceDN w:val="0"/>
        <w:adjustRightInd w:val="0"/>
        <w:snapToGrid/>
        <w:spacing w:line="4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color w:val="auto"/>
          <w:kern w:val="2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napToGrid/>
          <w:color w:val="auto"/>
          <w:kern w:val="2"/>
          <w:sz w:val="24"/>
          <w:szCs w:val="24"/>
          <w:highlight w:val="none"/>
          <w:lang w:eastAsia="zh-CN"/>
        </w:rPr>
        <w:t>采购金额：</w:t>
      </w: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  <w:t>本轮采购周期为三年，年度采购金额约218万元，三年共计约654万元（不含食材采购成本）。</w:t>
      </w:r>
    </w:p>
    <w:p w14:paraId="3CBB17CF">
      <w:pPr>
        <w:widowControl w:val="0"/>
        <w:kinsoku/>
        <w:autoSpaceDE w:val="0"/>
        <w:autoSpaceDN w:val="0"/>
        <w:adjustRightInd w:val="0"/>
        <w:snapToGrid/>
        <w:spacing w:line="46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color w:val="auto"/>
          <w:kern w:val="2"/>
          <w:sz w:val="24"/>
          <w:szCs w:val="24"/>
          <w:highlight w:val="none"/>
          <w:lang w:eastAsia="zh-CN"/>
        </w:rPr>
        <w:t>二、项目基本情况</w:t>
      </w:r>
    </w:p>
    <w:p w14:paraId="69A89BA6">
      <w:pPr>
        <w:widowControl w:val="0"/>
        <w:kinsoku/>
        <w:autoSpaceDE w:val="0"/>
        <w:autoSpaceDN w:val="0"/>
        <w:adjustRightInd w:val="0"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  <w:t>为进一步提升市委、市政府机关食堂日常供餐保障的品质与效率，确保食堂运行安全、平稳、有序，根据《中华人民共和国食品安全法》《集中用餐单位落实食品安全主体责任监督管理规定》及《湖南省党政机关和事业单位内部食堂管理办法》等相关法规政策，结合工作实际，制定</w:t>
      </w: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采购需求</w:t>
      </w: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  <w:t>。</w:t>
      </w:r>
    </w:p>
    <w:p w14:paraId="3853E034">
      <w:pPr>
        <w:widowControl w:val="0"/>
        <w:kinsoku/>
        <w:autoSpaceDE w:val="0"/>
        <w:autoSpaceDN w:val="0"/>
        <w:adjustRightInd w:val="0"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  <w:t>通过公开招标方式，择优选定专业餐饮服务团队，承担市委、市政府机关食堂（含市委小食堂）的日常供餐服务，实现食堂管理规范化、服务标准化、保障精细化，切实满足干部职工用餐需求，确保食品安全零事故、服务质量零投诉（可控范围内）</w:t>
      </w:r>
    </w:p>
    <w:p w14:paraId="096F13EF">
      <w:pPr>
        <w:widowControl w:val="0"/>
        <w:kinsoku/>
        <w:autoSpaceDE w:val="0"/>
        <w:autoSpaceDN w:val="0"/>
        <w:adjustRightInd w:val="0"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  <w:highlight w:val="none"/>
          <w:lang w:eastAsia="zh-CN"/>
        </w:rPr>
        <w:t>郴州市委机关食堂面积约600㎡，位于市委大院内，日均用餐人数约300人（具体以实际用餐人数为准）；郴州市政府机关食堂面积约768.07㎡，位于郴州市中天房地产开发有限公司林邑财富中心办公大楼二楼， 日均用餐人数约400人（具体以实际用餐人数为准）；市委周转房食堂面积约100㎡，位于市委大院内，日均用餐人数约15人（具体以实际用餐人数为准）,三个食堂需为机关干部职工约700人提供就餐保障服务, 需保障每日三餐规定时间内职工正常用餐,同时需保障公务接待用餐和小型会议用餐，配合机关做好扶贫采购等事宜。采购人将机关食堂劳务服务业务委托给中标人。</w:t>
      </w:r>
    </w:p>
    <w:p w14:paraId="3F23893F">
      <w:pPr>
        <w:bidi w:val="0"/>
        <w:jc w:val="center"/>
        <w:rPr>
          <w:b/>
          <w:bCs/>
          <w:color w:val="auto"/>
          <w:sz w:val="30"/>
          <w:szCs w:val="30"/>
          <w:highlight w:val="none"/>
        </w:rPr>
      </w:pPr>
    </w:p>
    <w:p w14:paraId="6CFD32CF">
      <w:pPr>
        <w:rPr>
          <w:b/>
          <w:bCs/>
          <w:color w:val="auto"/>
          <w:sz w:val="30"/>
          <w:szCs w:val="30"/>
          <w:highlight w:val="none"/>
        </w:rPr>
      </w:pPr>
      <w:r>
        <w:rPr>
          <w:b/>
          <w:bCs/>
          <w:color w:val="auto"/>
          <w:sz w:val="30"/>
          <w:szCs w:val="30"/>
          <w:highlight w:val="none"/>
        </w:rPr>
        <w:br w:type="page"/>
      </w:r>
    </w:p>
    <w:p w14:paraId="51DDB328">
      <w:pPr>
        <w:bidi w:val="0"/>
        <w:jc w:val="center"/>
        <w:rPr>
          <w:b/>
          <w:bCs/>
          <w:color w:val="auto"/>
          <w:sz w:val="30"/>
          <w:szCs w:val="30"/>
          <w:highlight w:val="none"/>
        </w:rPr>
      </w:pPr>
      <w:r>
        <w:rPr>
          <w:b/>
          <w:bCs/>
          <w:color w:val="auto"/>
          <w:sz w:val="30"/>
          <w:szCs w:val="30"/>
          <w:highlight w:val="none"/>
        </w:rPr>
        <w:t>第一节 技术要求</w:t>
      </w:r>
    </w:p>
    <w:p w14:paraId="6BFAAF67">
      <w:pPr>
        <w:bidi w:val="0"/>
        <w:jc w:val="center"/>
        <w:rPr>
          <w:b/>
          <w:bCs/>
          <w:color w:val="auto"/>
          <w:sz w:val="30"/>
          <w:szCs w:val="30"/>
          <w:highlight w:val="none"/>
        </w:rPr>
      </w:pPr>
      <w:r>
        <w:rPr>
          <w:b/>
          <w:bCs/>
          <w:color w:val="auto"/>
          <w:sz w:val="30"/>
          <w:szCs w:val="30"/>
          <w:highlight w:val="none"/>
        </w:rPr>
        <w:t>（服务、人员、食品安全、现场管理、考核标准）</w:t>
      </w:r>
    </w:p>
    <w:p w14:paraId="2D52C654">
      <w:pPr>
        <w:spacing w:line="218" w:lineRule="auto"/>
        <w:ind w:left="523"/>
        <w:rPr>
          <w:rFonts w:hint="eastAsia" w:ascii="黑体" w:hAnsi="黑体" w:eastAsia="黑体" w:cs="黑体"/>
          <w:color w:val="auto"/>
          <w:spacing w:val="-2"/>
          <w:sz w:val="24"/>
          <w:szCs w:val="24"/>
          <w:highlight w:val="none"/>
        </w:rPr>
      </w:pPr>
    </w:p>
    <w:p w14:paraId="0654F264"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2"/>
          <w:sz w:val="24"/>
          <w:szCs w:val="24"/>
          <w:highlight w:val="none"/>
        </w:rPr>
        <w:t>一、整体服务范围与供餐标准</w:t>
      </w:r>
    </w:p>
    <w:p w14:paraId="1327F9A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（一）服务内容</w:t>
      </w:r>
    </w:p>
    <w:p w14:paraId="75C56E40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全时段保障早、中、晚职工日常就餐；按需 24 小时响应公务包厢接待、各类小型会议用餐、加班临时供餐；</w:t>
      </w:r>
    </w:p>
    <w:p w14:paraId="713A7F08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负责菜品研发、每周菜谱制定公示、膳食营养搭配；</w:t>
      </w:r>
    </w:p>
    <w:p w14:paraId="28A61603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食堂全域清洁、厨具清洗消毒、仓储管理、食材加工烹饪、窗口打餐、包厢接待服；</w:t>
      </w:r>
    </w:p>
    <w:p w14:paraId="2E8D8FFB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建立全套食品安全台账、日常巡查、留样、出入库、消毒、培训记录；</w:t>
      </w:r>
    </w:p>
    <w:p w14:paraId="7D4D4C9B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落实反食品浪费、扶贫农产品采购等甲方专项工作。</w:t>
      </w:r>
    </w:p>
    <w:p w14:paraId="5C82EE3A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（二）固定供餐时间</w:t>
      </w:r>
    </w:p>
    <w:p w14:paraId="354A52AF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早餐：7:00—9:00</w:t>
      </w:r>
    </w:p>
    <w:p w14:paraId="4AB7131B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中餐：11:40—13:00（自助餐模式）</w:t>
      </w:r>
    </w:p>
    <w:p w14:paraId="39140C7B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晚餐：</w:t>
      </w:r>
    </w:p>
    <w:p w14:paraId="4B615126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冬季 10 月 - 次年 4 月：17:30—18:30</w:t>
      </w:r>
    </w:p>
    <w:p w14:paraId="623DB8AA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夏季 5 月 - 9 月：18:00—19:00（基础打菜 + 小炒点菜）</w:t>
      </w:r>
    </w:p>
    <w:p w14:paraId="675892B5">
      <w:pPr>
        <w:pStyle w:val="5"/>
        <w:spacing w:before="177" w:line="360" w:lineRule="auto"/>
        <w:ind w:left="42" w:right="66" w:firstLine="494"/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  <w:lang w:val="en-US" w:eastAsia="en-US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pacing w:val="-7"/>
          <w:sz w:val="24"/>
          <w:szCs w:val="24"/>
          <w:highlight w:val="none"/>
        </w:rPr>
        <w:t>公务接待、加班用餐无固定时限，随叫随保障。</w:t>
      </w:r>
    </w:p>
    <w:p w14:paraId="74B9143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（三）餐品配置标准</w:t>
      </w:r>
    </w:p>
    <w:p w14:paraId="3F186C9D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</w:rPr>
        <w:t>早餐：面点、粉面、鸡蛋、豆浆、杂粮等≥10 个品类；</w:t>
      </w:r>
    </w:p>
    <w:p w14:paraId="0A70B88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</w:rPr>
        <w:t>中餐自助：荤素热菜、汤品、水果配套供应；</w:t>
      </w:r>
    </w:p>
    <w:p w14:paraId="3F2C64A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</w:rPr>
        <w:t>晚餐：基础套餐 + 单点小炒；</w:t>
      </w:r>
    </w:p>
    <w:p w14:paraId="209CBDEA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</w:rPr>
        <w:t>每周更新菜谱，定期推出创新菜品，由营养指导员搭配健康膳食。</w:t>
      </w:r>
    </w:p>
    <w:p w14:paraId="6CD5DD31"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  <w:t>二、人员配置与管理技术标准</w:t>
      </w:r>
    </w:p>
    <w:p w14:paraId="2946CA67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"/>
        </w:rPr>
        <w:t>（一）岗位配置硬性要求</w:t>
      </w:r>
    </w:p>
    <w:p w14:paraId="42EAB640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1.项目经理：2名（市委1名、市政府1名），负责项目点全面管理，制定经营计划，主持日常会议，协调内外部事务，与甲方保持沟通，定期回访；负责食品安全、消防安全及应急处置方案制定与培训、组织开展菜品研发等工作。</w:t>
      </w:r>
    </w:p>
    <w:p w14:paraId="79D038E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2.项目助理/仓管：1名（驻市政府食堂），协助项目主理工作，负责仓库出入库管理，营业数据统计，月底盘点等。</w:t>
      </w:r>
    </w:p>
    <w:p w14:paraId="3BA4480E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3.行政总厨：1名（驻市委食堂），负责厨房人员管理及业务统筹，制定菜单并把关菜品质量，掌握原料库存及市场价格，定期推出新菜，负责厨房卫生及食品安全管理。</w:t>
      </w:r>
    </w:p>
    <w:p w14:paraId="02ED09D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4.厨师长：2名（市委食堂1名、市政府1名），协助行政总厨完成主、副食加工制作，研发新菜品，配合餐厅完成日常供餐工作，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分别负责市委食堂、市政府食堂主厨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。</w:t>
      </w:r>
    </w:p>
    <w:p w14:paraId="73250BB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5.厨师：4名（市委食堂2名、市政府2名），协助厨师长完成主、副食加工制作，研发新菜品，配合餐厅完成日常供餐工作。</w:t>
      </w:r>
    </w:p>
    <w:p w14:paraId="7E79337D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6.白案师傅：5名（市委食堂2名、市委小食堂1名、市政府2名），负责面点、糕点制作，丰富早餐品种，配合完成日常供餐工作。</w:t>
      </w:r>
    </w:p>
    <w:p w14:paraId="610093B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7.服务员：10名（市委食堂3名、市委小食堂2名、住房2名、市政府3名），负责食堂包厢及公务接待用餐服务，保管包厢物品；负责食堂超市商品出入库、销售及每日数据上报。</w:t>
      </w:r>
    </w:p>
    <w:p w14:paraId="2F86B1F7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8.勤杂工：10名（市委5 名、市政府5名），协助厨师工作，配合供餐，负责餐后厨具回收清洗及消毒工作。</w:t>
      </w:r>
    </w:p>
    <w:p w14:paraId="2096D2BD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9.切配员：4 名（市委 2 名、市政府2名），按菜谱完成切配任务，确保刀工质量，落实卫生要求，配合供餐工作。</w:t>
      </w:r>
    </w:p>
    <w:p w14:paraId="0213B94E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10. 食品安全员 1 名（可兼职，不计入服务总人数），全面负责食堂食品安全日常管控工作，严格落实食品安全 “日管控、周排查、月调度” 管理制度。</w:t>
      </w:r>
    </w:p>
    <w:p w14:paraId="20E9EADC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11.营养指导员 1名（可兼职，不计总人数），负责膳食营养搭配指导，定期制定健康食谱。</w:t>
      </w:r>
    </w:p>
    <w:p w14:paraId="31702800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b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12.总人数配置合计≥39人，在充分确保供餐保障服务质量的前提下，工作具体岗位可根据工作安排合理优化（需经采购方同意）。</w:t>
      </w:r>
    </w:p>
    <w:p w14:paraId="170ABDA2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"/>
        </w:rPr>
        <w:t>（二）人员准入硬性规范</w:t>
      </w:r>
    </w:p>
    <w:p w14:paraId="2B13446F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所有上岗人员必须持有有效健康证；</w:t>
      </w:r>
    </w:p>
    <w:p w14:paraId="7CE70B8D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中标人中标后所有人员上岗前须持有效健康证，关键岗位（项目经理、厨师长、行政总厨、厨师）须提供社保缴纳证明通过政治安全审查（含心理健康评估、毒品毛发检测等），费用由中标人承担；</w:t>
      </w:r>
    </w:p>
    <w:p w14:paraId="428CDC22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患有传染性疾病人员严禁从事食品操作岗位；</w:t>
      </w:r>
    </w:p>
    <w:p w14:paraId="40E68FC4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从业人员统一落实 “三白四勤”，不得佩戴戒指、耳环、手链，不留长指甲；</w:t>
      </w:r>
    </w:p>
    <w:p w14:paraId="4222C19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中标人须依法与全体员工签订劳动合同，严格遵守《劳动合同法》，自行承担员工社保、工装、年度体检、岗位培训、人身意外伤害保险、福利待遇、伤病相关等全部人力相关费用；所有工作人员相关责任、用工纠纷、人身伤亡事宜均由中标人独立承担，与采购人不存在任何法律关系，食堂场所范围内产生的全部法律责任均由中标人自行承担。</w:t>
      </w:r>
    </w:p>
    <w:p w14:paraId="2AD39985"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  <w:t>三、食品安全硬性技术规范</w:t>
      </w:r>
    </w:p>
    <w:p w14:paraId="63F2765A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供应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商要求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：合同签订 30 个工作日内、正式开餐前完成《食品经营许可证》办理，足额投保食品安全责任险；全程遵守《食品安全法》《餐饮服务食品安全操作规范》《湖南省党政机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关和事业单位内部食堂管理办法》。</w:t>
      </w:r>
    </w:p>
    <w:p w14:paraId="19E53B99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2.管控机制：设立食品安全管理专人，严格执行日管控、周排查、月调度，所有检查台账定期报送甲方备案。</w:t>
      </w:r>
    </w:p>
    <w:p w14:paraId="7CF6B559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3.食材加工储存标准</w:t>
      </w:r>
    </w:p>
    <w:p w14:paraId="1A8E8AFE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（1）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食材分区存放，米面油隔墙隔地存放，配备防虫防鼠消杀措施；</w:t>
      </w:r>
    </w:p>
    <w:p w14:paraId="05911F01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（2）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荤素食材分池清洗、生熟刀具 / 砧板 / 冰箱分区标识，器具严格分开；</w:t>
      </w:r>
    </w:p>
    <w:p w14:paraId="6501E45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（3）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所有食品烧熟煮透，每餐成品留样 100-200g，留样保存 48 小时并完整登记台账；</w:t>
      </w:r>
    </w:p>
    <w:p w14:paraId="0FEF9C31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（4）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所有原材料、调味品在保质期内使用，供应商进货验收台账完整留存；</w:t>
      </w:r>
    </w:p>
    <w:p w14:paraId="559F03FD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.消毒管控：餐具、熟食容器标准化消毒，环境、器具采样合格率＞90%；</w:t>
      </w:r>
    </w:p>
    <w:p w14:paraId="1FE8869A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事故管控：严禁发生群体性食物中毒；一旦出现食品安全事故，采购人有权一票否决终止合同，中标人承担全部赔偿、法律责任；不得瞒报、迟报、销毁事故证据，第一时间停供、救治人员、保护现场、上报监管部门。</w:t>
      </w:r>
    </w:p>
    <w:p w14:paraId="0BAFC0EF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.日常巡查：按《食堂卫生安全巡查表》每日全覆盖检查，含许可证、供应商资质、仓库台账、后厨环境卫生、消毒留样、从业人员健康、临期变质食材、生熟分区等，发现问题限期整改并留存整改记录。</w:t>
      </w:r>
    </w:p>
    <w:p w14:paraId="7259A597"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  <w:t>四、环境卫生、设备、安全生产技术要求</w:t>
      </w:r>
    </w:p>
    <w:p w14:paraId="272A2660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全域保洁：专人负责厨房、餐厅、包厢、仓库、食堂外围区域日常清洁，环境卫生达到国家、湖南省食堂卫生标准；餐后餐桌及时清理，垃圾、潲水完整登记台账。</w:t>
      </w:r>
    </w:p>
    <w:p w14:paraId="3B195E9A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设备管理：甲方移交前完成清产核资，按清单交付厨房设备、餐具；中标人负责日常维护保养，合同到期完好归还（正常损耗除外）；违规操作造成设备损毁由中标人全额赔偿。</w:t>
      </w:r>
    </w:p>
    <w:p w14:paraId="4C231DED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安全生产管理</w:t>
      </w:r>
    </w:p>
    <w:p w14:paraId="510B5AD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（1）制定防火、防盗、水电燃气、食品机械安全操作规程，专人负责安全管理；</w:t>
      </w:r>
    </w:p>
    <w:p w14:paraId="296527CE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（2）建立食物中毒、火灾等突发事件专项应急预案，定期组织培训演练；</w:t>
      </w:r>
    </w:p>
    <w:p w14:paraId="1FDC548A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（3）因中标人操作不当引发火灾、人员受伤、就餐人员中毒等所有安全事故，全部损失、赔偿、法律责任由中标人承担。</w:t>
      </w:r>
    </w:p>
    <w:p w14:paraId="74219CA9"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2"/>
          <w:sz w:val="24"/>
          <w:szCs w:val="24"/>
          <w:highlight w:val="none"/>
        </w:rPr>
        <w:t>五、内部管理制度建设要求（全套制度报甲方备案）</w:t>
      </w:r>
    </w:p>
    <w:p w14:paraId="7C024D7A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人事用工、岗位培训管理制度；</w:t>
      </w:r>
    </w:p>
    <w:p w14:paraId="53705E82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全岗位标准化操作规范；</w:t>
      </w:r>
    </w:p>
    <w:p w14:paraId="7F8BD71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食材采购、入库储存、加工管控制度；</w:t>
      </w:r>
    </w:p>
    <w:p w14:paraId="51FF35B5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4.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环境卫生、餐具消毒管理制度；</w:t>
      </w:r>
    </w:p>
    <w:p w14:paraId="4A3009F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食品安全突发事件应急处置预案、消防安全管理制度；</w:t>
      </w:r>
    </w:p>
    <w:p w14:paraId="09844BA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6.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文明服务规范、民主意见收集管理制度；</w:t>
      </w:r>
    </w:p>
    <w:p w14:paraId="1B771A8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7.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岗位责任追究制度。</w:t>
      </w:r>
    </w:p>
    <w:p w14:paraId="144082DB">
      <w:pPr>
        <w:pStyle w:val="5"/>
        <w:spacing w:before="1" w:line="360" w:lineRule="auto"/>
        <w:ind w:right="65"/>
        <w:rPr>
          <w:rFonts w:hint="eastAsia" w:asciiTheme="minorEastAsia" w:hAnsiTheme="minorEastAsia" w:eastAsiaTheme="minorEastAsia" w:cstheme="minorEastAsia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en-US" w:bidi="ar-SA"/>
        </w:rPr>
        <w:t>六、服务质量管控标准</w:t>
      </w:r>
    </w:p>
    <w:p w14:paraId="70AD0505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1.菜品分批制作，持续保障热菜热汤足量供应；节假日、临时加班安排专人值班供餐；</w:t>
      </w:r>
    </w:p>
    <w:p w14:paraId="09186B2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2.建立意见快速响应机制，职工投诉及时处置反馈；</w:t>
      </w:r>
    </w:p>
    <w:p w14:paraId="51075849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3.每月开展职工不记名满意度测评，测评维度包含环境卫生、菜品质量、服务态度、综合管理四大板块；</w:t>
      </w:r>
    </w:p>
    <w:p w14:paraId="7DD40BF4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4.厉行节约管控：以食堂收支持平为基准，月度核算节约 / 浪费比例，按约定标准奖惩。</w:t>
      </w:r>
    </w:p>
    <w:p w14:paraId="1C1C32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en-US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zh-CN" w:bidi="ar-SA"/>
        </w:rPr>
        <w:t>七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en-US" w:bidi="ar-SA"/>
        </w:rPr>
        <w:t>、禁止性技术条款</w:t>
      </w:r>
    </w:p>
    <w:p w14:paraId="4077528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★1.严禁将食堂场地、劳务服务转包、分包、挂靠第三方，一经查实甲方立即终止合同；</w:t>
      </w:r>
    </w:p>
    <w:p w14:paraId="5987BF06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★2.不得擅自缩减人员编制、降低岗位资质标准，所有人员调整、新进团队服务人员均须经采购人书面审核同意后方可上岗。</w:t>
      </w:r>
    </w:p>
    <w:p w14:paraId="2C0B292A">
      <w:pPr>
        <w:spacing w:line="360" w:lineRule="auto"/>
        <w:rPr>
          <w:rFonts w:hint="eastAsia" w:asciiTheme="minorEastAsia" w:hAnsiTheme="minorEastAsia" w:eastAsiaTheme="minorEastAsia" w:cstheme="minorEastAsia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zh-CN" w:bidi="ar-SA"/>
        </w:rPr>
        <w:t>八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en-US" w:bidi="ar-SA"/>
        </w:rPr>
        <w:t>、履约考核细则</w:t>
      </w:r>
    </w:p>
    <w:p w14:paraId="19638EB2">
      <w:pPr>
        <w:kinsoku w:val="0"/>
        <w:autoSpaceDE w:val="0"/>
        <w:autoSpaceDN w:val="0"/>
        <w:adjustRightInd w:val="0"/>
        <w:snapToGrid w:val="0"/>
        <w:spacing w:before="122" w:line="36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auto"/>
          <w:spacing w:val="-14"/>
          <w:kern w:val="0"/>
          <w:sz w:val="24"/>
          <w:szCs w:val="24"/>
          <w:highlight w:val="none"/>
          <w:lang w:val="en-US" w:eastAsia="en-US" w:bidi="ar-SA"/>
        </w:rPr>
        <w:t>分值分级标准：</w:t>
      </w:r>
    </w:p>
    <w:p w14:paraId="09037274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 xml:space="preserve"> 食堂开支收入以持平为基数，以月度为单位，每节约或浪费 1%，即按节约或浪费部分的 10%奖励或处罚；每节约或浪费&gt;1%≤3%，即按节约或浪费部分的20%奖励或处罚；浪费&gt;3%按实际浪费金额处罚，奖罚资金按月度考核，按季度结算。</w:t>
      </w:r>
    </w:p>
    <w:p w14:paraId="693A53BE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基本酬劳与绩效考核挂钩，按月考核，按月支付：如乙方达到优秀等级，甲方应向乙方支付合同价的 100%，良好等级为 98%，合格等级 96%，不合格 90%（连续 2个月考核不合格，即 90 分以下，甲方有权立即解除合同,乙方需在投标文件里对该项作出承诺）。98 分以上为优秀，95 分以上（含 95 分）为良好，90 分以上(含 90 分)为合格，90 分以下为不合格。考核分别由市委机关服务中心及市政府机关服务中心负责，其他单位代表参加。</w:t>
      </w:r>
    </w:p>
    <w:p w14:paraId="13455F52">
      <w:pPr>
        <w:spacing w:line="360" w:lineRule="auto"/>
        <w:rPr>
          <w:rFonts w:ascii="Arial"/>
          <w:color w:val="auto"/>
          <w:sz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auto"/>
          <w:spacing w:val="-3"/>
          <w:kern w:val="0"/>
          <w:sz w:val="24"/>
          <w:szCs w:val="24"/>
          <w:highlight w:val="none"/>
          <w:lang w:val="en-US" w:eastAsia="zh-CN" w:bidi="ar-SA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auto"/>
          <w:spacing w:val="-3"/>
          <w:kern w:val="0"/>
          <w:sz w:val="24"/>
          <w:szCs w:val="24"/>
          <w:highlight w:val="none"/>
          <w:lang w:val="en-US" w:eastAsia="en-US" w:bidi="ar-SA"/>
        </w:rPr>
        <w:t>.考核表：参照下表</w:t>
      </w:r>
      <w:r>
        <w:rPr>
          <w:rFonts w:hint="eastAsia" w:asciiTheme="minorEastAsia" w:hAnsiTheme="minorEastAsia" w:eastAsiaTheme="minorEastAsia" w:cstheme="minorEastAsia"/>
          <w:snapToGrid w:val="0"/>
          <w:color w:val="auto"/>
          <w:kern w:val="0"/>
          <w:sz w:val="24"/>
          <w:szCs w:val="24"/>
          <w:highlight w:val="none"/>
          <w:lang w:val="en-US" w:eastAsia="en-US" w:bidi="ar-SA"/>
        </w:rPr>
        <w:t>（具体考核评分细则由甲乙双方在正式服务合同中另行约定）</w:t>
      </w:r>
    </w:p>
    <w:p w14:paraId="15A77562">
      <w:pPr>
        <w:spacing w:before="167" w:line="197" w:lineRule="auto"/>
        <w:ind w:left="2456"/>
        <w:rPr>
          <w:rFonts w:ascii="微软雅黑" w:hAnsi="微软雅黑" w:eastAsia="微软雅黑" w:cs="微软雅黑"/>
          <w:color w:val="auto"/>
          <w:sz w:val="39"/>
          <w:szCs w:val="39"/>
          <w:highlight w:val="none"/>
        </w:rPr>
      </w:pPr>
      <w:r>
        <w:rPr>
          <w:rFonts w:ascii="微软雅黑" w:hAnsi="微软雅黑" w:eastAsia="微软雅黑" w:cs="微软雅黑"/>
          <w:color w:val="auto"/>
          <w:spacing w:val="8"/>
          <w:sz w:val="39"/>
          <w:szCs w:val="39"/>
          <w:highlight w:val="none"/>
        </w:rPr>
        <w:t>职工食堂满意度评分表</w:t>
      </w:r>
    </w:p>
    <w:p w14:paraId="4458898C">
      <w:pPr>
        <w:kinsoku w:val="0"/>
        <w:autoSpaceDE w:val="0"/>
        <w:autoSpaceDN w:val="0"/>
        <w:adjustRightInd w:val="0"/>
        <w:snapToGrid w:val="0"/>
        <w:spacing w:before="91" w:line="202" w:lineRule="auto"/>
        <w:jc w:val="right"/>
        <w:textAlignment w:val="baseline"/>
        <w:rPr>
          <w:rFonts w:ascii="宋体" w:hAnsi="宋体" w:eastAsia="宋体" w:cs="宋体"/>
          <w:snapToGrid w:val="0"/>
          <w:color w:val="auto"/>
          <w:kern w:val="0"/>
          <w:sz w:val="21"/>
          <w:szCs w:val="21"/>
          <w:highlight w:val="none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auto"/>
          <w:spacing w:val="-2"/>
          <w:kern w:val="0"/>
          <w:sz w:val="21"/>
          <w:szCs w:val="21"/>
          <w:highlight w:val="none"/>
          <w:lang w:val="en-US" w:eastAsia="en-US" w:bidi="ar-SA"/>
        </w:rPr>
        <w:t>（实施过程中可能对此表作相应调整）          年  月</w:t>
      </w:r>
      <w:r>
        <w:rPr>
          <w:rFonts w:ascii="宋体" w:hAnsi="宋体" w:eastAsia="宋体" w:cs="宋体"/>
          <w:snapToGrid w:val="0"/>
          <w:color w:val="auto"/>
          <w:spacing w:val="26"/>
          <w:kern w:val="0"/>
          <w:sz w:val="21"/>
          <w:szCs w:val="21"/>
          <w:highlight w:val="none"/>
          <w:lang w:val="en-US" w:eastAsia="en-US" w:bidi="ar-SA"/>
        </w:rPr>
        <w:t xml:space="preserve">  </w:t>
      </w:r>
      <w:r>
        <w:rPr>
          <w:rFonts w:ascii="宋体" w:hAnsi="宋体" w:eastAsia="宋体" w:cs="宋体"/>
          <w:snapToGrid w:val="0"/>
          <w:color w:val="auto"/>
          <w:spacing w:val="-2"/>
          <w:kern w:val="0"/>
          <w:sz w:val="21"/>
          <w:szCs w:val="21"/>
          <w:highlight w:val="none"/>
          <w:lang w:val="en-US" w:eastAsia="en-US" w:bidi="ar-SA"/>
        </w:rPr>
        <w:t>日</w:t>
      </w:r>
    </w:p>
    <w:tbl>
      <w:tblPr>
        <w:tblStyle w:val="8"/>
        <w:tblW w:w="8685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1"/>
        <w:gridCol w:w="4223"/>
        <w:gridCol w:w="440"/>
        <w:gridCol w:w="517"/>
        <w:gridCol w:w="502"/>
        <w:gridCol w:w="470"/>
        <w:gridCol w:w="536"/>
        <w:gridCol w:w="1556"/>
      </w:tblGrid>
      <w:tr w14:paraId="285D3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8685" w:type="dxa"/>
            <w:gridSpan w:val="8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  <w:vAlign w:val="top"/>
          </w:tcPr>
          <w:p w14:paraId="332406E0">
            <w:pPr>
              <w:kinsoku w:val="0"/>
              <w:autoSpaceDE w:val="0"/>
              <w:autoSpaceDN w:val="0"/>
              <w:adjustRightInd w:val="0"/>
              <w:snapToGrid w:val="0"/>
              <w:spacing w:before="163" w:line="211" w:lineRule="auto"/>
              <w:ind w:left="10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5"/>
                <w:kern w:val="0"/>
                <w:sz w:val="21"/>
                <w:szCs w:val="21"/>
                <w:highlight w:val="none"/>
                <w:lang w:val="en-US" w:eastAsia="en-US" w:bidi="ar-SA"/>
              </w:rPr>
              <w:t>各位干部职工：</w:t>
            </w:r>
          </w:p>
          <w:p w14:paraId="7A3D7102">
            <w:pPr>
              <w:kinsoku w:val="0"/>
              <w:autoSpaceDE w:val="0"/>
              <w:autoSpaceDN w:val="0"/>
              <w:adjustRightInd w:val="0"/>
              <w:snapToGrid w:val="0"/>
              <w:spacing w:before="1" w:line="215" w:lineRule="auto"/>
              <w:ind w:left="103" w:right="20" w:firstLine="45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您好！为了完善食堂管理，持续提高服务质量，让大家更加精神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饱满地做好工作，特发</w:t>
            </w:r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放此表，此表为不记名打分表，希望大家从实际出发，积极配合，认真、详实的填写，谢谢！</w:t>
            </w:r>
          </w:p>
        </w:tc>
      </w:tr>
      <w:tr w14:paraId="3C282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441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58EF3D10">
            <w:pPr>
              <w:kinsoku w:val="0"/>
              <w:autoSpaceDE w:val="0"/>
              <w:autoSpaceDN w:val="0"/>
              <w:adjustRightInd w:val="0"/>
              <w:snapToGrid w:val="0"/>
              <w:spacing w:before="119" w:line="202" w:lineRule="auto"/>
              <w:ind w:left="26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2"/>
                <w:kern w:val="0"/>
                <w:sz w:val="21"/>
                <w:szCs w:val="21"/>
                <w:highlight w:val="none"/>
                <w:lang w:val="en-US" w:eastAsia="en-US" w:bidi="ar-SA"/>
              </w:rPr>
              <w:t>评分项</w:t>
            </w:r>
            <w:r>
              <w:rPr>
                <w:rFonts w:ascii="宋体" w:hAnsi="宋体" w:eastAsia="宋体" w:cs="宋体"/>
                <w:snapToGrid w:val="0"/>
                <w:color w:val="auto"/>
                <w:spacing w:val="22"/>
                <w:kern w:val="0"/>
                <w:position w:val="1"/>
                <w:sz w:val="21"/>
                <w:szCs w:val="21"/>
                <w:highlight w:val="none"/>
                <w:lang w:val="en-US" w:eastAsia="en-US" w:bidi="ar-SA"/>
              </w:rPr>
              <w:t>目</w:t>
            </w:r>
          </w:p>
        </w:tc>
        <w:tc>
          <w:tcPr>
            <w:tcW w:w="4223" w:type="dxa"/>
            <w:vAlign w:val="top"/>
          </w:tcPr>
          <w:p w14:paraId="375E3EE2">
            <w:pPr>
              <w:spacing w:line="257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9E93EF7">
            <w:pPr>
              <w:kinsoku w:val="0"/>
              <w:autoSpaceDE w:val="0"/>
              <w:autoSpaceDN w:val="0"/>
              <w:adjustRightInd w:val="0"/>
              <w:snapToGrid w:val="0"/>
              <w:spacing w:before="90" w:line="197" w:lineRule="auto"/>
              <w:ind w:left="799"/>
              <w:jc w:val="left"/>
              <w:textAlignment w:val="baseline"/>
              <w:rPr>
                <w:rFonts w:ascii="微软雅黑" w:hAnsi="微软雅黑" w:eastAsia="微软雅黑" w:cs="微软雅黑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对下述问题，请在框内打</w:t>
            </w:r>
            <w:r>
              <w:rPr>
                <w:rFonts w:ascii="微软雅黑" w:hAnsi="微软雅黑" w:eastAsia="微软雅黑" w:cs="微软雅黑"/>
                <w:snapToGrid w:val="0"/>
                <w:color w:val="auto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“√力</w:t>
            </w:r>
          </w:p>
        </w:tc>
        <w:tc>
          <w:tcPr>
            <w:tcW w:w="440" w:type="dxa"/>
            <w:vAlign w:val="top"/>
          </w:tcPr>
          <w:p w14:paraId="1A67CFAD">
            <w:pPr>
              <w:kinsoku w:val="0"/>
              <w:autoSpaceDE w:val="0"/>
              <w:autoSpaceDN w:val="0"/>
              <w:adjustRightInd w:val="0"/>
              <w:snapToGrid w:val="0"/>
              <w:spacing w:before="242" w:line="220" w:lineRule="auto"/>
              <w:ind w:left="121" w:right="115" w:hanging="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8"/>
                <w:kern w:val="0"/>
                <w:sz w:val="21"/>
                <w:szCs w:val="21"/>
                <w:highlight w:val="none"/>
                <w:lang w:val="en-US" w:eastAsia="en-US" w:bidi="ar-SA"/>
              </w:rPr>
              <w:t>满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3"/>
                <w:kern w:val="0"/>
                <w:sz w:val="21"/>
                <w:szCs w:val="21"/>
                <w:highlight w:val="none"/>
                <w:lang w:val="en-US" w:eastAsia="en-US" w:bidi="ar-SA"/>
              </w:rPr>
              <w:t>意</w:t>
            </w:r>
          </w:p>
        </w:tc>
        <w:tc>
          <w:tcPr>
            <w:tcW w:w="517" w:type="dxa"/>
            <w:textDirection w:val="tbRlV"/>
            <w:vAlign w:val="top"/>
          </w:tcPr>
          <w:p w14:paraId="35AEC403">
            <w:pPr>
              <w:kinsoku w:val="0"/>
              <w:autoSpaceDE w:val="0"/>
              <w:autoSpaceDN w:val="0"/>
              <w:adjustRightInd w:val="0"/>
              <w:snapToGrid w:val="0"/>
              <w:spacing w:before="147" w:line="209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0"/>
                <w:kern w:val="0"/>
                <w:sz w:val="21"/>
                <w:szCs w:val="21"/>
                <w:highlight w:val="none"/>
                <w:lang w:val="en-US" w:eastAsia="en-US" w:bidi="ar-SA"/>
              </w:rPr>
              <w:t>较满意</w:t>
            </w:r>
          </w:p>
        </w:tc>
        <w:tc>
          <w:tcPr>
            <w:tcW w:w="502" w:type="dxa"/>
            <w:vAlign w:val="top"/>
          </w:tcPr>
          <w:p w14:paraId="56778B6B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E2EA9CE">
            <w:pPr>
              <w:kinsoku w:val="0"/>
              <w:autoSpaceDE w:val="0"/>
              <w:autoSpaceDN w:val="0"/>
              <w:adjustRightInd w:val="0"/>
              <w:snapToGrid w:val="0"/>
              <w:spacing w:before="68" w:line="269" w:lineRule="auto"/>
              <w:ind w:left="152" w:right="140" w:firstLine="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一</w:t>
            </w:r>
            <w:r>
              <w:rPr>
                <w:rFonts w:ascii="宋体" w:hAnsi="宋体" w:eastAsia="宋体" w:cs="宋体"/>
                <w:snapToGrid w:val="0"/>
                <w:color w:val="auto"/>
                <w:spacing w:val="-7"/>
                <w:kern w:val="0"/>
                <w:sz w:val="21"/>
                <w:szCs w:val="21"/>
                <w:highlight w:val="none"/>
                <w:lang w:val="en-US" w:eastAsia="en-US" w:bidi="ar-SA"/>
              </w:rPr>
              <w:t>般</w:t>
            </w:r>
          </w:p>
        </w:tc>
        <w:tc>
          <w:tcPr>
            <w:tcW w:w="470" w:type="dxa"/>
            <w:vAlign w:val="top"/>
          </w:tcPr>
          <w:p w14:paraId="2F2A2C53">
            <w:pPr>
              <w:kinsoku w:val="0"/>
              <w:autoSpaceDE w:val="0"/>
              <w:autoSpaceDN w:val="0"/>
              <w:adjustRightInd w:val="0"/>
              <w:snapToGrid w:val="0"/>
              <w:spacing w:before="242" w:line="216" w:lineRule="auto"/>
              <w:ind w:left="136" w:right="125" w:firstLine="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不</w:t>
            </w:r>
            <w:r>
              <w:rPr>
                <w:rFonts w:ascii="宋体" w:hAnsi="宋体" w:eastAsia="宋体" w:cs="宋体"/>
                <w:snapToGrid w:val="0"/>
                <w:color w:val="auto"/>
                <w:spacing w:val="-8"/>
                <w:kern w:val="0"/>
                <w:sz w:val="21"/>
                <w:szCs w:val="21"/>
                <w:highlight w:val="none"/>
                <w:lang w:val="en-US" w:eastAsia="en-US" w:bidi="ar-SA"/>
              </w:rPr>
              <w:t>好</w:t>
            </w:r>
          </w:p>
        </w:tc>
        <w:tc>
          <w:tcPr>
            <w:tcW w:w="536" w:type="dxa"/>
            <w:vAlign w:val="top"/>
          </w:tcPr>
          <w:p w14:paraId="3FB43C86">
            <w:pPr>
              <w:kinsoku w:val="0"/>
              <w:autoSpaceDE w:val="0"/>
              <w:autoSpaceDN w:val="0"/>
              <w:adjustRightInd w:val="0"/>
              <w:snapToGrid w:val="0"/>
              <w:spacing w:before="244" w:line="219" w:lineRule="auto"/>
              <w:ind w:left="172" w:right="15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9"/>
                <w:kern w:val="0"/>
                <w:sz w:val="21"/>
                <w:szCs w:val="21"/>
                <w:highlight w:val="none"/>
                <w:lang w:val="en-US" w:eastAsia="en-US" w:bidi="ar-SA"/>
              </w:rPr>
              <w:t>很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0"/>
                <w:kern w:val="0"/>
                <w:sz w:val="21"/>
                <w:szCs w:val="21"/>
                <w:highlight w:val="none"/>
                <w:lang w:val="en-US" w:eastAsia="en-US" w:bidi="ar-SA"/>
              </w:rPr>
              <w:t>差</w:t>
            </w:r>
          </w:p>
        </w:tc>
        <w:tc>
          <w:tcPr>
            <w:tcW w:w="1556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 w14:paraId="7E48A77C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2AF58AD9">
            <w:pPr>
              <w:spacing w:line="278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80C1095">
            <w:pPr>
              <w:kinsoku w:val="0"/>
              <w:autoSpaceDE w:val="0"/>
              <w:autoSpaceDN w:val="0"/>
              <w:adjustRightInd w:val="0"/>
              <w:snapToGrid w:val="0"/>
              <w:spacing w:before="68" w:line="220" w:lineRule="auto"/>
              <w:ind w:left="15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对应问题简诉</w:t>
            </w:r>
          </w:p>
        </w:tc>
      </w:tr>
      <w:tr w14:paraId="70C46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2C26738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2F25AC4D">
            <w:pPr>
              <w:kinsoku w:val="0"/>
              <w:autoSpaceDE w:val="0"/>
              <w:autoSpaceDN w:val="0"/>
              <w:adjustRightInd w:val="0"/>
              <w:snapToGrid w:val="0"/>
              <w:spacing w:before="153" w:line="221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对应每一项的分数</w:t>
            </w:r>
          </w:p>
        </w:tc>
        <w:tc>
          <w:tcPr>
            <w:tcW w:w="440" w:type="dxa"/>
            <w:vAlign w:val="top"/>
          </w:tcPr>
          <w:p w14:paraId="0ECC9754">
            <w:pPr>
              <w:kinsoku w:val="0"/>
              <w:autoSpaceDE w:val="0"/>
              <w:autoSpaceDN w:val="0"/>
              <w:adjustRightInd w:val="0"/>
              <w:snapToGrid w:val="0"/>
              <w:spacing w:before="154" w:line="221" w:lineRule="auto"/>
              <w:ind w:left="1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517" w:type="dxa"/>
            <w:vAlign w:val="top"/>
          </w:tcPr>
          <w:p w14:paraId="6EE5B527">
            <w:pPr>
              <w:kinsoku w:val="0"/>
              <w:autoSpaceDE w:val="0"/>
              <w:autoSpaceDN w:val="0"/>
              <w:adjustRightInd w:val="0"/>
              <w:snapToGrid w:val="0"/>
              <w:spacing w:before="154" w:line="221" w:lineRule="auto"/>
              <w:ind w:left="1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502" w:type="dxa"/>
            <w:vAlign w:val="top"/>
          </w:tcPr>
          <w:p w14:paraId="24054FF6">
            <w:pPr>
              <w:kinsoku w:val="0"/>
              <w:autoSpaceDE w:val="0"/>
              <w:autoSpaceDN w:val="0"/>
              <w:adjustRightInd w:val="0"/>
              <w:snapToGrid w:val="0"/>
              <w:spacing w:before="154" w:line="221" w:lineRule="auto"/>
              <w:ind w:left="15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470" w:type="dxa"/>
            <w:vAlign w:val="top"/>
          </w:tcPr>
          <w:p w14:paraId="721194EC">
            <w:pPr>
              <w:kinsoku w:val="0"/>
              <w:autoSpaceDE w:val="0"/>
              <w:autoSpaceDN w:val="0"/>
              <w:adjustRightInd w:val="0"/>
              <w:snapToGrid w:val="0"/>
              <w:spacing w:before="154" w:line="221" w:lineRule="auto"/>
              <w:ind w:left="1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536" w:type="dxa"/>
            <w:vAlign w:val="top"/>
          </w:tcPr>
          <w:p w14:paraId="1C8C2202">
            <w:pPr>
              <w:kinsoku w:val="0"/>
              <w:autoSpaceDE w:val="0"/>
              <w:autoSpaceDN w:val="0"/>
              <w:adjustRightInd w:val="0"/>
              <w:snapToGrid w:val="0"/>
              <w:spacing w:before="154" w:line="221" w:lineRule="auto"/>
              <w:ind w:left="17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1556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04E3407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A94C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441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145D11F0">
            <w:pPr>
              <w:kinsoku w:val="0"/>
              <w:autoSpaceDE w:val="0"/>
              <w:autoSpaceDN w:val="0"/>
              <w:adjustRightInd w:val="0"/>
              <w:snapToGrid w:val="0"/>
              <w:spacing w:before="119" w:line="209" w:lineRule="auto"/>
              <w:ind w:left="2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2"/>
                <w:kern w:val="0"/>
                <w:sz w:val="21"/>
                <w:szCs w:val="21"/>
                <w:highlight w:val="none"/>
                <w:lang w:val="en-US" w:eastAsia="en-US" w:bidi="ar-SA"/>
              </w:rPr>
              <w:t>卫生状况</w:t>
            </w:r>
          </w:p>
        </w:tc>
        <w:tc>
          <w:tcPr>
            <w:tcW w:w="4223" w:type="dxa"/>
            <w:vAlign w:val="top"/>
          </w:tcPr>
          <w:p w14:paraId="154DDC4E">
            <w:pPr>
              <w:kinsoku w:val="0"/>
              <w:autoSpaceDE w:val="0"/>
              <w:autoSpaceDN w:val="0"/>
              <w:adjustRightInd w:val="0"/>
              <w:snapToGrid w:val="0"/>
              <w:spacing w:before="125" w:line="221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服务人员个人卫生</w:t>
            </w:r>
          </w:p>
        </w:tc>
        <w:tc>
          <w:tcPr>
            <w:tcW w:w="440" w:type="dxa"/>
            <w:vAlign w:val="top"/>
          </w:tcPr>
          <w:p w14:paraId="203714E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714EA91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7B3E12E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387DAA7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6AC8295C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0F4F4BB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009B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34EBCC3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19CF615C">
            <w:pPr>
              <w:kinsoku w:val="0"/>
              <w:autoSpaceDE w:val="0"/>
              <w:autoSpaceDN w:val="0"/>
              <w:adjustRightInd w:val="0"/>
              <w:snapToGrid w:val="0"/>
              <w:spacing w:before="50" w:line="221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饭菜卫生</w:t>
            </w:r>
          </w:p>
        </w:tc>
        <w:tc>
          <w:tcPr>
            <w:tcW w:w="440" w:type="dxa"/>
            <w:vAlign w:val="top"/>
          </w:tcPr>
          <w:p w14:paraId="40738B6B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32E45B8B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715B60B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435CBC6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182BA45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1F1FD0C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6105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96F0F6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3C4E63C1">
            <w:pPr>
              <w:kinsoku w:val="0"/>
              <w:autoSpaceDE w:val="0"/>
              <w:autoSpaceDN w:val="0"/>
              <w:adjustRightInd w:val="0"/>
              <w:snapToGrid w:val="0"/>
              <w:spacing w:before="50" w:line="221" w:lineRule="auto"/>
              <w:ind w:left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餐具卫生</w:t>
            </w:r>
          </w:p>
        </w:tc>
        <w:tc>
          <w:tcPr>
            <w:tcW w:w="440" w:type="dxa"/>
            <w:vAlign w:val="top"/>
          </w:tcPr>
          <w:p w14:paraId="25E3A59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1A1DBD0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1E5FD246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106E91ED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5177C52C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5221BF3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97E1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30C9C02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0EDE467E">
            <w:pPr>
              <w:kinsoku w:val="0"/>
              <w:autoSpaceDE w:val="0"/>
              <w:autoSpaceDN w:val="0"/>
              <w:adjustRightInd w:val="0"/>
              <w:snapToGrid w:val="0"/>
              <w:spacing w:before="71" w:line="221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食堂卫生</w:t>
            </w:r>
          </w:p>
        </w:tc>
        <w:tc>
          <w:tcPr>
            <w:tcW w:w="440" w:type="dxa"/>
            <w:vAlign w:val="top"/>
          </w:tcPr>
          <w:p w14:paraId="6FD6530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1927AAB0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42D47EC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33B0900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088261C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1E23EE7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2391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41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537869E2">
            <w:pPr>
              <w:kinsoku w:val="0"/>
              <w:autoSpaceDE w:val="0"/>
              <w:autoSpaceDN w:val="0"/>
              <w:adjustRightInd w:val="0"/>
              <w:snapToGrid w:val="0"/>
              <w:spacing w:before="119" w:line="209" w:lineRule="auto"/>
              <w:ind w:left="48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2"/>
                <w:kern w:val="0"/>
                <w:sz w:val="21"/>
                <w:szCs w:val="21"/>
                <w:highlight w:val="none"/>
                <w:lang w:val="en-US" w:eastAsia="en-US" w:bidi="ar-SA"/>
              </w:rPr>
              <w:t>饭菜质量</w:t>
            </w:r>
          </w:p>
        </w:tc>
        <w:tc>
          <w:tcPr>
            <w:tcW w:w="4223" w:type="dxa"/>
            <w:vAlign w:val="top"/>
          </w:tcPr>
          <w:p w14:paraId="4CE85E27">
            <w:pPr>
              <w:kinsoku w:val="0"/>
              <w:autoSpaceDE w:val="0"/>
              <w:autoSpaceDN w:val="0"/>
              <w:adjustRightInd w:val="0"/>
              <w:snapToGrid w:val="0"/>
              <w:spacing w:before="148" w:line="221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菜品</w:t>
            </w:r>
          </w:p>
        </w:tc>
        <w:tc>
          <w:tcPr>
            <w:tcW w:w="440" w:type="dxa"/>
            <w:vAlign w:val="top"/>
          </w:tcPr>
          <w:p w14:paraId="41A28636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5AE77614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7C38806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7F29C49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17C9EA7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4460E7B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670B4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37A367D4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118B841A">
            <w:pPr>
              <w:kinsoku w:val="0"/>
              <w:autoSpaceDE w:val="0"/>
              <w:autoSpaceDN w:val="0"/>
              <w:adjustRightInd w:val="0"/>
              <w:snapToGrid w:val="0"/>
              <w:spacing w:before="54" w:line="217" w:lineRule="auto"/>
              <w:ind w:left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荤素搭配</w:t>
            </w:r>
          </w:p>
        </w:tc>
        <w:tc>
          <w:tcPr>
            <w:tcW w:w="440" w:type="dxa"/>
            <w:vAlign w:val="top"/>
          </w:tcPr>
          <w:p w14:paraId="240321F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4C01FB96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32CF1FF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1BB27B0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18FA38DD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07F08886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56101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7544E2E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1F5E6D9F">
            <w:pPr>
              <w:kinsoku w:val="0"/>
              <w:autoSpaceDE w:val="0"/>
              <w:autoSpaceDN w:val="0"/>
              <w:adjustRightInd w:val="0"/>
              <w:snapToGrid w:val="0"/>
              <w:spacing w:before="59" w:line="217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饭菜口味</w:t>
            </w:r>
          </w:p>
        </w:tc>
        <w:tc>
          <w:tcPr>
            <w:tcW w:w="440" w:type="dxa"/>
            <w:vAlign w:val="top"/>
          </w:tcPr>
          <w:p w14:paraId="6B03AF44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549ED7E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0FFAEB1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146046F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4DC87C7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5F954B7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C6D2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2BDC3D2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2D23B0F3">
            <w:pPr>
              <w:kinsoku w:val="0"/>
              <w:autoSpaceDE w:val="0"/>
              <w:autoSpaceDN w:val="0"/>
              <w:adjustRightInd w:val="0"/>
              <w:snapToGrid w:val="0"/>
              <w:spacing w:before="60" w:line="216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饭菜新鲜程度</w:t>
            </w:r>
          </w:p>
        </w:tc>
        <w:tc>
          <w:tcPr>
            <w:tcW w:w="440" w:type="dxa"/>
            <w:vAlign w:val="top"/>
          </w:tcPr>
          <w:p w14:paraId="38B6BBB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7555285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21C5E71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53CE167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5DBA6EA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54A246D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2893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36F35D8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758F632D">
            <w:pPr>
              <w:kinsoku w:val="0"/>
              <w:autoSpaceDE w:val="0"/>
              <w:autoSpaceDN w:val="0"/>
              <w:adjustRightInd w:val="0"/>
              <w:snapToGrid w:val="0"/>
              <w:spacing w:before="103" w:line="221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饭菜有无异物出现</w:t>
            </w:r>
          </w:p>
        </w:tc>
        <w:tc>
          <w:tcPr>
            <w:tcW w:w="440" w:type="dxa"/>
            <w:vAlign w:val="top"/>
          </w:tcPr>
          <w:p w14:paraId="24C5E43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1DF8EB2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431AEC5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1F714F8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05DB71F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4D4EB8B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2E80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1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1423DDC5">
            <w:pPr>
              <w:kinsoku w:val="0"/>
              <w:autoSpaceDE w:val="0"/>
              <w:autoSpaceDN w:val="0"/>
              <w:adjustRightInd w:val="0"/>
              <w:snapToGrid w:val="0"/>
              <w:spacing w:before="119" w:line="210" w:lineRule="auto"/>
              <w:ind w:left="39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2"/>
                <w:kern w:val="0"/>
                <w:sz w:val="21"/>
                <w:szCs w:val="21"/>
                <w:highlight w:val="none"/>
                <w:lang w:val="en-US" w:eastAsia="en-US" w:bidi="ar-SA"/>
              </w:rPr>
              <w:t>服务态度</w:t>
            </w:r>
          </w:p>
        </w:tc>
        <w:tc>
          <w:tcPr>
            <w:tcW w:w="4223" w:type="dxa"/>
            <w:vAlign w:val="top"/>
          </w:tcPr>
          <w:p w14:paraId="5662FD3C">
            <w:pPr>
              <w:kinsoku w:val="0"/>
              <w:autoSpaceDE w:val="0"/>
              <w:autoSpaceDN w:val="0"/>
              <w:adjustRightInd w:val="0"/>
              <w:snapToGrid w:val="0"/>
              <w:spacing w:before="56" w:line="219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工作人员服务态度</w:t>
            </w:r>
          </w:p>
        </w:tc>
        <w:tc>
          <w:tcPr>
            <w:tcW w:w="440" w:type="dxa"/>
            <w:vAlign w:val="top"/>
          </w:tcPr>
          <w:p w14:paraId="73EB72D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3C37453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255CDDB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7ABB853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0D2D663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3D120F5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1D44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772C176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29438E73">
            <w:pPr>
              <w:kinsoku w:val="0"/>
              <w:autoSpaceDE w:val="0"/>
              <w:autoSpaceDN w:val="0"/>
              <w:adjustRightInd w:val="0"/>
              <w:snapToGrid w:val="0"/>
              <w:spacing w:before="57" w:line="214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工作人员责任心</w:t>
            </w:r>
          </w:p>
        </w:tc>
        <w:tc>
          <w:tcPr>
            <w:tcW w:w="440" w:type="dxa"/>
            <w:vAlign w:val="top"/>
          </w:tcPr>
          <w:p w14:paraId="6615154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6068904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6A7E6BCD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6AD4DAC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2959D2C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7B619A8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DF9F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3B80112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171B5D6C">
            <w:pPr>
              <w:kinsoku w:val="0"/>
              <w:autoSpaceDE w:val="0"/>
              <w:autoSpaceDN w:val="0"/>
              <w:adjustRightInd w:val="0"/>
              <w:snapToGrid w:val="0"/>
              <w:spacing w:before="62" w:line="214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饭菜是否供应充足</w:t>
            </w:r>
          </w:p>
        </w:tc>
        <w:tc>
          <w:tcPr>
            <w:tcW w:w="440" w:type="dxa"/>
            <w:vAlign w:val="top"/>
          </w:tcPr>
          <w:p w14:paraId="3F3A863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4E3AA9C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25800606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6F26402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6C130596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62F9FCD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16EA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6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54A85D8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598B8820">
            <w:pPr>
              <w:kinsoku w:val="0"/>
              <w:autoSpaceDE w:val="0"/>
              <w:autoSpaceDN w:val="0"/>
              <w:adjustRightInd w:val="0"/>
              <w:snapToGrid w:val="0"/>
              <w:spacing w:before="115" w:line="221" w:lineRule="auto"/>
              <w:ind w:left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餐桌收拾及时度</w:t>
            </w:r>
          </w:p>
        </w:tc>
        <w:tc>
          <w:tcPr>
            <w:tcW w:w="440" w:type="dxa"/>
            <w:vAlign w:val="top"/>
          </w:tcPr>
          <w:p w14:paraId="4B2689F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7276101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595CEF2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2389496B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48A1BDF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3D52F294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B9D79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5A5ADCE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Align w:val="top"/>
          </w:tcPr>
          <w:p w14:paraId="07037C81">
            <w:pPr>
              <w:kinsoku w:val="0"/>
              <w:autoSpaceDE w:val="0"/>
              <w:autoSpaceDN w:val="0"/>
              <w:adjustRightInd w:val="0"/>
              <w:snapToGrid w:val="0"/>
              <w:spacing w:before="60" w:line="216" w:lineRule="auto"/>
              <w:ind w:left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听取意见和建议情况</w:t>
            </w:r>
          </w:p>
        </w:tc>
        <w:tc>
          <w:tcPr>
            <w:tcW w:w="440" w:type="dxa"/>
            <w:vAlign w:val="top"/>
          </w:tcPr>
          <w:p w14:paraId="7772DC7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3A2A256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7D87769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732878A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5951863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629B2A5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8B4E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441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016C6D37">
            <w:pPr>
              <w:kinsoku w:val="0"/>
              <w:autoSpaceDE w:val="0"/>
              <w:autoSpaceDN w:val="0"/>
              <w:adjustRightInd w:val="0"/>
              <w:snapToGrid w:val="0"/>
              <w:spacing w:before="119" w:line="209" w:lineRule="auto"/>
              <w:ind w:left="50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2"/>
                <w:kern w:val="0"/>
                <w:sz w:val="21"/>
                <w:szCs w:val="21"/>
                <w:highlight w:val="none"/>
                <w:lang w:val="en-US" w:eastAsia="en-US" w:bidi="ar-SA"/>
              </w:rPr>
              <w:t>食堂管理</w:t>
            </w:r>
          </w:p>
        </w:tc>
        <w:tc>
          <w:tcPr>
            <w:tcW w:w="4223" w:type="dxa"/>
            <w:vMerge w:val="restart"/>
            <w:tcBorders>
              <w:bottom w:val="nil"/>
            </w:tcBorders>
            <w:vAlign w:val="top"/>
          </w:tcPr>
          <w:p w14:paraId="1439AC28">
            <w:pPr>
              <w:spacing w:line="26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173D87B">
            <w:pPr>
              <w:spacing w:line="264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346D939B">
            <w:pPr>
              <w:spacing w:line="265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7BA6A1D2">
            <w:pPr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ind w:left="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食堂综合管理</w:t>
            </w:r>
          </w:p>
        </w:tc>
        <w:tc>
          <w:tcPr>
            <w:tcW w:w="440" w:type="dxa"/>
            <w:vAlign w:val="top"/>
          </w:tcPr>
          <w:p w14:paraId="515096F4">
            <w:pPr>
              <w:kinsoku w:val="0"/>
              <w:autoSpaceDE w:val="0"/>
              <w:autoSpaceDN w:val="0"/>
              <w:adjustRightInd w:val="0"/>
              <w:snapToGrid w:val="0"/>
              <w:spacing w:before="242" w:line="220" w:lineRule="auto"/>
              <w:ind w:left="121" w:right="115" w:hanging="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8"/>
                <w:kern w:val="0"/>
                <w:sz w:val="21"/>
                <w:szCs w:val="21"/>
                <w:highlight w:val="none"/>
                <w:lang w:val="en-US" w:eastAsia="en-US" w:bidi="ar-SA"/>
              </w:rPr>
              <w:t>满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3"/>
                <w:kern w:val="0"/>
                <w:sz w:val="21"/>
                <w:szCs w:val="21"/>
                <w:highlight w:val="none"/>
                <w:lang w:val="en-US" w:eastAsia="en-US" w:bidi="ar-SA"/>
              </w:rPr>
              <w:t>意</w:t>
            </w:r>
          </w:p>
        </w:tc>
        <w:tc>
          <w:tcPr>
            <w:tcW w:w="517" w:type="dxa"/>
            <w:textDirection w:val="tbRlV"/>
            <w:vAlign w:val="top"/>
          </w:tcPr>
          <w:p w14:paraId="3421089D">
            <w:pPr>
              <w:kinsoku w:val="0"/>
              <w:autoSpaceDE w:val="0"/>
              <w:autoSpaceDN w:val="0"/>
              <w:adjustRightInd w:val="0"/>
              <w:snapToGrid w:val="0"/>
              <w:spacing w:before="147" w:line="209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20"/>
                <w:kern w:val="0"/>
                <w:sz w:val="21"/>
                <w:szCs w:val="21"/>
                <w:highlight w:val="none"/>
                <w:lang w:val="en-US" w:eastAsia="en-US" w:bidi="ar-SA"/>
              </w:rPr>
              <w:t>较满意</w:t>
            </w:r>
          </w:p>
        </w:tc>
        <w:tc>
          <w:tcPr>
            <w:tcW w:w="502" w:type="dxa"/>
            <w:vAlign w:val="top"/>
          </w:tcPr>
          <w:p w14:paraId="53F576C8">
            <w:pPr>
              <w:spacing w:line="252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057A5573">
            <w:pPr>
              <w:kinsoku w:val="0"/>
              <w:autoSpaceDE w:val="0"/>
              <w:autoSpaceDN w:val="0"/>
              <w:adjustRightInd w:val="0"/>
              <w:snapToGrid w:val="0"/>
              <w:spacing w:before="68" w:line="254" w:lineRule="auto"/>
              <w:ind w:left="152" w:right="140" w:firstLine="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一</w:t>
            </w:r>
            <w:r>
              <w:rPr>
                <w:rFonts w:ascii="宋体" w:hAnsi="宋体" w:eastAsia="宋体" w:cs="宋体"/>
                <w:snapToGrid w:val="0"/>
                <w:color w:val="auto"/>
                <w:spacing w:val="-7"/>
                <w:kern w:val="0"/>
                <w:sz w:val="21"/>
                <w:szCs w:val="21"/>
                <w:highlight w:val="none"/>
                <w:lang w:val="en-US" w:eastAsia="en-US" w:bidi="ar-SA"/>
              </w:rPr>
              <w:t>般</w:t>
            </w:r>
          </w:p>
        </w:tc>
        <w:tc>
          <w:tcPr>
            <w:tcW w:w="470" w:type="dxa"/>
            <w:vAlign w:val="top"/>
          </w:tcPr>
          <w:p w14:paraId="24FB147B">
            <w:pPr>
              <w:kinsoku w:val="0"/>
              <w:autoSpaceDE w:val="0"/>
              <w:autoSpaceDN w:val="0"/>
              <w:adjustRightInd w:val="0"/>
              <w:snapToGrid w:val="0"/>
              <w:spacing w:before="242" w:line="216" w:lineRule="auto"/>
              <w:ind w:left="136" w:right="125" w:firstLine="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不</w:t>
            </w:r>
            <w:r>
              <w:rPr>
                <w:rFonts w:ascii="宋体" w:hAnsi="宋体" w:eastAsia="宋体" w:cs="宋体"/>
                <w:snapToGrid w:val="0"/>
                <w:color w:val="auto"/>
                <w:spacing w:val="-8"/>
                <w:kern w:val="0"/>
                <w:sz w:val="21"/>
                <w:szCs w:val="21"/>
                <w:highlight w:val="none"/>
                <w:lang w:val="en-US" w:eastAsia="en-US" w:bidi="ar-SA"/>
              </w:rPr>
              <w:t>好</w:t>
            </w:r>
          </w:p>
        </w:tc>
        <w:tc>
          <w:tcPr>
            <w:tcW w:w="536" w:type="dxa"/>
            <w:vAlign w:val="top"/>
          </w:tcPr>
          <w:p w14:paraId="7D096CFC">
            <w:pPr>
              <w:kinsoku w:val="0"/>
              <w:autoSpaceDE w:val="0"/>
              <w:autoSpaceDN w:val="0"/>
              <w:adjustRightInd w:val="0"/>
              <w:snapToGrid w:val="0"/>
              <w:spacing w:before="243" w:line="219" w:lineRule="auto"/>
              <w:ind w:left="172" w:right="15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9"/>
                <w:kern w:val="0"/>
                <w:sz w:val="21"/>
                <w:szCs w:val="21"/>
                <w:highlight w:val="none"/>
                <w:lang w:val="en-US" w:eastAsia="en-US" w:bidi="ar-SA"/>
              </w:rPr>
              <w:t>很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0"/>
                <w:kern w:val="0"/>
                <w:sz w:val="21"/>
                <w:szCs w:val="21"/>
                <w:highlight w:val="none"/>
                <w:lang w:val="en-US" w:eastAsia="en-US" w:bidi="ar-SA"/>
              </w:rPr>
              <w:t>差</w:t>
            </w:r>
          </w:p>
        </w:tc>
        <w:tc>
          <w:tcPr>
            <w:tcW w:w="1556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 w14:paraId="1F222DA7">
            <w:pPr>
              <w:spacing w:line="4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5EBF8081">
            <w:pPr>
              <w:kinsoku w:val="0"/>
              <w:autoSpaceDE w:val="0"/>
              <w:autoSpaceDN w:val="0"/>
              <w:adjustRightInd w:val="0"/>
              <w:snapToGrid w:val="0"/>
              <w:spacing w:before="68" w:line="220" w:lineRule="auto"/>
              <w:ind w:left="15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对应问题简述</w:t>
            </w:r>
          </w:p>
        </w:tc>
      </w:tr>
      <w:tr w14:paraId="69124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4B504EB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Merge w:val="continue"/>
            <w:tcBorders>
              <w:top w:val="nil"/>
              <w:bottom w:val="nil"/>
            </w:tcBorders>
            <w:vAlign w:val="top"/>
          </w:tcPr>
          <w:p w14:paraId="170C3EC0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40" w:type="dxa"/>
            <w:vAlign w:val="top"/>
          </w:tcPr>
          <w:p w14:paraId="07603FC9">
            <w:pPr>
              <w:kinsoku w:val="0"/>
              <w:autoSpaceDE w:val="0"/>
              <w:autoSpaceDN w:val="0"/>
              <w:adjustRightInd w:val="0"/>
              <w:snapToGrid w:val="0"/>
              <w:spacing w:before="67" w:line="210" w:lineRule="auto"/>
              <w:ind w:left="1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517" w:type="dxa"/>
            <w:vAlign w:val="top"/>
          </w:tcPr>
          <w:p w14:paraId="5DC10239">
            <w:pPr>
              <w:kinsoku w:val="0"/>
              <w:autoSpaceDE w:val="0"/>
              <w:autoSpaceDN w:val="0"/>
              <w:adjustRightInd w:val="0"/>
              <w:snapToGrid w:val="0"/>
              <w:spacing w:before="67" w:line="210" w:lineRule="auto"/>
              <w:ind w:left="1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502" w:type="dxa"/>
            <w:vAlign w:val="top"/>
          </w:tcPr>
          <w:p w14:paraId="4F883BB5">
            <w:pPr>
              <w:kinsoku w:val="0"/>
              <w:autoSpaceDE w:val="0"/>
              <w:autoSpaceDN w:val="0"/>
              <w:adjustRightInd w:val="0"/>
              <w:snapToGrid w:val="0"/>
              <w:spacing w:before="67" w:line="210" w:lineRule="auto"/>
              <w:ind w:left="15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470" w:type="dxa"/>
            <w:vAlign w:val="top"/>
          </w:tcPr>
          <w:p w14:paraId="56DF5CC2">
            <w:pPr>
              <w:kinsoku w:val="0"/>
              <w:autoSpaceDE w:val="0"/>
              <w:autoSpaceDN w:val="0"/>
              <w:adjustRightInd w:val="0"/>
              <w:snapToGrid w:val="0"/>
              <w:spacing w:before="67" w:line="210" w:lineRule="auto"/>
              <w:ind w:left="1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536" w:type="dxa"/>
            <w:vAlign w:val="top"/>
          </w:tcPr>
          <w:p w14:paraId="33EA04EA">
            <w:pPr>
              <w:kinsoku w:val="0"/>
              <w:autoSpaceDE w:val="0"/>
              <w:autoSpaceDN w:val="0"/>
              <w:adjustRightInd w:val="0"/>
              <w:snapToGrid w:val="0"/>
              <w:spacing w:before="67" w:line="210" w:lineRule="auto"/>
              <w:ind w:left="17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  <w:t>分</w:t>
            </w:r>
          </w:p>
        </w:tc>
        <w:tc>
          <w:tcPr>
            <w:tcW w:w="1556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0717D56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C98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441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491568B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223" w:type="dxa"/>
            <w:vMerge w:val="continue"/>
            <w:tcBorders>
              <w:top w:val="nil"/>
            </w:tcBorders>
            <w:vAlign w:val="top"/>
          </w:tcPr>
          <w:p w14:paraId="064D46C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40" w:type="dxa"/>
            <w:vAlign w:val="top"/>
          </w:tcPr>
          <w:p w14:paraId="58C9F0E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17" w:type="dxa"/>
            <w:vAlign w:val="top"/>
          </w:tcPr>
          <w:p w14:paraId="435F308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02" w:type="dxa"/>
            <w:vAlign w:val="top"/>
          </w:tcPr>
          <w:p w14:paraId="5D7B44C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470" w:type="dxa"/>
            <w:vAlign w:val="top"/>
          </w:tcPr>
          <w:p w14:paraId="771CC703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536" w:type="dxa"/>
            <w:vAlign w:val="top"/>
          </w:tcPr>
          <w:p w14:paraId="66FA01B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06A6381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591A3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4664" w:type="dxa"/>
            <w:gridSpan w:val="2"/>
            <w:tcBorders>
              <w:left w:val="single" w:color="000000" w:sz="10" w:space="0"/>
            </w:tcBorders>
            <w:vAlign w:val="top"/>
          </w:tcPr>
          <w:p w14:paraId="33ADE1E8">
            <w:pPr>
              <w:kinsoku w:val="0"/>
              <w:autoSpaceDE w:val="0"/>
              <w:autoSpaceDN w:val="0"/>
              <w:adjustRightInd w:val="0"/>
              <w:snapToGrid w:val="0"/>
              <w:spacing w:before="270" w:line="221" w:lineRule="auto"/>
              <w:ind w:left="20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  <w:t>总得分</w:t>
            </w:r>
          </w:p>
        </w:tc>
        <w:tc>
          <w:tcPr>
            <w:tcW w:w="2465" w:type="dxa"/>
            <w:gridSpan w:val="5"/>
            <w:vAlign w:val="top"/>
          </w:tcPr>
          <w:p w14:paraId="6F99E71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  <w:tc>
          <w:tcPr>
            <w:tcW w:w="1556" w:type="dxa"/>
            <w:tcBorders>
              <w:right w:val="single" w:color="000000" w:sz="10" w:space="0"/>
            </w:tcBorders>
            <w:vAlign w:val="top"/>
          </w:tcPr>
          <w:p w14:paraId="09554E5C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86A5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8685" w:type="dxa"/>
            <w:gridSpan w:val="8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4C07772">
            <w:pPr>
              <w:kinsoku w:val="0"/>
              <w:autoSpaceDE w:val="0"/>
              <w:autoSpaceDN w:val="0"/>
              <w:adjustRightInd w:val="0"/>
              <w:snapToGrid w:val="0"/>
              <w:spacing w:before="186" w:line="221" w:lineRule="auto"/>
              <w:ind w:left="11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除此之外，您还有什么意见和建议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auto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：</w:t>
            </w:r>
          </w:p>
        </w:tc>
      </w:tr>
    </w:tbl>
    <w:p w14:paraId="505F341D">
      <w:pPr>
        <w:rPr>
          <w:rFonts w:ascii="Arial"/>
          <w:color w:val="auto"/>
          <w:sz w:val="21"/>
          <w:highlight w:val="none"/>
        </w:rPr>
      </w:pPr>
    </w:p>
    <w:p w14:paraId="75B4A0D2">
      <w:pPr>
        <w:spacing w:line="257" w:lineRule="auto"/>
        <w:rPr>
          <w:rFonts w:ascii="Arial"/>
          <w:color w:val="auto"/>
          <w:sz w:val="21"/>
          <w:highlight w:val="none"/>
        </w:rPr>
      </w:pPr>
    </w:p>
    <w:p w14:paraId="66720E23">
      <w:pPr>
        <w:spacing w:before="167" w:line="197" w:lineRule="auto"/>
        <w:ind w:left="2656"/>
        <w:rPr>
          <w:rFonts w:ascii="微软雅黑" w:hAnsi="微软雅黑" w:eastAsia="微软雅黑" w:cs="微软雅黑"/>
          <w:color w:val="auto"/>
          <w:sz w:val="39"/>
          <w:szCs w:val="39"/>
          <w:highlight w:val="none"/>
        </w:rPr>
      </w:pPr>
      <w:r>
        <w:rPr>
          <w:rFonts w:ascii="微软雅黑" w:hAnsi="微软雅黑" w:eastAsia="微软雅黑" w:cs="微软雅黑"/>
          <w:color w:val="auto"/>
          <w:spacing w:val="8"/>
          <w:sz w:val="39"/>
          <w:szCs w:val="39"/>
          <w:highlight w:val="none"/>
        </w:rPr>
        <w:t>食堂卫生安全巡查表</w:t>
      </w:r>
    </w:p>
    <w:p w14:paraId="44C6ECE6">
      <w:pPr>
        <w:spacing w:line="372" w:lineRule="auto"/>
        <w:rPr>
          <w:rFonts w:ascii="Arial"/>
          <w:color w:val="auto"/>
          <w:sz w:val="21"/>
          <w:highlight w:val="none"/>
        </w:rPr>
      </w:pPr>
    </w:p>
    <w:p w14:paraId="3BD71D5F">
      <w:pPr>
        <w:kinsoku w:val="0"/>
        <w:autoSpaceDE w:val="0"/>
        <w:autoSpaceDN w:val="0"/>
        <w:adjustRightInd w:val="0"/>
        <w:snapToGrid w:val="0"/>
        <w:spacing w:before="68" w:line="222" w:lineRule="auto"/>
        <w:ind w:left="249"/>
        <w:jc w:val="left"/>
        <w:textAlignment w:val="baseline"/>
        <w:rPr>
          <w:rFonts w:ascii="宋体" w:hAnsi="宋体" w:eastAsia="宋体" w:cs="宋体"/>
          <w:snapToGrid w:val="0"/>
          <w:color w:val="auto"/>
          <w:kern w:val="0"/>
          <w:sz w:val="21"/>
          <w:szCs w:val="21"/>
          <w:highlight w:val="none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auto"/>
          <w:spacing w:val="-2"/>
          <w:kern w:val="0"/>
          <w:sz w:val="21"/>
          <w:szCs w:val="21"/>
          <w:highlight w:val="none"/>
          <w:lang w:val="en-US" w:eastAsia="en-US" w:bidi="ar-SA"/>
        </w:rPr>
        <w:t xml:space="preserve">巡查人员：                  </w:t>
      </w:r>
      <w:r>
        <w:rPr>
          <w:rFonts w:ascii="宋体" w:hAnsi="宋体" w:eastAsia="宋体" w:cs="宋体"/>
          <w:snapToGrid w:val="0"/>
          <w:color w:val="auto"/>
          <w:spacing w:val="-3"/>
          <w:kern w:val="0"/>
          <w:sz w:val="21"/>
          <w:szCs w:val="21"/>
          <w:highlight w:val="none"/>
          <w:lang w:val="en-US" w:eastAsia="en-US" w:bidi="ar-SA"/>
        </w:rPr>
        <w:t xml:space="preserve">                          时</w:t>
      </w:r>
      <w:r>
        <w:rPr>
          <w:rFonts w:ascii="宋体" w:hAnsi="宋体" w:eastAsia="宋体" w:cs="宋体"/>
          <w:snapToGrid w:val="0"/>
          <w:color w:val="auto"/>
          <w:spacing w:val="11"/>
          <w:kern w:val="0"/>
          <w:sz w:val="21"/>
          <w:szCs w:val="21"/>
          <w:highlight w:val="none"/>
          <w:lang w:val="en-US" w:eastAsia="en-US" w:bidi="ar-SA"/>
        </w:rPr>
        <w:t xml:space="preserve">  </w:t>
      </w:r>
      <w:r>
        <w:rPr>
          <w:rFonts w:ascii="宋体" w:hAnsi="宋体" w:eastAsia="宋体" w:cs="宋体"/>
          <w:snapToGrid w:val="0"/>
          <w:color w:val="auto"/>
          <w:spacing w:val="-3"/>
          <w:kern w:val="0"/>
          <w:sz w:val="21"/>
          <w:szCs w:val="21"/>
          <w:highlight w:val="none"/>
          <w:lang w:val="en-US" w:eastAsia="en-US" w:bidi="ar-SA"/>
        </w:rPr>
        <w:t>间：</w:t>
      </w:r>
    </w:p>
    <w:p w14:paraId="05CA9A3A">
      <w:pPr>
        <w:spacing w:line="109" w:lineRule="auto"/>
        <w:rPr>
          <w:rFonts w:ascii="Arial"/>
          <w:color w:val="auto"/>
          <w:sz w:val="2"/>
          <w:highlight w:val="none"/>
        </w:rPr>
      </w:pPr>
    </w:p>
    <w:tbl>
      <w:tblPr>
        <w:tblStyle w:val="8"/>
        <w:tblW w:w="8843" w:type="dxa"/>
        <w:tblInd w:w="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1"/>
        <w:gridCol w:w="6272"/>
      </w:tblGrid>
      <w:tr w14:paraId="356ADC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571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F239004">
            <w:pPr>
              <w:kinsoku w:val="0"/>
              <w:autoSpaceDE w:val="0"/>
              <w:autoSpaceDN w:val="0"/>
              <w:adjustRightInd w:val="0"/>
              <w:snapToGrid w:val="0"/>
              <w:spacing w:before="172" w:line="221" w:lineRule="auto"/>
              <w:ind w:left="6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3"/>
                <w:kern w:val="0"/>
                <w:sz w:val="21"/>
                <w:szCs w:val="21"/>
                <w:highlight w:val="none"/>
                <w:lang w:val="en-US" w:eastAsia="en-US" w:bidi="ar-SA"/>
              </w:rPr>
              <w:t>巡</w:t>
            </w:r>
            <w:r>
              <w:rPr>
                <w:rFonts w:ascii="宋体" w:hAnsi="宋体" w:eastAsia="宋体" w:cs="宋体"/>
                <w:snapToGrid w:val="0"/>
                <w:color w:val="auto"/>
                <w:spacing w:val="12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3"/>
                <w:kern w:val="0"/>
                <w:sz w:val="21"/>
                <w:szCs w:val="21"/>
                <w:highlight w:val="none"/>
                <w:lang w:val="en-US" w:eastAsia="en-US" w:bidi="ar-SA"/>
              </w:rPr>
              <w:t>查</w:t>
            </w:r>
            <w:r>
              <w:rPr>
                <w:rFonts w:ascii="宋体" w:hAnsi="宋体" w:eastAsia="宋体" w:cs="宋体"/>
                <w:snapToGrid w:val="0"/>
                <w:color w:val="auto"/>
                <w:spacing w:val="34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3"/>
                <w:kern w:val="0"/>
                <w:sz w:val="21"/>
                <w:szCs w:val="21"/>
                <w:highlight w:val="none"/>
                <w:lang w:val="en-US" w:eastAsia="en-US" w:bidi="ar-SA"/>
              </w:rPr>
              <w:t>内</w:t>
            </w:r>
            <w:r>
              <w:rPr>
                <w:rFonts w:ascii="宋体" w:hAnsi="宋体" w:eastAsia="宋体" w:cs="宋体"/>
                <w:snapToGrid w:val="0"/>
                <w:color w:val="auto"/>
                <w:spacing w:val="12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13"/>
                <w:kern w:val="0"/>
                <w:sz w:val="21"/>
                <w:szCs w:val="21"/>
                <w:highlight w:val="none"/>
                <w:lang w:val="en-US" w:eastAsia="en-US" w:bidi="ar-SA"/>
              </w:rPr>
              <w:t>容</w:t>
            </w:r>
          </w:p>
        </w:tc>
        <w:tc>
          <w:tcPr>
            <w:tcW w:w="627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F28717B">
            <w:pPr>
              <w:kinsoku w:val="0"/>
              <w:autoSpaceDE w:val="0"/>
              <w:autoSpaceDN w:val="0"/>
              <w:adjustRightInd w:val="0"/>
              <w:snapToGrid w:val="0"/>
              <w:spacing w:before="173" w:line="221" w:lineRule="auto"/>
              <w:ind w:left="24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7"/>
                <w:kern w:val="0"/>
                <w:sz w:val="21"/>
                <w:szCs w:val="21"/>
                <w:highlight w:val="none"/>
                <w:lang w:val="en-US" w:eastAsia="en-US" w:bidi="ar-SA"/>
              </w:rPr>
              <w:t>巡</w:t>
            </w:r>
            <w:r>
              <w:rPr>
                <w:rFonts w:ascii="宋体" w:hAnsi="宋体" w:eastAsia="宋体" w:cs="宋体"/>
                <w:snapToGrid w:val="0"/>
                <w:color w:val="auto"/>
                <w:spacing w:val="7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7"/>
                <w:kern w:val="0"/>
                <w:sz w:val="21"/>
                <w:szCs w:val="21"/>
                <w:highlight w:val="none"/>
                <w:lang w:val="en-US" w:eastAsia="en-US" w:bidi="ar-SA"/>
              </w:rPr>
              <w:t>查</w:t>
            </w:r>
            <w:r>
              <w:rPr>
                <w:rFonts w:ascii="宋体" w:hAnsi="宋体" w:eastAsia="宋体" w:cs="宋体"/>
                <w:snapToGrid w:val="0"/>
                <w:color w:val="auto"/>
                <w:spacing w:val="5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7"/>
                <w:kern w:val="0"/>
                <w:sz w:val="21"/>
                <w:szCs w:val="21"/>
                <w:highlight w:val="none"/>
                <w:lang w:val="en-US" w:eastAsia="en-US" w:bidi="ar-SA"/>
              </w:rPr>
              <w:t>情</w:t>
            </w:r>
            <w:r>
              <w:rPr>
                <w:rFonts w:ascii="宋体" w:hAnsi="宋体" w:eastAsia="宋体" w:cs="宋体"/>
                <w:snapToGrid w:val="0"/>
                <w:color w:val="auto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7"/>
                <w:kern w:val="0"/>
                <w:sz w:val="21"/>
                <w:szCs w:val="21"/>
                <w:highlight w:val="none"/>
                <w:lang w:val="en-US" w:eastAsia="en-US" w:bidi="ar-SA"/>
              </w:rPr>
              <w:t>况</w:t>
            </w:r>
          </w:p>
        </w:tc>
      </w:tr>
      <w:tr w14:paraId="73E01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2F600F53">
            <w:pPr>
              <w:kinsoku w:val="0"/>
              <w:autoSpaceDE w:val="0"/>
              <w:autoSpaceDN w:val="0"/>
              <w:adjustRightInd w:val="0"/>
              <w:snapToGrid w:val="0"/>
              <w:spacing w:before="198" w:line="221" w:lineRule="auto"/>
              <w:ind w:left="43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持有效经营许可证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766DABB9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14268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71AE8624">
            <w:pPr>
              <w:kinsoku w:val="0"/>
              <w:autoSpaceDE w:val="0"/>
              <w:autoSpaceDN w:val="0"/>
              <w:adjustRightInd w:val="0"/>
              <w:snapToGrid w:val="0"/>
              <w:spacing w:before="190" w:line="220" w:lineRule="auto"/>
              <w:ind w:left="54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物品供应商执照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01548CD2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FB8B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52F06AE3">
            <w:pPr>
              <w:kinsoku w:val="0"/>
              <w:autoSpaceDE w:val="0"/>
              <w:autoSpaceDN w:val="0"/>
              <w:adjustRightInd w:val="0"/>
              <w:snapToGrid w:val="0"/>
              <w:spacing w:before="162" w:line="221" w:lineRule="auto"/>
              <w:ind w:left="22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食堂仓库物品出入台账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5DB16F5C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2283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761EA9C3">
            <w:pPr>
              <w:kinsoku w:val="0"/>
              <w:autoSpaceDE w:val="0"/>
              <w:autoSpaceDN w:val="0"/>
              <w:adjustRightInd w:val="0"/>
              <w:snapToGrid w:val="0"/>
              <w:spacing w:before="165" w:line="221" w:lineRule="auto"/>
              <w:ind w:left="6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厨房整体卫生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73833BB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41514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547F1310">
            <w:pPr>
              <w:kinsoku w:val="0"/>
              <w:autoSpaceDE w:val="0"/>
              <w:autoSpaceDN w:val="0"/>
              <w:adjustRightInd w:val="0"/>
              <w:snapToGrid w:val="0"/>
              <w:spacing w:before="165" w:line="221" w:lineRule="auto"/>
              <w:ind w:left="64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仓库整体卫生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373F6196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7A1C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501AF79F">
            <w:pPr>
              <w:kinsoku w:val="0"/>
              <w:autoSpaceDE w:val="0"/>
              <w:autoSpaceDN w:val="0"/>
              <w:adjustRightInd w:val="0"/>
              <w:snapToGrid w:val="0"/>
              <w:spacing w:before="167" w:line="221" w:lineRule="auto"/>
              <w:ind w:left="4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职工就餐大局卫生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483E0E4B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1DB9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4FE6EA1D">
            <w:pPr>
              <w:kinsoku w:val="0"/>
              <w:autoSpaceDE w:val="0"/>
              <w:autoSpaceDN w:val="0"/>
              <w:adjustRightInd w:val="0"/>
              <w:snapToGrid w:val="0"/>
              <w:spacing w:before="168" w:line="221" w:lineRule="auto"/>
              <w:ind w:left="4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碗筷消毒登记记录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0FA1298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7C20D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222FECF2">
            <w:pPr>
              <w:kinsoku w:val="0"/>
              <w:autoSpaceDE w:val="0"/>
              <w:autoSpaceDN w:val="0"/>
              <w:adjustRightInd w:val="0"/>
              <w:snapToGrid w:val="0"/>
              <w:spacing w:before="169" w:line="221" w:lineRule="auto"/>
              <w:ind w:left="4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食品留样登记记录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4ABD1671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554DF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41F3EA75">
            <w:pPr>
              <w:kinsoku w:val="0"/>
              <w:autoSpaceDE w:val="0"/>
              <w:autoSpaceDN w:val="0"/>
              <w:adjustRightInd w:val="0"/>
              <w:snapToGrid w:val="0"/>
              <w:spacing w:before="171" w:line="221" w:lineRule="auto"/>
              <w:ind w:left="64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潲水登记记录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2B77409D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0862D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26A70D73">
            <w:pPr>
              <w:kinsoku w:val="0"/>
              <w:autoSpaceDE w:val="0"/>
              <w:autoSpaceDN w:val="0"/>
              <w:adjustRightInd w:val="0"/>
              <w:snapToGrid w:val="0"/>
              <w:spacing w:before="172" w:line="221" w:lineRule="auto"/>
              <w:ind w:left="5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从业人员健康证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6AAE1148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D2A3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63E4350A">
            <w:pPr>
              <w:kinsoku w:val="0"/>
              <w:autoSpaceDE w:val="0"/>
              <w:autoSpaceDN w:val="0"/>
              <w:adjustRightInd w:val="0"/>
              <w:snapToGrid w:val="0"/>
              <w:spacing w:before="173" w:line="221" w:lineRule="auto"/>
              <w:ind w:left="43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从业人员卫生状况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487CF1EA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5BAB3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458F92A8">
            <w:pPr>
              <w:kinsoku w:val="0"/>
              <w:autoSpaceDE w:val="0"/>
              <w:autoSpaceDN w:val="0"/>
              <w:adjustRightInd w:val="0"/>
              <w:snapToGrid w:val="0"/>
              <w:spacing w:before="174" w:line="221" w:lineRule="auto"/>
              <w:ind w:left="46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4"/>
                <w:kern w:val="0"/>
                <w:sz w:val="21"/>
                <w:szCs w:val="21"/>
                <w:highlight w:val="none"/>
                <w:lang w:val="en-US" w:eastAsia="en-US" w:bidi="ar-SA"/>
              </w:rPr>
              <w:t>内部人员培训记录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3C5F9D15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037FD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4EED3EAE">
            <w:pPr>
              <w:kinsoku w:val="0"/>
              <w:autoSpaceDE w:val="0"/>
              <w:autoSpaceDN w:val="0"/>
              <w:adjustRightInd w:val="0"/>
              <w:snapToGrid w:val="0"/>
              <w:spacing w:before="175" w:line="219" w:lineRule="auto"/>
              <w:ind w:left="33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有无过期、变质食品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6AB500AF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7B86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55FA7472">
            <w:pPr>
              <w:kinsoku w:val="0"/>
              <w:autoSpaceDE w:val="0"/>
              <w:autoSpaceDN w:val="0"/>
              <w:adjustRightInd w:val="0"/>
              <w:snapToGrid w:val="0"/>
              <w:spacing w:before="177" w:line="221" w:lineRule="auto"/>
              <w:ind w:left="12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冰箱内生、熟食是否分开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48F44F67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3C901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16C07194">
            <w:pPr>
              <w:kinsoku w:val="0"/>
              <w:autoSpaceDE w:val="0"/>
              <w:autoSpaceDN w:val="0"/>
              <w:adjustRightInd w:val="0"/>
              <w:snapToGrid w:val="0"/>
              <w:spacing w:before="178" w:line="217" w:lineRule="auto"/>
              <w:ind w:left="9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4"/>
                <w:kern w:val="0"/>
                <w:sz w:val="21"/>
                <w:szCs w:val="21"/>
                <w:highlight w:val="none"/>
                <w:lang w:val="en-US" w:eastAsia="en-US" w:bidi="ar-SA"/>
              </w:rPr>
              <w:t>其</w:t>
            </w:r>
            <w:r>
              <w:rPr>
                <w:rFonts w:ascii="宋体" w:hAnsi="宋体" w:eastAsia="宋体" w:cs="宋体"/>
                <w:snapToGrid w:val="0"/>
                <w:color w:val="auto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4"/>
                <w:kern w:val="0"/>
                <w:sz w:val="21"/>
                <w:szCs w:val="21"/>
                <w:highlight w:val="none"/>
                <w:lang w:val="en-US" w:eastAsia="en-US" w:bidi="ar-SA"/>
              </w:rPr>
              <w:t>它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00327D0D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572B6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571" w:type="dxa"/>
            <w:tcBorders>
              <w:left w:val="single" w:color="000000" w:sz="10" w:space="0"/>
            </w:tcBorders>
            <w:vAlign w:val="top"/>
          </w:tcPr>
          <w:p w14:paraId="347E301D">
            <w:pPr>
              <w:kinsoku w:val="0"/>
              <w:autoSpaceDE w:val="0"/>
              <w:autoSpaceDN w:val="0"/>
              <w:adjustRightInd w:val="0"/>
              <w:snapToGrid w:val="0"/>
              <w:spacing w:before="179" w:line="220" w:lineRule="auto"/>
              <w:ind w:left="43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食堂限期整改时间</w:t>
            </w:r>
          </w:p>
        </w:tc>
        <w:tc>
          <w:tcPr>
            <w:tcW w:w="6272" w:type="dxa"/>
            <w:tcBorders>
              <w:right w:val="single" w:color="000000" w:sz="10" w:space="0"/>
            </w:tcBorders>
            <w:vAlign w:val="top"/>
          </w:tcPr>
          <w:p w14:paraId="6B444EFB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  <w:tr w14:paraId="6FA66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2571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F33DA04">
            <w:pPr>
              <w:spacing w:line="450" w:lineRule="auto"/>
              <w:rPr>
                <w:rFonts w:ascii="Arial"/>
                <w:color w:val="auto"/>
                <w:sz w:val="21"/>
                <w:highlight w:val="none"/>
              </w:rPr>
            </w:pPr>
          </w:p>
          <w:p w14:paraId="6EE607C6">
            <w:pPr>
              <w:kinsoku w:val="0"/>
              <w:autoSpaceDE w:val="0"/>
              <w:autoSpaceDN w:val="0"/>
              <w:adjustRightInd w:val="0"/>
              <w:snapToGrid w:val="0"/>
              <w:spacing w:before="69" w:line="221" w:lineRule="auto"/>
              <w:ind w:left="6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-8"/>
                <w:kern w:val="0"/>
                <w:sz w:val="21"/>
                <w:szCs w:val="21"/>
                <w:highlight w:val="none"/>
                <w:lang w:val="en-US" w:eastAsia="en-US" w:bidi="ar-SA"/>
              </w:rPr>
              <w:t>整</w:t>
            </w:r>
            <w:r>
              <w:rPr>
                <w:rFonts w:ascii="宋体" w:hAnsi="宋体" w:eastAsia="宋体" w:cs="宋体"/>
                <w:snapToGrid w:val="0"/>
                <w:color w:val="auto"/>
                <w:spacing w:val="17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8"/>
                <w:kern w:val="0"/>
                <w:sz w:val="21"/>
                <w:szCs w:val="21"/>
                <w:highlight w:val="none"/>
                <w:lang w:val="en-US" w:eastAsia="en-US" w:bidi="ar-SA"/>
              </w:rPr>
              <w:t>改</w:t>
            </w:r>
            <w:r>
              <w:rPr>
                <w:rFonts w:ascii="宋体" w:hAnsi="宋体" w:eastAsia="宋体" w:cs="宋体"/>
                <w:snapToGrid w:val="0"/>
                <w:color w:val="auto"/>
                <w:spacing w:val="9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8"/>
                <w:kern w:val="0"/>
                <w:sz w:val="21"/>
                <w:szCs w:val="21"/>
                <w:highlight w:val="none"/>
                <w:lang w:val="en-US" w:eastAsia="en-US" w:bidi="ar-SA"/>
              </w:rPr>
              <w:t>情</w:t>
            </w:r>
            <w:r>
              <w:rPr>
                <w:rFonts w:ascii="宋体" w:hAnsi="宋体" w:eastAsia="宋体" w:cs="宋体"/>
                <w:snapToGrid w:val="0"/>
                <w:color w:val="auto"/>
                <w:spacing w:val="11"/>
                <w:kern w:val="0"/>
                <w:sz w:val="21"/>
                <w:szCs w:val="21"/>
                <w:highlight w:val="none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auto"/>
                <w:spacing w:val="-8"/>
                <w:kern w:val="0"/>
                <w:sz w:val="21"/>
                <w:szCs w:val="21"/>
                <w:highlight w:val="none"/>
                <w:lang w:val="en-US" w:eastAsia="en-US" w:bidi="ar-SA"/>
              </w:rPr>
              <w:t>况</w:t>
            </w:r>
          </w:p>
        </w:tc>
        <w:tc>
          <w:tcPr>
            <w:tcW w:w="62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59DB5DE">
            <w:pPr>
              <w:rPr>
                <w:rFonts w:ascii="Arial"/>
                <w:color w:val="auto"/>
                <w:sz w:val="21"/>
                <w:highlight w:val="none"/>
              </w:rPr>
            </w:pPr>
          </w:p>
        </w:tc>
      </w:tr>
    </w:tbl>
    <w:p w14:paraId="40CCF465">
      <w:pPr>
        <w:rPr>
          <w:rFonts w:ascii="黑体" w:hAnsi="黑体" w:eastAsia="黑体" w:cs="黑体"/>
          <w:color w:val="auto"/>
          <w:spacing w:val="-2"/>
          <w:sz w:val="24"/>
          <w:szCs w:val="24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24"/>
          <w:szCs w:val="24"/>
          <w:highlight w:val="none"/>
        </w:rPr>
        <w:br w:type="page"/>
      </w:r>
    </w:p>
    <w:p w14:paraId="385C89A8">
      <w:pPr>
        <w:numPr>
          <w:ilvl w:val="0"/>
          <w:numId w:val="1"/>
        </w:numPr>
        <w:spacing w:line="360" w:lineRule="auto"/>
        <w:jc w:val="center"/>
        <w:rPr>
          <w:b/>
          <w:bCs/>
          <w:color w:val="auto"/>
          <w:sz w:val="30"/>
          <w:szCs w:val="30"/>
          <w:highlight w:val="none"/>
        </w:rPr>
      </w:pPr>
      <w:r>
        <w:rPr>
          <w:b/>
          <w:bCs/>
          <w:color w:val="auto"/>
          <w:sz w:val="30"/>
          <w:szCs w:val="30"/>
          <w:highlight w:val="none"/>
        </w:rPr>
        <w:t>商务要求</w:t>
      </w:r>
    </w:p>
    <w:p w14:paraId="3CF989FF">
      <w:pPr>
        <w:numPr>
          <w:ilvl w:val="0"/>
          <w:numId w:val="0"/>
        </w:numPr>
        <w:spacing w:line="360" w:lineRule="auto"/>
        <w:jc w:val="center"/>
        <w:rPr>
          <w:b/>
          <w:bCs/>
          <w:color w:val="auto"/>
          <w:sz w:val="30"/>
          <w:szCs w:val="30"/>
          <w:highlight w:val="none"/>
        </w:rPr>
      </w:pPr>
      <w:r>
        <w:rPr>
          <w:b/>
          <w:bCs/>
          <w:color w:val="auto"/>
          <w:sz w:val="30"/>
          <w:szCs w:val="30"/>
          <w:highlight w:val="none"/>
        </w:rPr>
        <w:t>（项目周期、费用、权责、履约、合同终止、投标、其他）</w:t>
      </w:r>
    </w:p>
    <w:p w14:paraId="014CCD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一、项目基础信息</w:t>
      </w:r>
    </w:p>
    <w:p w14:paraId="40EF3BA3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1.服务周期：3 年；</w:t>
      </w:r>
    </w:p>
    <w:p w14:paraId="598F0AB6">
      <w:pPr>
        <w:pStyle w:val="5"/>
        <w:spacing w:before="1" w:line="352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2.服务地点：郴州市委大院食堂、林邑财富中心市政府二楼食堂、市委周转房食堂；</w:t>
      </w:r>
    </w:p>
    <w:p w14:paraId="684788C5">
      <w:pPr>
        <w:pStyle w:val="5"/>
        <w:spacing w:before="1" w:line="352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.费用承担划分</w:t>
      </w:r>
    </w:p>
    <w:p w14:paraId="21C4AD56">
      <w:pPr>
        <w:pStyle w:val="5"/>
        <w:spacing w:before="1" w:line="352" w:lineRule="auto"/>
        <w:ind w:right="65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 xml:space="preserve">  （1）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甲方承担：食堂场地、厨房设备、餐具、水费、电费、燃气费、食材采购；</w:t>
      </w:r>
    </w:p>
    <w:p w14:paraId="4DD3574F">
      <w:pPr>
        <w:pStyle w:val="5"/>
        <w:spacing w:before="1" w:line="352" w:lineRule="auto"/>
        <w:ind w:right="65" w:firstLine="228" w:firstLineChars="100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（2）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本项目采用费用总包干模式，包干范围内所有成本均由中标人自行承担，包含全体人员工资、社会保险、工装、体检、资质考证、岗位培训、食品安全责任险、员工人身意外伤害保险、消杀耗材、清洁耗材、人员检测政审、各类证照办理、设备维修耗材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、税费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等全部运营劳务相关支出。</w:t>
      </w:r>
    </w:p>
    <w:p w14:paraId="4FB7F8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二、投标相关商务要求</w:t>
      </w:r>
    </w:p>
    <w:p w14:paraId="046026FE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1.现场踏勘：投标人可自行踏勘现场，踏勘产生交通、人身意外等全部费用、风险由投标人自行承担；</w:t>
      </w:r>
    </w:p>
    <w:p w14:paraId="6EB306B9">
      <w:pPr>
        <w:pStyle w:val="5"/>
        <w:spacing w:before="1" w:line="352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2.投标响应：投标人须针对本采购需求全部条款逐条响应，提供书面承诺文件；</w:t>
      </w:r>
    </w:p>
    <w:p w14:paraId="33BD071F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3.关键承诺：投标文件中必须单独承诺 “连续两月考核不合格甲方可单方解除合同” 条款。</w:t>
      </w:r>
    </w:p>
    <w:p w14:paraId="006E62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三、双方权责商务约定</w:t>
      </w:r>
    </w:p>
    <w:p w14:paraId="3ED721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（一）甲方权责</w:t>
      </w:r>
    </w:p>
    <w:p w14:paraId="095371E2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1.移交食堂场地、设备、水电气，组织清产核资出具设备清单；</w:t>
      </w:r>
    </w:p>
    <w:p w14:paraId="1C12169E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2.每季度、每月开展服务考核、职工满意度调查，依据考核结果结算服务费；</w:t>
      </w:r>
    </w:p>
    <w:p w14:paraId="76C43BAF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3.监督中标人食品安全、人员、卫生、安全全流程管理，下发整改通知并限期整改；</w:t>
      </w:r>
    </w:p>
    <w:p w14:paraId="54AB563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4.发生食品安全、重大服务问题时，启动应急接管预案，保障机关不间断供餐。</w:t>
      </w:r>
    </w:p>
    <w:p w14:paraId="0C2D49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（二）中标人商务责任</w:t>
      </w:r>
    </w:p>
    <w:p w14:paraId="62FB6206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1.独立承担食堂经营范围内全部民事、行政、刑事责任，用工、食品安全、安全事故所有纠纷与甲方无涉；</w:t>
      </w:r>
    </w:p>
    <w:p w14:paraId="588212D2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2.妥善保管甲方移交设备，到期按清单归还，人为损坏照价赔偿；</w:t>
      </w:r>
    </w:p>
    <w:p w14:paraId="6AB37B5A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3.无条件配合甲方扶贫采购、节约宣传、各类会议接待、临时突击供餐任务；</w:t>
      </w:r>
    </w:p>
    <w:p w14:paraId="5391AB6C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4.完整留存全部台账、巡查记录、人员档案、留样记录，随时接受甲方及市场监管部门检查。</w:t>
      </w:r>
    </w:p>
    <w:p w14:paraId="6DD124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四、合同终止与退出机制</w:t>
      </w:r>
    </w:p>
    <w:p w14:paraId="447C85F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（一）甲方可单方解除合同情形</w:t>
      </w:r>
    </w:p>
    <w:p w14:paraId="653E1624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1.发生群体性食物中毒、重大食品安全事故；</w:t>
      </w:r>
    </w:p>
    <w:p w14:paraId="16E64208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2.食品安全问题被监管部门处罚且逾期未整改到位；</w:t>
      </w:r>
    </w:p>
    <w:p w14:paraId="62285886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3.存在转包、分包、挂靠行为；</w:t>
      </w:r>
    </w:p>
    <w:p w14:paraId="7804E605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4.连续两个月月度考核不合格；</w:t>
      </w:r>
    </w:p>
    <w:p w14:paraId="0FD0C8EC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5.严重违反甲方管理制度，造成重大负面舆情或不良影响。</w:t>
      </w:r>
    </w:p>
    <w:p w14:paraId="19FE66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（二）退出商务要求</w:t>
      </w:r>
    </w:p>
    <w:p w14:paraId="2CB6B667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合同解除后，中标人须在甲方规定时限内全部人员、物资撤离；甲方同步启动应急供餐，中标人不得阻挠、干扰正常就餐保障。</w:t>
      </w:r>
    </w:p>
    <w:p w14:paraId="572307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五、不可抗力约定</w:t>
      </w:r>
    </w:p>
    <w:p w14:paraId="458B5A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56" w:firstLineChars="200"/>
        <w:jc w:val="left"/>
        <w:rPr>
          <w:rFonts w:hint="eastAsia" w:asciiTheme="minorEastAsia" w:hAnsiTheme="minorEastAsia" w:eastAsiaTheme="minorEastAsia" w:cstheme="minorEastAsia"/>
          <w:snapToGrid w:val="0"/>
          <w:color w:val="auto"/>
          <w:spacing w:val="-6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auto"/>
          <w:spacing w:val="-6"/>
          <w:kern w:val="0"/>
          <w:sz w:val="24"/>
          <w:szCs w:val="24"/>
          <w:highlight w:val="none"/>
          <w:lang w:val="en-US" w:eastAsia="zh-CN" w:bidi="ar-SA"/>
        </w:rPr>
        <w:t>因自然灾害、战争、政府征收管控等不可抗力导致无法正常提供服务，合同可自动解除，甲乙双方互不承担违约责任。</w:t>
      </w:r>
    </w:p>
    <w:p w14:paraId="161CF1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六、其他商务补充</w:t>
      </w:r>
    </w:p>
    <w:p w14:paraId="7AB3D4A3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其他未说明事项或者需要补充的部分，采购人与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zh-CN"/>
        </w:rPr>
        <w:t>中标人</w:t>
      </w:r>
      <w:r>
        <w:rPr>
          <w:rFonts w:hint="eastAsia" w:asciiTheme="minorEastAsia" w:hAnsiTheme="minorEastAsia" w:eastAsiaTheme="minorEastAsia" w:cstheme="minorEastAsia"/>
          <w:color w:val="auto"/>
          <w:spacing w:val="-6"/>
          <w:sz w:val="24"/>
          <w:szCs w:val="24"/>
          <w:highlight w:val="none"/>
          <w:lang w:val="en-US" w:eastAsia="en-US"/>
        </w:rPr>
        <w:t>双方在签订合同时自行约定。</w:t>
      </w:r>
    </w:p>
    <w:p w14:paraId="7D0462BB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4"/>
          <w:szCs w:val="24"/>
          <w:highlight w:val="none"/>
          <w:lang w:val="en-US" w:eastAsia="en-US"/>
        </w:rPr>
      </w:pPr>
    </w:p>
    <w:p w14:paraId="104C2BC9">
      <w:pPr>
        <w:pStyle w:val="5"/>
        <w:spacing w:before="1" w:line="360" w:lineRule="auto"/>
        <w:ind w:left="42" w:right="65" w:firstLine="478"/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4"/>
          <w:szCs w:val="24"/>
          <w:highlight w:val="none"/>
          <w:lang w:val="en-US" w:eastAsia="en-US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4"/>
          <w:szCs w:val="24"/>
          <w:highlight w:val="none"/>
          <w:lang w:val="en-US" w:eastAsia="en-US"/>
        </w:rPr>
        <w:t>对于上述项目要求，投标人应在投标文件中进行回应，作出承诺及说明。</w:t>
      </w:r>
    </w:p>
    <w:p w14:paraId="4C7A0ACE">
      <w:pPr>
        <w:rPr>
          <w:color w:val="auto"/>
          <w:highlight w:val="none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AC279F"/>
    <w:multiLevelType w:val="singleLevel"/>
    <w:tmpl w:val="16AC279F"/>
    <w:lvl w:ilvl="0" w:tentative="0">
      <w:start w:val="2"/>
      <w:numFmt w:val="chineseCounting"/>
      <w:suff w:val="space"/>
      <w:lvlText w:val="第%1节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706E0"/>
    <w:rsid w:val="4FC7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2026-07-29T08:43:00Z</dcterms:created>
  <dc:creator>Administrator</dc:creator>
  <cp:lastModifiedBy>Administrator</cp:lastModifiedBy>
  <dcterms:modified xsi:type="dcterms:W3CDTF">2026-07-29T08:43:36Z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879DCD1116E24653BCA5FCD58FC7C73B_11</vt:lpwstr>
  </property>
  <property fmtid="{D5CDD505-2E9C-101B-9397-08002B2CF9AE}" pid="4" name="KSOTemplateDocerSaveRecord">
    <vt:lpwstr>eyJoZGlkIjoiNmZhNDI2NmE2ZDMzMGZiM2Y2MzJiOWMxMzk4NzM5NGMiLCJ1c2VySWQiOiIzNDIwMTYzODUifQ==</vt:lpwstr>
  </property>
</Properties>
</file>