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9"/>
        <w:tblpPr w:leftFromText="180" w:rightFromText="180" w:vertAnchor="page" w:horzAnchor="page" w:tblpXSpec="center" w:tblpY="1998"/>
        <w:tblOverlap w:val="never"/>
        <w:tblW w:w="9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2633"/>
        <w:gridCol w:w="240"/>
        <w:gridCol w:w="5332"/>
        <w:gridCol w:w="637"/>
      </w:tblGrid>
      <w:tr w14:paraId="4CBD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5" w:type="dxa"/>
            <w:gridSpan w:val="5"/>
            <w:tcBorders>
              <w:top w:val="nil"/>
              <w:left w:val="nil"/>
              <w:bottom w:val="nil"/>
              <w:right w:val="nil"/>
            </w:tcBorders>
          </w:tcPr>
          <w:p w14:paraId="7DCDCD85">
            <w:pPr>
              <w:jc w:val="center"/>
              <w:rPr>
                <w:rFonts w:ascii="方正小标宋_GBK" w:hAnsi="方正小标宋_GBK" w:eastAsia="方正小标宋_GBK" w:cs="方正小标宋_GBK"/>
                <w:sz w:val="72"/>
                <w:szCs w:val="72"/>
              </w:rPr>
            </w:pPr>
          </w:p>
        </w:tc>
      </w:tr>
      <w:tr w14:paraId="5DF8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5" w:type="dxa"/>
            <w:gridSpan w:val="5"/>
            <w:tcBorders>
              <w:top w:val="nil"/>
              <w:left w:val="nil"/>
              <w:bottom w:val="nil"/>
              <w:right w:val="nil"/>
            </w:tcBorders>
          </w:tcPr>
          <w:p w14:paraId="0E4E3391">
            <w:pPr>
              <w:jc w:val="center"/>
              <w:rPr>
                <w:rFonts w:eastAsia="方正小标宋_GBK"/>
                <w:b/>
                <w:color w:val="000000"/>
                <w:sz w:val="20"/>
                <w:szCs w:val="21"/>
              </w:rPr>
            </w:pPr>
            <w:r>
              <w:rPr>
                <w:rFonts w:hint="eastAsia" w:ascii="方正小标宋_GBK" w:hAnsi="方正小标宋_GBK" w:eastAsia="方正小标宋_GBK" w:cs="方正小标宋_GBK"/>
                <w:sz w:val="56"/>
                <w:szCs w:val="56"/>
                <w:lang w:val="en-US" w:eastAsia="zh-CN"/>
              </w:rPr>
              <w:t xml:space="preserve"> </w:t>
            </w:r>
            <w:r>
              <w:rPr>
                <w:rFonts w:hint="eastAsia" w:ascii="方正小标宋_GBK" w:hAnsi="方正小标宋_GBK" w:eastAsia="方正小标宋_GBK" w:cs="方正小标宋_GBK"/>
                <w:sz w:val="56"/>
                <w:szCs w:val="56"/>
              </w:rPr>
              <w:t>政府采购项目</w:t>
            </w:r>
          </w:p>
        </w:tc>
      </w:tr>
      <w:tr w14:paraId="15B0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9495" w:type="dxa"/>
            <w:gridSpan w:val="5"/>
            <w:tcBorders>
              <w:top w:val="nil"/>
              <w:left w:val="nil"/>
              <w:bottom w:val="nil"/>
              <w:right w:val="nil"/>
            </w:tcBorders>
          </w:tcPr>
          <w:p w14:paraId="27C35944">
            <w:pPr>
              <w:jc w:val="center"/>
              <w:rPr>
                <w:color w:val="000000"/>
                <w:sz w:val="40"/>
                <w:szCs w:val="21"/>
              </w:rPr>
            </w:pPr>
            <w:r>
              <w:rPr>
                <w:rFonts w:hint="eastAsia" w:ascii="方正小标宋_GBK" w:hAnsi="方正小标宋_GBK" w:eastAsia="方正小标宋_GBK" w:cs="方正小标宋_GBK"/>
                <w:sz w:val="56"/>
                <w:szCs w:val="56"/>
              </w:rPr>
              <w:t>采 购 需 求</w:t>
            </w:r>
          </w:p>
        </w:tc>
      </w:tr>
      <w:tr w14:paraId="7D54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jc w:val="center"/>
        </w:trPr>
        <w:tc>
          <w:tcPr>
            <w:tcW w:w="9495" w:type="dxa"/>
            <w:gridSpan w:val="5"/>
            <w:tcBorders>
              <w:top w:val="nil"/>
              <w:left w:val="nil"/>
              <w:bottom w:val="nil"/>
              <w:right w:val="nil"/>
            </w:tcBorders>
          </w:tcPr>
          <w:p w14:paraId="5A21F9A5">
            <w:pPr>
              <w:pStyle w:val="38"/>
              <w:jc w:val="both"/>
            </w:pPr>
          </w:p>
        </w:tc>
      </w:tr>
      <w:tr w14:paraId="3B4B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653" w:type="dxa"/>
            <w:vMerge w:val="restart"/>
            <w:tcBorders>
              <w:top w:val="nil"/>
              <w:left w:val="nil"/>
              <w:bottom w:val="nil"/>
              <w:right w:val="nil"/>
            </w:tcBorders>
            <w:vAlign w:val="center"/>
          </w:tcPr>
          <w:p w14:paraId="6B106D41">
            <w:pPr>
              <w:adjustRightInd w:val="0"/>
              <w:snapToGrid w:val="0"/>
              <w:rPr>
                <w:rFonts w:eastAsia="楷体_GB2312"/>
                <w:color w:val="000000"/>
                <w:sz w:val="52"/>
              </w:rPr>
            </w:pPr>
          </w:p>
        </w:tc>
        <w:tc>
          <w:tcPr>
            <w:tcW w:w="2633" w:type="dxa"/>
            <w:tcBorders>
              <w:top w:val="nil"/>
              <w:left w:val="nil"/>
              <w:bottom w:val="nil"/>
              <w:right w:val="nil"/>
            </w:tcBorders>
            <w:vAlign w:val="center"/>
          </w:tcPr>
          <w:p w14:paraId="72CF2976">
            <w:pPr>
              <w:jc w:val="distribute"/>
              <w:rPr>
                <w:rFonts w:ascii="黑体" w:hAnsi="黑体" w:eastAsia="黑体" w:cs="黑体"/>
                <w:sz w:val="32"/>
                <w:szCs w:val="36"/>
              </w:rPr>
            </w:pPr>
            <w:r>
              <w:rPr>
                <w:rFonts w:hint="eastAsia" w:ascii="黑体" w:hAnsi="黑体" w:eastAsia="黑体" w:cs="黑体"/>
                <w:sz w:val="32"/>
                <w:szCs w:val="36"/>
              </w:rPr>
              <w:t>采购项目名称：</w:t>
            </w:r>
          </w:p>
        </w:tc>
        <w:tc>
          <w:tcPr>
            <w:tcW w:w="240" w:type="dxa"/>
            <w:tcBorders>
              <w:top w:val="nil"/>
              <w:left w:val="nil"/>
              <w:bottom w:val="nil"/>
              <w:right w:val="nil"/>
            </w:tcBorders>
            <w:vAlign w:val="center"/>
          </w:tcPr>
          <w:p w14:paraId="0932FFAC">
            <w:pPr>
              <w:pStyle w:val="39"/>
              <w:ind w:firstLine="1960"/>
            </w:pPr>
            <w:r>
              <w:rPr>
                <w:rFonts w:hint="eastAsia"/>
              </w:rPr>
              <w:t>：</w:t>
            </w:r>
          </w:p>
        </w:tc>
        <w:tc>
          <w:tcPr>
            <w:tcW w:w="5332" w:type="dxa"/>
            <w:tcBorders>
              <w:top w:val="nil"/>
              <w:left w:val="nil"/>
              <w:bottom w:val="nil"/>
              <w:right w:val="nil"/>
            </w:tcBorders>
            <w:vAlign w:val="center"/>
          </w:tcPr>
          <w:p w14:paraId="317FC4CD">
            <w:pPr>
              <w:jc w:val="left"/>
              <w:rPr>
                <w:rFonts w:hint="eastAsia" w:ascii="黑体" w:hAnsi="黑体" w:eastAsia="黑体" w:cs="黑体"/>
                <w:sz w:val="28"/>
                <w:szCs w:val="32"/>
                <w:lang w:eastAsia="zh-CN"/>
              </w:rPr>
            </w:pPr>
            <w:r>
              <w:rPr>
                <w:rFonts w:hint="eastAsia" w:ascii="黑体" w:hAnsi="黑体" w:eastAsia="黑体" w:cs="黑体"/>
                <w:sz w:val="28"/>
                <w:szCs w:val="32"/>
                <w:lang w:eastAsia="zh-CN"/>
              </w:rPr>
              <w:t>桑植县20</w:t>
            </w:r>
            <w:r>
              <w:rPr>
                <w:rFonts w:hint="eastAsia" w:ascii="黑体" w:hAnsi="黑体" w:eastAsia="黑体" w:cs="黑体"/>
                <w:sz w:val="28"/>
                <w:szCs w:val="32"/>
                <w:lang w:val="en-US" w:eastAsia="zh-CN"/>
              </w:rPr>
              <w:t>26</w:t>
            </w:r>
            <w:r>
              <w:rPr>
                <w:rFonts w:hint="eastAsia" w:ascii="黑体" w:hAnsi="黑体" w:eastAsia="黑体" w:cs="黑体"/>
                <w:sz w:val="28"/>
                <w:szCs w:val="32"/>
                <w:lang w:eastAsia="zh-CN"/>
              </w:rPr>
              <w:t>年农村公路</w:t>
            </w:r>
            <w:r>
              <w:rPr>
                <w:rFonts w:hint="eastAsia" w:ascii="黑体" w:hAnsi="黑体" w:eastAsia="黑体" w:cs="黑体"/>
                <w:sz w:val="28"/>
                <w:szCs w:val="32"/>
                <w:lang w:val="en-US" w:eastAsia="zh-CN"/>
              </w:rPr>
              <w:t>路况</w:t>
            </w:r>
            <w:r>
              <w:rPr>
                <w:rFonts w:hint="eastAsia" w:ascii="黑体" w:hAnsi="黑体" w:eastAsia="黑体" w:cs="黑体"/>
                <w:sz w:val="28"/>
                <w:szCs w:val="32"/>
                <w:lang w:eastAsia="zh-CN"/>
              </w:rPr>
              <w:t>检测评定项目</w:t>
            </w:r>
          </w:p>
        </w:tc>
        <w:tc>
          <w:tcPr>
            <w:tcW w:w="637" w:type="dxa"/>
            <w:vMerge w:val="restart"/>
            <w:tcBorders>
              <w:top w:val="nil"/>
              <w:left w:val="nil"/>
              <w:bottom w:val="nil"/>
              <w:right w:val="nil"/>
            </w:tcBorders>
            <w:vAlign w:val="center"/>
          </w:tcPr>
          <w:p w14:paraId="2DAA234F">
            <w:pPr>
              <w:adjustRightInd w:val="0"/>
              <w:snapToGrid w:val="0"/>
              <w:rPr>
                <w:rFonts w:eastAsia="楷体_GB2312"/>
                <w:color w:val="000000"/>
                <w:sz w:val="52"/>
              </w:rPr>
            </w:pPr>
          </w:p>
        </w:tc>
      </w:tr>
      <w:tr w14:paraId="27F1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653" w:type="dxa"/>
            <w:vMerge w:val="continue"/>
            <w:tcBorders>
              <w:top w:val="nil"/>
              <w:left w:val="nil"/>
              <w:bottom w:val="nil"/>
              <w:right w:val="nil"/>
            </w:tcBorders>
            <w:vAlign w:val="center"/>
          </w:tcPr>
          <w:p w14:paraId="33B6ED88">
            <w:pPr>
              <w:widowControl/>
              <w:jc w:val="left"/>
              <w:rPr>
                <w:rFonts w:eastAsia="楷体_GB2312"/>
                <w:color w:val="000000"/>
                <w:sz w:val="52"/>
              </w:rPr>
            </w:pPr>
          </w:p>
        </w:tc>
        <w:tc>
          <w:tcPr>
            <w:tcW w:w="2633" w:type="dxa"/>
            <w:tcBorders>
              <w:top w:val="nil"/>
              <w:left w:val="nil"/>
              <w:bottom w:val="nil"/>
              <w:right w:val="nil"/>
            </w:tcBorders>
            <w:vAlign w:val="center"/>
          </w:tcPr>
          <w:p w14:paraId="0D558A7F">
            <w:pPr>
              <w:jc w:val="distribute"/>
              <w:rPr>
                <w:rFonts w:ascii="黑体" w:hAnsi="黑体" w:eastAsia="黑体" w:cs="黑体"/>
                <w:sz w:val="32"/>
                <w:szCs w:val="36"/>
              </w:rPr>
            </w:pPr>
            <w:r>
              <w:rPr>
                <w:rFonts w:hint="eastAsia" w:ascii="黑体" w:hAnsi="黑体" w:eastAsia="黑体" w:cs="黑体"/>
                <w:sz w:val="32"/>
                <w:szCs w:val="36"/>
              </w:rPr>
              <w:t>采   购   人：</w:t>
            </w:r>
          </w:p>
        </w:tc>
        <w:tc>
          <w:tcPr>
            <w:tcW w:w="240" w:type="dxa"/>
            <w:tcBorders>
              <w:top w:val="nil"/>
              <w:left w:val="nil"/>
              <w:bottom w:val="nil"/>
              <w:right w:val="nil"/>
            </w:tcBorders>
            <w:vAlign w:val="center"/>
          </w:tcPr>
          <w:p w14:paraId="4B9470C3">
            <w:pPr>
              <w:pStyle w:val="39"/>
              <w:ind w:firstLine="1960"/>
            </w:pPr>
            <w:r>
              <w:rPr>
                <w:rFonts w:hint="eastAsia"/>
              </w:rPr>
              <w:t>：</w:t>
            </w:r>
          </w:p>
        </w:tc>
        <w:tc>
          <w:tcPr>
            <w:tcW w:w="5332" w:type="dxa"/>
            <w:tcBorders>
              <w:top w:val="nil"/>
              <w:left w:val="nil"/>
              <w:bottom w:val="nil"/>
              <w:right w:val="nil"/>
            </w:tcBorders>
            <w:vAlign w:val="center"/>
          </w:tcPr>
          <w:p w14:paraId="1F19F92F">
            <w:pPr>
              <w:jc w:val="left"/>
              <w:rPr>
                <w:rFonts w:ascii="黑体" w:hAnsi="黑体" w:eastAsia="黑体" w:cs="黑体"/>
                <w:sz w:val="28"/>
                <w:szCs w:val="32"/>
              </w:rPr>
            </w:pPr>
            <w:r>
              <w:rPr>
                <w:rFonts w:hint="eastAsia" w:ascii="黑体" w:hAnsi="黑体" w:eastAsia="黑体" w:cs="黑体"/>
                <w:sz w:val="28"/>
                <w:szCs w:val="32"/>
              </w:rPr>
              <w:t>桑植县公路建设养护中心</w:t>
            </w:r>
          </w:p>
        </w:tc>
        <w:tc>
          <w:tcPr>
            <w:tcW w:w="637" w:type="dxa"/>
            <w:vMerge w:val="continue"/>
            <w:tcBorders>
              <w:top w:val="nil"/>
              <w:left w:val="nil"/>
              <w:bottom w:val="nil"/>
              <w:right w:val="nil"/>
            </w:tcBorders>
            <w:vAlign w:val="center"/>
          </w:tcPr>
          <w:p w14:paraId="4AFEF3A8">
            <w:pPr>
              <w:widowControl/>
              <w:jc w:val="distribute"/>
              <w:rPr>
                <w:rFonts w:eastAsia="楷体_GB2312"/>
                <w:color w:val="000000"/>
                <w:sz w:val="52"/>
              </w:rPr>
            </w:pPr>
          </w:p>
        </w:tc>
      </w:tr>
      <w:tr w14:paraId="499C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653" w:type="dxa"/>
            <w:vMerge w:val="continue"/>
            <w:tcBorders>
              <w:top w:val="nil"/>
              <w:left w:val="nil"/>
              <w:bottom w:val="nil"/>
              <w:right w:val="nil"/>
            </w:tcBorders>
            <w:vAlign w:val="center"/>
          </w:tcPr>
          <w:p w14:paraId="3D54F0B2">
            <w:pPr>
              <w:widowControl/>
              <w:jc w:val="left"/>
              <w:rPr>
                <w:rFonts w:eastAsia="楷体_GB2312"/>
                <w:color w:val="000000"/>
                <w:sz w:val="52"/>
              </w:rPr>
            </w:pPr>
          </w:p>
        </w:tc>
        <w:tc>
          <w:tcPr>
            <w:tcW w:w="2633" w:type="dxa"/>
            <w:tcBorders>
              <w:top w:val="nil"/>
              <w:left w:val="nil"/>
              <w:bottom w:val="nil"/>
              <w:right w:val="nil"/>
            </w:tcBorders>
            <w:vAlign w:val="center"/>
          </w:tcPr>
          <w:p w14:paraId="3537B8A5">
            <w:pPr>
              <w:jc w:val="distribute"/>
              <w:rPr>
                <w:rFonts w:ascii="黑体" w:hAnsi="黑体" w:eastAsia="黑体" w:cs="黑体"/>
                <w:sz w:val="32"/>
                <w:szCs w:val="36"/>
              </w:rPr>
            </w:pPr>
            <w:r>
              <w:rPr>
                <w:rFonts w:hint="eastAsia" w:ascii="黑体" w:hAnsi="黑体" w:eastAsia="黑体" w:cs="黑体"/>
                <w:sz w:val="32"/>
                <w:szCs w:val="36"/>
              </w:rPr>
              <w:t>编制单位：</w:t>
            </w:r>
          </w:p>
        </w:tc>
        <w:tc>
          <w:tcPr>
            <w:tcW w:w="240" w:type="dxa"/>
            <w:tcBorders>
              <w:top w:val="nil"/>
              <w:left w:val="nil"/>
              <w:bottom w:val="nil"/>
              <w:right w:val="nil"/>
            </w:tcBorders>
            <w:vAlign w:val="center"/>
          </w:tcPr>
          <w:p w14:paraId="40ADEB64">
            <w:pPr>
              <w:pStyle w:val="39"/>
              <w:ind w:firstLine="1960"/>
            </w:pPr>
            <w:r>
              <w:rPr>
                <w:rFonts w:hint="eastAsia"/>
              </w:rPr>
              <w:t>：</w:t>
            </w:r>
          </w:p>
        </w:tc>
        <w:tc>
          <w:tcPr>
            <w:tcW w:w="5332" w:type="dxa"/>
            <w:tcBorders>
              <w:top w:val="nil"/>
              <w:left w:val="nil"/>
              <w:bottom w:val="nil"/>
              <w:right w:val="nil"/>
            </w:tcBorders>
            <w:vAlign w:val="center"/>
          </w:tcPr>
          <w:p w14:paraId="072BBDE2">
            <w:pPr>
              <w:jc w:val="left"/>
              <w:rPr>
                <w:rFonts w:ascii="黑体" w:hAnsi="黑体" w:eastAsia="黑体" w:cs="黑体"/>
                <w:sz w:val="28"/>
                <w:szCs w:val="32"/>
              </w:rPr>
            </w:pPr>
            <w:r>
              <w:rPr>
                <w:rFonts w:hint="eastAsia" w:ascii="黑体" w:hAnsi="黑体" w:eastAsia="黑体" w:cs="黑体"/>
                <w:sz w:val="28"/>
                <w:szCs w:val="32"/>
              </w:rPr>
              <w:t>桑植县公路建设养护中心</w:t>
            </w:r>
          </w:p>
        </w:tc>
        <w:tc>
          <w:tcPr>
            <w:tcW w:w="637" w:type="dxa"/>
            <w:vMerge w:val="continue"/>
            <w:tcBorders>
              <w:top w:val="nil"/>
              <w:left w:val="nil"/>
              <w:bottom w:val="nil"/>
              <w:right w:val="nil"/>
            </w:tcBorders>
            <w:vAlign w:val="center"/>
          </w:tcPr>
          <w:p w14:paraId="7E14FDF7">
            <w:pPr>
              <w:widowControl/>
              <w:jc w:val="distribute"/>
              <w:rPr>
                <w:rFonts w:eastAsia="楷体_GB2312"/>
                <w:color w:val="000000"/>
                <w:sz w:val="52"/>
              </w:rPr>
            </w:pPr>
          </w:p>
        </w:tc>
      </w:tr>
      <w:tr w14:paraId="00DA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653" w:type="dxa"/>
            <w:vMerge w:val="continue"/>
            <w:tcBorders>
              <w:top w:val="nil"/>
              <w:left w:val="nil"/>
              <w:bottom w:val="nil"/>
              <w:right w:val="nil"/>
            </w:tcBorders>
            <w:vAlign w:val="center"/>
          </w:tcPr>
          <w:p w14:paraId="28A05A46">
            <w:pPr>
              <w:widowControl/>
              <w:jc w:val="left"/>
              <w:rPr>
                <w:rFonts w:eastAsia="楷体_GB2312"/>
                <w:color w:val="000000"/>
                <w:sz w:val="52"/>
              </w:rPr>
            </w:pPr>
          </w:p>
        </w:tc>
        <w:tc>
          <w:tcPr>
            <w:tcW w:w="2633" w:type="dxa"/>
            <w:tcBorders>
              <w:top w:val="nil"/>
              <w:left w:val="nil"/>
              <w:bottom w:val="nil"/>
              <w:right w:val="nil"/>
            </w:tcBorders>
            <w:vAlign w:val="center"/>
          </w:tcPr>
          <w:p w14:paraId="5AA66BA6">
            <w:pPr>
              <w:jc w:val="distribute"/>
              <w:rPr>
                <w:rFonts w:ascii="黑体" w:hAnsi="黑体" w:eastAsia="黑体" w:cs="黑体"/>
                <w:sz w:val="32"/>
                <w:szCs w:val="36"/>
              </w:rPr>
            </w:pPr>
            <w:r>
              <w:rPr>
                <w:rFonts w:hint="eastAsia" w:ascii="黑体" w:hAnsi="黑体" w:eastAsia="黑体" w:cs="黑体"/>
                <w:sz w:val="32"/>
                <w:szCs w:val="36"/>
              </w:rPr>
              <w:t>编制时间：</w:t>
            </w:r>
          </w:p>
        </w:tc>
        <w:tc>
          <w:tcPr>
            <w:tcW w:w="240" w:type="dxa"/>
            <w:tcBorders>
              <w:top w:val="nil"/>
              <w:left w:val="nil"/>
              <w:bottom w:val="nil"/>
              <w:right w:val="nil"/>
            </w:tcBorders>
            <w:vAlign w:val="center"/>
          </w:tcPr>
          <w:p w14:paraId="4C010268">
            <w:pPr>
              <w:pStyle w:val="39"/>
              <w:ind w:firstLine="1960"/>
            </w:pPr>
            <w:r>
              <w:rPr>
                <w:rFonts w:hint="eastAsia"/>
              </w:rPr>
              <w:t>：</w:t>
            </w:r>
          </w:p>
        </w:tc>
        <w:tc>
          <w:tcPr>
            <w:tcW w:w="5332" w:type="dxa"/>
            <w:tcBorders>
              <w:top w:val="nil"/>
              <w:left w:val="nil"/>
              <w:bottom w:val="nil"/>
              <w:right w:val="nil"/>
            </w:tcBorders>
            <w:vAlign w:val="center"/>
          </w:tcPr>
          <w:p w14:paraId="48B8A936">
            <w:pPr>
              <w:jc w:val="left"/>
              <w:rPr>
                <w:rFonts w:ascii="黑体" w:hAnsi="黑体" w:eastAsia="黑体" w:cs="黑体"/>
                <w:sz w:val="28"/>
                <w:szCs w:val="32"/>
              </w:rPr>
            </w:pPr>
            <w:r>
              <w:rPr>
                <w:rFonts w:hint="eastAsia" w:ascii="黑体" w:hAnsi="黑体" w:eastAsia="黑体" w:cs="黑体"/>
                <w:sz w:val="28"/>
                <w:szCs w:val="32"/>
                <w:lang w:eastAsia="zh-CN"/>
              </w:rPr>
              <w:t>2025</w:t>
            </w:r>
            <w:r>
              <w:rPr>
                <w:rFonts w:hint="eastAsia" w:ascii="黑体" w:hAnsi="黑体" w:eastAsia="黑体" w:cs="黑体"/>
                <w:sz w:val="28"/>
                <w:szCs w:val="32"/>
              </w:rPr>
              <w:t>年</w:t>
            </w:r>
            <w:r>
              <w:rPr>
                <w:rFonts w:hint="eastAsia" w:ascii="黑体" w:hAnsi="黑体" w:eastAsia="黑体" w:cs="黑体"/>
                <w:sz w:val="28"/>
                <w:szCs w:val="32"/>
                <w:lang w:val="en-US" w:eastAsia="zh-CN"/>
              </w:rPr>
              <w:t>8</w:t>
            </w:r>
            <w:r>
              <w:rPr>
                <w:rFonts w:hint="eastAsia" w:ascii="黑体" w:hAnsi="黑体" w:eastAsia="黑体" w:cs="黑体"/>
                <w:sz w:val="28"/>
                <w:szCs w:val="32"/>
              </w:rPr>
              <w:t>月</w:t>
            </w:r>
            <w:r>
              <w:rPr>
                <w:rFonts w:hint="eastAsia" w:ascii="黑体" w:hAnsi="黑体" w:eastAsia="黑体" w:cs="黑体"/>
                <w:sz w:val="28"/>
                <w:szCs w:val="32"/>
                <w:lang w:val="en-US" w:eastAsia="zh-CN"/>
              </w:rPr>
              <w:t>6</w:t>
            </w:r>
            <w:r>
              <w:rPr>
                <w:rFonts w:hint="eastAsia" w:ascii="黑体" w:hAnsi="黑体" w:eastAsia="黑体" w:cs="黑体"/>
                <w:sz w:val="28"/>
                <w:szCs w:val="32"/>
              </w:rPr>
              <w:t>日</w:t>
            </w:r>
          </w:p>
        </w:tc>
        <w:tc>
          <w:tcPr>
            <w:tcW w:w="637" w:type="dxa"/>
            <w:vMerge w:val="continue"/>
            <w:tcBorders>
              <w:top w:val="nil"/>
              <w:left w:val="nil"/>
              <w:bottom w:val="nil"/>
              <w:right w:val="nil"/>
            </w:tcBorders>
            <w:vAlign w:val="center"/>
          </w:tcPr>
          <w:p w14:paraId="425A0147">
            <w:pPr>
              <w:widowControl/>
              <w:jc w:val="distribute"/>
              <w:rPr>
                <w:rFonts w:eastAsia="楷体_GB2312"/>
                <w:color w:val="000000"/>
                <w:sz w:val="52"/>
              </w:rPr>
            </w:pPr>
          </w:p>
        </w:tc>
      </w:tr>
      <w:tr w14:paraId="313F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jc w:val="center"/>
        </w:trPr>
        <w:tc>
          <w:tcPr>
            <w:tcW w:w="9495" w:type="dxa"/>
            <w:gridSpan w:val="5"/>
            <w:tcBorders>
              <w:top w:val="nil"/>
              <w:left w:val="nil"/>
              <w:bottom w:val="nil"/>
              <w:right w:val="nil"/>
            </w:tcBorders>
          </w:tcPr>
          <w:p w14:paraId="2228A06B">
            <w:pPr>
              <w:pStyle w:val="40"/>
              <w:jc w:val="both"/>
            </w:pPr>
          </w:p>
          <w:p w14:paraId="0E0944E7">
            <w:pPr>
              <w:pStyle w:val="40"/>
              <w:jc w:val="both"/>
            </w:pPr>
          </w:p>
          <w:p w14:paraId="52DEAB08">
            <w:pPr>
              <w:pStyle w:val="40"/>
            </w:pPr>
          </w:p>
          <w:p w14:paraId="262EBE25">
            <w:pPr>
              <w:pStyle w:val="40"/>
            </w:pPr>
          </w:p>
        </w:tc>
      </w:tr>
    </w:tbl>
    <w:p w14:paraId="4A35C3E6">
      <w:pPr>
        <w:ind w:firstLine="420" w:firstLineChars="200"/>
      </w:pPr>
      <w:r>
        <w:br w:type="page"/>
      </w:r>
    </w:p>
    <w:p w14:paraId="44EB6417">
      <w:pPr>
        <w:pStyle w:val="34"/>
        <w:ind w:firstLine="720" w:firstLineChars="200"/>
        <w:jc w:val="center"/>
        <w:rPr>
          <w:rFonts w:ascii="微软雅黑" w:hAnsi="微软雅黑" w:eastAsia="微软雅黑" w:cs="微软雅黑"/>
          <w:sz w:val="36"/>
          <w:szCs w:val="36"/>
        </w:rPr>
      </w:pPr>
      <w:r>
        <w:rPr>
          <w:rFonts w:hint="eastAsia" w:ascii="微软雅黑" w:hAnsi="微软雅黑" w:eastAsia="微软雅黑" w:cs="微软雅黑"/>
          <w:sz w:val="36"/>
          <w:szCs w:val="36"/>
        </w:rPr>
        <w:t>编 制 说 明</w:t>
      </w:r>
    </w:p>
    <w:p w14:paraId="34BDB7DC">
      <w:pPr>
        <w:pStyle w:val="32"/>
        <w:spacing w:line="480" w:lineRule="auto"/>
        <w:ind w:firstLine="480"/>
      </w:pPr>
    </w:p>
    <w:p w14:paraId="0A84E9E0">
      <w:pPr>
        <w:pStyle w:val="32"/>
        <w:spacing w:line="480" w:lineRule="auto"/>
        <w:ind w:firstLine="480"/>
      </w:pPr>
      <w:r>
        <w:rPr>
          <w:rFonts w:hint="eastAsia"/>
        </w:rPr>
        <w:t>一、采购单位可以自行组织编制采购需求，也可以委托采购代理机构或者其他第三方机构编制。</w:t>
      </w:r>
    </w:p>
    <w:p w14:paraId="039CAB13">
      <w:pPr>
        <w:pStyle w:val="32"/>
        <w:spacing w:line="480" w:lineRule="auto"/>
        <w:ind w:firstLine="480"/>
      </w:pPr>
      <w:r>
        <w:rPr>
          <w:rFonts w:hint="eastAsia"/>
        </w:rPr>
        <w:t xml:space="preserve">二、编制的采购需求应当符合《财政部关于印发政府采购需求管理办法的通知》（财库 </w:t>
      </w:r>
      <w:r>
        <w:rPr>
          <w:rFonts w:hint="eastAsia" w:ascii="微软雅黑" w:hAnsi="微软雅黑" w:eastAsia="微软雅黑" w:cs="微软雅黑"/>
        </w:rPr>
        <w:t>〔</w:t>
      </w:r>
      <w:r>
        <w:rPr>
          <w:rFonts w:hint="eastAsia"/>
        </w:rPr>
        <w:t>2021</w:t>
      </w:r>
      <w:r>
        <w:rPr>
          <w:rFonts w:hint="eastAsia" w:ascii="微软雅黑" w:hAnsi="微软雅黑" w:eastAsia="微软雅黑" w:cs="微软雅黑"/>
        </w:rPr>
        <w:t>〕</w:t>
      </w:r>
      <w:r>
        <w:rPr>
          <w:rFonts w:hint="eastAsia"/>
        </w:rPr>
        <w:t>22 号）要求及政府采购的相关规定。</w:t>
      </w:r>
    </w:p>
    <w:p w14:paraId="7138FD1C">
      <w:pPr>
        <w:pStyle w:val="32"/>
        <w:spacing w:line="480" w:lineRule="auto"/>
        <w:ind w:firstLine="480"/>
      </w:pPr>
      <w:r>
        <w:rPr>
          <w:rFonts w:hint="eastAsia"/>
        </w:rPr>
        <w:t>三、斜体字部分属于提醒内容，编制时应删除。</w:t>
      </w:r>
    </w:p>
    <w:p w14:paraId="3134BC59">
      <w:pPr>
        <w:pStyle w:val="32"/>
        <w:spacing w:line="480" w:lineRule="auto"/>
        <w:ind w:firstLine="480"/>
      </w:pPr>
      <w:r>
        <w:rPr>
          <w:rFonts w:hint="eastAsia"/>
        </w:rPr>
        <w:t>四、对不适用的内容应删除，并调整相应序号。</w:t>
      </w:r>
    </w:p>
    <w:p w14:paraId="01F190D8">
      <w:pPr>
        <w:ind w:firstLine="420" w:firstLineChars="200"/>
      </w:pPr>
      <w:r>
        <w:rPr>
          <w:rFonts w:hint="eastAsia"/>
        </w:rPr>
        <w:br w:type="page"/>
      </w:r>
    </w:p>
    <w:sdt>
      <w:sdtPr>
        <w:rPr>
          <w:rFonts w:ascii="宋体" w:hAnsi="宋体" w:eastAsia="宋体"/>
          <w:sz w:val="36"/>
          <w:szCs w:val="36"/>
        </w:rPr>
        <w:id w:val="147454494"/>
        <w:docPartObj>
          <w:docPartGallery w:val="Table of Contents"/>
          <w:docPartUnique/>
        </w:docPartObj>
      </w:sdtPr>
      <w:sdtEndPr>
        <w:rPr>
          <w:rFonts w:ascii="宋体" w:hAnsi="宋体" w:eastAsia="宋体"/>
          <w:b/>
          <w:sz w:val="36"/>
          <w:szCs w:val="36"/>
        </w:rPr>
      </w:sdtEndPr>
      <w:sdtContent>
        <w:p w14:paraId="70E3E426">
          <w:pPr>
            <w:jc w:val="center"/>
            <w:rPr>
              <w:rFonts w:ascii="微软雅黑" w:hAnsi="微软雅黑" w:eastAsia="微软雅黑" w:cs="微软雅黑"/>
              <w:b/>
              <w:bCs/>
              <w:sz w:val="36"/>
              <w:szCs w:val="36"/>
            </w:rPr>
          </w:pPr>
          <w:r>
            <w:rPr>
              <w:rFonts w:hint="eastAsia" w:ascii="微软雅黑" w:hAnsi="微软雅黑" w:eastAsia="微软雅黑" w:cs="微软雅黑"/>
              <w:b/>
              <w:bCs/>
              <w:sz w:val="36"/>
              <w:szCs w:val="36"/>
            </w:rPr>
            <w:t>目  录</w:t>
          </w:r>
        </w:p>
        <w:p w14:paraId="39676EDD">
          <w:pPr>
            <w:pStyle w:val="41"/>
            <w:tabs>
              <w:tab w:val="right" w:leader="dot" w:pos="9746"/>
            </w:tabs>
            <w:spacing w:line="600" w:lineRule="auto"/>
            <w:rPr>
              <w:rFonts w:ascii="微软雅黑" w:hAnsi="微软雅黑" w:eastAsia="微软雅黑" w:cs="微软雅黑"/>
              <w:b/>
              <w:sz w:val="24"/>
              <w:szCs w:val="24"/>
            </w:rPr>
          </w:pPr>
          <w:r>
            <w:fldChar w:fldCharType="begin"/>
          </w:r>
          <w:r>
            <w:instrText xml:space="preserve">TOC \o "1-2" \h \u </w:instrText>
          </w:r>
          <w:r>
            <w:fldChar w:fldCharType="separate"/>
          </w:r>
          <w:r>
            <w:fldChar w:fldCharType="begin"/>
          </w:r>
          <w:r>
            <w:instrText xml:space="preserve"> HYPERLINK \l "_Toc31975" </w:instrText>
          </w:r>
          <w:r>
            <w:fldChar w:fldCharType="separate"/>
          </w:r>
          <w:r>
            <w:rPr>
              <w:rFonts w:hint="eastAsia" w:ascii="微软雅黑" w:hAnsi="微软雅黑" w:eastAsia="微软雅黑" w:cs="微软雅黑"/>
              <w:b/>
              <w:sz w:val="24"/>
              <w:szCs w:val="24"/>
            </w:rPr>
            <w:t>一、需求调查情况</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_Toc31975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4</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rPr>
            <w:fldChar w:fldCharType="end"/>
          </w:r>
        </w:p>
        <w:p w14:paraId="3BD953ED">
          <w:pPr>
            <w:pStyle w:val="42"/>
            <w:tabs>
              <w:tab w:val="right" w:leader="dot" w:pos="9746"/>
            </w:tabs>
            <w:spacing w:line="600" w:lineRule="auto"/>
            <w:ind w:left="420"/>
            <w:rPr>
              <w:rFonts w:ascii="微软雅黑" w:hAnsi="微软雅黑" w:eastAsia="微软雅黑" w:cs="微软雅黑"/>
              <w:sz w:val="24"/>
              <w:szCs w:val="24"/>
            </w:rPr>
          </w:pPr>
          <w:r>
            <w:fldChar w:fldCharType="begin"/>
          </w:r>
          <w:r>
            <w:instrText xml:space="preserve"> HYPERLINK \l "_Toc7384" </w:instrText>
          </w:r>
          <w:r>
            <w:fldChar w:fldCharType="separate"/>
          </w:r>
          <w:r>
            <w:rPr>
              <w:rFonts w:hint="eastAsia" w:ascii="微软雅黑" w:hAnsi="微软雅黑" w:eastAsia="微软雅黑" w:cs="微软雅黑"/>
              <w:bCs/>
              <w:sz w:val="24"/>
              <w:szCs w:val="24"/>
            </w:rPr>
            <w:t>（一）是否开展需求调查</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_Toc7384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4</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fldChar w:fldCharType="end"/>
          </w:r>
        </w:p>
        <w:p w14:paraId="0CD4F7FA">
          <w:pPr>
            <w:pStyle w:val="42"/>
            <w:tabs>
              <w:tab w:val="right" w:leader="dot" w:pos="9746"/>
            </w:tabs>
            <w:spacing w:line="600" w:lineRule="auto"/>
            <w:ind w:left="420"/>
            <w:rPr>
              <w:rFonts w:ascii="微软雅黑" w:hAnsi="微软雅黑" w:eastAsia="微软雅黑" w:cs="微软雅黑"/>
              <w:sz w:val="24"/>
              <w:szCs w:val="24"/>
            </w:rPr>
          </w:pPr>
          <w:r>
            <w:fldChar w:fldCharType="begin"/>
          </w:r>
          <w:r>
            <w:instrText xml:space="preserve"> HYPERLINK \l "_Toc7063" </w:instrText>
          </w:r>
          <w:r>
            <w:fldChar w:fldCharType="separate"/>
          </w:r>
          <w:r>
            <w:rPr>
              <w:rFonts w:hint="eastAsia" w:ascii="微软雅黑" w:hAnsi="微软雅黑" w:eastAsia="微软雅黑" w:cs="微软雅黑"/>
              <w:bCs/>
              <w:sz w:val="24"/>
              <w:szCs w:val="24"/>
            </w:rPr>
            <w:t>（二）需求调查方式</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_Toc7063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4</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fldChar w:fldCharType="end"/>
          </w:r>
        </w:p>
        <w:p w14:paraId="77081782">
          <w:pPr>
            <w:pStyle w:val="42"/>
            <w:tabs>
              <w:tab w:val="right" w:leader="dot" w:pos="9746"/>
            </w:tabs>
            <w:spacing w:line="600" w:lineRule="auto"/>
            <w:ind w:left="420"/>
            <w:rPr>
              <w:rFonts w:ascii="微软雅黑" w:hAnsi="微软雅黑" w:eastAsia="微软雅黑" w:cs="微软雅黑"/>
              <w:sz w:val="24"/>
              <w:szCs w:val="24"/>
            </w:rPr>
          </w:pPr>
          <w:r>
            <w:fldChar w:fldCharType="begin"/>
          </w:r>
          <w:r>
            <w:instrText xml:space="preserve"> HYPERLINK \l "_Toc14035" </w:instrText>
          </w:r>
          <w:r>
            <w:fldChar w:fldCharType="separate"/>
          </w:r>
          <w:r>
            <w:rPr>
              <w:rFonts w:hint="eastAsia" w:ascii="微软雅黑" w:hAnsi="微软雅黑" w:eastAsia="微软雅黑" w:cs="微软雅黑"/>
              <w:bCs/>
              <w:sz w:val="24"/>
              <w:szCs w:val="24"/>
            </w:rPr>
            <w:t>（三）需求调查对象</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_Toc14035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4</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fldChar w:fldCharType="end"/>
          </w:r>
        </w:p>
        <w:p w14:paraId="23E430A7">
          <w:pPr>
            <w:pStyle w:val="42"/>
            <w:tabs>
              <w:tab w:val="right" w:leader="dot" w:pos="9746"/>
            </w:tabs>
            <w:spacing w:line="600" w:lineRule="auto"/>
            <w:ind w:left="420"/>
            <w:rPr>
              <w:rFonts w:ascii="微软雅黑" w:hAnsi="微软雅黑" w:eastAsia="微软雅黑" w:cs="微软雅黑"/>
              <w:sz w:val="24"/>
              <w:szCs w:val="24"/>
            </w:rPr>
          </w:pPr>
          <w:r>
            <w:fldChar w:fldCharType="begin"/>
          </w:r>
          <w:r>
            <w:instrText xml:space="preserve"> HYPERLINK \l "_Toc17707" </w:instrText>
          </w:r>
          <w:r>
            <w:fldChar w:fldCharType="separate"/>
          </w:r>
          <w:r>
            <w:rPr>
              <w:rFonts w:hint="eastAsia" w:ascii="微软雅黑" w:hAnsi="微软雅黑" w:eastAsia="微软雅黑" w:cs="微软雅黑"/>
              <w:bCs/>
              <w:sz w:val="24"/>
              <w:szCs w:val="24"/>
            </w:rPr>
            <w:t>（四）需求调查结果</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_Toc17707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4</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fldChar w:fldCharType="end"/>
          </w:r>
        </w:p>
        <w:p w14:paraId="45B8B48C">
          <w:pPr>
            <w:pStyle w:val="41"/>
            <w:tabs>
              <w:tab w:val="right" w:leader="dot" w:pos="9746"/>
            </w:tabs>
            <w:spacing w:line="600" w:lineRule="auto"/>
            <w:rPr>
              <w:rFonts w:ascii="微软雅黑" w:hAnsi="微软雅黑" w:eastAsia="微软雅黑" w:cs="微软雅黑"/>
              <w:b/>
              <w:sz w:val="24"/>
              <w:szCs w:val="24"/>
            </w:rPr>
          </w:pPr>
          <w:r>
            <w:fldChar w:fldCharType="begin"/>
          </w:r>
          <w:r>
            <w:instrText xml:space="preserve"> HYPERLINK \l "_Toc18096" </w:instrText>
          </w:r>
          <w:r>
            <w:fldChar w:fldCharType="separate"/>
          </w:r>
          <w:r>
            <w:rPr>
              <w:rFonts w:hint="eastAsia" w:ascii="微软雅黑" w:hAnsi="微软雅黑" w:eastAsia="微软雅黑" w:cs="微软雅黑"/>
              <w:b/>
              <w:bCs/>
              <w:sz w:val="24"/>
              <w:szCs w:val="24"/>
            </w:rPr>
            <w:t>二、需求清单</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_Toc18096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4</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rPr>
            <w:fldChar w:fldCharType="end"/>
          </w:r>
        </w:p>
        <w:p w14:paraId="5C8F5CDE">
          <w:pPr>
            <w:pStyle w:val="42"/>
            <w:tabs>
              <w:tab w:val="right" w:leader="dot" w:pos="9746"/>
            </w:tabs>
            <w:spacing w:line="600" w:lineRule="auto"/>
            <w:ind w:left="420"/>
            <w:rPr>
              <w:rFonts w:ascii="微软雅黑" w:hAnsi="微软雅黑" w:eastAsia="微软雅黑" w:cs="微软雅黑"/>
              <w:sz w:val="24"/>
              <w:szCs w:val="24"/>
            </w:rPr>
          </w:pPr>
          <w:r>
            <w:fldChar w:fldCharType="begin"/>
          </w:r>
          <w:r>
            <w:instrText xml:space="preserve"> HYPERLINK \l "_Toc5734" </w:instrText>
          </w:r>
          <w:r>
            <w:fldChar w:fldCharType="separate"/>
          </w:r>
          <w:r>
            <w:rPr>
              <w:rFonts w:hint="eastAsia" w:ascii="微软雅黑" w:hAnsi="微软雅黑" w:eastAsia="微软雅黑" w:cs="微软雅黑"/>
              <w:sz w:val="24"/>
              <w:szCs w:val="24"/>
            </w:rPr>
            <w:t>（一） 项目概况</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_Toc5734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4</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fldChar w:fldCharType="end"/>
          </w:r>
        </w:p>
        <w:p w14:paraId="1399F462">
          <w:pPr>
            <w:pStyle w:val="42"/>
            <w:tabs>
              <w:tab w:val="right" w:leader="dot" w:pos="9746"/>
            </w:tabs>
            <w:spacing w:line="600" w:lineRule="auto"/>
            <w:ind w:left="420"/>
            <w:rPr>
              <w:rFonts w:ascii="微软雅黑" w:hAnsi="微软雅黑" w:eastAsia="微软雅黑" w:cs="微软雅黑"/>
              <w:sz w:val="24"/>
              <w:szCs w:val="24"/>
            </w:rPr>
          </w:pPr>
          <w:r>
            <w:fldChar w:fldCharType="begin"/>
          </w:r>
          <w:r>
            <w:instrText xml:space="preserve"> HYPERLINK \l "_Toc23714" </w:instrText>
          </w:r>
          <w:r>
            <w:fldChar w:fldCharType="separate"/>
          </w:r>
          <w:r>
            <w:rPr>
              <w:rFonts w:hint="eastAsia" w:ascii="微软雅黑" w:hAnsi="微软雅黑" w:eastAsia="微软雅黑" w:cs="微软雅黑"/>
              <w:sz w:val="24"/>
              <w:szCs w:val="24"/>
            </w:rPr>
            <w:t>（二） 采购项目预（概）算</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_Toc23714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4</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fldChar w:fldCharType="end"/>
          </w:r>
        </w:p>
        <w:p w14:paraId="181914FC">
          <w:pPr>
            <w:pStyle w:val="42"/>
            <w:tabs>
              <w:tab w:val="right" w:leader="dot" w:pos="9746"/>
            </w:tabs>
            <w:spacing w:line="600" w:lineRule="auto"/>
            <w:ind w:left="420"/>
            <w:rPr>
              <w:rFonts w:ascii="微软雅黑" w:hAnsi="微软雅黑" w:eastAsia="微软雅黑" w:cs="微软雅黑"/>
              <w:sz w:val="24"/>
              <w:szCs w:val="24"/>
            </w:rPr>
          </w:pPr>
          <w:r>
            <w:fldChar w:fldCharType="begin"/>
          </w:r>
          <w:r>
            <w:instrText xml:space="preserve"> HYPERLINK \l "_Toc4938" </w:instrText>
          </w:r>
          <w:r>
            <w:fldChar w:fldCharType="separate"/>
          </w:r>
          <w:r>
            <w:rPr>
              <w:rFonts w:hint="eastAsia" w:ascii="微软雅黑" w:hAnsi="微软雅黑" w:eastAsia="微软雅黑" w:cs="微软雅黑"/>
              <w:sz w:val="24"/>
              <w:szCs w:val="24"/>
            </w:rPr>
            <w:t>（三） 采购标的汇总表</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_Toc4938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5</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fldChar w:fldCharType="end"/>
          </w:r>
        </w:p>
        <w:p w14:paraId="126E4F87">
          <w:pPr>
            <w:pStyle w:val="42"/>
            <w:tabs>
              <w:tab w:val="right" w:leader="dot" w:pos="9746"/>
            </w:tabs>
            <w:spacing w:line="600" w:lineRule="auto"/>
            <w:ind w:left="420"/>
          </w:pPr>
          <w:r>
            <w:fldChar w:fldCharType="begin"/>
          </w:r>
          <w:r>
            <w:instrText xml:space="preserve"> HYPERLINK \l "_Toc5867" </w:instrText>
          </w:r>
          <w:r>
            <w:fldChar w:fldCharType="separate"/>
          </w:r>
          <w:r>
            <w:rPr>
              <w:rFonts w:hint="eastAsia" w:ascii="微软雅黑" w:hAnsi="微软雅黑" w:eastAsia="微软雅黑" w:cs="微软雅黑"/>
              <w:sz w:val="24"/>
              <w:szCs w:val="24"/>
            </w:rPr>
            <w:t>（四） 技术商务要求</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_Toc5867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5</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fldChar w:fldCharType="end"/>
          </w:r>
        </w:p>
        <w:p w14:paraId="3AA85645">
          <w:r>
            <w:rPr>
              <w:b/>
            </w:rPr>
            <w:fldChar w:fldCharType="end"/>
          </w:r>
        </w:p>
      </w:sdtContent>
    </w:sdt>
    <w:p w14:paraId="15D91528">
      <w:bookmarkStart w:id="0" w:name="_Toc31975"/>
      <w:r>
        <w:rPr>
          <w:rFonts w:hint="eastAsia"/>
        </w:rPr>
        <w:br w:type="page"/>
      </w:r>
    </w:p>
    <w:p w14:paraId="6F6A95A6">
      <w:pPr>
        <w:pStyle w:val="5"/>
        <w:ind w:firstLine="562" w:firstLineChars="200"/>
      </w:pPr>
      <w:r>
        <w:rPr>
          <w:rFonts w:hint="eastAsia"/>
        </w:rPr>
        <w:t>一、需求调查情况</w:t>
      </w:r>
      <w:bookmarkEnd w:id="0"/>
    </w:p>
    <w:p w14:paraId="31E9BC7B">
      <w:pPr>
        <w:pStyle w:val="32"/>
        <w:spacing w:line="440" w:lineRule="exact"/>
        <w:ind w:firstLine="482"/>
        <w:outlineLvl w:val="1"/>
        <w:rPr>
          <w:b/>
          <w:bCs/>
        </w:rPr>
      </w:pPr>
      <w:bookmarkStart w:id="1" w:name="_Toc7384"/>
      <w:r>
        <w:rPr>
          <w:rFonts w:hint="eastAsia"/>
          <w:b/>
          <w:bCs/>
        </w:rPr>
        <w:t>（一）是否开展需求调查</w:t>
      </w:r>
      <w:bookmarkEnd w:id="1"/>
    </w:p>
    <w:p w14:paraId="1E996C76">
      <w:pPr>
        <w:pStyle w:val="32"/>
        <w:spacing w:line="440" w:lineRule="exact"/>
        <w:ind w:firstLine="480"/>
        <w:rPr>
          <w:u w:val="single"/>
        </w:rPr>
      </w:pP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w:t>
      </w:r>
    </w:p>
    <w:p w14:paraId="70ECF772">
      <w:pPr>
        <w:pStyle w:val="32"/>
        <w:spacing w:line="440" w:lineRule="exact"/>
        <w:ind w:firstLine="482"/>
        <w:outlineLvl w:val="1"/>
        <w:rPr>
          <w:b/>
          <w:bCs/>
        </w:rPr>
      </w:pPr>
      <w:bookmarkStart w:id="2" w:name="_Toc7063"/>
      <w:r>
        <w:rPr>
          <w:rFonts w:hint="eastAsia"/>
          <w:b/>
          <w:bCs/>
        </w:rPr>
        <w:t>（二）需求调查方式</w:t>
      </w:r>
      <w:bookmarkEnd w:id="2"/>
    </w:p>
    <w:p w14:paraId="55E1C728">
      <w:pPr>
        <w:pStyle w:val="32"/>
        <w:spacing w:line="440" w:lineRule="exact"/>
        <w:ind w:firstLine="480"/>
        <w:rPr>
          <w:u w:val="single"/>
        </w:rPr>
      </w:pPr>
      <w:r>
        <w:rPr>
          <w:rFonts w:hint="eastAsia"/>
          <w:u w:val="single"/>
        </w:rPr>
        <w:t xml:space="preserve">  /   </w:t>
      </w:r>
      <w:r>
        <w:rPr>
          <w:rFonts w:hint="eastAsia"/>
        </w:rPr>
        <w:t>。</w:t>
      </w:r>
    </w:p>
    <w:p w14:paraId="31DCE4F9">
      <w:pPr>
        <w:pStyle w:val="32"/>
        <w:numPr>
          <w:ilvl w:val="0"/>
          <w:numId w:val="2"/>
        </w:numPr>
        <w:spacing w:line="440" w:lineRule="exact"/>
        <w:ind w:firstLine="482"/>
        <w:outlineLvl w:val="1"/>
        <w:rPr>
          <w:b/>
          <w:bCs/>
        </w:rPr>
      </w:pPr>
      <w:bookmarkStart w:id="3" w:name="_Toc14035"/>
      <w:r>
        <w:rPr>
          <w:rFonts w:hint="eastAsia"/>
          <w:b/>
          <w:bCs/>
        </w:rPr>
        <w:t>需求调查对象</w:t>
      </w:r>
      <w:bookmarkEnd w:id="3"/>
    </w:p>
    <w:p w14:paraId="7C5765BE">
      <w:pPr>
        <w:ind w:firstLine="420" w:firstLineChars="200"/>
        <w:rPr>
          <w:u w:val="single"/>
        </w:rPr>
      </w:pPr>
      <w:r>
        <w:rPr>
          <w:rFonts w:hint="eastAsia"/>
          <w:u w:val="single"/>
        </w:rPr>
        <w:t xml:space="preserve">   /    </w:t>
      </w:r>
    </w:p>
    <w:p w14:paraId="5E839C72">
      <w:pPr>
        <w:pStyle w:val="32"/>
        <w:spacing w:line="440" w:lineRule="exact"/>
        <w:ind w:firstLine="482"/>
        <w:outlineLvl w:val="1"/>
      </w:pPr>
      <w:bookmarkStart w:id="4" w:name="_Toc17707"/>
      <w:r>
        <w:rPr>
          <w:rFonts w:hint="eastAsia"/>
          <w:b/>
          <w:bCs/>
        </w:rPr>
        <w:t>（四）需求调查结果</w:t>
      </w:r>
      <w:bookmarkEnd w:id="4"/>
    </w:p>
    <w:p w14:paraId="46180FD7">
      <w:pPr>
        <w:pStyle w:val="32"/>
        <w:numPr>
          <w:ilvl w:val="0"/>
          <w:numId w:val="3"/>
        </w:numPr>
        <w:spacing w:line="440" w:lineRule="exact"/>
        <w:ind w:firstLine="480"/>
      </w:pPr>
      <w:r>
        <w:rPr>
          <w:rFonts w:hint="eastAsia"/>
        </w:rPr>
        <w:t>相关产业发展情况</w:t>
      </w:r>
    </w:p>
    <w:p w14:paraId="7BDDE39D">
      <w:pPr>
        <w:pStyle w:val="32"/>
        <w:spacing w:line="440" w:lineRule="exact"/>
        <w:ind w:left="420" w:leftChars="200" w:firstLine="480"/>
        <w:rPr>
          <w:u w:val="single"/>
        </w:rPr>
      </w:pPr>
      <w:r>
        <w:rPr>
          <w:rFonts w:hint="eastAsia"/>
          <w:u w:val="single"/>
        </w:rPr>
        <w:t xml:space="preserve">      /                                                                   </w:t>
      </w:r>
    </w:p>
    <w:p w14:paraId="6B363656">
      <w:pPr>
        <w:pStyle w:val="32"/>
        <w:numPr>
          <w:ilvl w:val="0"/>
          <w:numId w:val="3"/>
        </w:numPr>
        <w:spacing w:line="440" w:lineRule="exact"/>
        <w:ind w:firstLine="480"/>
      </w:pPr>
      <w:r>
        <w:rPr>
          <w:rFonts w:hint="eastAsia"/>
        </w:rPr>
        <w:t>市场供给情况</w:t>
      </w:r>
    </w:p>
    <w:p w14:paraId="6DCC0AA9">
      <w:pPr>
        <w:pStyle w:val="32"/>
        <w:spacing w:line="440" w:lineRule="exact"/>
        <w:ind w:left="420" w:leftChars="200" w:firstLine="480"/>
      </w:pPr>
      <w:r>
        <w:rPr>
          <w:rFonts w:hint="eastAsia"/>
          <w:u w:val="single"/>
        </w:rPr>
        <w:t xml:space="preserve">      /                                                                    </w:t>
      </w:r>
    </w:p>
    <w:p w14:paraId="7A73083E">
      <w:pPr>
        <w:pStyle w:val="32"/>
        <w:numPr>
          <w:ilvl w:val="0"/>
          <w:numId w:val="3"/>
        </w:numPr>
        <w:spacing w:line="440" w:lineRule="exact"/>
        <w:ind w:firstLine="480"/>
      </w:pPr>
      <w:r>
        <w:rPr>
          <w:rFonts w:hint="eastAsia"/>
        </w:rPr>
        <w:t>同类采购项目历史成交信息</w:t>
      </w:r>
    </w:p>
    <w:p w14:paraId="7059F626">
      <w:pPr>
        <w:pStyle w:val="32"/>
        <w:spacing w:line="440" w:lineRule="exact"/>
        <w:ind w:left="420" w:leftChars="200" w:firstLine="480"/>
      </w:pPr>
      <w:r>
        <w:rPr>
          <w:rFonts w:hint="eastAsia"/>
          <w:u w:val="single"/>
        </w:rPr>
        <w:t xml:space="preserve">      /                                                                        </w:t>
      </w:r>
    </w:p>
    <w:p w14:paraId="5CCC1FC5">
      <w:pPr>
        <w:pStyle w:val="32"/>
        <w:numPr>
          <w:ilvl w:val="0"/>
          <w:numId w:val="3"/>
        </w:numPr>
        <w:spacing w:line="440" w:lineRule="exact"/>
        <w:ind w:firstLine="480"/>
      </w:pPr>
      <w:r>
        <w:rPr>
          <w:rFonts w:hint="eastAsia"/>
        </w:rPr>
        <w:t>可能涉及的运行维护、升级更新、备品备件、耗材等后续采购情况</w:t>
      </w:r>
    </w:p>
    <w:p w14:paraId="08AD866E">
      <w:pPr>
        <w:pStyle w:val="32"/>
        <w:spacing w:line="440" w:lineRule="exact"/>
        <w:ind w:left="420" w:leftChars="200" w:firstLine="480"/>
      </w:pPr>
      <w:r>
        <w:rPr>
          <w:rFonts w:hint="eastAsia"/>
          <w:u w:val="single"/>
        </w:rPr>
        <w:t xml:space="preserve">     /                                                                         </w:t>
      </w:r>
    </w:p>
    <w:p w14:paraId="3F5D0BC3">
      <w:pPr>
        <w:pStyle w:val="32"/>
        <w:numPr>
          <w:ilvl w:val="0"/>
          <w:numId w:val="3"/>
        </w:numPr>
        <w:spacing w:line="440" w:lineRule="exact"/>
        <w:ind w:firstLine="480"/>
      </w:pPr>
      <w:r>
        <w:rPr>
          <w:rFonts w:hint="eastAsia"/>
        </w:rPr>
        <w:t>其他相关情况</w:t>
      </w:r>
    </w:p>
    <w:p w14:paraId="7DC13B93">
      <w:pPr>
        <w:pStyle w:val="32"/>
        <w:spacing w:line="440" w:lineRule="exact"/>
        <w:ind w:left="420" w:leftChars="200" w:firstLine="480"/>
      </w:pPr>
      <w:r>
        <w:rPr>
          <w:rFonts w:hint="eastAsia"/>
          <w:u w:val="single"/>
        </w:rPr>
        <w:t xml:space="preserve">     /                                                                         </w:t>
      </w:r>
    </w:p>
    <w:p w14:paraId="6EC2E601">
      <w:pPr>
        <w:pStyle w:val="5"/>
        <w:spacing w:line="440" w:lineRule="exact"/>
        <w:ind w:firstLine="562" w:firstLineChars="200"/>
      </w:pPr>
      <w:bookmarkStart w:id="5" w:name="_Toc18096"/>
      <w:r>
        <w:rPr>
          <w:rFonts w:hint="eastAsia"/>
        </w:rPr>
        <w:t>二、需求清单</w:t>
      </w:r>
      <w:bookmarkEnd w:id="5"/>
    </w:p>
    <w:p w14:paraId="5FBC78AA">
      <w:pPr>
        <w:pStyle w:val="26"/>
        <w:spacing w:before="240"/>
        <w:ind w:firstLine="482"/>
        <w:rPr>
          <w:b/>
          <w:bCs/>
          <w:color w:val="auto"/>
          <w:highlight w:val="none"/>
        </w:rPr>
      </w:pPr>
      <w:r>
        <w:rPr>
          <w:rFonts w:hint="eastAsia"/>
          <w:b/>
          <w:bCs/>
          <w:color w:val="auto"/>
          <w:highlight w:val="none"/>
        </w:rPr>
        <w:t>前注：</w:t>
      </w:r>
    </w:p>
    <w:p w14:paraId="721C68E7">
      <w:pPr>
        <w:pStyle w:val="26"/>
        <w:numPr>
          <w:ilvl w:val="0"/>
          <w:numId w:val="0"/>
        </w:numPr>
        <w:spacing w:before="240" w:beforeLines="100"/>
        <w:ind w:firstLine="48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下列采购需求中用“★”符号标明的条款为实质性要求和条件，供应商必须完全响应，未按要求响应，视为实质性偏离，其响应无效。未标注“★”的条款为非实质性要求和条件，视为非实质性偏离。非实质性偏离的范围和幅度≧</w:t>
      </w:r>
      <w:r>
        <w:rPr>
          <w:rFonts w:hint="eastAsia" w:cs="Times New Roman"/>
          <w:color w:val="auto"/>
          <w:highlight w:val="none"/>
          <w:lang w:val="en-US" w:eastAsia="zh-CN"/>
        </w:rPr>
        <w:t>3项</w:t>
      </w:r>
      <w:r>
        <w:rPr>
          <w:rFonts w:hint="eastAsia" w:ascii="Times New Roman" w:hAnsi="Times New Roman" w:eastAsia="宋体" w:cs="Times New Roman"/>
          <w:color w:val="auto"/>
          <w:highlight w:val="none"/>
          <w:lang w:val="en-US" w:eastAsia="zh-CN"/>
        </w:rPr>
        <w:t>响应无效。</w:t>
      </w:r>
    </w:p>
    <w:p w14:paraId="7A9CE59D">
      <w:pPr>
        <w:pStyle w:val="6"/>
        <w:pageBreakBefore w:val="0"/>
        <w:numPr>
          <w:ilvl w:val="0"/>
          <w:numId w:val="4"/>
        </w:numPr>
        <w:tabs>
          <w:tab w:val="left" w:pos="0"/>
        </w:tabs>
        <w:kinsoku/>
        <w:wordWrap/>
        <w:overflowPunct/>
        <w:topLinePunct w:val="0"/>
        <w:autoSpaceDE/>
        <w:autoSpaceDN/>
        <w:bidi w:val="0"/>
        <w:adjustRightInd/>
        <w:snapToGrid/>
        <w:spacing w:line="440" w:lineRule="exact"/>
        <w:ind w:firstLine="480" w:firstLineChars="200"/>
        <w:textAlignment w:val="auto"/>
        <w:outlineLvl w:val="1"/>
        <w:rPr>
          <w:rFonts w:hint="eastAsia"/>
          <w:color w:val="auto"/>
          <w:lang w:eastAsia="zh-CN"/>
        </w:rPr>
      </w:pPr>
      <w:bookmarkStart w:id="6" w:name="_Toc21789"/>
      <w:bookmarkStart w:id="7" w:name="_Toc5734"/>
      <w:r>
        <w:rPr>
          <w:rFonts w:hint="eastAsia"/>
          <w:color w:val="auto"/>
          <w:lang w:eastAsia="zh-CN"/>
        </w:rPr>
        <w:t>项目概况</w:t>
      </w:r>
      <w:bookmarkEnd w:id="6"/>
      <w:bookmarkEnd w:id="7"/>
    </w:p>
    <w:p w14:paraId="28CD1718">
      <w:pPr>
        <w:ind w:firstLine="480" w:firstLineChars="200"/>
        <w:rPr>
          <w:rFonts w:hint="eastAsia" w:ascii="Times New Roman" w:hAnsi="Times New Roman" w:eastAsia="宋体" w:cs="Times New Roman"/>
          <w:color w:val="auto"/>
          <w:kern w:val="2"/>
          <w:sz w:val="24"/>
          <w:szCs w:val="22"/>
          <w:highlight w:val="none"/>
          <w:lang w:val="en-US" w:eastAsia="zh-CN" w:bidi="ar-SA"/>
        </w:rPr>
      </w:pPr>
      <w:r>
        <w:rPr>
          <w:rFonts w:hint="eastAsia" w:ascii="Times New Roman" w:hAnsi="Times New Roman" w:eastAsia="宋体" w:cs="Times New Roman"/>
          <w:color w:val="auto"/>
          <w:kern w:val="2"/>
          <w:sz w:val="24"/>
          <w:szCs w:val="22"/>
          <w:highlight w:val="none"/>
          <w:lang w:val="en-US" w:eastAsia="zh-CN" w:bidi="ar-SA"/>
        </w:rPr>
        <w:t>根该项目位于张家界市桑植县，为桑植县2026年农村公路路况检测服务，检测公路里程：2873.831公里。</w:t>
      </w:r>
    </w:p>
    <w:p w14:paraId="5656A2C0">
      <w:pPr>
        <w:pStyle w:val="6"/>
        <w:pageBreakBefore w:val="0"/>
        <w:numPr>
          <w:ilvl w:val="0"/>
          <w:numId w:val="4"/>
        </w:numPr>
        <w:tabs>
          <w:tab w:val="left" w:pos="0"/>
        </w:tabs>
        <w:kinsoku/>
        <w:wordWrap/>
        <w:overflowPunct/>
        <w:topLinePunct w:val="0"/>
        <w:autoSpaceDE/>
        <w:autoSpaceDN/>
        <w:bidi w:val="0"/>
        <w:adjustRightInd/>
        <w:snapToGrid/>
        <w:spacing w:line="440" w:lineRule="exact"/>
        <w:ind w:firstLine="480" w:firstLineChars="200"/>
        <w:textAlignment w:val="auto"/>
        <w:outlineLvl w:val="1"/>
        <w:rPr>
          <w:rFonts w:hint="eastAsia"/>
          <w:color w:val="auto"/>
          <w:lang w:eastAsia="zh-CN"/>
        </w:rPr>
      </w:pPr>
      <w:bookmarkStart w:id="8" w:name="_Toc23714"/>
      <w:bookmarkStart w:id="9" w:name="_Toc19652"/>
      <w:r>
        <w:rPr>
          <w:rFonts w:hint="eastAsia"/>
          <w:color w:val="auto"/>
          <w:lang w:eastAsia="zh-CN"/>
        </w:rPr>
        <w:t>采购项目预（概）算</w:t>
      </w:r>
      <w:bookmarkEnd w:id="8"/>
      <w:bookmarkEnd w:id="9"/>
    </w:p>
    <w:p w14:paraId="12A9F44C">
      <w:pPr>
        <w:pStyle w:val="32"/>
        <w:pageBreakBefore w:val="0"/>
        <w:tabs>
          <w:tab w:val="left" w:pos="0"/>
        </w:tabs>
        <w:kinsoku/>
        <w:wordWrap/>
        <w:overflowPunct/>
        <w:topLinePunct w:val="0"/>
        <w:autoSpaceDE/>
        <w:autoSpaceDN/>
        <w:bidi w:val="0"/>
        <w:adjustRightInd/>
        <w:snapToGrid/>
        <w:spacing w:line="440" w:lineRule="exact"/>
        <w:ind w:firstLine="480" w:firstLineChars="200"/>
        <w:textAlignment w:val="auto"/>
        <w:rPr>
          <w:rFonts w:hint="default"/>
          <w:color w:val="auto"/>
          <w:u w:val="single"/>
          <w:lang w:val="en-US" w:eastAsia="zh-CN"/>
        </w:rPr>
      </w:pPr>
      <w:r>
        <w:rPr>
          <w:rFonts w:hint="eastAsia"/>
          <w:color w:val="auto"/>
          <w:lang w:eastAsia="zh-CN"/>
        </w:rPr>
        <w:t>预算∶</w:t>
      </w:r>
      <w:r>
        <w:rPr>
          <w:rFonts w:hint="eastAsia"/>
          <w:color w:val="auto"/>
          <w:u w:val="single"/>
          <w:lang w:val="en-US" w:eastAsia="zh-CN"/>
        </w:rPr>
        <w:t>80.47万</w:t>
      </w:r>
      <w:r>
        <w:rPr>
          <w:rFonts w:hint="default"/>
          <w:color w:val="auto"/>
          <w:u w:val="single"/>
          <w:lang w:eastAsia="zh-CN"/>
        </w:rPr>
        <w:t>元</w:t>
      </w:r>
      <w:r>
        <w:rPr>
          <w:rFonts w:hint="eastAsia"/>
          <w:color w:val="auto"/>
          <w:u w:val="single"/>
          <w:lang w:val="en-US" w:eastAsia="zh-CN"/>
        </w:rPr>
        <w:t xml:space="preserve"> </w:t>
      </w:r>
    </w:p>
    <w:p w14:paraId="40F4D02D">
      <w:pPr>
        <w:pStyle w:val="6"/>
        <w:numPr>
          <w:ilvl w:val="0"/>
          <w:numId w:val="4"/>
        </w:numPr>
        <w:tabs>
          <w:tab w:val="left" w:pos="0"/>
        </w:tabs>
        <w:bidi w:val="0"/>
        <w:ind w:firstLine="480" w:firstLineChars="200"/>
        <w:outlineLvl w:val="1"/>
        <w:rPr>
          <w:rFonts w:hint="eastAsia"/>
          <w:color w:val="auto"/>
          <w:lang w:eastAsia="zh-CN"/>
        </w:rPr>
      </w:pPr>
      <w:bookmarkStart w:id="10" w:name="_Toc26063"/>
      <w:bookmarkStart w:id="11" w:name="_Toc4938"/>
      <w:r>
        <w:rPr>
          <w:rFonts w:hint="eastAsia"/>
          <w:color w:val="auto"/>
          <w:lang w:eastAsia="zh-CN"/>
        </w:rPr>
        <w:t>采购标的汇总表</w:t>
      </w:r>
      <w:bookmarkEnd w:id="10"/>
    </w:p>
    <w:tbl>
      <w:tblPr>
        <w:tblStyle w:val="20"/>
        <w:tblW w:w="9492" w:type="dxa"/>
        <w:tblInd w:w="306"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
        <w:gridCol w:w="768"/>
        <w:gridCol w:w="2770"/>
        <w:gridCol w:w="1973"/>
        <w:gridCol w:w="813"/>
        <w:gridCol w:w="1192"/>
        <w:gridCol w:w="1290"/>
      </w:tblGrid>
      <w:tr w14:paraId="5D55CC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86" w:type="dxa"/>
            <w:tcBorders>
              <w:tl2br w:val="nil"/>
              <w:tr2bl w:val="nil"/>
            </w:tcBorders>
            <w:noWrap w:val="0"/>
            <w:vAlign w:val="center"/>
          </w:tcPr>
          <w:p w14:paraId="216BE89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color w:val="auto"/>
                <w:sz w:val="22"/>
                <w:szCs w:val="22"/>
                <w:lang w:eastAsia="zh-CN"/>
              </w:rPr>
            </w:pPr>
            <w:r>
              <w:rPr>
                <w:rFonts w:hint="eastAsia" w:ascii="微软雅黑" w:hAnsi="微软雅黑" w:eastAsia="微软雅黑" w:cs="微软雅黑"/>
                <w:b/>
                <w:bCs/>
                <w:color w:val="auto"/>
                <w:sz w:val="22"/>
                <w:szCs w:val="22"/>
                <w:lang w:eastAsia="zh-CN"/>
              </w:rPr>
              <w:t>包号</w:t>
            </w:r>
          </w:p>
        </w:tc>
        <w:tc>
          <w:tcPr>
            <w:tcW w:w="768" w:type="dxa"/>
            <w:tcBorders>
              <w:tl2br w:val="nil"/>
              <w:tr2bl w:val="nil"/>
            </w:tcBorders>
            <w:noWrap w:val="0"/>
            <w:vAlign w:val="center"/>
          </w:tcPr>
          <w:p w14:paraId="3B3396F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color w:val="auto"/>
                <w:sz w:val="22"/>
                <w:szCs w:val="22"/>
                <w:lang w:eastAsia="zh-CN"/>
              </w:rPr>
            </w:pPr>
            <w:r>
              <w:rPr>
                <w:rFonts w:hint="eastAsia" w:ascii="微软雅黑" w:hAnsi="微软雅黑" w:eastAsia="微软雅黑" w:cs="微软雅黑"/>
                <w:b/>
                <w:bCs/>
                <w:color w:val="auto"/>
                <w:sz w:val="22"/>
                <w:szCs w:val="22"/>
                <w:lang w:eastAsia="zh-CN"/>
              </w:rPr>
              <w:t>序号</w:t>
            </w:r>
          </w:p>
        </w:tc>
        <w:tc>
          <w:tcPr>
            <w:tcW w:w="2770" w:type="dxa"/>
            <w:tcBorders>
              <w:tl2br w:val="nil"/>
              <w:tr2bl w:val="nil"/>
            </w:tcBorders>
            <w:noWrap w:val="0"/>
            <w:vAlign w:val="center"/>
          </w:tcPr>
          <w:p w14:paraId="55C55B3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color w:val="auto"/>
                <w:sz w:val="22"/>
                <w:szCs w:val="22"/>
                <w:lang w:eastAsia="zh-CN"/>
              </w:rPr>
            </w:pPr>
            <w:r>
              <w:rPr>
                <w:rFonts w:hint="eastAsia" w:ascii="微软雅黑" w:hAnsi="微软雅黑" w:eastAsia="微软雅黑" w:cs="微软雅黑"/>
                <w:b/>
                <w:bCs/>
                <w:color w:val="auto"/>
                <w:sz w:val="22"/>
                <w:szCs w:val="22"/>
                <w:lang w:eastAsia="zh-CN"/>
              </w:rPr>
              <w:t>标的名称</w:t>
            </w:r>
          </w:p>
        </w:tc>
        <w:tc>
          <w:tcPr>
            <w:tcW w:w="1973" w:type="dxa"/>
            <w:tcBorders>
              <w:tl2br w:val="nil"/>
              <w:tr2bl w:val="nil"/>
            </w:tcBorders>
            <w:noWrap w:val="0"/>
            <w:vAlign w:val="center"/>
          </w:tcPr>
          <w:p w14:paraId="23DA63C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color w:val="auto"/>
                <w:sz w:val="22"/>
                <w:szCs w:val="22"/>
                <w:lang w:eastAsia="zh-CN"/>
              </w:rPr>
            </w:pPr>
            <w:r>
              <w:rPr>
                <w:rFonts w:hint="eastAsia" w:ascii="微软雅黑" w:hAnsi="微软雅黑" w:eastAsia="微软雅黑" w:cs="微软雅黑"/>
                <w:b/>
                <w:bCs/>
                <w:color w:val="auto"/>
                <w:sz w:val="22"/>
                <w:szCs w:val="22"/>
                <w:lang w:eastAsia="zh-CN"/>
              </w:rPr>
              <w:t>品目分类编码</w:t>
            </w:r>
          </w:p>
        </w:tc>
        <w:tc>
          <w:tcPr>
            <w:tcW w:w="813" w:type="dxa"/>
            <w:tcBorders>
              <w:tl2br w:val="nil"/>
              <w:tr2bl w:val="nil"/>
            </w:tcBorders>
            <w:noWrap w:val="0"/>
            <w:vAlign w:val="center"/>
          </w:tcPr>
          <w:p w14:paraId="1108FF1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color w:val="auto"/>
                <w:sz w:val="22"/>
                <w:szCs w:val="22"/>
                <w:lang w:eastAsia="zh-CN"/>
              </w:rPr>
            </w:pPr>
            <w:r>
              <w:rPr>
                <w:rFonts w:hint="eastAsia" w:ascii="微软雅黑" w:hAnsi="微软雅黑" w:eastAsia="微软雅黑" w:cs="微软雅黑"/>
                <w:b/>
                <w:bCs/>
                <w:color w:val="auto"/>
                <w:sz w:val="22"/>
                <w:szCs w:val="22"/>
                <w:lang w:eastAsia="zh-CN"/>
              </w:rPr>
              <w:t>计量单位</w:t>
            </w:r>
          </w:p>
        </w:tc>
        <w:tc>
          <w:tcPr>
            <w:tcW w:w="1192" w:type="dxa"/>
            <w:tcBorders>
              <w:tl2br w:val="nil"/>
              <w:tr2bl w:val="nil"/>
            </w:tcBorders>
            <w:noWrap w:val="0"/>
            <w:vAlign w:val="center"/>
          </w:tcPr>
          <w:p w14:paraId="18D5FA7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color w:val="auto"/>
                <w:sz w:val="22"/>
                <w:szCs w:val="22"/>
                <w:lang w:eastAsia="zh-CN"/>
              </w:rPr>
            </w:pPr>
            <w:r>
              <w:rPr>
                <w:rFonts w:hint="eastAsia" w:ascii="微软雅黑" w:hAnsi="微软雅黑" w:eastAsia="微软雅黑" w:cs="微软雅黑"/>
                <w:b/>
                <w:bCs/>
                <w:color w:val="auto"/>
                <w:sz w:val="22"/>
                <w:szCs w:val="22"/>
                <w:lang w:eastAsia="zh-CN"/>
              </w:rPr>
              <w:t>数量</w:t>
            </w:r>
          </w:p>
        </w:tc>
        <w:tc>
          <w:tcPr>
            <w:tcW w:w="1290" w:type="dxa"/>
            <w:tcBorders>
              <w:tl2br w:val="nil"/>
              <w:tr2bl w:val="nil"/>
            </w:tcBorders>
            <w:noWrap w:val="0"/>
            <w:vAlign w:val="center"/>
          </w:tcPr>
          <w:p w14:paraId="73BABD2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color w:val="auto"/>
                <w:sz w:val="22"/>
                <w:szCs w:val="22"/>
                <w:lang w:eastAsia="zh-CN"/>
              </w:rPr>
            </w:pPr>
            <w:r>
              <w:rPr>
                <w:rFonts w:hint="eastAsia" w:ascii="微软雅黑" w:hAnsi="微软雅黑" w:eastAsia="微软雅黑" w:cs="微软雅黑"/>
                <w:b/>
                <w:bCs/>
                <w:color w:val="auto"/>
                <w:sz w:val="22"/>
                <w:szCs w:val="22"/>
                <w:lang w:eastAsia="zh-CN"/>
              </w:rPr>
              <w:t>是否进口</w:t>
            </w:r>
          </w:p>
        </w:tc>
      </w:tr>
      <w:tr w14:paraId="2302A3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686" w:type="dxa"/>
            <w:tcBorders>
              <w:tl2br w:val="nil"/>
              <w:tr2bl w:val="nil"/>
            </w:tcBorders>
            <w:noWrap w:val="0"/>
            <w:vAlign w:val="center"/>
          </w:tcPr>
          <w:p w14:paraId="1A218291">
            <w:pPr>
              <w:pStyle w:val="32"/>
              <w:numPr>
                <w:ilvl w:val="0"/>
                <w:numId w:val="0"/>
              </w:numPr>
              <w:tabs>
                <w:tab w:val="left" w:pos="0"/>
              </w:tabs>
              <w:bidi w:val="0"/>
              <w:spacing w:line="480" w:lineRule="auto"/>
              <w:ind w:left="0" w:leftChars="0" w:firstLine="0" w:firstLineChars="0"/>
              <w:jc w:val="center"/>
              <w:rPr>
                <w:rFonts w:hint="eastAsia" w:ascii="微软雅黑" w:hAnsi="微软雅黑" w:eastAsia="微软雅黑" w:cs="微软雅黑"/>
                <w:b w:val="0"/>
                <w:bCs w:val="0"/>
                <w:color w:val="auto"/>
                <w:sz w:val="22"/>
                <w:szCs w:val="21"/>
                <w:vertAlign w:val="baseline"/>
                <w:lang w:eastAsia="zh-CN"/>
              </w:rPr>
            </w:pPr>
            <w:r>
              <w:rPr>
                <w:rFonts w:hint="eastAsia" w:ascii="微软雅黑" w:hAnsi="微软雅黑" w:eastAsia="微软雅黑" w:cs="微软雅黑"/>
                <w:b w:val="0"/>
                <w:bCs w:val="0"/>
                <w:color w:val="auto"/>
                <w:sz w:val="22"/>
                <w:szCs w:val="21"/>
                <w:vertAlign w:val="baseline"/>
                <w:lang w:val="en-US" w:eastAsia="zh-CN"/>
              </w:rPr>
              <w:t>/</w:t>
            </w:r>
          </w:p>
        </w:tc>
        <w:tc>
          <w:tcPr>
            <w:tcW w:w="768" w:type="dxa"/>
            <w:tcBorders>
              <w:tl2br w:val="nil"/>
              <w:tr2bl w:val="nil"/>
            </w:tcBorders>
            <w:noWrap w:val="0"/>
            <w:vAlign w:val="center"/>
          </w:tcPr>
          <w:p w14:paraId="67BE9316">
            <w:pPr>
              <w:pStyle w:val="32"/>
              <w:numPr>
                <w:ilvl w:val="0"/>
                <w:numId w:val="5"/>
              </w:numPr>
              <w:tabs>
                <w:tab w:val="left" w:pos="0"/>
              </w:tabs>
              <w:bidi w:val="0"/>
              <w:spacing w:line="480" w:lineRule="auto"/>
              <w:ind w:left="0" w:leftChars="0" w:firstLine="0" w:firstLineChars="0"/>
              <w:jc w:val="center"/>
              <w:rPr>
                <w:rFonts w:hint="eastAsia" w:ascii="微软雅黑" w:hAnsi="微软雅黑" w:eastAsia="微软雅黑" w:cs="微软雅黑"/>
                <w:b w:val="0"/>
                <w:bCs w:val="0"/>
                <w:color w:val="auto"/>
                <w:sz w:val="22"/>
                <w:szCs w:val="21"/>
                <w:vertAlign w:val="baseline"/>
                <w:lang w:eastAsia="zh-CN"/>
              </w:rPr>
            </w:pPr>
          </w:p>
        </w:tc>
        <w:tc>
          <w:tcPr>
            <w:tcW w:w="2770" w:type="dxa"/>
            <w:tcBorders>
              <w:tl2br w:val="nil"/>
              <w:tr2bl w:val="nil"/>
            </w:tcBorders>
            <w:noWrap w:val="0"/>
            <w:vAlign w:val="center"/>
          </w:tcPr>
          <w:p w14:paraId="06C78BB0">
            <w:pPr>
              <w:pStyle w:val="30"/>
              <w:keepNext w:val="0"/>
              <w:keepLines w:val="0"/>
              <w:pageBreakBefore w:val="0"/>
              <w:widowControl/>
              <w:numPr>
                <w:ilvl w:val="0"/>
                <w:numId w:val="0"/>
              </w:numPr>
              <w:kinsoku/>
              <w:wordWrap/>
              <w:overflowPunct/>
              <w:topLinePunct w:val="0"/>
              <w:autoSpaceDE/>
              <w:autoSpaceDN/>
              <w:bidi w:val="0"/>
              <w:adjustRightInd/>
              <w:snapToGrid/>
              <w:spacing w:line="300" w:lineRule="exact"/>
              <w:ind w:right="-48" w:rightChars="-23"/>
              <w:jc w:val="center"/>
              <w:textAlignment w:val="auto"/>
              <w:rPr>
                <w:rFonts w:hint="eastAsia" w:ascii="微软雅黑" w:hAnsi="微软雅黑" w:eastAsia="微软雅黑" w:cs="微软雅黑"/>
                <w:i w:val="0"/>
                <w:iCs w:val="0"/>
                <w:color w:val="auto"/>
                <w:u w:val="none"/>
                <w:lang w:eastAsia="zh-CN"/>
              </w:rPr>
            </w:pPr>
            <w:r>
              <w:rPr>
                <w:rFonts w:hint="eastAsia" w:ascii="微软雅黑" w:hAnsi="微软雅黑" w:cs="微软雅黑"/>
                <w:i w:val="0"/>
                <w:iCs w:val="0"/>
                <w:color w:val="auto"/>
                <w:u w:val="none"/>
                <w:lang w:val="en-US" w:eastAsia="zh-CN"/>
              </w:rPr>
              <w:t>桑植县2026年农村公路路况检测评定项目</w:t>
            </w:r>
          </w:p>
        </w:tc>
        <w:tc>
          <w:tcPr>
            <w:tcW w:w="1973" w:type="dxa"/>
            <w:tcBorders>
              <w:tl2br w:val="nil"/>
              <w:tr2bl w:val="nil"/>
            </w:tcBorders>
            <w:noWrap w:val="0"/>
            <w:vAlign w:val="center"/>
          </w:tcPr>
          <w:p w14:paraId="02FED64A">
            <w:pPr>
              <w:pStyle w:val="30"/>
              <w:numPr>
                <w:ilvl w:val="0"/>
                <w:numId w:val="0"/>
              </w:numPr>
              <w:bidi w:val="0"/>
              <w:ind w:right="-48" w:rightChars="-23"/>
              <w:jc w:val="center"/>
              <w:rPr>
                <w:rFonts w:hint="default" w:ascii="微软雅黑" w:hAnsi="微软雅黑" w:eastAsia="微软雅黑" w:cs="微软雅黑"/>
                <w:i w:val="0"/>
                <w:iCs w:val="0"/>
                <w:color w:val="auto"/>
                <w:u w:val="none"/>
                <w:lang w:val="en-US" w:eastAsia="zh-CN"/>
              </w:rPr>
            </w:pPr>
            <w:r>
              <w:rPr>
                <w:rFonts w:hint="eastAsia" w:ascii="微软雅黑" w:hAnsi="微软雅黑" w:cs="微软雅黑"/>
                <w:color w:val="000000"/>
                <w:sz w:val="22"/>
                <w:szCs w:val="22"/>
                <w:lang w:val="en-US" w:eastAsia="zh-CN"/>
              </w:rPr>
              <w:t>C15020400-</w:t>
            </w:r>
            <w:bookmarkStart w:id="15" w:name="_GoBack"/>
            <w:r>
              <w:rPr>
                <w:rFonts w:hint="eastAsia" w:ascii="微软雅黑" w:hAnsi="微软雅黑" w:cs="微软雅黑"/>
                <w:color w:val="000000"/>
                <w:sz w:val="22"/>
                <w:szCs w:val="22"/>
                <w:lang w:val="en-US" w:eastAsia="zh-CN"/>
              </w:rPr>
              <w:t>公路管理和养护服务</w:t>
            </w:r>
            <w:bookmarkEnd w:id="15"/>
          </w:p>
        </w:tc>
        <w:tc>
          <w:tcPr>
            <w:tcW w:w="813" w:type="dxa"/>
            <w:tcBorders>
              <w:tl2br w:val="nil"/>
              <w:tr2bl w:val="nil"/>
            </w:tcBorders>
            <w:noWrap w:val="0"/>
            <w:vAlign w:val="center"/>
          </w:tcPr>
          <w:p w14:paraId="3F8716F6">
            <w:pPr>
              <w:pStyle w:val="32"/>
              <w:tabs>
                <w:tab w:val="left" w:pos="0"/>
              </w:tabs>
              <w:bidi w:val="0"/>
              <w:ind w:left="0" w:leftChars="0" w:firstLine="0" w:firstLineChars="0"/>
              <w:jc w:val="center"/>
              <w:rPr>
                <w:rFonts w:hint="default"/>
                <w:color w:val="auto"/>
                <w:lang w:val="en-US" w:eastAsia="zh-CN"/>
              </w:rPr>
            </w:pPr>
            <w:r>
              <w:rPr>
                <w:rFonts w:hint="eastAsia"/>
                <w:color w:val="auto"/>
                <w:lang w:val="en-US" w:eastAsia="zh-CN"/>
              </w:rPr>
              <w:t>项</w:t>
            </w:r>
          </w:p>
        </w:tc>
        <w:tc>
          <w:tcPr>
            <w:tcW w:w="1192" w:type="dxa"/>
            <w:tcBorders>
              <w:tl2br w:val="nil"/>
              <w:tr2bl w:val="nil"/>
            </w:tcBorders>
            <w:noWrap w:val="0"/>
            <w:vAlign w:val="center"/>
          </w:tcPr>
          <w:p w14:paraId="5DED87D2">
            <w:pPr>
              <w:pStyle w:val="30"/>
              <w:numPr>
                <w:ilvl w:val="0"/>
                <w:numId w:val="0"/>
              </w:numPr>
              <w:bidi w:val="0"/>
              <w:ind w:left="210" w:leftChars="100" w:right="-48" w:rightChars="-23" w:firstLine="200" w:firstLineChars="100"/>
              <w:rPr>
                <w:rFonts w:hint="eastAsia" w:ascii="微软雅黑" w:hAnsi="微软雅黑" w:eastAsia="微软雅黑" w:cs="微软雅黑"/>
                <w:i/>
                <w:iCs/>
                <w:color w:val="auto"/>
                <w:u w:val="none"/>
                <w:lang w:eastAsia="zh-CN"/>
              </w:rPr>
            </w:pPr>
            <w:r>
              <w:rPr>
                <w:rFonts w:hint="eastAsia" w:ascii="微软雅黑" w:hAnsi="微软雅黑" w:cs="微软雅黑"/>
                <w:i w:val="0"/>
                <w:iCs w:val="0"/>
                <w:color w:val="auto"/>
                <w:u w:val="none"/>
                <w:lang w:val="en-US" w:eastAsia="zh-CN"/>
              </w:rPr>
              <w:t>1</w:t>
            </w:r>
          </w:p>
        </w:tc>
        <w:tc>
          <w:tcPr>
            <w:tcW w:w="1290" w:type="dxa"/>
            <w:tcBorders>
              <w:tl2br w:val="nil"/>
              <w:tr2bl w:val="nil"/>
            </w:tcBorders>
            <w:noWrap w:val="0"/>
            <w:vAlign w:val="center"/>
          </w:tcPr>
          <w:p w14:paraId="59681FB0">
            <w:pPr>
              <w:pStyle w:val="30"/>
              <w:numPr>
                <w:ilvl w:val="0"/>
                <w:numId w:val="0"/>
              </w:numPr>
              <w:bidi w:val="0"/>
              <w:ind w:right="-48" w:rightChars="-23"/>
              <w:jc w:val="center"/>
              <w:rPr>
                <w:rFonts w:hint="eastAsia" w:ascii="微软雅黑" w:hAnsi="微软雅黑" w:eastAsia="微软雅黑" w:cs="微软雅黑"/>
                <w:i/>
                <w:iCs/>
                <w:color w:val="auto"/>
                <w:u w:val="none"/>
                <w:lang w:eastAsia="zh-CN"/>
              </w:rPr>
            </w:pPr>
            <w:r>
              <w:rPr>
                <w:rFonts w:hint="eastAsia" w:ascii="微软雅黑" w:hAnsi="微软雅黑" w:eastAsia="微软雅黑" w:cs="微软雅黑"/>
                <w:i w:val="0"/>
                <w:iCs w:val="0"/>
                <w:color w:val="auto"/>
                <w:u w:val="none"/>
                <w:lang w:val="en-US" w:eastAsia="zh-CN"/>
              </w:rPr>
              <w:t>否</w:t>
            </w:r>
          </w:p>
        </w:tc>
      </w:tr>
      <w:bookmarkEnd w:id="11"/>
    </w:tbl>
    <w:p w14:paraId="734D3940">
      <w:pPr>
        <w:pStyle w:val="6"/>
        <w:numPr>
          <w:ilvl w:val="0"/>
          <w:numId w:val="4"/>
        </w:numPr>
        <w:tabs>
          <w:tab w:val="left" w:pos="0"/>
        </w:tabs>
        <w:bidi w:val="0"/>
        <w:ind w:firstLine="480" w:firstLineChars="200"/>
        <w:outlineLvl w:val="1"/>
        <w:rPr>
          <w:rFonts w:hint="eastAsia"/>
          <w:color w:val="auto"/>
          <w:lang w:eastAsia="zh-CN"/>
        </w:rPr>
      </w:pPr>
      <w:bookmarkStart w:id="12" w:name="_Toc16217"/>
      <w:r>
        <w:rPr>
          <w:rFonts w:hint="eastAsia"/>
          <w:color w:val="auto"/>
          <w:lang w:eastAsia="zh-CN"/>
        </w:rPr>
        <w:t>项目需遵循的有关标准和规范（包括但不限于）</w:t>
      </w:r>
      <w:bookmarkEnd w:id="12"/>
    </w:p>
    <w:tbl>
      <w:tblPr>
        <w:tblStyle w:val="20"/>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2"/>
        <w:gridCol w:w="4981"/>
      </w:tblGrid>
      <w:tr w14:paraId="5B68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2" w:type="dxa"/>
            <w:vAlign w:val="center"/>
          </w:tcPr>
          <w:p w14:paraId="513D2314">
            <w:pPr>
              <w:keepNext w:val="0"/>
              <w:keepLines w:val="0"/>
              <w:pageBreakBefore w:val="0"/>
              <w:widowControl/>
              <w:numPr>
                <w:ilvl w:val="0"/>
                <w:numId w:val="6"/>
              </w:numPr>
              <w:kinsoku/>
              <w:wordWrap/>
              <w:overflowPunct/>
              <w:topLinePunct w:val="0"/>
              <w:bidi w:val="0"/>
              <w:adjustRightInd w:val="0"/>
              <w:snapToGrid w:val="0"/>
              <w:spacing w:before="0" w:beforeAutospacing="0" w:after="0" w:afterAutospacing="0" w:line="360" w:lineRule="auto"/>
              <w:ind w:left="284" w:leftChars="0" w:right="0" w:rightChars="0" w:firstLine="0" w:firstLineChars="0"/>
              <w:jc w:val="left"/>
              <w:textAlignment w:val="auto"/>
              <w:rPr>
                <w:rFonts w:hint="eastAsia"/>
                <w:vertAlign w:val="baseline"/>
                <w:lang w:eastAsia="zh-CN"/>
              </w:rPr>
            </w:pPr>
            <w:r>
              <w:rPr>
                <w:rFonts w:hint="eastAsia" w:ascii="宋体" w:hAnsi="宋体" w:eastAsia="宋体" w:cs="宋体"/>
                <w:bCs/>
                <w:color w:val="auto"/>
                <w:kern w:val="0"/>
                <w:sz w:val="21"/>
                <w:szCs w:val="21"/>
                <w:highlight w:val="none"/>
              </w:rPr>
              <w:t>JTG 5210-2018</w:t>
            </w:r>
          </w:p>
        </w:tc>
        <w:tc>
          <w:tcPr>
            <w:tcW w:w="4981" w:type="dxa"/>
            <w:vAlign w:val="center"/>
          </w:tcPr>
          <w:p w14:paraId="4CFD4A01">
            <w:pPr>
              <w:keepNext w:val="0"/>
              <w:keepLines w:val="0"/>
              <w:pageBreakBefore w:val="0"/>
              <w:widowControl/>
              <w:kinsoku/>
              <w:wordWrap/>
              <w:overflowPunct/>
              <w:topLinePunct w:val="0"/>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vertAlign w:val="baseline"/>
                <w:lang w:eastAsia="zh-CN"/>
              </w:rPr>
            </w:pPr>
            <w:r>
              <w:rPr>
                <w:rFonts w:hint="eastAsia" w:ascii="宋体" w:hAnsi="宋体" w:eastAsia="宋体" w:cs="宋体"/>
                <w:bCs/>
                <w:color w:val="auto"/>
                <w:kern w:val="0"/>
                <w:sz w:val="21"/>
                <w:szCs w:val="21"/>
                <w:highlight w:val="none"/>
              </w:rPr>
              <w:t>《公路技术状况评定标准》</w:t>
            </w:r>
          </w:p>
        </w:tc>
      </w:tr>
      <w:tr w14:paraId="4EF1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2" w:type="dxa"/>
            <w:vAlign w:val="center"/>
          </w:tcPr>
          <w:p w14:paraId="3D31659B">
            <w:pPr>
              <w:keepNext w:val="0"/>
              <w:keepLines w:val="0"/>
              <w:pageBreakBefore w:val="0"/>
              <w:widowControl/>
              <w:numPr>
                <w:ilvl w:val="0"/>
                <w:numId w:val="6"/>
              </w:numPr>
              <w:kinsoku/>
              <w:wordWrap/>
              <w:overflowPunct/>
              <w:topLinePunct w:val="0"/>
              <w:bidi w:val="0"/>
              <w:adjustRightInd w:val="0"/>
              <w:snapToGrid w:val="0"/>
              <w:spacing w:before="0" w:beforeAutospacing="0" w:after="0" w:afterAutospacing="0" w:line="360" w:lineRule="auto"/>
              <w:ind w:left="284" w:leftChars="0" w:right="0" w:rightChars="0" w:firstLine="0" w:firstLineChars="0"/>
              <w:jc w:val="left"/>
              <w:textAlignment w:val="auto"/>
              <w:rPr>
                <w:rFonts w:hint="eastAsia"/>
                <w:vertAlign w:val="baseline"/>
                <w:lang w:eastAsia="zh-CN"/>
              </w:rPr>
            </w:pPr>
            <w:r>
              <w:rPr>
                <w:rFonts w:hint="eastAsia" w:ascii="宋体" w:hAnsi="宋体" w:eastAsia="宋体" w:cs="宋体"/>
                <w:bCs/>
                <w:color w:val="auto"/>
                <w:kern w:val="0"/>
                <w:sz w:val="21"/>
                <w:szCs w:val="21"/>
                <w:highlight w:val="none"/>
              </w:rPr>
              <w:t>JTG H10-2009</w:t>
            </w:r>
          </w:p>
        </w:tc>
        <w:tc>
          <w:tcPr>
            <w:tcW w:w="4981" w:type="dxa"/>
            <w:vAlign w:val="center"/>
          </w:tcPr>
          <w:p w14:paraId="2CA67BD7">
            <w:pPr>
              <w:keepNext w:val="0"/>
              <w:keepLines w:val="0"/>
              <w:pageBreakBefore w:val="0"/>
              <w:widowControl/>
              <w:kinsoku/>
              <w:wordWrap/>
              <w:overflowPunct/>
              <w:topLinePunct w:val="0"/>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vertAlign w:val="baseline"/>
                <w:lang w:eastAsia="zh-CN"/>
              </w:rPr>
            </w:pP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公路养护技术规范</w:t>
            </w:r>
            <w:r>
              <w:rPr>
                <w:rFonts w:hint="eastAsia" w:ascii="宋体" w:hAnsi="宋体" w:eastAsia="宋体" w:cs="宋体"/>
                <w:bCs/>
                <w:color w:val="auto"/>
                <w:kern w:val="0"/>
                <w:sz w:val="21"/>
                <w:szCs w:val="21"/>
                <w:highlight w:val="none"/>
                <w:lang w:eastAsia="zh-CN"/>
              </w:rPr>
              <w:t>》</w:t>
            </w:r>
          </w:p>
        </w:tc>
      </w:tr>
      <w:tr w14:paraId="7B47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2" w:type="dxa"/>
            <w:vAlign w:val="center"/>
          </w:tcPr>
          <w:p w14:paraId="4CA51ABE">
            <w:pPr>
              <w:keepNext w:val="0"/>
              <w:keepLines w:val="0"/>
              <w:pageBreakBefore w:val="0"/>
              <w:widowControl/>
              <w:numPr>
                <w:ilvl w:val="0"/>
                <w:numId w:val="6"/>
              </w:numPr>
              <w:kinsoku/>
              <w:wordWrap/>
              <w:overflowPunct/>
              <w:topLinePunct w:val="0"/>
              <w:bidi w:val="0"/>
              <w:adjustRightInd w:val="0"/>
              <w:snapToGrid w:val="0"/>
              <w:spacing w:before="0" w:beforeAutospacing="0" w:after="0" w:afterAutospacing="0" w:line="360" w:lineRule="auto"/>
              <w:ind w:left="284" w:leftChars="0" w:right="0" w:rightChars="0" w:firstLine="0" w:firstLineChars="0"/>
              <w:jc w:val="left"/>
              <w:textAlignment w:val="auto"/>
              <w:rPr>
                <w:rFonts w:hint="eastAsia"/>
                <w:vertAlign w:val="baseline"/>
                <w:lang w:eastAsia="zh-CN"/>
              </w:rPr>
            </w:pPr>
            <w:r>
              <w:rPr>
                <w:rFonts w:hint="eastAsia" w:ascii="宋体" w:hAnsi="宋体" w:eastAsia="宋体" w:cs="宋体"/>
                <w:bCs/>
                <w:color w:val="auto"/>
                <w:kern w:val="0"/>
                <w:sz w:val="21"/>
                <w:szCs w:val="21"/>
                <w:highlight w:val="none"/>
              </w:rPr>
              <w:t>JTG 3450-2019</w:t>
            </w:r>
          </w:p>
        </w:tc>
        <w:tc>
          <w:tcPr>
            <w:tcW w:w="4981" w:type="dxa"/>
            <w:vAlign w:val="center"/>
          </w:tcPr>
          <w:p w14:paraId="6C4BC418">
            <w:pPr>
              <w:keepNext w:val="0"/>
              <w:keepLines w:val="0"/>
              <w:pageBreakBefore w:val="0"/>
              <w:widowControl/>
              <w:kinsoku/>
              <w:wordWrap/>
              <w:overflowPunct/>
              <w:topLinePunct w:val="0"/>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vertAlign w:val="baseline"/>
                <w:lang w:eastAsia="zh-CN"/>
              </w:rPr>
            </w:pPr>
            <w:r>
              <w:rPr>
                <w:rFonts w:hint="eastAsia" w:ascii="宋体" w:hAnsi="宋体" w:eastAsia="宋体" w:cs="宋体"/>
                <w:bCs/>
                <w:color w:val="auto"/>
                <w:kern w:val="0"/>
                <w:sz w:val="21"/>
                <w:szCs w:val="21"/>
                <w:highlight w:val="none"/>
              </w:rPr>
              <w:t>《公路路基路面现场测试规程》</w:t>
            </w:r>
          </w:p>
        </w:tc>
      </w:tr>
    </w:tbl>
    <w:p w14:paraId="1EB8765F">
      <w:pPr>
        <w:rPr>
          <w:rFonts w:hint="eastAsia"/>
          <w:lang w:eastAsia="zh-CN"/>
        </w:rPr>
      </w:pPr>
    </w:p>
    <w:p w14:paraId="30CD158F">
      <w:pPr>
        <w:pStyle w:val="6"/>
        <w:numPr>
          <w:ilvl w:val="0"/>
          <w:numId w:val="4"/>
        </w:numPr>
        <w:tabs>
          <w:tab w:val="left" w:pos="0"/>
        </w:tabs>
        <w:bidi w:val="0"/>
        <w:ind w:firstLine="480" w:firstLineChars="200"/>
        <w:outlineLvl w:val="1"/>
        <w:rPr>
          <w:rFonts w:hint="eastAsia"/>
          <w:color w:val="auto"/>
          <w:lang w:eastAsia="zh-CN"/>
        </w:rPr>
      </w:pPr>
      <w:bookmarkStart w:id="13" w:name="_Toc5801"/>
      <w:bookmarkStart w:id="14" w:name="_Toc5867"/>
      <w:r>
        <w:rPr>
          <w:rFonts w:hint="eastAsia"/>
          <w:color w:val="auto"/>
          <w:lang w:val="en-US" w:eastAsia="zh-CN"/>
        </w:rPr>
        <w:t>技</w:t>
      </w:r>
      <w:r>
        <w:rPr>
          <w:rFonts w:hint="eastAsia"/>
          <w:color w:val="auto"/>
          <w:lang w:eastAsia="zh-CN"/>
        </w:rPr>
        <w:t>术商务要求</w:t>
      </w:r>
      <w:bookmarkEnd w:id="13"/>
      <w:bookmarkEnd w:id="14"/>
    </w:p>
    <w:p w14:paraId="488DE8E8">
      <w:pPr>
        <w:pStyle w:val="4"/>
        <w:numPr>
          <w:ilvl w:val="0"/>
          <w:numId w:val="7"/>
        </w:numPr>
        <w:tabs>
          <w:tab w:val="left" w:pos="0"/>
        </w:tabs>
        <w:bidi w:val="0"/>
        <w:ind w:left="0" w:leftChars="0" w:firstLine="643" w:firstLineChars="200"/>
        <w:rPr>
          <w:rFonts w:hint="eastAsia"/>
          <w:color w:val="auto"/>
          <w:lang w:val="en-US" w:eastAsia="zh-Hans"/>
        </w:rPr>
      </w:pPr>
      <w:r>
        <w:rPr>
          <w:rFonts w:hint="eastAsia"/>
          <w:color w:val="auto"/>
          <w:lang w:val="en-US" w:eastAsia="zh-Hans"/>
        </w:rPr>
        <w:t>技术要求</w:t>
      </w:r>
    </w:p>
    <w:p w14:paraId="582A8BE2">
      <w:pPr>
        <w:ind w:firstLine="840" w:firstLineChars="400"/>
        <w:rPr>
          <w:rFonts w:hint="eastAsia" w:ascii="宋体" w:hAnsi="宋体" w:eastAsia="宋体" w:cs="宋体"/>
          <w:color w:val="auto"/>
          <w:lang w:val="en-US" w:eastAsia="zh-CN"/>
        </w:rPr>
      </w:pPr>
      <w:r>
        <w:rPr>
          <w:rFonts w:hint="eastAsia"/>
          <w:b/>
          <w:bCs/>
          <w:color w:val="auto"/>
          <w:lang w:val="en-US" w:eastAsia="zh-CN"/>
        </w:rPr>
        <w:t>服务范围</w:t>
      </w:r>
      <w:r>
        <w:rPr>
          <w:rFonts w:hint="default"/>
          <w:b/>
          <w:bCs/>
          <w:color w:val="auto"/>
          <w:lang w:val="en-US" w:eastAsia="zh-CN"/>
        </w:rPr>
        <w:t>：</w:t>
      </w:r>
      <w:r>
        <w:rPr>
          <w:rFonts w:hint="eastAsia" w:ascii="宋体" w:hAnsi="宋体" w:eastAsia="宋体" w:cs="宋体"/>
          <w:color w:val="auto"/>
          <w:lang w:val="en-US" w:eastAsia="zh-CN"/>
        </w:rPr>
        <w:t>本项目为桑植县2026年农村公路检测评定项目，检测公路里程：2873.831公里。</w:t>
      </w:r>
    </w:p>
    <w:p w14:paraId="197F12E4">
      <w:pPr>
        <w:ind w:firstLine="420" w:firstLineChars="200"/>
        <w:rPr>
          <w:rFonts w:hint="eastAsia"/>
          <w:color w:val="auto"/>
          <w:lang w:val="en-US" w:eastAsia="zh-CN"/>
        </w:rPr>
      </w:pPr>
      <w:r>
        <w:rPr>
          <w:rFonts w:hint="eastAsia" w:ascii="宋体" w:hAnsi="宋体" w:eastAsia="宋体" w:cs="宋体"/>
          <w:color w:val="auto"/>
          <w:lang w:val="en-US" w:eastAsia="zh-CN"/>
        </w:rPr>
        <w:t>具体明细见附件。</w:t>
      </w:r>
    </w:p>
    <w:p w14:paraId="7121A8A9">
      <w:pPr>
        <w:pStyle w:val="10"/>
        <w:keepNext w:val="0"/>
        <w:keepLines w:val="0"/>
        <w:pageBreakBefore w:val="0"/>
        <w:widowControl w:val="0"/>
        <w:numPr>
          <w:ilvl w:val="0"/>
          <w:numId w:val="0"/>
        </w:numPr>
        <w:tabs>
          <w:tab w:val="left" w:pos="0"/>
        </w:tabs>
        <w:kinsoku/>
        <w:wordWrap/>
        <w:overflowPunct/>
        <w:topLinePunct w:val="0"/>
        <w:autoSpaceDE/>
        <w:autoSpaceDN/>
        <w:bidi w:val="0"/>
        <w:adjustRightInd/>
        <w:snapToGrid/>
        <w:textAlignment w:val="auto"/>
        <w:rPr>
          <w:rFonts w:hint="eastAsia"/>
          <w:color w:val="auto"/>
          <w:sz w:val="24"/>
          <w:szCs w:val="24"/>
          <w:lang w:val="en-US" w:eastAsia="zh-CN"/>
        </w:rPr>
      </w:pPr>
      <w:r>
        <w:rPr>
          <w:rFonts w:hint="eastAsia" w:ascii="仿宋" w:hAnsi="仿宋" w:eastAsia="仿宋" w:cs="仿宋"/>
          <w:b/>
          <w:bCs/>
          <w:color w:val="000000" w:themeColor="text1"/>
          <w:kern w:val="2"/>
          <w:sz w:val="24"/>
          <w:szCs w:val="24"/>
          <w:lang w:val="en-US" w:eastAsia="zh-CN" w:bidi="ar-SA"/>
        </w:rPr>
        <w:t>★</w:t>
      </w:r>
      <w:r>
        <w:rPr>
          <w:rFonts w:hint="eastAsia"/>
          <w:b/>
          <w:bCs/>
          <w:color w:val="auto"/>
          <w:sz w:val="24"/>
          <w:szCs w:val="24"/>
          <w:lang w:val="en-US" w:eastAsia="zh-CN"/>
        </w:rPr>
        <w:t>1）服务内容：</w:t>
      </w:r>
    </w:p>
    <w:tbl>
      <w:tblPr>
        <w:tblStyle w:val="19"/>
        <w:tblW w:w="9598" w:type="dxa"/>
        <w:tblInd w:w="221"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1284"/>
        <w:gridCol w:w="1597"/>
        <w:gridCol w:w="3579"/>
        <w:gridCol w:w="1982"/>
      </w:tblGrid>
      <w:tr w14:paraId="1FE2129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156" w:type="dxa"/>
            <w:tcBorders>
              <w:tl2br w:val="nil"/>
              <w:tr2bl w:val="nil"/>
            </w:tcBorders>
            <w:noWrap w:val="0"/>
            <w:vAlign w:val="center"/>
          </w:tcPr>
          <w:p w14:paraId="3FF25288">
            <w:pPr>
              <w:pStyle w:val="24"/>
              <w:keepNext w:val="0"/>
              <w:keepLines w:val="0"/>
              <w:pageBreakBefore w:val="0"/>
              <w:widowControl w:val="0"/>
              <w:tabs>
                <w:tab w:val="left" w:pos="0"/>
              </w:tabs>
              <w:kinsoku/>
              <w:wordWrap/>
              <w:overflowPunct/>
              <w:topLinePunct w:val="0"/>
              <w:autoSpaceDE/>
              <w:autoSpaceDN/>
              <w:bidi w:val="0"/>
              <w:adjustRightInd/>
              <w:snapToGrid/>
              <w:spacing w:line="300" w:lineRule="exact"/>
              <w:ind w:firstLine="0" w:firstLineChars="0"/>
              <w:textAlignment w:val="auto"/>
              <w:rPr>
                <w:rFonts w:hint="eastAsia"/>
                <w:color w:val="auto"/>
              </w:rPr>
            </w:pPr>
            <w:r>
              <w:rPr>
                <w:rFonts w:hint="eastAsia"/>
                <w:color w:val="auto"/>
              </w:rPr>
              <w:t>序号</w:t>
            </w:r>
          </w:p>
        </w:tc>
        <w:tc>
          <w:tcPr>
            <w:tcW w:w="2881" w:type="dxa"/>
            <w:gridSpan w:val="2"/>
            <w:tcBorders>
              <w:tl2br w:val="nil"/>
              <w:tr2bl w:val="nil"/>
            </w:tcBorders>
            <w:noWrap w:val="0"/>
            <w:vAlign w:val="center"/>
          </w:tcPr>
          <w:p w14:paraId="53C6CB56">
            <w:pPr>
              <w:pStyle w:val="24"/>
              <w:keepNext w:val="0"/>
              <w:keepLines w:val="0"/>
              <w:pageBreakBefore w:val="0"/>
              <w:widowControl w:val="0"/>
              <w:tabs>
                <w:tab w:val="left" w:pos="0"/>
              </w:tabs>
              <w:kinsoku/>
              <w:wordWrap/>
              <w:overflowPunct/>
              <w:topLinePunct w:val="0"/>
              <w:autoSpaceDE/>
              <w:autoSpaceDN/>
              <w:bidi w:val="0"/>
              <w:adjustRightInd/>
              <w:snapToGrid/>
              <w:spacing w:line="300" w:lineRule="exact"/>
              <w:ind w:firstLine="0" w:firstLineChars="0"/>
              <w:textAlignment w:val="auto"/>
              <w:rPr>
                <w:rFonts w:hint="eastAsia"/>
                <w:color w:val="auto"/>
              </w:rPr>
            </w:pPr>
            <w:r>
              <w:rPr>
                <w:rFonts w:hint="eastAsia"/>
                <w:color w:val="auto"/>
              </w:rPr>
              <w:t>检测项目</w:t>
            </w:r>
          </w:p>
        </w:tc>
        <w:tc>
          <w:tcPr>
            <w:tcW w:w="3579" w:type="dxa"/>
            <w:tcBorders>
              <w:tl2br w:val="nil"/>
              <w:tr2bl w:val="nil"/>
            </w:tcBorders>
            <w:noWrap w:val="0"/>
            <w:vAlign w:val="center"/>
          </w:tcPr>
          <w:p w14:paraId="2C834F5C">
            <w:pPr>
              <w:pStyle w:val="24"/>
              <w:keepNext w:val="0"/>
              <w:keepLines w:val="0"/>
              <w:pageBreakBefore w:val="0"/>
              <w:widowControl w:val="0"/>
              <w:tabs>
                <w:tab w:val="left" w:pos="0"/>
              </w:tabs>
              <w:kinsoku/>
              <w:wordWrap/>
              <w:overflowPunct/>
              <w:topLinePunct w:val="0"/>
              <w:autoSpaceDE/>
              <w:autoSpaceDN/>
              <w:bidi w:val="0"/>
              <w:adjustRightInd/>
              <w:snapToGrid/>
              <w:spacing w:line="300" w:lineRule="exact"/>
              <w:ind w:firstLine="0" w:firstLineChars="0"/>
              <w:textAlignment w:val="auto"/>
              <w:rPr>
                <w:rFonts w:hint="eastAsia"/>
                <w:color w:val="auto"/>
              </w:rPr>
            </w:pPr>
            <w:r>
              <w:rPr>
                <w:rFonts w:hint="eastAsia"/>
                <w:color w:val="auto"/>
              </w:rPr>
              <w:t>检测内容</w:t>
            </w:r>
          </w:p>
        </w:tc>
        <w:tc>
          <w:tcPr>
            <w:tcW w:w="1982" w:type="dxa"/>
            <w:tcBorders>
              <w:tl2br w:val="nil"/>
              <w:tr2bl w:val="nil"/>
            </w:tcBorders>
            <w:noWrap w:val="0"/>
            <w:vAlign w:val="center"/>
          </w:tcPr>
          <w:p w14:paraId="206E5474">
            <w:pPr>
              <w:pStyle w:val="24"/>
              <w:keepNext w:val="0"/>
              <w:keepLines w:val="0"/>
              <w:pageBreakBefore w:val="0"/>
              <w:widowControl w:val="0"/>
              <w:tabs>
                <w:tab w:val="left" w:pos="0"/>
              </w:tabs>
              <w:kinsoku/>
              <w:wordWrap/>
              <w:overflowPunct/>
              <w:topLinePunct w:val="0"/>
              <w:autoSpaceDE/>
              <w:autoSpaceDN/>
              <w:bidi w:val="0"/>
              <w:adjustRightInd/>
              <w:snapToGrid/>
              <w:spacing w:line="300" w:lineRule="exact"/>
              <w:ind w:firstLine="0" w:firstLineChars="0"/>
              <w:textAlignment w:val="auto"/>
              <w:rPr>
                <w:rFonts w:hint="eastAsia"/>
                <w:color w:val="auto"/>
              </w:rPr>
            </w:pPr>
            <w:r>
              <w:rPr>
                <w:rFonts w:hint="eastAsia"/>
                <w:color w:val="auto"/>
              </w:rPr>
              <w:t>检测里程数</w:t>
            </w:r>
          </w:p>
        </w:tc>
      </w:tr>
      <w:tr w14:paraId="44C61D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156" w:type="dxa"/>
            <w:vMerge w:val="restart"/>
            <w:tcBorders>
              <w:tl2br w:val="nil"/>
              <w:tr2bl w:val="nil"/>
            </w:tcBorders>
            <w:noWrap w:val="0"/>
            <w:vAlign w:val="center"/>
          </w:tcPr>
          <w:p w14:paraId="536E9F00">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r>
              <w:rPr>
                <w:rFonts w:hint="eastAsia" w:ascii="微软雅黑" w:hAnsi="微软雅黑" w:cs="微软雅黑"/>
                <w:color w:val="auto"/>
                <w:sz w:val="22"/>
                <w:szCs w:val="22"/>
                <w:lang w:val="en-US" w:eastAsia="zh-CN"/>
              </w:rPr>
              <w:t>1</w:t>
            </w:r>
          </w:p>
        </w:tc>
        <w:tc>
          <w:tcPr>
            <w:tcW w:w="1284" w:type="dxa"/>
            <w:vMerge w:val="restart"/>
            <w:tcBorders>
              <w:tl2br w:val="nil"/>
              <w:tr2bl w:val="nil"/>
            </w:tcBorders>
            <w:noWrap w:val="0"/>
            <w:vAlign w:val="center"/>
          </w:tcPr>
          <w:p w14:paraId="6D4137E0">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r>
              <w:rPr>
                <w:rFonts w:hint="eastAsia" w:ascii="微软雅黑" w:hAnsi="微软雅黑" w:cs="微软雅黑"/>
                <w:color w:val="auto"/>
                <w:sz w:val="22"/>
                <w:szCs w:val="22"/>
                <w:lang w:val="en-US" w:eastAsia="zh-CN"/>
              </w:rPr>
              <w:t>路面</w:t>
            </w:r>
          </w:p>
        </w:tc>
        <w:tc>
          <w:tcPr>
            <w:tcW w:w="1597" w:type="dxa"/>
            <w:vMerge w:val="restart"/>
            <w:tcBorders>
              <w:tl2br w:val="nil"/>
              <w:tr2bl w:val="nil"/>
            </w:tcBorders>
            <w:noWrap w:val="0"/>
            <w:vAlign w:val="center"/>
          </w:tcPr>
          <w:p w14:paraId="5FDFAB41">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r>
              <w:rPr>
                <w:rFonts w:hint="eastAsia" w:ascii="微软雅黑" w:hAnsi="微软雅黑" w:cs="微软雅黑"/>
                <w:color w:val="auto"/>
                <w:sz w:val="22"/>
                <w:szCs w:val="22"/>
                <w:lang w:val="en-US" w:eastAsia="zh-CN"/>
              </w:rPr>
              <w:t>路面破损状况</w:t>
            </w:r>
          </w:p>
          <w:p w14:paraId="18C33929">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3579" w:type="dxa"/>
            <w:tcBorders>
              <w:tl2br w:val="nil"/>
              <w:tr2bl w:val="nil"/>
            </w:tcBorders>
            <w:noWrap w:val="0"/>
            <w:vAlign w:val="center"/>
          </w:tcPr>
          <w:p w14:paraId="609CB19E">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r>
              <w:rPr>
                <w:rFonts w:hint="eastAsia" w:ascii="微软雅黑" w:hAnsi="微软雅黑" w:cs="微软雅黑"/>
                <w:color w:val="auto"/>
                <w:sz w:val="22"/>
                <w:szCs w:val="22"/>
                <w:lang w:val="en-US" w:eastAsia="zh-CN"/>
              </w:rPr>
              <w:t>现场检测</w:t>
            </w:r>
          </w:p>
        </w:tc>
        <w:tc>
          <w:tcPr>
            <w:tcW w:w="1982" w:type="dxa"/>
            <w:vMerge w:val="restart"/>
            <w:tcBorders>
              <w:tl2br w:val="nil"/>
              <w:tr2bl w:val="nil"/>
            </w:tcBorders>
            <w:noWrap w:val="0"/>
            <w:vAlign w:val="center"/>
          </w:tcPr>
          <w:p w14:paraId="70561007">
            <w:pPr>
              <w:pStyle w:val="30"/>
              <w:numPr>
                <w:ilvl w:val="0"/>
                <w:numId w:val="0"/>
              </w:numPr>
              <w:spacing w:line="300" w:lineRule="exact"/>
              <w:ind w:right="-55"/>
              <w:jc w:val="center"/>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检测公路里程：</w:t>
            </w:r>
            <w:r>
              <w:rPr>
                <w:rFonts w:hint="eastAsia" w:ascii="微软雅黑" w:hAnsi="微软雅黑" w:cs="微软雅黑"/>
                <w:color w:val="auto"/>
                <w:sz w:val="21"/>
                <w:szCs w:val="21"/>
                <w:lang w:val="en-US" w:eastAsia="zh-CN"/>
              </w:rPr>
              <w:t>2873.831</w:t>
            </w:r>
            <w:r>
              <w:rPr>
                <w:rFonts w:hint="eastAsia" w:ascii="微软雅黑" w:hAnsi="微软雅黑" w:eastAsia="微软雅黑" w:cs="微软雅黑"/>
                <w:color w:val="auto"/>
                <w:sz w:val="21"/>
                <w:szCs w:val="21"/>
                <w:lang w:val="en-US" w:eastAsia="zh-CN"/>
              </w:rPr>
              <w:t>公里。</w:t>
            </w:r>
            <w:r>
              <w:rPr>
                <w:rFonts w:hint="eastAsia" w:ascii="微软雅黑" w:hAnsi="微软雅黑" w:cs="微软雅黑"/>
                <w:color w:val="FF0000"/>
                <w:sz w:val="22"/>
                <w:szCs w:val="22"/>
                <w:lang w:val="en-US" w:eastAsia="zh-CN"/>
              </w:rPr>
              <w:t xml:space="preserve"> </w:t>
            </w:r>
          </w:p>
          <w:p w14:paraId="4350DBF7">
            <w:pPr>
              <w:pStyle w:val="30"/>
              <w:numPr>
                <w:ilvl w:val="0"/>
                <w:numId w:val="0"/>
              </w:numPr>
              <w:spacing w:line="300" w:lineRule="exact"/>
              <w:ind w:right="-55"/>
              <w:jc w:val="center"/>
              <w:rPr>
                <w:rFonts w:hint="default" w:ascii="微软雅黑" w:hAnsi="微软雅黑" w:cs="微软雅黑"/>
                <w:color w:val="FF0000"/>
                <w:sz w:val="22"/>
                <w:szCs w:val="22"/>
                <w:lang w:val="en-US" w:eastAsia="zh-CN"/>
              </w:rPr>
            </w:pPr>
            <w:r>
              <w:rPr>
                <w:rFonts w:hint="eastAsia" w:ascii="微软雅黑" w:hAnsi="微软雅黑" w:cs="微软雅黑"/>
                <w:color w:val="FF0000"/>
                <w:sz w:val="22"/>
                <w:szCs w:val="22"/>
                <w:lang w:val="en-US" w:eastAsia="zh-CN"/>
              </w:rPr>
              <w:t xml:space="preserve"> </w:t>
            </w:r>
          </w:p>
        </w:tc>
      </w:tr>
      <w:tr w14:paraId="44BF80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156" w:type="dxa"/>
            <w:vMerge w:val="continue"/>
            <w:tcBorders>
              <w:tl2br w:val="nil"/>
              <w:tr2bl w:val="nil"/>
            </w:tcBorders>
            <w:noWrap w:val="0"/>
            <w:vAlign w:val="center"/>
          </w:tcPr>
          <w:p w14:paraId="1A7399FD">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1284" w:type="dxa"/>
            <w:vMerge w:val="continue"/>
            <w:tcBorders>
              <w:tl2br w:val="nil"/>
              <w:tr2bl w:val="nil"/>
            </w:tcBorders>
            <w:noWrap w:val="0"/>
            <w:vAlign w:val="center"/>
          </w:tcPr>
          <w:p w14:paraId="3F1B8856">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1597" w:type="dxa"/>
            <w:vMerge w:val="continue"/>
            <w:tcBorders>
              <w:tl2br w:val="nil"/>
              <w:tr2bl w:val="nil"/>
            </w:tcBorders>
            <w:noWrap w:val="0"/>
            <w:vAlign w:val="center"/>
          </w:tcPr>
          <w:p w14:paraId="361742AD">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3579" w:type="dxa"/>
            <w:tcBorders>
              <w:tl2br w:val="nil"/>
              <w:tr2bl w:val="nil"/>
            </w:tcBorders>
            <w:noWrap w:val="0"/>
            <w:vAlign w:val="center"/>
          </w:tcPr>
          <w:p w14:paraId="74E10DB0">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r>
              <w:rPr>
                <w:rFonts w:hint="eastAsia" w:ascii="微软雅黑" w:hAnsi="微软雅黑" w:cs="微软雅黑"/>
                <w:color w:val="auto"/>
                <w:sz w:val="22"/>
                <w:szCs w:val="22"/>
                <w:lang w:val="en-US" w:eastAsia="zh-CN"/>
              </w:rPr>
              <w:t>路元映射及数据库建立</w:t>
            </w:r>
          </w:p>
        </w:tc>
        <w:tc>
          <w:tcPr>
            <w:tcW w:w="1982" w:type="dxa"/>
            <w:vMerge w:val="continue"/>
            <w:tcBorders>
              <w:tl2br w:val="nil"/>
              <w:tr2bl w:val="nil"/>
            </w:tcBorders>
            <w:noWrap w:val="0"/>
            <w:vAlign w:val="center"/>
          </w:tcPr>
          <w:p w14:paraId="03DCAE36">
            <w:pPr>
              <w:pStyle w:val="30"/>
              <w:numPr>
                <w:ilvl w:val="0"/>
                <w:numId w:val="0"/>
              </w:numPr>
              <w:spacing w:line="300" w:lineRule="exact"/>
              <w:ind w:right="-55"/>
              <w:jc w:val="center"/>
              <w:rPr>
                <w:rFonts w:hint="eastAsia" w:ascii="微软雅黑" w:hAnsi="微软雅黑" w:cs="微软雅黑"/>
                <w:color w:val="FF0000"/>
                <w:sz w:val="22"/>
                <w:szCs w:val="22"/>
                <w:lang w:val="en-US" w:eastAsia="zh-CN"/>
              </w:rPr>
            </w:pPr>
          </w:p>
        </w:tc>
      </w:tr>
      <w:tr w14:paraId="0A0B08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156" w:type="dxa"/>
            <w:vMerge w:val="continue"/>
            <w:tcBorders>
              <w:tl2br w:val="nil"/>
              <w:tr2bl w:val="nil"/>
            </w:tcBorders>
            <w:noWrap w:val="0"/>
            <w:vAlign w:val="center"/>
          </w:tcPr>
          <w:p w14:paraId="7A0701B2">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1284" w:type="dxa"/>
            <w:vMerge w:val="continue"/>
            <w:tcBorders>
              <w:tl2br w:val="nil"/>
              <w:tr2bl w:val="nil"/>
            </w:tcBorders>
            <w:noWrap w:val="0"/>
            <w:vAlign w:val="center"/>
          </w:tcPr>
          <w:p w14:paraId="70BC0CA5">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1597" w:type="dxa"/>
            <w:vMerge w:val="continue"/>
            <w:tcBorders>
              <w:tl2br w:val="nil"/>
              <w:tr2bl w:val="nil"/>
            </w:tcBorders>
            <w:noWrap w:val="0"/>
            <w:vAlign w:val="center"/>
          </w:tcPr>
          <w:p w14:paraId="4F813172">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3579" w:type="dxa"/>
            <w:tcBorders>
              <w:tl2br w:val="nil"/>
              <w:tr2bl w:val="nil"/>
            </w:tcBorders>
            <w:noWrap w:val="0"/>
            <w:vAlign w:val="center"/>
          </w:tcPr>
          <w:p w14:paraId="00ACDF61">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r>
              <w:rPr>
                <w:rFonts w:hint="eastAsia" w:ascii="微软雅黑" w:hAnsi="微软雅黑" w:cs="微软雅黑"/>
                <w:color w:val="auto"/>
                <w:sz w:val="22"/>
                <w:szCs w:val="22"/>
                <w:lang w:val="en-US" w:eastAsia="zh-CN"/>
              </w:rPr>
              <w:t>后续数据技术服务</w:t>
            </w:r>
          </w:p>
        </w:tc>
        <w:tc>
          <w:tcPr>
            <w:tcW w:w="1982" w:type="dxa"/>
            <w:vMerge w:val="continue"/>
            <w:tcBorders>
              <w:tl2br w:val="nil"/>
              <w:tr2bl w:val="nil"/>
            </w:tcBorders>
            <w:noWrap w:val="0"/>
            <w:vAlign w:val="center"/>
          </w:tcPr>
          <w:p w14:paraId="61022E25">
            <w:pPr>
              <w:pStyle w:val="30"/>
              <w:numPr>
                <w:ilvl w:val="0"/>
                <w:numId w:val="0"/>
              </w:numPr>
              <w:spacing w:line="300" w:lineRule="exact"/>
              <w:ind w:right="-55"/>
              <w:jc w:val="center"/>
              <w:rPr>
                <w:rFonts w:hint="eastAsia" w:ascii="微软雅黑" w:hAnsi="微软雅黑" w:cs="微软雅黑"/>
                <w:color w:val="FF0000"/>
                <w:sz w:val="22"/>
                <w:szCs w:val="22"/>
                <w:lang w:val="en-US" w:eastAsia="zh-CN"/>
              </w:rPr>
            </w:pPr>
          </w:p>
        </w:tc>
      </w:tr>
      <w:tr w14:paraId="525D20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156" w:type="dxa"/>
            <w:vMerge w:val="continue"/>
            <w:tcBorders>
              <w:tl2br w:val="nil"/>
              <w:tr2bl w:val="nil"/>
            </w:tcBorders>
            <w:noWrap w:val="0"/>
            <w:vAlign w:val="center"/>
          </w:tcPr>
          <w:p w14:paraId="388B4AA1">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1284" w:type="dxa"/>
            <w:vMerge w:val="continue"/>
            <w:tcBorders>
              <w:tl2br w:val="nil"/>
              <w:tr2bl w:val="nil"/>
            </w:tcBorders>
            <w:noWrap w:val="0"/>
            <w:vAlign w:val="center"/>
          </w:tcPr>
          <w:p w14:paraId="499976D0">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1597" w:type="dxa"/>
            <w:vMerge w:val="restart"/>
            <w:tcBorders>
              <w:tl2br w:val="nil"/>
              <w:tr2bl w:val="nil"/>
            </w:tcBorders>
            <w:noWrap w:val="0"/>
            <w:vAlign w:val="center"/>
          </w:tcPr>
          <w:p w14:paraId="7708865A">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r>
              <w:rPr>
                <w:rFonts w:hint="eastAsia" w:ascii="微软雅黑" w:hAnsi="微软雅黑" w:cs="微软雅黑"/>
                <w:color w:val="auto"/>
                <w:sz w:val="22"/>
                <w:szCs w:val="22"/>
                <w:lang w:val="en-US" w:eastAsia="zh-CN"/>
              </w:rPr>
              <w:t>路面平整度</w:t>
            </w:r>
          </w:p>
        </w:tc>
        <w:tc>
          <w:tcPr>
            <w:tcW w:w="3579" w:type="dxa"/>
            <w:tcBorders>
              <w:tl2br w:val="nil"/>
              <w:tr2bl w:val="nil"/>
            </w:tcBorders>
            <w:noWrap w:val="0"/>
            <w:vAlign w:val="center"/>
          </w:tcPr>
          <w:p w14:paraId="21FD90C5">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r>
              <w:rPr>
                <w:rFonts w:hint="eastAsia" w:ascii="微软雅黑" w:hAnsi="微软雅黑" w:cs="微软雅黑"/>
                <w:color w:val="auto"/>
                <w:sz w:val="22"/>
                <w:szCs w:val="22"/>
                <w:lang w:val="en-US" w:eastAsia="zh-CN"/>
              </w:rPr>
              <w:t>现场检测</w:t>
            </w:r>
          </w:p>
        </w:tc>
        <w:tc>
          <w:tcPr>
            <w:tcW w:w="1982" w:type="dxa"/>
            <w:vMerge w:val="continue"/>
            <w:tcBorders>
              <w:tl2br w:val="nil"/>
              <w:tr2bl w:val="nil"/>
            </w:tcBorders>
            <w:noWrap w:val="0"/>
            <w:vAlign w:val="center"/>
          </w:tcPr>
          <w:p w14:paraId="0CF89174">
            <w:pPr>
              <w:pStyle w:val="30"/>
              <w:numPr>
                <w:ilvl w:val="0"/>
                <w:numId w:val="0"/>
              </w:numPr>
              <w:spacing w:line="300" w:lineRule="exact"/>
              <w:ind w:right="-55"/>
              <w:jc w:val="center"/>
              <w:rPr>
                <w:rFonts w:hint="default" w:ascii="微软雅黑" w:hAnsi="微软雅黑" w:cs="微软雅黑"/>
                <w:color w:val="FF0000"/>
                <w:sz w:val="22"/>
                <w:szCs w:val="22"/>
                <w:lang w:val="en-US" w:eastAsia="zh-CN"/>
              </w:rPr>
            </w:pPr>
          </w:p>
        </w:tc>
      </w:tr>
      <w:tr w14:paraId="07B445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156" w:type="dxa"/>
            <w:vMerge w:val="continue"/>
            <w:tcBorders>
              <w:tl2br w:val="nil"/>
              <w:tr2bl w:val="nil"/>
            </w:tcBorders>
            <w:noWrap w:val="0"/>
            <w:vAlign w:val="center"/>
          </w:tcPr>
          <w:p w14:paraId="0FE0CBBA">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1284" w:type="dxa"/>
            <w:vMerge w:val="continue"/>
            <w:tcBorders>
              <w:tl2br w:val="nil"/>
              <w:tr2bl w:val="nil"/>
            </w:tcBorders>
            <w:noWrap w:val="0"/>
            <w:vAlign w:val="center"/>
          </w:tcPr>
          <w:p w14:paraId="759F15F5">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1597" w:type="dxa"/>
            <w:vMerge w:val="continue"/>
            <w:tcBorders>
              <w:tl2br w:val="nil"/>
              <w:tr2bl w:val="nil"/>
            </w:tcBorders>
            <w:noWrap w:val="0"/>
            <w:vAlign w:val="center"/>
          </w:tcPr>
          <w:p w14:paraId="3C0898E5">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3579" w:type="dxa"/>
            <w:tcBorders>
              <w:tl2br w:val="nil"/>
              <w:tr2bl w:val="nil"/>
            </w:tcBorders>
            <w:noWrap w:val="0"/>
            <w:vAlign w:val="center"/>
          </w:tcPr>
          <w:p w14:paraId="2DAC69EC">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r>
              <w:rPr>
                <w:rFonts w:hint="eastAsia" w:ascii="微软雅黑" w:hAnsi="微软雅黑" w:cs="微软雅黑"/>
                <w:color w:val="auto"/>
                <w:sz w:val="22"/>
                <w:szCs w:val="22"/>
                <w:lang w:val="en-US" w:eastAsia="zh-CN"/>
              </w:rPr>
              <w:t>路元映射及数据库建立</w:t>
            </w:r>
          </w:p>
        </w:tc>
        <w:tc>
          <w:tcPr>
            <w:tcW w:w="1982" w:type="dxa"/>
            <w:vMerge w:val="continue"/>
            <w:tcBorders>
              <w:tl2br w:val="nil"/>
              <w:tr2bl w:val="nil"/>
            </w:tcBorders>
            <w:noWrap w:val="0"/>
            <w:vAlign w:val="center"/>
          </w:tcPr>
          <w:p w14:paraId="72A5D075">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r>
      <w:tr w14:paraId="4A004DD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156" w:type="dxa"/>
            <w:vMerge w:val="continue"/>
            <w:tcBorders>
              <w:tl2br w:val="nil"/>
              <w:tr2bl w:val="nil"/>
            </w:tcBorders>
            <w:noWrap w:val="0"/>
            <w:vAlign w:val="center"/>
          </w:tcPr>
          <w:p w14:paraId="2CC2390E">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1284" w:type="dxa"/>
            <w:vMerge w:val="continue"/>
            <w:tcBorders>
              <w:tl2br w:val="nil"/>
              <w:tr2bl w:val="nil"/>
            </w:tcBorders>
            <w:noWrap w:val="0"/>
            <w:vAlign w:val="center"/>
          </w:tcPr>
          <w:p w14:paraId="76F0DCE2">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1597" w:type="dxa"/>
            <w:vMerge w:val="continue"/>
            <w:tcBorders>
              <w:tl2br w:val="nil"/>
              <w:tr2bl w:val="nil"/>
            </w:tcBorders>
            <w:noWrap w:val="0"/>
            <w:vAlign w:val="center"/>
          </w:tcPr>
          <w:p w14:paraId="05A66DA9">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c>
          <w:tcPr>
            <w:tcW w:w="3579" w:type="dxa"/>
            <w:tcBorders>
              <w:tl2br w:val="nil"/>
              <w:tr2bl w:val="nil"/>
            </w:tcBorders>
            <w:noWrap w:val="0"/>
            <w:vAlign w:val="center"/>
          </w:tcPr>
          <w:p w14:paraId="58AE0C3A">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r>
              <w:rPr>
                <w:rFonts w:hint="eastAsia" w:ascii="微软雅黑" w:hAnsi="微软雅黑" w:cs="微软雅黑"/>
                <w:color w:val="auto"/>
                <w:sz w:val="22"/>
                <w:szCs w:val="22"/>
                <w:lang w:val="en-US" w:eastAsia="zh-CN"/>
              </w:rPr>
              <w:t>后续数据技术服务</w:t>
            </w:r>
          </w:p>
        </w:tc>
        <w:tc>
          <w:tcPr>
            <w:tcW w:w="1982" w:type="dxa"/>
            <w:vMerge w:val="continue"/>
            <w:tcBorders>
              <w:tl2br w:val="nil"/>
              <w:tr2bl w:val="nil"/>
            </w:tcBorders>
            <w:noWrap w:val="0"/>
            <w:vAlign w:val="center"/>
          </w:tcPr>
          <w:p w14:paraId="1654365A">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r>
      <w:tr w14:paraId="2F0B03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156" w:type="dxa"/>
            <w:tcBorders>
              <w:tl2br w:val="nil"/>
              <w:tr2bl w:val="nil"/>
            </w:tcBorders>
            <w:noWrap w:val="0"/>
            <w:vAlign w:val="center"/>
          </w:tcPr>
          <w:p w14:paraId="7A5F69CC">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r>
              <w:rPr>
                <w:rFonts w:hint="eastAsia" w:ascii="微软雅黑" w:hAnsi="微软雅黑" w:cs="微软雅黑"/>
                <w:color w:val="auto"/>
                <w:sz w:val="22"/>
                <w:szCs w:val="22"/>
                <w:lang w:val="en-US" w:eastAsia="zh-CN"/>
              </w:rPr>
              <w:t>2</w:t>
            </w:r>
          </w:p>
        </w:tc>
        <w:tc>
          <w:tcPr>
            <w:tcW w:w="6460" w:type="dxa"/>
            <w:gridSpan w:val="3"/>
            <w:tcBorders>
              <w:tl2br w:val="nil"/>
              <w:tr2bl w:val="nil"/>
            </w:tcBorders>
            <w:noWrap w:val="0"/>
            <w:vAlign w:val="center"/>
          </w:tcPr>
          <w:p w14:paraId="7B1FF91F">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r>
              <w:rPr>
                <w:rFonts w:hint="eastAsia" w:ascii="微软雅黑" w:hAnsi="微软雅黑" w:cs="微软雅黑"/>
                <w:color w:val="auto"/>
                <w:sz w:val="22"/>
                <w:szCs w:val="22"/>
                <w:lang w:val="en-US" w:eastAsia="zh-CN"/>
              </w:rPr>
              <w:t>路基、沿线设施</w:t>
            </w:r>
          </w:p>
        </w:tc>
        <w:tc>
          <w:tcPr>
            <w:tcW w:w="1982" w:type="dxa"/>
            <w:tcBorders>
              <w:tl2br w:val="nil"/>
              <w:tr2bl w:val="nil"/>
            </w:tcBorders>
            <w:noWrap w:val="0"/>
            <w:vAlign w:val="center"/>
          </w:tcPr>
          <w:p w14:paraId="1D7F88D3">
            <w:pPr>
              <w:pStyle w:val="30"/>
              <w:numPr>
                <w:ilvl w:val="0"/>
                <w:numId w:val="0"/>
              </w:numPr>
              <w:spacing w:line="300" w:lineRule="exact"/>
              <w:ind w:right="-55"/>
              <w:jc w:val="center"/>
              <w:rPr>
                <w:rFonts w:hint="eastAsia" w:ascii="微软雅黑" w:hAnsi="微软雅黑" w:cs="微软雅黑"/>
                <w:color w:val="auto"/>
                <w:sz w:val="22"/>
                <w:szCs w:val="22"/>
                <w:lang w:val="en-US" w:eastAsia="zh-CN"/>
              </w:rPr>
            </w:pPr>
          </w:p>
        </w:tc>
      </w:tr>
    </w:tbl>
    <w:p w14:paraId="73C3429D">
      <w:pPr>
        <w:pStyle w:val="10"/>
        <w:keepNext w:val="0"/>
        <w:keepLines w:val="0"/>
        <w:pageBreakBefore w:val="0"/>
        <w:widowControl w:val="0"/>
        <w:numPr>
          <w:ilvl w:val="0"/>
          <w:numId w:val="0"/>
        </w:numPr>
        <w:tabs>
          <w:tab w:val="left" w:pos="0"/>
        </w:tabs>
        <w:kinsoku/>
        <w:wordWrap/>
        <w:overflowPunct/>
        <w:topLinePunct w:val="0"/>
        <w:autoSpaceDE/>
        <w:autoSpaceDN/>
        <w:bidi w:val="0"/>
        <w:adjustRightInd/>
        <w:snapToGrid/>
        <w:ind w:firstLine="240" w:firstLineChars="100"/>
        <w:textAlignment w:val="auto"/>
        <w:rPr>
          <w:rFonts w:hint="eastAsia"/>
          <w:b/>
          <w:bCs/>
          <w:color w:val="auto"/>
          <w:sz w:val="24"/>
          <w:szCs w:val="24"/>
          <w:lang w:val="en-US" w:eastAsia="zh-CN"/>
        </w:rPr>
      </w:pPr>
      <w:r>
        <w:rPr>
          <w:rFonts w:hint="eastAsia"/>
          <w:b/>
          <w:bCs/>
          <w:color w:val="auto"/>
          <w:sz w:val="24"/>
          <w:szCs w:val="24"/>
          <w:lang w:val="en-US" w:eastAsia="zh-CN"/>
        </w:rPr>
        <w:t>2）检测质量要求：</w:t>
      </w:r>
    </w:p>
    <w:p w14:paraId="5A5839CF">
      <w:pPr>
        <w:numPr>
          <w:ilvl w:val="0"/>
          <w:numId w:val="8"/>
        </w:numPr>
        <w:ind w:left="0" w:leftChars="0" w:firstLine="420" w:firstLineChars="200"/>
        <w:rPr>
          <w:rFonts w:hint="eastAsia"/>
          <w:b/>
          <w:bCs/>
          <w:color w:val="auto"/>
          <w:lang w:val="en-US" w:eastAsia="zh-CN"/>
        </w:rPr>
      </w:pPr>
      <w:r>
        <w:rPr>
          <w:rFonts w:hint="eastAsia"/>
          <w:b/>
          <w:bCs/>
          <w:color w:val="auto"/>
          <w:lang w:val="en-US" w:eastAsia="zh-CN"/>
        </w:rPr>
        <w:t>检测工作及时，成果资料真实可靠，完全符合国家检测合格标准，按照国家和地方相关最新标准规范，编制正式检测报告。</w:t>
      </w:r>
    </w:p>
    <w:p w14:paraId="530D45D5">
      <w:pPr>
        <w:numPr>
          <w:ilvl w:val="0"/>
          <w:numId w:val="8"/>
        </w:numPr>
        <w:ind w:left="0" w:leftChars="0" w:firstLine="422" w:firstLineChars="200"/>
        <w:rPr>
          <w:rFonts w:hint="eastAsia" w:eastAsia="宋体"/>
          <w:b/>
          <w:bCs/>
          <w:color w:val="auto"/>
          <w:lang w:val="en-US" w:eastAsia="zh-Hans"/>
        </w:rPr>
      </w:pPr>
      <w:r>
        <w:rPr>
          <w:rFonts w:hint="eastAsia" w:eastAsia="宋体"/>
          <w:b/>
          <w:bCs/>
          <w:color w:val="auto"/>
          <w:lang w:val="en-US" w:eastAsia="zh-CN"/>
        </w:rPr>
        <w:t>成交供应商</w:t>
      </w:r>
      <w:r>
        <w:rPr>
          <w:rFonts w:hint="eastAsia" w:eastAsia="宋体"/>
          <w:b/>
          <w:bCs/>
          <w:color w:val="auto"/>
          <w:lang w:val="en-US" w:eastAsia="zh-Hans"/>
        </w:rPr>
        <w:t>应根据采购文件及合同要求，收集资料、现场踏勘、制订试验纲要，进行检测作业，以及编制报告文件。</w:t>
      </w:r>
      <w:r>
        <w:rPr>
          <w:rFonts w:hint="eastAsia" w:eastAsia="宋体"/>
          <w:b/>
          <w:bCs/>
          <w:color w:val="auto"/>
          <w:lang w:val="en-US" w:eastAsia="zh-CN"/>
        </w:rPr>
        <w:t>成交供应商</w:t>
      </w:r>
      <w:r>
        <w:rPr>
          <w:rFonts w:hint="eastAsia" w:eastAsia="宋体"/>
          <w:b/>
          <w:bCs/>
          <w:color w:val="auto"/>
          <w:lang w:val="en-US" w:eastAsia="zh-Hans"/>
        </w:rPr>
        <w:t>须对现场地质条件进行深入了解，充分考虑可能遇到的风险和不可预见的情况。</w:t>
      </w:r>
    </w:p>
    <w:p w14:paraId="7D3D38BE">
      <w:pPr>
        <w:numPr>
          <w:ilvl w:val="0"/>
          <w:numId w:val="0"/>
        </w:numPr>
        <w:ind w:leftChars="200"/>
        <w:jc w:val="both"/>
        <w:rPr>
          <w:rFonts w:hint="eastAsia" w:ascii="等线" w:hAnsi="等线" w:eastAsia="宋体" w:cs="等线"/>
          <w:b/>
          <w:bCs/>
          <w:color w:val="auto"/>
          <w:kern w:val="2"/>
          <w:sz w:val="21"/>
          <w:szCs w:val="21"/>
          <w:lang w:val="en-US" w:eastAsia="zh-Hans" w:bidi="ar-SA"/>
        </w:rPr>
      </w:pPr>
      <w:r>
        <w:rPr>
          <w:rFonts w:hint="eastAsia" w:ascii="仿宋" w:hAnsi="仿宋" w:eastAsia="仿宋" w:cs="仿宋"/>
          <w:b/>
          <w:bCs/>
          <w:color w:val="000000" w:themeColor="text1"/>
          <w:kern w:val="2"/>
          <w:sz w:val="24"/>
          <w:szCs w:val="24"/>
          <w:lang w:val="en-US" w:eastAsia="zh-CN" w:bidi="ar-SA"/>
        </w:rPr>
        <w:t>★</w:t>
      </w:r>
      <w:r>
        <w:rPr>
          <w:rFonts w:hint="eastAsia" w:eastAsia="宋体" w:cs="等线"/>
          <w:b/>
          <w:bCs/>
          <w:color w:val="auto"/>
          <w:kern w:val="2"/>
          <w:sz w:val="21"/>
          <w:szCs w:val="21"/>
          <w:lang w:val="en-US" w:eastAsia="zh-CN" w:bidi="ar-SA"/>
        </w:rPr>
        <w:t>3.</w:t>
      </w:r>
      <w:r>
        <w:rPr>
          <w:rFonts w:hint="eastAsia" w:ascii="等线" w:hAnsi="等线" w:eastAsia="宋体" w:cs="等线"/>
          <w:b/>
          <w:bCs/>
          <w:color w:val="auto"/>
          <w:kern w:val="2"/>
          <w:sz w:val="21"/>
          <w:szCs w:val="21"/>
          <w:lang w:val="en-US" w:eastAsia="zh-Hans" w:bidi="ar-SA"/>
        </w:rPr>
        <w:t>检测要求</w:t>
      </w:r>
    </w:p>
    <w:p w14:paraId="5F75CEFA">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（1）路面损坏快速化检测（PCI值）</w:t>
      </w:r>
    </w:p>
    <w:p w14:paraId="72B09DC8">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采用快速检测设备检测路面损坏时，应纵向连续检测，横向检测宽度不得小于车道宽度的70%。检测设备应能够分辨1mm以上的路面裂缝，检测结果宜采用计算机自动识别，识别准确率应达到90%以上。</w:t>
      </w:r>
    </w:p>
    <w:p w14:paraId="3E17137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（2）路面行驶质量快速化检测（RQI值）</w:t>
      </w:r>
    </w:p>
    <w:p w14:paraId="1A0DACB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路面行驶质量检测和评定按照《公路技术状况评定标准》（JTG 5210-2018）的规定执行，每10米计算1个IRI值，对于影响平整度评价的减速带、震荡标线，剔除相应局部平整度数据，然后计算得出每公里IRI值和每公里RQI值。</w:t>
      </w:r>
    </w:p>
    <w:p w14:paraId="01B672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（3）路面跳车快速化检测（PBI值）</w:t>
      </w:r>
    </w:p>
    <w:p w14:paraId="2510DF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路面跳车检测和评定按照《公路技术状况评定标准》（JTG 5210-2018）规定执行，路面跳车PB应按处计算，每10米计算1个PB值，然后计算得出每公里PB值和每公里PBI值。</w:t>
      </w:r>
    </w:p>
    <w:p w14:paraId="03FB385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（4）路面车辙深度快速化检测（RDI值）</w:t>
      </w:r>
    </w:p>
    <w:p w14:paraId="7DB2DE6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路面车辙深度检测和评定按照《公路技术状况评定标准》（JTG 5210-2018）规定执行，每10米计算一个RD值，然后计算出每公里RD值和每公里RDI值。</w:t>
      </w:r>
    </w:p>
    <w:p w14:paraId="4789BD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（5）路面磨耗快速化检测（PWI值）</w:t>
      </w:r>
    </w:p>
    <w:p w14:paraId="272153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路面车辙深度检测和评定按照《公路技术状况评定标准》（JTG 5210-2018）规定执行，每10米统计一个值，然后计算出每公里WR值和每公里PWI值。</w:t>
      </w:r>
    </w:p>
    <w:p w14:paraId="71C9B9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（6）路面技术状况指数（PQI值）</w:t>
      </w:r>
    </w:p>
    <w:p w14:paraId="4BB4CA5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根据《公路技术状况评定标准》（JTG 5210-2018）的规定，在路面损坏状况、路面行驶质量、路面跳车、路面磨耗等检测数据和分析成果的基础上，计算其路面技术状况指数（PQI）。</w:t>
      </w:r>
    </w:p>
    <w:p w14:paraId="3581C9D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按照《公路技术状况评定标准》（JTG 5210-2018）的规定，路面磨耗自动化检测位置为检测车道的左轮迹带、右轮迹带及无磨损的车道中线或同质路肩，MPD的统计长度为10m。</w:t>
      </w:r>
    </w:p>
    <w:p w14:paraId="262181B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（7）路基技术状况指数（SCI值）</w:t>
      </w:r>
    </w:p>
    <w:p w14:paraId="5971E6B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对全线路基段开展养护状况调查，要求严格按照路基调查项目及评分标准的要求采集数据，主要采集边坡、路肩、路缘石、路基构造物和路基沉降等损坏情况，并以此计算每单位的路基养护状况指数（SCI）。</w:t>
      </w:r>
    </w:p>
    <w:p w14:paraId="6D0D68D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 xml:space="preserve"> </w:t>
      </w:r>
      <w:r>
        <w:rPr>
          <w:rFonts w:hint="eastAsia" w:ascii="宋体" w:hAnsi="宋体" w:eastAsia="宋体" w:cs="宋体"/>
          <w:color w:val="auto"/>
          <w:kern w:val="2"/>
          <w:sz w:val="24"/>
          <w:szCs w:val="21"/>
          <w:lang w:val="en-US" w:eastAsia="zh-CN" w:bidi="ar-SA"/>
        </w:rPr>
        <w:t xml:space="preserve">  </w:t>
      </w:r>
      <w:r>
        <w:rPr>
          <w:rFonts w:hint="eastAsia" w:ascii="宋体" w:hAnsi="宋体" w:eastAsia="宋体" w:cs="宋体"/>
          <w:color w:val="auto"/>
          <w:kern w:val="2"/>
          <w:sz w:val="24"/>
          <w:szCs w:val="21"/>
          <w:lang w:val="en-US" w:eastAsia="zh-Hans" w:bidi="ar-SA"/>
        </w:rPr>
        <w:t>（8）沿线设施技术状况指数（TCI值）</w:t>
      </w:r>
    </w:p>
    <w:p w14:paraId="74B8B7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对各路段的沿线设施开展养护状况调查，要求严格按照沿线设施调查项目及评分标准的的要求采集数据，主要采集隔离栅、标志、标线、绿化等损坏情况，并以此计算每单位的沿线设施养护状况指数（TCI）。</w:t>
      </w:r>
    </w:p>
    <w:p w14:paraId="73460EA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（9）公路技术状况指数（MQI）</w:t>
      </w:r>
    </w:p>
    <w:p w14:paraId="5533658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公路技术状况指数（MQI）是一个综合指数，它综合了公路的路面、路基、桥隧构造物、沿线设施等方面的技术状况，能很好地反映公路的整体服务水平和技术状况。</w:t>
      </w:r>
    </w:p>
    <w:p w14:paraId="2A97B0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公路技术状况分为优、良、中、次、差五个等级。公路技术状况等级划分标准及公路技术状况各分项指标应符合下表的规定。</w:t>
      </w:r>
    </w:p>
    <w:p w14:paraId="28275054">
      <w:pPr>
        <w:jc w:val="center"/>
        <w:rPr>
          <w:rFonts w:hint="eastAsia" w:ascii="宋体" w:hAnsi="宋体" w:eastAsia="宋体" w:cs="宋体"/>
          <w:b/>
          <w:bCs/>
          <w:color w:val="auto"/>
          <w:kern w:val="2"/>
          <w:sz w:val="24"/>
          <w:szCs w:val="21"/>
          <w:lang w:val="en-US" w:eastAsia="zh-Hans" w:bidi="ar-SA"/>
        </w:rPr>
      </w:pPr>
      <w:r>
        <w:rPr>
          <w:rFonts w:hint="eastAsia" w:ascii="宋体" w:hAnsi="宋体" w:eastAsia="宋体" w:cs="宋体"/>
          <w:b/>
          <w:bCs/>
          <w:color w:val="auto"/>
          <w:kern w:val="2"/>
          <w:sz w:val="24"/>
          <w:szCs w:val="21"/>
          <w:lang w:val="en-US" w:eastAsia="zh-Hans" w:bidi="ar-SA"/>
        </w:rPr>
        <w:t>公路技术状况等级划分及公路技术状况各分项指标标准</w:t>
      </w:r>
    </w:p>
    <w:tbl>
      <w:tblPr>
        <w:tblStyle w:val="19"/>
        <w:tblW w:w="9757" w:type="dxa"/>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849"/>
        <w:gridCol w:w="816"/>
        <w:gridCol w:w="1425"/>
        <w:gridCol w:w="1425"/>
        <w:gridCol w:w="1425"/>
        <w:gridCol w:w="817"/>
      </w:tblGrid>
      <w:tr w14:paraId="0C1754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3849" w:type="dxa"/>
            <w:tcBorders>
              <w:top w:val="double" w:color="000000" w:sz="4" w:space="0"/>
              <w:left w:val="double" w:color="000000" w:sz="4" w:space="0"/>
              <w:bottom w:val="single" w:color="000000" w:sz="8" w:space="0"/>
              <w:right w:val="single" w:color="000000" w:sz="4" w:space="0"/>
            </w:tcBorders>
            <w:noWrap w:val="0"/>
            <w:tcMar>
              <w:top w:w="0" w:type="dxa"/>
              <w:left w:w="105" w:type="dxa"/>
              <w:bottom w:w="0" w:type="dxa"/>
              <w:right w:w="105" w:type="dxa"/>
            </w:tcMar>
            <w:vAlign w:val="center"/>
          </w:tcPr>
          <w:p w14:paraId="6BC4CEB3">
            <w:pPr>
              <w:pStyle w:val="24"/>
              <w:keepNext w:val="0"/>
              <w:keepLines w:val="0"/>
              <w:pageBreakBefore w:val="0"/>
              <w:widowControl w:val="0"/>
              <w:tabs>
                <w:tab w:val="left" w:pos="0"/>
              </w:tabs>
              <w:kinsoku/>
              <w:wordWrap/>
              <w:overflowPunct/>
              <w:topLinePunct w:val="0"/>
              <w:autoSpaceDE/>
              <w:autoSpaceDN/>
              <w:bidi w:val="0"/>
              <w:adjustRightInd/>
              <w:snapToGrid/>
              <w:spacing w:line="300" w:lineRule="exact"/>
              <w:ind w:firstLine="0" w:firstLineChars="0"/>
              <w:textAlignment w:val="auto"/>
              <w:rPr>
                <w:rFonts w:hint="eastAsia"/>
                <w:color w:val="auto"/>
                <w:sz w:val="21"/>
                <w:szCs w:val="21"/>
                <w:lang w:val="en-US" w:eastAsia="zh-Hans"/>
              </w:rPr>
            </w:pPr>
            <w:r>
              <w:rPr>
                <w:rFonts w:hint="eastAsia"/>
                <w:color w:val="auto"/>
                <w:sz w:val="21"/>
                <w:szCs w:val="21"/>
                <w:lang w:val="en-US" w:eastAsia="zh-Hans"/>
              </w:rPr>
              <w:t>评定标准</w:t>
            </w:r>
          </w:p>
        </w:tc>
        <w:tc>
          <w:tcPr>
            <w:tcW w:w="816" w:type="dxa"/>
            <w:tcBorders>
              <w:top w:val="double" w:color="000000" w:sz="4" w:space="0"/>
              <w:left w:val="single" w:color="000000" w:sz="4" w:space="0"/>
              <w:bottom w:val="single" w:color="000000" w:sz="8" w:space="0"/>
              <w:right w:val="single" w:color="000000" w:sz="4" w:space="0"/>
            </w:tcBorders>
            <w:noWrap w:val="0"/>
            <w:tcMar>
              <w:top w:w="0" w:type="dxa"/>
              <w:left w:w="105" w:type="dxa"/>
              <w:bottom w:w="0" w:type="dxa"/>
              <w:right w:w="105" w:type="dxa"/>
            </w:tcMar>
            <w:vAlign w:val="center"/>
          </w:tcPr>
          <w:p w14:paraId="1AA9283F">
            <w:pPr>
              <w:pStyle w:val="24"/>
              <w:keepNext w:val="0"/>
              <w:keepLines w:val="0"/>
              <w:pageBreakBefore w:val="0"/>
              <w:widowControl w:val="0"/>
              <w:tabs>
                <w:tab w:val="left" w:pos="0"/>
              </w:tabs>
              <w:kinsoku/>
              <w:wordWrap/>
              <w:overflowPunct/>
              <w:topLinePunct w:val="0"/>
              <w:autoSpaceDE/>
              <w:autoSpaceDN/>
              <w:bidi w:val="0"/>
              <w:adjustRightInd/>
              <w:snapToGrid/>
              <w:spacing w:line="300" w:lineRule="exact"/>
              <w:ind w:firstLine="0" w:firstLineChars="0"/>
              <w:textAlignment w:val="auto"/>
              <w:rPr>
                <w:rFonts w:hint="eastAsia"/>
                <w:color w:val="auto"/>
                <w:sz w:val="21"/>
                <w:szCs w:val="21"/>
                <w:lang w:val="en-US" w:eastAsia="zh-Hans"/>
              </w:rPr>
            </w:pPr>
            <w:r>
              <w:rPr>
                <w:rFonts w:hint="eastAsia"/>
                <w:color w:val="auto"/>
                <w:sz w:val="21"/>
                <w:szCs w:val="21"/>
                <w:lang w:val="en-US" w:eastAsia="zh-Hans"/>
              </w:rPr>
              <w:t>优</w:t>
            </w:r>
          </w:p>
        </w:tc>
        <w:tc>
          <w:tcPr>
            <w:tcW w:w="1425" w:type="dxa"/>
            <w:tcBorders>
              <w:top w:val="double" w:color="000000" w:sz="4" w:space="0"/>
              <w:left w:val="single" w:color="000000" w:sz="4" w:space="0"/>
              <w:bottom w:val="single" w:color="000000" w:sz="8" w:space="0"/>
              <w:right w:val="single" w:color="000000" w:sz="4" w:space="0"/>
            </w:tcBorders>
            <w:noWrap w:val="0"/>
            <w:tcMar>
              <w:top w:w="0" w:type="dxa"/>
              <w:left w:w="105" w:type="dxa"/>
              <w:bottom w:w="0" w:type="dxa"/>
              <w:right w:w="105" w:type="dxa"/>
            </w:tcMar>
            <w:vAlign w:val="center"/>
          </w:tcPr>
          <w:p w14:paraId="1CD139A2">
            <w:pPr>
              <w:pStyle w:val="24"/>
              <w:keepNext w:val="0"/>
              <w:keepLines w:val="0"/>
              <w:pageBreakBefore w:val="0"/>
              <w:widowControl w:val="0"/>
              <w:tabs>
                <w:tab w:val="left" w:pos="0"/>
              </w:tabs>
              <w:kinsoku/>
              <w:wordWrap/>
              <w:overflowPunct/>
              <w:topLinePunct w:val="0"/>
              <w:autoSpaceDE/>
              <w:autoSpaceDN/>
              <w:bidi w:val="0"/>
              <w:adjustRightInd/>
              <w:snapToGrid/>
              <w:spacing w:line="300" w:lineRule="exact"/>
              <w:ind w:firstLine="0" w:firstLineChars="0"/>
              <w:textAlignment w:val="auto"/>
              <w:rPr>
                <w:rFonts w:hint="eastAsia"/>
                <w:color w:val="auto"/>
                <w:sz w:val="21"/>
                <w:szCs w:val="21"/>
                <w:lang w:val="en-US" w:eastAsia="zh-Hans"/>
              </w:rPr>
            </w:pPr>
            <w:r>
              <w:rPr>
                <w:rFonts w:hint="eastAsia"/>
                <w:color w:val="auto"/>
                <w:sz w:val="21"/>
                <w:szCs w:val="21"/>
                <w:lang w:val="en-US" w:eastAsia="zh-Hans"/>
              </w:rPr>
              <w:t>良</w:t>
            </w:r>
          </w:p>
        </w:tc>
        <w:tc>
          <w:tcPr>
            <w:tcW w:w="1425" w:type="dxa"/>
            <w:tcBorders>
              <w:top w:val="double" w:color="000000" w:sz="4" w:space="0"/>
              <w:left w:val="single" w:color="000000" w:sz="4" w:space="0"/>
              <w:bottom w:val="single" w:color="000000" w:sz="8" w:space="0"/>
              <w:right w:val="single" w:color="000000" w:sz="4" w:space="0"/>
            </w:tcBorders>
            <w:noWrap w:val="0"/>
            <w:tcMar>
              <w:top w:w="0" w:type="dxa"/>
              <w:left w:w="105" w:type="dxa"/>
              <w:bottom w:w="0" w:type="dxa"/>
              <w:right w:w="105" w:type="dxa"/>
            </w:tcMar>
            <w:vAlign w:val="center"/>
          </w:tcPr>
          <w:p w14:paraId="5BBF1BE0">
            <w:pPr>
              <w:pStyle w:val="24"/>
              <w:keepNext w:val="0"/>
              <w:keepLines w:val="0"/>
              <w:pageBreakBefore w:val="0"/>
              <w:widowControl w:val="0"/>
              <w:tabs>
                <w:tab w:val="left" w:pos="0"/>
              </w:tabs>
              <w:kinsoku/>
              <w:wordWrap/>
              <w:overflowPunct/>
              <w:topLinePunct w:val="0"/>
              <w:autoSpaceDE/>
              <w:autoSpaceDN/>
              <w:bidi w:val="0"/>
              <w:adjustRightInd/>
              <w:snapToGrid/>
              <w:spacing w:line="300" w:lineRule="exact"/>
              <w:ind w:firstLine="0" w:firstLineChars="0"/>
              <w:textAlignment w:val="auto"/>
              <w:rPr>
                <w:rFonts w:hint="eastAsia"/>
                <w:color w:val="auto"/>
                <w:sz w:val="21"/>
                <w:szCs w:val="21"/>
                <w:lang w:val="en-US" w:eastAsia="zh-Hans"/>
              </w:rPr>
            </w:pPr>
            <w:r>
              <w:rPr>
                <w:rFonts w:hint="eastAsia"/>
                <w:color w:val="auto"/>
                <w:sz w:val="21"/>
                <w:szCs w:val="21"/>
                <w:lang w:val="en-US" w:eastAsia="zh-Hans"/>
              </w:rPr>
              <w:t>中</w:t>
            </w:r>
          </w:p>
        </w:tc>
        <w:tc>
          <w:tcPr>
            <w:tcW w:w="1425" w:type="dxa"/>
            <w:tcBorders>
              <w:top w:val="double" w:color="000000" w:sz="4" w:space="0"/>
              <w:left w:val="single" w:color="000000" w:sz="4" w:space="0"/>
              <w:bottom w:val="single" w:color="000000" w:sz="8" w:space="0"/>
              <w:right w:val="single" w:color="000000" w:sz="4" w:space="0"/>
            </w:tcBorders>
            <w:noWrap w:val="0"/>
            <w:tcMar>
              <w:top w:w="0" w:type="dxa"/>
              <w:left w:w="105" w:type="dxa"/>
              <w:bottom w:w="0" w:type="dxa"/>
              <w:right w:w="105" w:type="dxa"/>
            </w:tcMar>
            <w:vAlign w:val="center"/>
          </w:tcPr>
          <w:p w14:paraId="3DD01C3E">
            <w:pPr>
              <w:pStyle w:val="24"/>
              <w:keepNext w:val="0"/>
              <w:keepLines w:val="0"/>
              <w:pageBreakBefore w:val="0"/>
              <w:widowControl w:val="0"/>
              <w:tabs>
                <w:tab w:val="left" w:pos="0"/>
              </w:tabs>
              <w:kinsoku/>
              <w:wordWrap/>
              <w:overflowPunct/>
              <w:topLinePunct w:val="0"/>
              <w:autoSpaceDE/>
              <w:autoSpaceDN/>
              <w:bidi w:val="0"/>
              <w:adjustRightInd/>
              <w:snapToGrid/>
              <w:spacing w:line="300" w:lineRule="exact"/>
              <w:ind w:firstLine="0" w:firstLineChars="0"/>
              <w:textAlignment w:val="auto"/>
              <w:rPr>
                <w:rFonts w:hint="eastAsia"/>
                <w:color w:val="auto"/>
                <w:sz w:val="21"/>
                <w:szCs w:val="21"/>
                <w:lang w:val="en-US" w:eastAsia="zh-Hans"/>
              </w:rPr>
            </w:pPr>
            <w:r>
              <w:rPr>
                <w:rFonts w:hint="eastAsia"/>
                <w:color w:val="auto"/>
                <w:sz w:val="21"/>
                <w:szCs w:val="21"/>
                <w:lang w:val="en-US" w:eastAsia="zh-Hans"/>
              </w:rPr>
              <w:t>次</w:t>
            </w:r>
          </w:p>
        </w:tc>
        <w:tc>
          <w:tcPr>
            <w:tcW w:w="817" w:type="dxa"/>
            <w:tcBorders>
              <w:top w:val="double" w:color="000000" w:sz="4" w:space="0"/>
              <w:left w:val="single" w:color="000000" w:sz="4" w:space="0"/>
              <w:bottom w:val="single" w:color="000000" w:sz="8" w:space="0"/>
              <w:right w:val="double" w:color="000000" w:sz="4" w:space="0"/>
            </w:tcBorders>
            <w:noWrap w:val="0"/>
            <w:tcMar>
              <w:top w:w="0" w:type="dxa"/>
              <w:left w:w="105" w:type="dxa"/>
              <w:bottom w:w="0" w:type="dxa"/>
              <w:right w:w="105" w:type="dxa"/>
            </w:tcMar>
            <w:vAlign w:val="center"/>
          </w:tcPr>
          <w:p w14:paraId="2FDA2223">
            <w:pPr>
              <w:pStyle w:val="24"/>
              <w:keepNext w:val="0"/>
              <w:keepLines w:val="0"/>
              <w:pageBreakBefore w:val="0"/>
              <w:widowControl w:val="0"/>
              <w:tabs>
                <w:tab w:val="left" w:pos="0"/>
              </w:tabs>
              <w:kinsoku/>
              <w:wordWrap/>
              <w:overflowPunct/>
              <w:topLinePunct w:val="0"/>
              <w:autoSpaceDE/>
              <w:autoSpaceDN/>
              <w:bidi w:val="0"/>
              <w:adjustRightInd/>
              <w:snapToGrid/>
              <w:spacing w:line="300" w:lineRule="exact"/>
              <w:ind w:firstLine="0" w:firstLineChars="0"/>
              <w:textAlignment w:val="auto"/>
              <w:rPr>
                <w:rFonts w:hint="eastAsia"/>
                <w:color w:val="auto"/>
                <w:sz w:val="21"/>
                <w:szCs w:val="21"/>
                <w:lang w:val="en-US" w:eastAsia="zh-Hans"/>
              </w:rPr>
            </w:pPr>
            <w:r>
              <w:rPr>
                <w:rFonts w:hint="eastAsia"/>
                <w:color w:val="auto"/>
                <w:sz w:val="21"/>
                <w:szCs w:val="21"/>
                <w:lang w:val="en-US" w:eastAsia="zh-Hans"/>
              </w:rPr>
              <w:t>差</w:t>
            </w:r>
          </w:p>
        </w:tc>
      </w:tr>
      <w:tr w14:paraId="71253C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3849" w:type="dxa"/>
            <w:tcBorders>
              <w:top w:val="single" w:color="000000" w:sz="8" w:space="0"/>
              <w:left w:val="double" w:color="000000" w:sz="4" w:space="0"/>
              <w:bottom w:val="single" w:color="000000" w:sz="8" w:space="0"/>
              <w:right w:val="single" w:color="000000" w:sz="4" w:space="0"/>
            </w:tcBorders>
            <w:noWrap w:val="0"/>
            <w:tcMar>
              <w:top w:w="0" w:type="dxa"/>
              <w:left w:w="105" w:type="dxa"/>
              <w:bottom w:w="0" w:type="dxa"/>
              <w:right w:w="105" w:type="dxa"/>
            </w:tcMar>
            <w:vAlign w:val="center"/>
          </w:tcPr>
          <w:p w14:paraId="245E6883">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MQI</w:t>
            </w:r>
          </w:p>
        </w:tc>
        <w:tc>
          <w:tcPr>
            <w:tcW w:w="816" w:type="dxa"/>
            <w:tcBorders>
              <w:top w:val="single" w:color="000000" w:sz="8" w:space="0"/>
              <w:left w:val="single" w:color="000000" w:sz="4" w:space="0"/>
              <w:bottom w:val="single" w:color="000000" w:sz="8" w:space="0"/>
              <w:right w:val="single" w:color="000000" w:sz="4" w:space="0"/>
            </w:tcBorders>
            <w:noWrap w:val="0"/>
            <w:tcMar>
              <w:top w:w="0" w:type="dxa"/>
              <w:left w:w="105" w:type="dxa"/>
              <w:bottom w:w="0" w:type="dxa"/>
              <w:right w:w="105" w:type="dxa"/>
            </w:tcMar>
            <w:vAlign w:val="center"/>
          </w:tcPr>
          <w:p w14:paraId="35D76D50">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≥90</w:t>
            </w:r>
          </w:p>
        </w:tc>
        <w:tc>
          <w:tcPr>
            <w:tcW w:w="1425" w:type="dxa"/>
            <w:tcBorders>
              <w:top w:val="single" w:color="000000" w:sz="8" w:space="0"/>
              <w:left w:val="single" w:color="000000" w:sz="4" w:space="0"/>
              <w:bottom w:val="single" w:color="000000" w:sz="8" w:space="0"/>
              <w:right w:val="single" w:color="000000" w:sz="4" w:space="0"/>
            </w:tcBorders>
            <w:noWrap w:val="0"/>
            <w:tcMar>
              <w:top w:w="0" w:type="dxa"/>
              <w:left w:w="105" w:type="dxa"/>
              <w:bottom w:w="0" w:type="dxa"/>
              <w:right w:w="105" w:type="dxa"/>
            </w:tcMar>
            <w:vAlign w:val="center"/>
          </w:tcPr>
          <w:p w14:paraId="592BFBE0">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≥80，＜90</w:t>
            </w:r>
          </w:p>
        </w:tc>
        <w:tc>
          <w:tcPr>
            <w:tcW w:w="1425" w:type="dxa"/>
            <w:tcBorders>
              <w:top w:val="single" w:color="000000" w:sz="8" w:space="0"/>
              <w:left w:val="single" w:color="000000" w:sz="4" w:space="0"/>
              <w:bottom w:val="single" w:color="000000" w:sz="8" w:space="0"/>
              <w:right w:val="single" w:color="000000" w:sz="4" w:space="0"/>
            </w:tcBorders>
            <w:noWrap w:val="0"/>
            <w:tcMar>
              <w:top w:w="0" w:type="dxa"/>
              <w:left w:w="105" w:type="dxa"/>
              <w:bottom w:w="0" w:type="dxa"/>
              <w:right w:w="105" w:type="dxa"/>
            </w:tcMar>
            <w:vAlign w:val="center"/>
          </w:tcPr>
          <w:p w14:paraId="60FB1C9D">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≥70，＜80</w:t>
            </w:r>
          </w:p>
        </w:tc>
        <w:tc>
          <w:tcPr>
            <w:tcW w:w="1425" w:type="dxa"/>
            <w:tcBorders>
              <w:top w:val="single" w:color="000000" w:sz="8" w:space="0"/>
              <w:left w:val="single" w:color="000000" w:sz="4" w:space="0"/>
              <w:bottom w:val="single" w:color="000000" w:sz="8" w:space="0"/>
              <w:right w:val="single" w:color="000000" w:sz="4" w:space="0"/>
            </w:tcBorders>
            <w:noWrap w:val="0"/>
            <w:tcMar>
              <w:top w:w="0" w:type="dxa"/>
              <w:left w:w="105" w:type="dxa"/>
              <w:bottom w:w="0" w:type="dxa"/>
              <w:right w:w="105" w:type="dxa"/>
            </w:tcMar>
            <w:vAlign w:val="center"/>
          </w:tcPr>
          <w:p w14:paraId="44AED29B">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≥60，＜70</w:t>
            </w:r>
          </w:p>
        </w:tc>
        <w:tc>
          <w:tcPr>
            <w:tcW w:w="817" w:type="dxa"/>
            <w:tcBorders>
              <w:top w:val="single" w:color="000000" w:sz="8" w:space="0"/>
              <w:left w:val="single" w:color="000000" w:sz="4" w:space="0"/>
              <w:bottom w:val="single" w:color="000000" w:sz="8" w:space="0"/>
              <w:right w:val="double" w:color="000000" w:sz="4" w:space="0"/>
            </w:tcBorders>
            <w:noWrap w:val="0"/>
            <w:tcMar>
              <w:top w:w="0" w:type="dxa"/>
              <w:left w:w="105" w:type="dxa"/>
              <w:bottom w:w="0" w:type="dxa"/>
              <w:right w:w="105" w:type="dxa"/>
            </w:tcMar>
            <w:vAlign w:val="center"/>
          </w:tcPr>
          <w:p w14:paraId="2AE3DB3B">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＜60</w:t>
            </w:r>
          </w:p>
        </w:tc>
      </w:tr>
      <w:tr w14:paraId="157883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849" w:type="dxa"/>
            <w:tcBorders>
              <w:top w:val="single" w:color="000000" w:sz="8" w:space="0"/>
              <w:left w:val="double" w:color="000000" w:sz="4" w:space="0"/>
              <w:bottom w:val="single" w:color="000000" w:sz="8" w:space="0"/>
              <w:right w:val="single" w:color="000000" w:sz="4" w:space="0"/>
            </w:tcBorders>
            <w:noWrap w:val="0"/>
            <w:tcMar>
              <w:top w:w="0" w:type="dxa"/>
              <w:left w:w="105" w:type="dxa"/>
              <w:bottom w:w="0" w:type="dxa"/>
              <w:right w:w="105" w:type="dxa"/>
            </w:tcMar>
            <w:vAlign w:val="center"/>
          </w:tcPr>
          <w:p w14:paraId="312D62BB">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SCI、PQI、BCI、TCI</w:t>
            </w:r>
          </w:p>
        </w:tc>
        <w:tc>
          <w:tcPr>
            <w:tcW w:w="816" w:type="dxa"/>
            <w:tcBorders>
              <w:top w:val="single" w:color="000000" w:sz="8" w:space="0"/>
              <w:left w:val="single" w:color="000000" w:sz="4" w:space="0"/>
              <w:bottom w:val="single" w:color="000000" w:sz="8" w:space="0"/>
              <w:right w:val="single" w:color="000000" w:sz="4" w:space="0"/>
            </w:tcBorders>
            <w:noWrap w:val="0"/>
            <w:tcMar>
              <w:top w:w="0" w:type="dxa"/>
              <w:left w:w="105" w:type="dxa"/>
              <w:bottom w:w="0" w:type="dxa"/>
              <w:right w:w="105" w:type="dxa"/>
            </w:tcMar>
            <w:vAlign w:val="center"/>
          </w:tcPr>
          <w:p w14:paraId="70F4515F">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≥90</w:t>
            </w:r>
          </w:p>
        </w:tc>
        <w:tc>
          <w:tcPr>
            <w:tcW w:w="1425" w:type="dxa"/>
            <w:tcBorders>
              <w:top w:val="single" w:color="000000" w:sz="8" w:space="0"/>
              <w:left w:val="single" w:color="000000" w:sz="4" w:space="0"/>
              <w:bottom w:val="single" w:color="000000" w:sz="8" w:space="0"/>
              <w:right w:val="single" w:color="000000" w:sz="4" w:space="0"/>
            </w:tcBorders>
            <w:noWrap w:val="0"/>
            <w:tcMar>
              <w:top w:w="0" w:type="dxa"/>
              <w:left w:w="105" w:type="dxa"/>
              <w:bottom w:w="0" w:type="dxa"/>
              <w:right w:w="105" w:type="dxa"/>
            </w:tcMar>
            <w:vAlign w:val="center"/>
          </w:tcPr>
          <w:p w14:paraId="275D16FF">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≥80，＜90</w:t>
            </w:r>
          </w:p>
        </w:tc>
        <w:tc>
          <w:tcPr>
            <w:tcW w:w="1425" w:type="dxa"/>
            <w:tcBorders>
              <w:top w:val="single" w:color="000000" w:sz="8" w:space="0"/>
              <w:left w:val="single" w:color="000000" w:sz="4" w:space="0"/>
              <w:bottom w:val="single" w:color="000000" w:sz="8" w:space="0"/>
              <w:right w:val="single" w:color="000000" w:sz="4" w:space="0"/>
            </w:tcBorders>
            <w:noWrap w:val="0"/>
            <w:tcMar>
              <w:top w:w="0" w:type="dxa"/>
              <w:left w:w="105" w:type="dxa"/>
              <w:bottom w:w="0" w:type="dxa"/>
              <w:right w:w="105" w:type="dxa"/>
            </w:tcMar>
            <w:vAlign w:val="center"/>
          </w:tcPr>
          <w:p w14:paraId="5E903FC1">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≥70，＜80</w:t>
            </w:r>
          </w:p>
        </w:tc>
        <w:tc>
          <w:tcPr>
            <w:tcW w:w="1425" w:type="dxa"/>
            <w:tcBorders>
              <w:top w:val="single" w:color="000000" w:sz="8" w:space="0"/>
              <w:left w:val="single" w:color="000000" w:sz="4" w:space="0"/>
              <w:bottom w:val="single" w:color="000000" w:sz="8" w:space="0"/>
              <w:right w:val="single" w:color="000000" w:sz="4" w:space="0"/>
            </w:tcBorders>
            <w:noWrap w:val="0"/>
            <w:tcMar>
              <w:top w:w="0" w:type="dxa"/>
              <w:left w:w="105" w:type="dxa"/>
              <w:bottom w:w="0" w:type="dxa"/>
              <w:right w:w="105" w:type="dxa"/>
            </w:tcMar>
            <w:vAlign w:val="center"/>
          </w:tcPr>
          <w:p w14:paraId="7A1C6678">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≥60，＜70</w:t>
            </w:r>
          </w:p>
        </w:tc>
        <w:tc>
          <w:tcPr>
            <w:tcW w:w="817" w:type="dxa"/>
            <w:tcBorders>
              <w:top w:val="single" w:color="000000" w:sz="8" w:space="0"/>
              <w:left w:val="single" w:color="000000" w:sz="4" w:space="0"/>
              <w:bottom w:val="single" w:color="000000" w:sz="8" w:space="0"/>
              <w:right w:val="double" w:color="000000" w:sz="4" w:space="0"/>
            </w:tcBorders>
            <w:noWrap w:val="0"/>
            <w:tcMar>
              <w:top w:w="0" w:type="dxa"/>
              <w:left w:w="105" w:type="dxa"/>
              <w:bottom w:w="0" w:type="dxa"/>
              <w:right w:w="105" w:type="dxa"/>
            </w:tcMar>
            <w:vAlign w:val="center"/>
          </w:tcPr>
          <w:p w14:paraId="3B41443D">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＜60</w:t>
            </w:r>
          </w:p>
        </w:tc>
      </w:tr>
      <w:tr w14:paraId="269A4F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849" w:type="dxa"/>
            <w:tcBorders>
              <w:top w:val="single" w:color="000000" w:sz="8" w:space="0"/>
              <w:left w:val="double" w:color="000000" w:sz="4" w:space="0"/>
              <w:bottom w:val="double" w:color="000000" w:sz="4" w:space="0"/>
              <w:right w:val="single" w:color="000000" w:sz="4" w:space="0"/>
            </w:tcBorders>
            <w:noWrap w:val="0"/>
            <w:tcMar>
              <w:top w:w="0" w:type="dxa"/>
              <w:left w:w="105" w:type="dxa"/>
              <w:bottom w:w="0" w:type="dxa"/>
              <w:right w:w="105" w:type="dxa"/>
            </w:tcMar>
            <w:vAlign w:val="center"/>
          </w:tcPr>
          <w:p w14:paraId="673379B9">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PCI、RQI、RDI、PBI、PWI、SRI、PSSI</w:t>
            </w:r>
          </w:p>
        </w:tc>
        <w:tc>
          <w:tcPr>
            <w:tcW w:w="816" w:type="dxa"/>
            <w:tcBorders>
              <w:top w:val="single" w:color="000000" w:sz="8" w:space="0"/>
              <w:left w:val="single" w:color="000000" w:sz="4" w:space="0"/>
              <w:bottom w:val="double" w:color="000000" w:sz="4" w:space="0"/>
              <w:right w:val="single" w:color="000000" w:sz="4" w:space="0"/>
            </w:tcBorders>
            <w:noWrap w:val="0"/>
            <w:tcMar>
              <w:top w:w="0" w:type="dxa"/>
              <w:left w:w="105" w:type="dxa"/>
              <w:bottom w:w="0" w:type="dxa"/>
              <w:right w:w="105" w:type="dxa"/>
            </w:tcMar>
            <w:vAlign w:val="center"/>
          </w:tcPr>
          <w:p w14:paraId="5E03F483">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≥90</w:t>
            </w:r>
          </w:p>
        </w:tc>
        <w:tc>
          <w:tcPr>
            <w:tcW w:w="1425" w:type="dxa"/>
            <w:tcBorders>
              <w:top w:val="single" w:color="000000" w:sz="8" w:space="0"/>
              <w:left w:val="single" w:color="000000" w:sz="4" w:space="0"/>
              <w:bottom w:val="double" w:color="000000" w:sz="4" w:space="0"/>
              <w:right w:val="single" w:color="000000" w:sz="4" w:space="0"/>
            </w:tcBorders>
            <w:noWrap w:val="0"/>
            <w:tcMar>
              <w:top w:w="0" w:type="dxa"/>
              <w:left w:w="105" w:type="dxa"/>
              <w:bottom w:w="0" w:type="dxa"/>
              <w:right w:w="105" w:type="dxa"/>
            </w:tcMar>
            <w:vAlign w:val="center"/>
          </w:tcPr>
          <w:p w14:paraId="2327E9A8">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≥80，＜90</w:t>
            </w:r>
          </w:p>
        </w:tc>
        <w:tc>
          <w:tcPr>
            <w:tcW w:w="1425" w:type="dxa"/>
            <w:tcBorders>
              <w:top w:val="single" w:color="000000" w:sz="8" w:space="0"/>
              <w:left w:val="single" w:color="000000" w:sz="4" w:space="0"/>
              <w:bottom w:val="double" w:color="000000" w:sz="4" w:space="0"/>
              <w:right w:val="single" w:color="000000" w:sz="4" w:space="0"/>
            </w:tcBorders>
            <w:noWrap w:val="0"/>
            <w:tcMar>
              <w:top w:w="0" w:type="dxa"/>
              <w:left w:w="105" w:type="dxa"/>
              <w:bottom w:w="0" w:type="dxa"/>
              <w:right w:w="105" w:type="dxa"/>
            </w:tcMar>
            <w:vAlign w:val="center"/>
          </w:tcPr>
          <w:p w14:paraId="68E8066B">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≥70，＜80</w:t>
            </w:r>
          </w:p>
        </w:tc>
        <w:tc>
          <w:tcPr>
            <w:tcW w:w="1425" w:type="dxa"/>
            <w:tcBorders>
              <w:top w:val="single" w:color="000000" w:sz="8" w:space="0"/>
              <w:left w:val="single" w:color="000000" w:sz="4" w:space="0"/>
              <w:bottom w:val="double" w:color="000000" w:sz="4" w:space="0"/>
              <w:right w:val="single" w:color="000000" w:sz="4" w:space="0"/>
            </w:tcBorders>
            <w:noWrap w:val="0"/>
            <w:tcMar>
              <w:top w:w="0" w:type="dxa"/>
              <w:left w:w="105" w:type="dxa"/>
              <w:bottom w:w="0" w:type="dxa"/>
              <w:right w:w="105" w:type="dxa"/>
            </w:tcMar>
            <w:vAlign w:val="center"/>
          </w:tcPr>
          <w:p w14:paraId="7FB17F61">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≥60，＜70</w:t>
            </w:r>
          </w:p>
        </w:tc>
        <w:tc>
          <w:tcPr>
            <w:tcW w:w="817" w:type="dxa"/>
            <w:tcBorders>
              <w:top w:val="single" w:color="000000" w:sz="8" w:space="0"/>
              <w:left w:val="single" w:color="000000" w:sz="4" w:space="0"/>
              <w:bottom w:val="double" w:color="000000" w:sz="4" w:space="0"/>
              <w:right w:val="double" w:color="000000" w:sz="4" w:space="0"/>
            </w:tcBorders>
            <w:noWrap w:val="0"/>
            <w:tcMar>
              <w:top w:w="0" w:type="dxa"/>
              <w:left w:w="105" w:type="dxa"/>
              <w:bottom w:w="0" w:type="dxa"/>
              <w:right w:w="105" w:type="dxa"/>
            </w:tcMar>
            <w:vAlign w:val="center"/>
          </w:tcPr>
          <w:p w14:paraId="598712F8">
            <w:pPr>
              <w:pStyle w:val="30"/>
              <w:numPr>
                <w:ilvl w:val="0"/>
                <w:numId w:val="0"/>
              </w:numPr>
              <w:spacing w:line="300" w:lineRule="exact"/>
              <w:ind w:right="-55"/>
              <w:jc w:val="center"/>
              <w:rPr>
                <w:rFonts w:hint="eastAsia" w:ascii="微软雅黑" w:hAnsi="微软雅黑" w:cs="微软雅黑"/>
                <w:color w:val="auto"/>
                <w:sz w:val="21"/>
                <w:szCs w:val="21"/>
                <w:lang w:val="en-US" w:eastAsia="zh-Hans"/>
              </w:rPr>
            </w:pPr>
            <w:r>
              <w:rPr>
                <w:rFonts w:hint="eastAsia" w:ascii="微软雅黑" w:hAnsi="微软雅黑" w:cs="微软雅黑"/>
                <w:color w:val="auto"/>
                <w:sz w:val="21"/>
                <w:szCs w:val="21"/>
                <w:lang w:val="en-US" w:eastAsia="zh-Hans"/>
              </w:rPr>
              <w:t>＜60</w:t>
            </w:r>
          </w:p>
        </w:tc>
      </w:tr>
    </w:tbl>
    <w:p w14:paraId="4901D167">
      <w:pPr>
        <w:ind w:firstLine="480" w:firstLineChars="200"/>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注：1.高速公路路面损坏状况指数PCI等级划分标准应为“优”大于或等于92，“良”在80～92之间，其他保持不变。</w:t>
      </w:r>
    </w:p>
    <w:p w14:paraId="3F1CEACF">
      <w:pPr>
        <w:ind w:firstLine="480" w:firstLineChars="200"/>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2.水泥混凝土路面行驶质量指数 RQI 等级划分标准应为“优”大于或等于88，“良”在80～88之间，其他保持不变。</w:t>
      </w:r>
    </w:p>
    <w:p w14:paraId="764AE111">
      <w:pPr>
        <w:ind w:firstLine="480" w:firstLineChars="200"/>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根据《公路技术状况评定标准》（JTG 5210-2018），公路技术状况指数的评定以每1000米路段长度为基本评定单元，对于非整公里的路段，为了使评定结果具有可比性，除PQI外，应将SCI、BCI、TCI三项指标的评价结果换算成整公里值。换算方法是将SCI、BCI、TCI的损坏数据除以路段长度（扣分×基本评定单元长度－实际检测路段长度）然后再计算SCI、BCI和TCI。路线技术状况评定时，应采用路线所包含的所有路段MQI算术平均值作为该路线的MQI值。</w:t>
      </w:r>
    </w:p>
    <w:p w14:paraId="28B31D69">
      <w:pPr>
        <w:numPr>
          <w:ilvl w:val="0"/>
          <w:numId w:val="8"/>
        </w:numPr>
        <w:ind w:left="0" w:leftChars="0" w:firstLine="422" w:firstLineChars="200"/>
        <w:jc w:val="both"/>
        <w:rPr>
          <w:rFonts w:hint="eastAsia" w:ascii="宋体" w:hAnsi="宋体" w:eastAsia="宋体" w:cs="宋体"/>
          <w:b/>
          <w:bCs/>
          <w:color w:val="auto"/>
          <w:kern w:val="2"/>
          <w:sz w:val="21"/>
          <w:szCs w:val="21"/>
          <w:lang w:val="en-US" w:eastAsia="zh-Hans" w:bidi="ar-SA"/>
        </w:rPr>
      </w:pPr>
      <w:r>
        <w:rPr>
          <w:rFonts w:hint="eastAsia" w:ascii="宋体" w:hAnsi="宋体" w:eastAsia="宋体" w:cs="宋体"/>
          <w:b/>
          <w:bCs/>
          <w:color w:val="auto"/>
          <w:kern w:val="2"/>
          <w:sz w:val="21"/>
          <w:szCs w:val="21"/>
          <w:lang w:val="en-US" w:eastAsia="zh-Hans" w:bidi="ar-SA"/>
        </w:rPr>
        <w:t>编制道路检测报告</w:t>
      </w:r>
    </w:p>
    <w:p w14:paraId="41C364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内容包括:</w:t>
      </w:r>
    </w:p>
    <w:p w14:paraId="428D50D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（1）按照经采购人审定的检测计划、方案的内容，简要介绍检测试验实施概况。</w:t>
      </w:r>
    </w:p>
    <w:p w14:paraId="03C9990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（2）各项检测、测试结果汇总小结、道路技术状况等级评定。指出存在问题、提出处理意见和建议。</w:t>
      </w:r>
    </w:p>
    <w:p w14:paraId="13FDE4E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（3）试验和报告的日期，主持和参加单位及人员名称，主持者签名。</w:t>
      </w:r>
    </w:p>
    <w:p w14:paraId="37775BE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（4）附录：根据道路现状和各道路养护资料建立道路基本状况卡片、试验数据的汇总图表、试验现场和结构检查病害的照片、裂缝分布图等。</w:t>
      </w:r>
    </w:p>
    <w:p w14:paraId="2C3682EB">
      <w:pPr>
        <w:numPr>
          <w:ilvl w:val="0"/>
          <w:numId w:val="8"/>
        </w:numPr>
        <w:ind w:left="0" w:leftChars="0" w:firstLine="422" w:firstLineChars="200"/>
        <w:jc w:val="both"/>
        <w:rPr>
          <w:rFonts w:hint="eastAsia" w:ascii="宋体" w:hAnsi="宋体" w:eastAsia="宋体" w:cs="宋体"/>
          <w:b/>
          <w:bCs/>
          <w:color w:val="auto"/>
          <w:kern w:val="2"/>
          <w:sz w:val="21"/>
          <w:szCs w:val="21"/>
          <w:lang w:val="en-US" w:eastAsia="zh-Hans" w:bidi="ar-SA"/>
        </w:rPr>
      </w:pPr>
      <w:r>
        <w:rPr>
          <w:rFonts w:hint="eastAsia" w:ascii="宋体" w:hAnsi="宋体" w:eastAsia="宋体" w:cs="宋体"/>
          <w:b/>
          <w:bCs/>
          <w:color w:val="auto"/>
          <w:kern w:val="2"/>
          <w:sz w:val="21"/>
          <w:szCs w:val="21"/>
          <w:lang w:val="en-US" w:eastAsia="zh-Hans" w:bidi="ar-SA"/>
        </w:rPr>
        <w:t>检测报告必须严格进行内部三级审核制度</w:t>
      </w:r>
    </w:p>
    <w:p w14:paraId="43B712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（1）检测人员要熟悉并严格按照试验规程和方法，同时做好数据记录。</w:t>
      </w:r>
    </w:p>
    <w:p w14:paraId="3636029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（2）检查测试工作校核者应掌握检测技术规程和标准，检查数据与原始记录符合，事实符合，严格按照规范进行。</w:t>
      </w:r>
    </w:p>
    <w:p w14:paraId="46832F0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r>
        <w:rPr>
          <w:rFonts w:hint="eastAsia" w:ascii="宋体" w:hAnsi="宋体" w:eastAsia="宋体" w:cs="宋体"/>
          <w:color w:val="auto"/>
          <w:kern w:val="2"/>
          <w:sz w:val="24"/>
          <w:szCs w:val="21"/>
          <w:lang w:val="en-US" w:eastAsia="zh-Hans" w:bidi="ar-SA"/>
        </w:rPr>
        <w:t>（3）报告审核者保证程序合法，报告有效。</w:t>
      </w:r>
    </w:p>
    <w:p w14:paraId="726CEF9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Hans" w:bidi="ar-SA"/>
        </w:rPr>
      </w:pPr>
    </w:p>
    <w:p w14:paraId="78F3F0B5">
      <w:pPr>
        <w:numPr>
          <w:ilvl w:val="0"/>
          <w:numId w:val="0"/>
        </w:numPr>
        <w:ind w:firstLine="482" w:firstLineChars="200"/>
        <w:rPr>
          <w:rFonts w:hint="eastAsia" w:ascii="宋体" w:hAnsi="宋体" w:eastAsia="宋体" w:cs="宋体"/>
          <w:color w:val="auto"/>
          <w:kern w:val="2"/>
          <w:sz w:val="24"/>
          <w:szCs w:val="21"/>
          <w:lang w:val="en-US" w:eastAsia="zh-CN" w:bidi="ar-SA"/>
        </w:rPr>
      </w:pPr>
      <w:r>
        <w:rPr>
          <w:rFonts w:hint="eastAsia" w:ascii="仿宋" w:hAnsi="仿宋" w:eastAsia="仿宋" w:cs="仿宋"/>
          <w:b/>
          <w:bCs/>
          <w:color w:val="000000" w:themeColor="text1"/>
          <w:kern w:val="2"/>
          <w:sz w:val="24"/>
          <w:szCs w:val="24"/>
          <w:lang w:val="en-US" w:eastAsia="zh-CN" w:bidi="ar-SA"/>
        </w:rPr>
        <w:t>★</w:t>
      </w:r>
      <w:r>
        <w:rPr>
          <w:rFonts w:hint="eastAsia" w:ascii="宋体" w:hAnsi="宋体" w:eastAsia="宋体" w:cs="宋体"/>
          <w:b/>
          <w:bCs/>
          <w:color w:val="000000" w:themeColor="text1"/>
          <w:kern w:val="2"/>
          <w:sz w:val="24"/>
          <w:szCs w:val="24"/>
          <w:lang w:val="en-US" w:eastAsia="zh-CN" w:bidi="ar-SA"/>
        </w:rPr>
        <w:t>3）设备要求：</w:t>
      </w:r>
      <w:r>
        <w:rPr>
          <w:rFonts w:hint="eastAsia" w:ascii="宋体" w:hAnsi="宋体" w:eastAsia="宋体" w:cs="宋体"/>
          <w:color w:val="auto"/>
          <w:kern w:val="2"/>
          <w:sz w:val="24"/>
          <w:szCs w:val="21"/>
          <w:lang w:val="en-US" w:eastAsia="zh-CN" w:bidi="ar-SA"/>
        </w:rPr>
        <w:t>投标人需自有3台及以上多功能路况检测车。</w:t>
      </w:r>
    </w:p>
    <w:p w14:paraId="428B300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2"/>
          <w:sz w:val="24"/>
          <w:szCs w:val="21"/>
          <w:lang w:val="en-US" w:eastAsia="zh-CN" w:bidi="ar-SA"/>
        </w:rPr>
      </w:pPr>
      <w:r>
        <w:rPr>
          <w:rFonts w:hint="eastAsia" w:ascii="宋体" w:hAnsi="宋体" w:eastAsia="宋体" w:cs="宋体"/>
          <w:color w:val="auto"/>
          <w:kern w:val="2"/>
          <w:sz w:val="24"/>
          <w:szCs w:val="21"/>
          <w:lang w:val="en-US" w:eastAsia="zh-CN" w:bidi="ar-SA"/>
        </w:rPr>
        <w:t>响应文件中须提供：1、车辆购置发票复印件（发票购买方名称须为投标人，证明所有权为投标人2、提供设备校准证书复印件（校准证书委托单位须为投标人，证书处于有效期内）。</w:t>
      </w:r>
    </w:p>
    <w:p w14:paraId="06B47C7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FF0000"/>
          <w:kern w:val="2"/>
          <w:sz w:val="24"/>
          <w:szCs w:val="21"/>
          <w:lang w:val="en-US" w:eastAsia="zh-CN" w:bidi="ar-SA"/>
        </w:rPr>
      </w:pPr>
    </w:p>
    <w:p w14:paraId="56D8B581">
      <w:pPr>
        <w:pStyle w:val="10"/>
        <w:keepNext w:val="0"/>
        <w:keepLines w:val="0"/>
        <w:pageBreakBefore w:val="0"/>
        <w:widowControl w:val="0"/>
        <w:numPr>
          <w:ilvl w:val="0"/>
          <w:numId w:val="0"/>
        </w:numPr>
        <w:tabs>
          <w:tab w:val="left" w:pos="0"/>
        </w:tabs>
        <w:kinsoku/>
        <w:wordWrap/>
        <w:overflowPunct/>
        <w:topLinePunct w:val="0"/>
        <w:autoSpaceDE/>
        <w:autoSpaceDN/>
        <w:bidi w:val="0"/>
        <w:adjustRightInd/>
        <w:snapToGrid/>
        <w:ind w:firstLine="482" w:firstLine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4）其他要求</w:t>
      </w:r>
    </w:p>
    <w:p w14:paraId="04BA5AC8">
      <w:pPr>
        <w:numPr>
          <w:ilvl w:val="0"/>
          <w:numId w:val="9"/>
        </w:numPr>
        <w:ind w:left="0" w:leftChars="0" w:firstLine="42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服务期限内，成交供应商应组织专业团队，专人负责完成本项目。</w:t>
      </w:r>
    </w:p>
    <w:p w14:paraId="6A2B56F1">
      <w:pPr>
        <w:numPr>
          <w:ilvl w:val="0"/>
          <w:numId w:val="9"/>
        </w:numPr>
        <w:ind w:left="0" w:leftChars="0" w:firstLine="42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成交供应商负责检测试验现场的安全防护工作，因安全防护措施不力、自然灾害等，造成人身、财产损失的，成交供应商自行承担由此产生的一切法律责任。</w:t>
      </w:r>
    </w:p>
    <w:p w14:paraId="13E2F305">
      <w:pPr>
        <w:numPr>
          <w:ilvl w:val="0"/>
          <w:numId w:val="9"/>
        </w:numPr>
        <w:ind w:left="0" w:leftChars="0" w:firstLine="42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成交供应商提供的检测报告数据必须实事求是、字迹清楚、数据可靠。</w:t>
      </w:r>
    </w:p>
    <w:p w14:paraId="32AB6622">
      <w:pPr>
        <w:numPr>
          <w:ilvl w:val="0"/>
          <w:numId w:val="9"/>
        </w:numPr>
        <w:ind w:left="0" w:leftChars="0" w:firstLine="42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成交供应商必须按照国家现行法律法规以及相关政策开展工作，如有违反，采购人有权中止合同。</w:t>
      </w:r>
    </w:p>
    <w:p w14:paraId="61C1D358">
      <w:pPr>
        <w:numPr>
          <w:ilvl w:val="0"/>
          <w:numId w:val="9"/>
        </w:numPr>
        <w:ind w:left="0" w:leftChars="0" w:firstLine="42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本项目不允许分包，如有违反，采购人有权终止合同，由此造成的损失由成交供应商自行承担；造成采购人损失的，按合同价款的10%承担违约责任。</w:t>
      </w:r>
    </w:p>
    <w:p w14:paraId="567BDEA7">
      <w:pPr>
        <w:numPr>
          <w:ilvl w:val="0"/>
          <w:numId w:val="9"/>
        </w:numPr>
        <w:ind w:left="0" w:leftChars="0" w:firstLine="42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检测安全及质量保障要求</w:t>
      </w:r>
    </w:p>
    <w:p w14:paraId="5430EB15">
      <w:pPr>
        <w:numPr>
          <w:ilvl w:val="0"/>
          <w:numId w:val="0"/>
        </w:numPr>
        <w:ind w:firstLine="42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检测单位在检测过程中应遵守《公路养护安全作业规程》相关要求，确保检测人员安全。还需具有完善的质量保障体系，保障数据采集过程中数据真实可靠，数据处理分析后结论科学性、合理性。</w:t>
      </w:r>
    </w:p>
    <w:p w14:paraId="1C257921">
      <w:pPr>
        <w:keepNext w:val="0"/>
        <w:keepLines w:val="0"/>
        <w:pageBreakBefore w:val="0"/>
        <w:widowControl w:val="0"/>
        <w:numPr>
          <w:ilvl w:val="0"/>
          <w:numId w:val="0"/>
        </w:numPr>
        <w:kinsoku/>
        <w:wordWrap/>
        <w:overflowPunct/>
        <w:topLinePunct w:val="0"/>
        <w:autoSpaceDE w:val="0"/>
        <w:autoSpaceDN/>
        <w:bidi w:val="0"/>
        <w:adjustRightInd/>
        <w:snapToGrid w:val="0"/>
        <w:spacing w:line="360" w:lineRule="exact"/>
        <w:ind w:firstLine="420" w:firstLineChars="20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7.路面须检测平整度、破损率、结构强度等指标，并根据检测结果开展公路技术状况MQI检测评定工作，评定PQI、PCI、RQI、优良路率，提供桑植县公路技术状况评定报告（含路面PQI、路基SCI、沿线设施TCI、桥隧SCI）。应提供自有的多功能快速路面检测系统（全自动检测车）。</w:t>
      </w:r>
    </w:p>
    <w:p w14:paraId="617C9B4D">
      <w:pPr>
        <w:keepNext w:val="0"/>
        <w:keepLines w:val="0"/>
        <w:pageBreakBefore w:val="0"/>
        <w:widowControl w:val="0"/>
        <w:numPr>
          <w:ilvl w:val="0"/>
          <w:numId w:val="0"/>
        </w:numPr>
        <w:kinsoku/>
        <w:wordWrap/>
        <w:overflowPunct/>
        <w:topLinePunct w:val="0"/>
        <w:autoSpaceDE w:val="0"/>
        <w:autoSpaceDN/>
        <w:bidi w:val="0"/>
        <w:adjustRightInd/>
        <w:snapToGrid w:val="0"/>
        <w:spacing w:line="360" w:lineRule="exact"/>
        <w:ind w:leftChars="200"/>
        <w:textAlignment w:val="auto"/>
        <w:rPr>
          <w:rFonts w:hint="eastAsia" w:ascii="宋体" w:hAnsi="宋体" w:eastAsia="宋体" w:cs="宋体"/>
          <w:bCs/>
          <w:color w:val="auto"/>
          <w:szCs w:val="21"/>
        </w:rPr>
      </w:pPr>
      <w:r>
        <w:rPr>
          <w:rFonts w:hint="eastAsia" w:ascii="宋体" w:hAnsi="宋体" w:eastAsia="宋体" w:cs="宋体"/>
          <w:bCs/>
          <w:color w:val="auto"/>
          <w:szCs w:val="21"/>
          <w:lang w:val="en-US" w:eastAsia="zh-CN"/>
        </w:rPr>
        <w:t>8.</w:t>
      </w:r>
      <w:r>
        <w:rPr>
          <w:rFonts w:hint="eastAsia" w:ascii="宋体" w:hAnsi="宋体" w:eastAsia="宋体" w:cs="宋体"/>
          <w:bCs/>
          <w:color w:val="auto"/>
          <w:szCs w:val="21"/>
        </w:rPr>
        <w:t>其他事项以双方约定为准。</w:t>
      </w:r>
    </w:p>
    <w:p w14:paraId="5876A063">
      <w:pPr>
        <w:keepNext w:val="0"/>
        <w:keepLines w:val="0"/>
        <w:pageBreakBefore w:val="0"/>
        <w:widowControl w:val="0"/>
        <w:numPr>
          <w:ilvl w:val="0"/>
          <w:numId w:val="0"/>
        </w:numPr>
        <w:kinsoku/>
        <w:wordWrap/>
        <w:overflowPunct/>
        <w:topLinePunct w:val="0"/>
        <w:autoSpaceDE w:val="0"/>
        <w:autoSpaceDN/>
        <w:bidi w:val="0"/>
        <w:adjustRightInd/>
        <w:snapToGrid w:val="0"/>
        <w:spacing w:line="360" w:lineRule="exact"/>
        <w:ind w:firstLine="420" w:firstLineChars="20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9.供应商如需踏勘现场，有关费用自理，踏勘期间发生的意外自负。</w:t>
      </w:r>
    </w:p>
    <w:p w14:paraId="3DDB2857">
      <w:pPr>
        <w:keepNext w:val="0"/>
        <w:keepLines w:val="0"/>
        <w:pageBreakBefore w:val="0"/>
        <w:widowControl w:val="0"/>
        <w:numPr>
          <w:ilvl w:val="0"/>
          <w:numId w:val="0"/>
        </w:numPr>
        <w:kinsoku/>
        <w:wordWrap/>
        <w:overflowPunct/>
        <w:topLinePunct w:val="0"/>
        <w:autoSpaceDE w:val="0"/>
        <w:autoSpaceDN/>
        <w:bidi w:val="0"/>
        <w:adjustRightInd/>
        <w:snapToGrid w:val="0"/>
        <w:spacing w:line="360" w:lineRule="exact"/>
        <w:ind w:firstLine="420" w:firstLineChars="200"/>
        <w:textAlignment w:val="auto"/>
      </w:pPr>
      <w:r>
        <w:rPr>
          <w:rFonts w:hint="eastAsia" w:ascii="宋体" w:hAnsi="宋体" w:eastAsia="宋体" w:cs="宋体"/>
          <w:bCs/>
          <w:color w:val="auto"/>
          <w:szCs w:val="21"/>
          <w:highlight w:val="none"/>
          <w:lang w:val="en-US" w:eastAsia="zh-CN"/>
        </w:rPr>
        <w:t>10.其他未尽事宜，在签订合同时另行约定。</w:t>
      </w:r>
    </w:p>
    <w:p w14:paraId="6A6AB75A">
      <w:pPr>
        <w:pStyle w:val="4"/>
        <w:numPr>
          <w:ilvl w:val="0"/>
          <w:numId w:val="7"/>
        </w:numPr>
        <w:tabs>
          <w:tab w:val="left" w:pos="0"/>
        </w:tabs>
        <w:bidi w:val="0"/>
        <w:ind w:left="0" w:leftChars="0" w:firstLine="643" w:firstLineChars="200"/>
        <w:rPr>
          <w:rFonts w:hint="eastAsia" w:ascii="Times New Roman" w:hAnsi="Times New Roman" w:cs="Times New Roman"/>
          <w:color w:val="auto"/>
          <w:lang w:val="en-US" w:eastAsia="zh-Hans"/>
        </w:rPr>
      </w:pPr>
      <w:r>
        <w:rPr>
          <w:rFonts w:hint="eastAsia" w:ascii="Times New Roman" w:hAnsi="Times New Roman" w:cs="Times New Roman"/>
          <w:color w:val="auto"/>
          <w:lang w:val="en-US" w:eastAsia="zh-Hans"/>
        </w:rPr>
        <w:t>商务要求</w:t>
      </w:r>
    </w:p>
    <w:tbl>
      <w:tblPr>
        <w:tblStyle w:val="19"/>
        <w:tblW w:w="1021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611"/>
        <w:gridCol w:w="7954"/>
      </w:tblGrid>
      <w:tr w14:paraId="1BDC85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blHeader/>
          <w:jc w:val="center"/>
        </w:trPr>
        <w:tc>
          <w:tcPr>
            <w:tcW w:w="654" w:type="dxa"/>
            <w:tcBorders>
              <w:tl2br w:val="nil"/>
              <w:tr2bl w:val="nil"/>
            </w:tcBorders>
            <w:shd w:val="clear" w:color="B8CCE4" w:fill="FFFFFF"/>
            <w:noWrap w:val="0"/>
            <w:vAlign w:val="center"/>
          </w:tcPr>
          <w:p w14:paraId="1F30C1EE">
            <w:pPr>
              <w:pStyle w:val="24"/>
              <w:keepNext w:val="0"/>
              <w:keepLines w:val="0"/>
              <w:pageBreakBefore w:val="0"/>
              <w:widowControl w:val="0"/>
              <w:tabs>
                <w:tab w:val="left" w:pos="0"/>
              </w:tabs>
              <w:kinsoku/>
              <w:wordWrap/>
              <w:overflowPunct/>
              <w:topLinePunct w:val="0"/>
              <w:autoSpaceDE/>
              <w:autoSpaceDN/>
              <w:bidi w:val="0"/>
              <w:adjustRightInd/>
              <w:snapToGrid/>
              <w:spacing w:line="300" w:lineRule="exact"/>
              <w:ind w:firstLine="0" w:firstLineChars="0"/>
              <w:jc w:val="center"/>
              <w:textAlignment w:val="auto"/>
              <w:rPr>
                <w:rFonts w:hint="eastAsia"/>
                <w:color w:val="auto"/>
                <w:sz w:val="21"/>
                <w:szCs w:val="21"/>
              </w:rPr>
            </w:pPr>
            <w:r>
              <w:rPr>
                <w:rFonts w:hint="eastAsia"/>
                <w:color w:val="auto"/>
                <w:sz w:val="21"/>
                <w:szCs w:val="21"/>
              </w:rPr>
              <w:t>序号</w:t>
            </w:r>
          </w:p>
        </w:tc>
        <w:tc>
          <w:tcPr>
            <w:tcW w:w="1611" w:type="dxa"/>
            <w:tcBorders>
              <w:tl2br w:val="nil"/>
              <w:tr2bl w:val="nil"/>
            </w:tcBorders>
            <w:shd w:val="clear" w:color="B8CCE4" w:fill="FFFFFF"/>
            <w:noWrap w:val="0"/>
            <w:vAlign w:val="center"/>
          </w:tcPr>
          <w:p w14:paraId="4EF60C5C">
            <w:pPr>
              <w:pStyle w:val="24"/>
              <w:keepNext w:val="0"/>
              <w:keepLines w:val="0"/>
              <w:pageBreakBefore w:val="0"/>
              <w:widowControl w:val="0"/>
              <w:tabs>
                <w:tab w:val="left" w:pos="0"/>
              </w:tabs>
              <w:kinsoku/>
              <w:wordWrap/>
              <w:overflowPunct/>
              <w:topLinePunct w:val="0"/>
              <w:autoSpaceDE/>
              <w:autoSpaceDN/>
              <w:bidi w:val="0"/>
              <w:adjustRightInd/>
              <w:snapToGrid/>
              <w:spacing w:line="300" w:lineRule="exact"/>
              <w:ind w:firstLine="0" w:firstLineChars="0"/>
              <w:jc w:val="center"/>
              <w:textAlignment w:val="auto"/>
              <w:rPr>
                <w:rFonts w:hint="eastAsia"/>
                <w:color w:val="auto"/>
                <w:sz w:val="21"/>
                <w:szCs w:val="21"/>
              </w:rPr>
            </w:pPr>
            <w:r>
              <w:rPr>
                <w:rFonts w:hint="eastAsia"/>
                <w:color w:val="auto"/>
                <w:sz w:val="21"/>
                <w:szCs w:val="21"/>
              </w:rPr>
              <w:t>商务条款</w:t>
            </w:r>
          </w:p>
        </w:tc>
        <w:tc>
          <w:tcPr>
            <w:tcW w:w="7954" w:type="dxa"/>
            <w:tcBorders>
              <w:tl2br w:val="nil"/>
              <w:tr2bl w:val="nil"/>
            </w:tcBorders>
            <w:shd w:val="clear" w:color="B8CCE4" w:fill="FFFFFF"/>
            <w:noWrap w:val="0"/>
            <w:vAlign w:val="center"/>
          </w:tcPr>
          <w:p w14:paraId="30967F6B">
            <w:pPr>
              <w:pStyle w:val="24"/>
              <w:keepNext w:val="0"/>
              <w:keepLines w:val="0"/>
              <w:pageBreakBefore w:val="0"/>
              <w:widowControl w:val="0"/>
              <w:tabs>
                <w:tab w:val="left" w:pos="0"/>
              </w:tabs>
              <w:kinsoku/>
              <w:wordWrap/>
              <w:overflowPunct/>
              <w:topLinePunct w:val="0"/>
              <w:autoSpaceDE/>
              <w:autoSpaceDN/>
              <w:bidi w:val="0"/>
              <w:adjustRightInd/>
              <w:snapToGrid/>
              <w:spacing w:line="300" w:lineRule="exact"/>
              <w:ind w:firstLine="0" w:firstLineChars="0"/>
              <w:jc w:val="center"/>
              <w:textAlignment w:val="auto"/>
              <w:rPr>
                <w:rFonts w:hint="eastAsia"/>
                <w:color w:val="auto"/>
                <w:sz w:val="21"/>
                <w:szCs w:val="21"/>
              </w:rPr>
            </w:pPr>
            <w:r>
              <w:rPr>
                <w:rFonts w:hint="eastAsia"/>
                <w:color w:val="auto"/>
                <w:sz w:val="21"/>
                <w:szCs w:val="21"/>
              </w:rPr>
              <w:t>内    容</w:t>
            </w:r>
          </w:p>
        </w:tc>
      </w:tr>
      <w:tr w14:paraId="4695ED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654" w:type="dxa"/>
            <w:tcBorders>
              <w:tl2br w:val="nil"/>
              <w:tr2bl w:val="nil"/>
            </w:tcBorders>
            <w:shd w:val="clear" w:color="C4BC96" w:fill="auto"/>
            <w:noWrap w:val="0"/>
            <w:vAlign w:val="center"/>
          </w:tcPr>
          <w:p w14:paraId="3B0C2930">
            <w:pPr>
              <w:keepNext w:val="0"/>
              <w:keepLines w:val="0"/>
              <w:pageBreakBefore w:val="0"/>
              <w:widowControl w:val="0"/>
              <w:numPr>
                <w:ilvl w:val="0"/>
                <w:numId w:val="10"/>
              </w:numPr>
              <w:tabs>
                <w:tab w:val="left" w:pos="102"/>
              </w:tabs>
              <w:kinsoku/>
              <w:wordWrap/>
              <w:overflowPunct/>
              <w:topLinePunct w:val="0"/>
              <w:autoSpaceDE/>
              <w:autoSpaceDN/>
              <w:bidi w:val="0"/>
              <w:adjustRightInd/>
              <w:snapToGrid/>
              <w:spacing w:line="300" w:lineRule="exact"/>
              <w:ind w:left="0" w:leftChars="0" w:right="-65" w:rightChars="-31" w:firstLine="0" w:firstLineChars="0"/>
              <w:jc w:val="center"/>
              <w:textAlignment w:val="auto"/>
              <w:rPr>
                <w:rFonts w:hint="eastAsia" w:ascii="微软雅黑" w:hAnsi="微软雅黑" w:eastAsia="微软雅黑" w:cs="微软雅黑"/>
                <w:b w:val="0"/>
                <w:bCs/>
                <w:color w:val="auto"/>
                <w:sz w:val="21"/>
                <w:szCs w:val="21"/>
              </w:rPr>
            </w:pPr>
          </w:p>
        </w:tc>
        <w:tc>
          <w:tcPr>
            <w:tcW w:w="1611" w:type="dxa"/>
            <w:tcBorders>
              <w:tl2br w:val="nil"/>
              <w:tr2bl w:val="nil"/>
            </w:tcBorders>
            <w:shd w:val="clear" w:color="C4BC96" w:fill="auto"/>
            <w:noWrap w:val="0"/>
            <w:vAlign w:val="center"/>
          </w:tcPr>
          <w:p w14:paraId="17BE022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微软雅黑" w:hAnsi="微软雅黑" w:eastAsia="微软雅黑" w:cs="微软雅黑"/>
                <w:b/>
                <w:bCs/>
                <w:color w:val="auto"/>
                <w:sz w:val="21"/>
                <w:szCs w:val="21"/>
              </w:rPr>
            </w:pPr>
            <w:r>
              <w:rPr>
                <w:rFonts w:hint="eastAsia" w:ascii="微软雅黑" w:hAnsi="微软雅黑" w:eastAsia="微软雅黑" w:cs="微软雅黑"/>
                <w:b/>
                <w:bCs/>
                <w:color w:val="auto"/>
                <w:sz w:val="21"/>
                <w:szCs w:val="21"/>
              </w:rPr>
              <w:t>服务期</w:t>
            </w:r>
          </w:p>
        </w:tc>
        <w:tc>
          <w:tcPr>
            <w:tcW w:w="7954" w:type="dxa"/>
            <w:tcBorders>
              <w:tl2br w:val="nil"/>
              <w:tr2bl w:val="nil"/>
            </w:tcBorders>
            <w:shd w:val="clear" w:color="C4BC96" w:fill="auto"/>
            <w:noWrap w:val="0"/>
            <w:vAlign w:val="center"/>
          </w:tcPr>
          <w:p w14:paraId="7707E2E5">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auto"/>
                <w:kern w:val="0"/>
                <w:sz w:val="21"/>
                <w:szCs w:val="21"/>
                <w:lang w:val="en-US" w:eastAsia="zh-CN"/>
              </w:rPr>
              <w:t>根据项目需求，检测单位应在9月9日之前完成路况检测及数据处理与分析，并提交公路技术状况检测报告。后续还需配合完成以下工作：</w:t>
            </w:r>
          </w:p>
          <w:p w14:paraId="49175DE1">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auto"/>
                <w:kern w:val="0"/>
                <w:sz w:val="21"/>
                <w:szCs w:val="21"/>
                <w:lang w:val="en-US" w:eastAsia="zh-CN"/>
              </w:rPr>
              <w:t>（1）将路况数据上传养护管理系统工作，更新养护管理系统数据库，并完成养护需求分析；</w:t>
            </w:r>
          </w:p>
          <w:p w14:paraId="10036B2C">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微软雅黑" w:hAnsi="微软雅黑" w:eastAsia="微软雅黑" w:cs="微软雅黑"/>
                <w:color w:val="auto"/>
                <w:kern w:val="0"/>
                <w:sz w:val="21"/>
                <w:szCs w:val="21"/>
                <w:lang w:val="en-US" w:eastAsia="zh-CN"/>
              </w:rPr>
            </w:pPr>
            <w:r>
              <w:rPr>
                <w:rFonts w:hint="eastAsia" w:ascii="微软雅黑" w:hAnsi="微软雅黑" w:eastAsia="微软雅黑" w:cs="微软雅黑"/>
                <w:color w:val="auto"/>
                <w:kern w:val="0"/>
                <w:sz w:val="21"/>
                <w:szCs w:val="21"/>
                <w:lang w:val="en-US" w:eastAsia="zh-CN"/>
              </w:rPr>
              <w:t>（2）配合完成省级路况检测与路况考核等相关工作；</w:t>
            </w:r>
          </w:p>
          <w:p w14:paraId="3769FAE8">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微软雅黑" w:hAnsi="微软雅黑" w:eastAsia="微软雅黑" w:cs="微软雅黑"/>
                <w:color w:val="auto"/>
                <w:sz w:val="21"/>
                <w:szCs w:val="21"/>
              </w:rPr>
            </w:pPr>
            <w:r>
              <w:rPr>
                <w:rFonts w:hint="eastAsia" w:ascii="微软雅黑" w:hAnsi="微软雅黑" w:eastAsia="微软雅黑" w:cs="微软雅黑"/>
                <w:color w:val="auto"/>
                <w:kern w:val="0"/>
                <w:sz w:val="21"/>
                <w:szCs w:val="21"/>
                <w:lang w:val="en-US" w:eastAsia="zh-CN"/>
              </w:rPr>
              <w:t>（3）协助完成通过《农村公路智能化养护综合管理系统》上报当年度计划方案。</w:t>
            </w:r>
          </w:p>
        </w:tc>
      </w:tr>
      <w:tr w14:paraId="2676E2A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54" w:type="dxa"/>
            <w:tcBorders>
              <w:tl2br w:val="nil"/>
              <w:tr2bl w:val="nil"/>
            </w:tcBorders>
            <w:shd w:val="clear" w:color="C4BC96" w:fill="auto"/>
            <w:noWrap w:val="0"/>
            <w:vAlign w:val="center"/>
          </w:tcPr>
          <w:p w14:paraId="27A9C736">
            <w:pPr>
              <w:keepNext w:val="0"/>
              <w:keepLines w:val="0"/>
              <w:pageBreakBefore w:val="0"/>
              <w:widowControl w:val="0"/>
              <w:numPr>
                <w:ilvl w:val="0"/>
                <w:numId w:val="10"/>
              </w:numPr>
              <w:tabs>
                <w:tab w:val="left" w:pos="102"/>
              </w:tabs>
              <w:kinsoku/>
              <w:wordWrap/>
              <w:overflowPunct/>
              <w:topLinePunct w:val="0"/>
              <w:autoSpaceDE/>
              <w:autoSpaceDN/>
              <w:bidi w:val="0"/>
              <w:adjustRightInd/>
              <w:snapToGrid/>
              <w:spacing w:line="300" w:lineRule="exact"/>
              <w:ind w:left="0" w:leftChars="0" w:right="-65" w:rightChars="-31" w:firstLine="0" w:firstLineChars="0"/>
              <w:jc w:val="center"/>
              <w:textAlignment w:val="auto"/>
              <w:rPr>
                <w:rFonts w:hint="eastAsia" w:ascii="微软雅黑" w:hAnsi="微软雅黑" w:eastAsia="微软雅黑" w:cs="微软雅黑"/>
                <w:b w:val="0"/>
                <w:bCs/>
                <w:color w:val="auto"/>
                <w:sz w:val="21"/>
                <w:szCs w:val="21"/>
              </w:rPr>
            </w:pPr>
          </w:p>
        </w:tc>
        <w:tc>
          <w:tcPr>
            <w:tcW w:w="1611" w:type="dxa"/>
            <w:tcBorders>
              <w:tl2br w:val="nil"/>
              <w:tr2bl w:val="nil"/>
            </w:tcBorders>
            <w:shd w:val="clear" w:color="C4BC96" w:fill="auto"/>
            <w:noWrap w:val="0"/>
            <w:vAlign w:val="center"/>
          </w:tcPr>
          <w:p w14:paraId="5A682BB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微软雅黑" w:hAnsi="微软雅黑" w:eastAsia="微软雅黑" w:cs="微软雅黑"/>
                <w:b/>
                <w:bCs/>
                <w:color w:val="auto"/>
                <w:sz w:val="21"/>
                <w:szCs w:val="21"/>
              </w:rPr>
            </w:pPr>
            <w:r>
              <w:rPr>
                <w:rFonts w:hint="eastAsia" w:ascii="微软雅黑" w:hAnsi="微软雅黑" w:eastAsia="微软雅黑" w:cs="微软雅黑"/>
                <w:b/>
                <w:bCs/>
                <w:color w:val="auto"/>
                <w:sz w:val="21"/>
                <w:szCs w:val="21"/>
              </w:rPr>
              <w:t>服务地点</w:t>
            </w:r>
          </w:p>
        </w:tc>
        <w:tc>
          <w:tcPr>
            <w:tcW w:w="7954" w:type="dxa"/>
            <w:tcBorders>
              <w:tl2br w:val="nil"/>
              <w:tr2bl w:val="nil"/>
            </w:tcBorders>
            <w:shd w:val="clear" w:color="C4BC96" w:fill="auto"/>
            <w:noWrap w:val="0"/>
            <w:vAlign w:val="center"/>
          </w:tcPr>
          <w:p w14:paraId="7ACD8A41">
            <w:pPr>
              <w:keepNext w:val="0"/>
              <w:keepLines w:val="0"/>
              <w:pageBreakBefore w:val="0"/>
              <w:kinsoku/>
              <w:wordWrap/>
              <w:overflowPunct/>
              <w:topLinePunct w:val="0"/>
              <w:autoSpaceDE/>
              <w:autoSpaceDN/>
              <w:bidi w:val="0"/>
              <w:adjustRightInd/>
              <w:snapToGrid/>
              <w:spacing w:line="300" w:lineRule="exact"/>
              <w:ind w:right="-78" w:rightChars="-37"/>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桑植县，采购人指定地点。</w:t>
            </w:r>
          </w:p>
        </w:tc>
      </w:tr>
      <w:tr w14:paraId="6EB8A62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54" w:type="dxa"/>
            <w:tcBorders>
              <w:tl2br w:val="nil"/>
              <w:tr2bl w:val="nil"/>
            </w:tcBorders>
            <w:shd w:val="clear" w:color="C4BC96" w:fill="auto"/>
            <w:noWrap w:val="0"/>
            <w:vAlign w:val="center"/>
          </w:tcPr>
          <w:p w14:paraId="78230A03">
            <w:pPr>
              <w:keepNext w:val="0"/>
              <w:keepLines w:val="0"/>
              <w:pageBreakBefore w:val="0"/>
              <w:widowControl w:val="0"/>
              <w:numPr>
                <w:ilvl w:val="0"/>
                <w:numId w:val="10"/>
              </w:numPr>
              <w:tabs>
                <w:tab w:val="left" w:pos="102"/>
              </w:tabs>
              <w:kinsoku/>
              <w:wordWrap/>
              <w:overflowPunct/>
              <w:topLinePunct w:val="0"/>
              <w:autoSpaceDE/>
              <w:autoSpaceDN/>
              <w:bidi w:val="0"/>
              <w:adjustRightInd/>
              <w:snapToGrid/>
              <w:spacing w:line="300" w:lineRule="exact"/>
              <w:ind w:left="0" w:leftChars="0" w:right="-65" w:rightChars="-31" w:firstLine="0" w:firstLineChars="0"/>
              <w:jc w:val="center"/>
              <w:textAlignment w:val="auto"/>
              <w:rPr>
                <w:rFonts w:hint="eastAsia" w:ascii="微软雅黑" w:hAnsi="微软雅黑" w:eastAsia="微软雅黑" w:cs="微软雅黑"/>
                <w:color w:val="auto"/>
                <w:sz w:val="21"/>
                <w:szCs w:val="21"/>
                <w:lang w:val="en-US" w:eastAsia="zh-CN"/>
              </w:rPr>
            </w:pPr>
          </w:p>
        </w:tc>
        <w:tc>
          <w:tcPr>
            <w:tcW w:w="1611" w:type="dxa"/>
            <w:tcBorders>
              <w:tl2br w:val="nil"/>
              <w:tr2bl w:val="nil"/>
            </w:tcBorders>
            <w:shd w:val="clear" w:color="C4BC96" w:fill="auto"/>
            <w:noWrap w:val="0"/>
            <w:vAlign w:val="center"/>
          </w:tcPr>
          <w:p w14:paraId="69D0144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服务范围及服务事项</w:t>
            </w:r>
          </w:p>
        </w:tc>
        <w:tc>
          <w:tcPr>
            <w:tcW w:w="7954" w:type="dxa"/>
            <w:tcBorders>
              <w:tl2br w:val="nil"/>
              <w:tr2bl w:val="nil"/>
            </w:tcBorders>
            <w:shd w:val="clear" w:color="C4BC96" w:fill="auto"/>
            <w:noWrap w:val="0"/>
            <w:vAlign w:val="center"/>
          </w:tcPr>
          <w:p w14:paraId="7D375A72">
            <w:pPr>
              <w:keepNext w:val="0"/>
              <w:keepLines w:val="0"/>
              <w:pageBreakBefore w:val="0"/>
              <w:numPr>
                <w:ilvl w:val="0"/>
                <w:numId w:val="0"/>
              </w:numPr>
              <w:kinsoku/>
              <w:wordWrap/>
              <w:overflowPunct/>
              <w:topLinePunct w:val="0"/>
              <w:autoSpaceDE/>
              <w:autoSpaceDN/>
              <w:bidi w:val="0"/>
              <w:adjustRightInd/>
              <w:snapToGrid/>
              <w:spacing w:line="300" w:lineRule="exact"/>
              <w:ind w:right="-78" w:rightChars="-37"/>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本项目为桑植县2026年农村公路路况检测评定项目，检测公路里程：2873.831公里。</w:t>
            </w:r>
          </w:p>
        </w:tc>
      </w:tr>
      <w:tr w14:paraId="606F80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654" w:type="dxa"/>
            <w:tcBorders>
              <w:tl2br w:val="nil"/>
              <w:tr2bl w:val="nil"/>
            </w:tcBorders>
            <w:noWrap w:val="0"/>
            <w:vAlign w:val="center"/>
          </w:tcPr>
          <w:p w14:paraId="6D56E3E0">
            <w:pPr>
              <w:keepNext w:val="0"/>
              <w:keepLines w:val="0"/>
              <w:pageBreakBefore w:val="0"/>
              <w:widowControl w:val="0"/>
              <w:numPr>
                <w:ilvl w:val="0"/>
                <w:numId w:val="10"/>
              </w:numPr>
              <w:tabs>
                <w:tab w:val="left" w:pos="102"/>
              </w:tabs>
              <w:kinsoku/>
              <w:wordWrap/>
              <w:overflowPunct/>
              <w:topLinePunct w:val="0"/>
              <w:autoSpaceDE/>
              <w:autoSpaceDN/>
              <w:bidi w:val="0"/>
              <w:adjustRightInd/>
              <w:snapToGrid/>
              <w:spacing w:line="300" w:lineRule="exact"/>
              <w:ind w:left="0" w:leftChars="0" w:right="-65" w:rightChars="-31" w:firstLine="0" w:firstLineChars="0"/>
              <w:jc w:val="center"/>
              <w:textAlignment w:val="auto"/>
              <w:rPr>
                <w:rFonts w:hint="eastAsia" w:ascii="微软雅黑" w:hAnsi="微软雅黑" w:eastAsia="微软雅黑" w:cs="微软雅黑"/>
                <w:color w:val="auto"/>
                <w:sz w:val="21"/>
                <w:szCs w:val="21"/>
                <w:lang w:eastAsia="zh-CN"/>
              </w:rPr>
            </w:pPr>
          </w:p>
        </w:tc>
        <w:tc>
          <w:tcPr>
            <w:tcW w:w="1611" w:type="dxa"/>
            <w:tcBorders>
              <w:tl2br w:val="nil"/>
              <w:tr2bl w:val="nil"/>
            </w:tcBorders>
            <w:noWrap w:val="0"/>
            <w:vAlign w:val="center"/>
          </w:tcPr>
          <w:p w14:paraId="21A03FAA">
            <w:pPr>
              <w:keepNext w:val="0"/>
              <w:keepLines w:val="0"/>
              <w:pageBreakBefore w:val="0"/>
              <w:kinsoku/>
              <w:wordWrap/>
              <w:overflowPunct/>
              <w:topLinePunct w:val="0"/>
              <w:autoSpaceDE/>
              <w:autoSpaceDN/>
              <w:bidi w:val="0"/>
              <w:adjustRightInd/>
              <w:snapToGrid/>
              <w:spacing w:line="300" w:lineRule="exact"/>
              <w:ind w:left="-57" w:leftChars="-27" w:right="-78" w:rightChars="-37" w:firstLine="0" w:firstLineChars="0"/>
              <w:jc w:val="center"/>
              <w:textAlignment w:val="auto"/>
              <w:rPr>
                <w:rFonts w:hint="eastAsia" w:ascii="微软雅黑" w:hAnsi="微软雅黑" w:eastAsia="微软雅黑" w:cs="微软雅黑"/>
                <w:b/>
                <w:bCs/>
                <w:color w:val="auto"/>
                <w:sz w:val="21"/>
                <w:szCs w:val="21"/>
              </w:rPr>
            </w:pPr>
            <w:r>
              <w:rPr>
                <w:rFonts w:hint="eastAsia" w:ascii="微软雅黑" w:hAnsi="微软雅黑" w:eastAsia="微软雅黑" w:cs="微软雅黑"/>
                <w:b/>
                <w:bCs/>
                <w:color w:val="auto"/>
                <w:sz w:val="21"/>
                <w:szCs w:val="21"/>
              </w:rPr>
              <w:t>报价要求</w:t>
            </w:r>
          </w:p>
        </w:tc>
        <w:tc>
          <w:tcPr>
            <w:tcW w:w="7954" w:type="dxa"/>
            <w:tcBorders>
              <w:tl2br w:val="nil"/>
              <w:tr2bl w:val="nil"/>
            </w:tcBorders>
            <w:noWrap w:val="0"/>
            <w:vAlign w:val="center"/>
          </w:tcPr>
          <w:p w14:paraId="076EC3CF">
            <w:pPr>
              <w:keepNext w:val="0"/>
              <w:keepLines w:val="0"/>
              <w:pageBreakBefore w:val="0"/>
              <w:numPr>
                <w:ilvl w:val="0"/>
                <w:numId w:val="0"/>
              </w:numPr>
              <w:tabs>
                <w:tab w:val="left" w:pos="816"/>
              </w:tabs>
              <w:kinsoku/>
              <w:wordWrap/>
              <w:overflowPunct/>
              <w:topLinePunct w:val="0"/>
              <w:autoSpaceDE/>
              <w:autoSpaceDN/>
              <w:bidi w:val="0"/>
              <w:adjustRightInd/>
              <w:snapToGrid/>
              <w:spacing w:line="300" w:lineRule="exact"/>
              <w:ind w:right="-50" w:rightChars="-24" w:firstLine="420" w:firstLineChars="200"/>
              <w:textAlignment w:val="auto"/>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lang w:eastAsia="zh-CN"/>
              </w:rPr>
              <w:t>本项目所报服务费为包干价，包含</w:t>
            </w:r>
            <w:r>
              <w:rPr>
                <w:rFonts w:hint="eastAsia" w:ascii="微软雅黑" w:hAnsi="微软雅黑" w:eastAsia="微软雅黑" w:cs="微软雅黑"/>
                <w:color w:val="auto"/>
                <w:sz w:val="21"/>
                <w:szCs w:val="21"/>
                <w:lang w:val="en-US" w:eastAsia="zh-CN"/>
              </w:rPr>
              <w:t>成交供应商</w:t>
            </w:r>
            <w:r>
              <w:rPr>
                <w:rFonts w:hint="eastAsia" w:ascii="微软雅黑" w:hAnsi="微软雅黑" w:eastAsia="微软雅黑" w:cs="微软雅黑"/>
                <w:color w:val="auto"/>
                <w:sz w:val="21"/>
                <w:szCs w:val="21"/>
                <w:lang w:eastAsia="zh-CN"/>
              </w:rPr>
              <w:t>提供服务所产生的所有费用，包括但不限于服务人员劳务费、材料设备费、成本及利润、税金、差旅费等一切可预见及不可预见费用，包含在项目服务期内，为采购人提供与项目相关的养护管理技术咨询（质量回溯）所发生的费用。同时因国家和省等上级政策变化而引起的调整、修改工作由成交供应商按要求完成，所有费用包含在总报价中，服务期内不另行收费。报价时应充分考虑采购文件的要求、市场环境、工作数量、现场情况、交通运输、天气、占道审批等因素，纳入采取相关措施的费用，根据实际情况报价</w:t>
            </w:r>
            <w:r>
              <w:rPr>
                <w:rFonts w:hint="eastAsia" w:ascii="微软雅黑" w:hAnsi="微软雅黑" w:eastAsia="微软雅黑" w:cs="微软雅黑"/>
                <w:color w:val="auto"/>
                <w:sz w:val="21"/>
                <w:szCs w:val="21"/>
              </w:rPr>
              <w:t>。</w:t>
            </w:r>
          </w:p>
        </w:tc>
      </w:tr>
      <w:tr w14:paraId="6E5E5C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54" w:type="dxa"/>
            <w:tcBorders>
              <w:tl2br w:val="nil"/>
              <w:tr2bl w:val="nil"/>
            </w:tcBorders>
            <w:noWrap w:val="0"/>
            <w:vAlign w:val="center"/>
          </w:tcPr>
          <w:p w14:paraId="56746F35">
            <w:pPr>
              <w:keepNext w:val="0"/>
              <w:keepLines w:val="0"/>
              <w:pageBreakBefore w:val="0"/>
              <w:widowControl w:val="0"/>
              <w:numPr>
                <w:ilvl w:val="0"/>
                <w:numId w:val="10"/>
              </w:numPr>
              <w:tabs>
                <w:tab w:val="left" w:pos="102"/>
              </w:tabs>
              <w:kinsoku/>
              <w:wordWrap/>
              <w:overflowPunct/>
              <w:topLinePunct w:val="0"/>
              <w:autoSpaceDE/>
              <w:autoSpaceDN/>
              <w:bidi w:val="0"/>
              <w:adjustRightInd/>
              <w:snapToGrid/>
              <w:spacing w:line="300" w:lineRule="exact"/>
              <w:ind w:left="0" w:leftChars="0" w:right="-65" w:rightChars="-31" w:firstLine="0" w:firstLineChars="0"/>
              <w:jc w:val="center"/>
              <w:textAlignment w:val="auto"/>
              <w:rPr>
                <w:rFonts w:hint="eastAsia" w:ascii="微软雅黑" w:hAnsi="微软雅黑" w:eastAsia="微软雅黑" w:cs="微软雅黑"/>
                <w:color w:val="auto"/>
                <w:sz w:val="21"/>
                <w:szCs w:val="21"/>
                <w:lang w:eastAsia="zh-CN"/>
              </w:rPr>
            </w:pPr>
          </w:p>
        </w:tc>
        <w:tc>
          <w:tcPr>
            <w:tcW w:w="1611" w:type="dxa"/>
            <w:tcBorders>
              <w:tl2br w:val="nil"/>
              <w:tr2bl w:val="nil"/>
            </w:tcBorders>
            <w:noWrap w:val="0"/>
            <w:vAlign w:val="center"/>
          </w:tcPr>
          <w:p w14:paraId="6DB79490">
            <w:pPr>
              <w:keepNext w:val="0"/>
              <w:keepLines w:val="0"/>
              <w:pageBreakBefore w:val="0"/>
              <w:kinsoku/>
              <w:wordWrap/>
              <w:overflowPunct/>
              <w:topLinePunct w:val="0"/>
              <w:autoSpaceDE/>
              <w:autoSpaceDN/>
              <w:bidi w:val="0"/>
              <w:adjustRightInd/>
              <w:snapToGrid/>
              <w:spacing w:line="300" w:lineRule="exact"/>
              <w:ind w:left="-57" w:leftChars="-27" w:right="-78" w:rightChars="-37" w:firstLine="0" w:firstLineChars="0"/>
              <w:jc w:val="center"/>
              <w:textAlignment w:val="auto"/>
              <w:rPr>
                <w:rFonts w:hint="eastAsia" w:ascii="微软雅黑" w:hAnsi="微软雅黑" w:eastAsia="微软雅黑" w:cs="微软雅黑"/>
                <w:b/>
                <w:bCs/>
                <w:color w:val="auto"/>
                <w:sz w:val="21"/>
                <w:szCs w:val="21"/>
                <w:highlight w:val="yellow"/>
              </w:rPr>
            </w:pPr>
            <w:r>
              <w:rPr>
                <w:rFonts w:hint="eastAsia" w:ascii="微软雅黑" w:hAnsi="微软雅黑" w:eastAsia="微软雅黑" w:cs="微软雅黑"/>
                <w:b/>
                <w:bCs/>
                <w:color w:val="auto"/>
                <w:sz w:val="21"/>
                <w:szCs w:val="21"/>
              </w:rPr>
              <w:t>付款方式</w:t>
            </w:r>
          </w:p>
        </w:tc>
        <w:tc>
          <w:tcPr>
            <w:tcW w:w="7954" w:type="dxa"/>
            <w:tcBorders>
              <w:tl2br w:val="nil"/>
              <w:tr2bl w:val="nil"/>
            </w:tcBorders>
            <w:noWrap w:val="0"/>
            <w:vAlign w:val="center"/>
          </w:tcPr>
          <w:p w14:paraId="4DDBC597">
            <w:pPr>
              <w:keepNext w:val="0"/>
              <w:keepLines w:val="0"/>
              <w:pageBreakBefore w:val="0"/>
              <w:numPr>
                <w:ilvl w:val="0"/>
                <w:numId w:val="0"/>
              </w:numPr>
              <w:kinsoku/>
              <w:wordWrap/>
              <w:overflowPunct/>
              <w:topLinePunct w:val="0"/>
              <w:autoSpaceDE/>
              <w:autoSpaceDN/>
              <w:bidi w:val="0"/>
              <w:adjustRightInd/>
              <w:snapToGrid/>
              <w:spacing w:line="300" w:lineRule="exact"/>
              <w:ind w:right="-50" w:rightChars="-24" w:firstLine="420" w:firstLineChars="200"/>
              <w:textAlignment w:val="auto"/>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签订合同时约定。</w:t>
            </w:r>
          </w:p>
        </w:tc>
      </w:tr>
      <w:tr w14:paraId="6E7E91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408" w:hRule="atLeast"/>
          <w:jc w:val="center"/>
        </w:trPr>
        <w:tc>
          <w:tcPr>
            <w:tcW w:w="654" w:type="dxa"/>
            <w:tcBorders>
              <w:tl2br w:val="nil"/>
              <w:tr2bl w:val="nil"/>
            </w:tcBorders>
            <w:noWrap w:val="0"/>
            <w:vAlign w:val="center"/>
          </w:tcPr>
          <w:p w14:paraId="6F96422E">
            <w:pPr>
              <w:keepNext w:val="0"/>
              <w:keepLines w:val="0"/>
              <w:pageBreakBefore w:val="0"/>
              <w:widowControl w:val="0"/>
              <w:numPr>
                <w:ilvl w:val="0"/>
                <w:numId w:val="10"/>
              </w:numPr>
              <w:tabs>
                <w:tab w:val="left" w:pos="102"/>
              </w:tabs>
              <w:kinsoku/>
              <w:wordWrap/>
              <w:overflowPunct/>
              <w:topLinePunct w:val="0"/>
              <w:autoSpaceDE/>
              <w:autoSpaceDN/>
              <w:bidi w:val="0"/>
              <w:adjustRightInd/>
              <w:snapToGrid/>
              <w:spacing w:line="300" w:lineRule="exact"/>
              <w:ind w:left="0" w:leftChars="0" w:right="-65" w:rightChars="-31" w:firstLine="0" w:firstLineChars="0"/>
              <w:jc w:val="center"/>
              <w:textAlignment w:val="auto"/>
              <w:rPr>
                <w:rFonts w:hint="eastAsia" w:ascii="微软雅黑" w:hAnsi="微软雅黑" w:eastAsia="微软雅黑" w:cs="微软雅黑"/>
                <w:color w:val="auto"/>
                <w:kern w:val="2"/>
                <w:sz w:val="21"/>
                <w:szCs w:val="21"/>
                <w:lang w:val="en-US" w:eastAsia="zh-CN" w:bidi="ar-SA"/>
              </w:rPr>
            </w:pPr>
          </w:p>
        </w:tc>
        <w:tc>
          <w:tcPr>
            <w:tcW w:w="1611" w:type="dxa"/>
            <w:tcBorders>
              <w:tl2br w:val="nil"/>
              <w:tr2bl w:val="nil"/>
            </w:tcBorders>
            <w:noWrap w:val="0"/>
            <w:vAlign w:val="center"/>
          </w:tcPr>
          <w:p w14:paraId="6E1DFABD">
            <w:pPr>
              <w:keepNext w:val="0"/>
              <w:keepLines w:val="0"/>
              <w:pageBreakBefore w:val="0"/>
              <w:kinsoku/>
              <w:wordWrap/>
              <w:overflowPunct/>
              <w:topLinePunct w:val="0"/>
              <w:autoSpaceDE/>
              <w:autoSpaceDN/>
              <w:bidi w:val="0"/>
              <w:adjustRightInd/>
              <w:snapToGrid/>
              <w:spacing w:line="300" w:lineRule="exact"/>
              <w:ind w:left="-57" w:leftChars="-27" w:right="-78" w:rightChars="-37" w:firstLine="0" w:firstLineChars="0"/>
              <w:jc w:val="center"/>
              <w:textAlignment w:val="auto"/>
              <w:rPr>
                <w:rFonts w:hint="eastAsia" w:ascii="微软雅黑" w:hAnsi="微软雅黑" w:eastAsia="微软雅黑" w:cs="微软雅黑"/>
                <w:b/>
                <w:bCs/>
                <w:color w:val="auto"/>
                <w:sz w:val="21"/>
                <w:szCs w:val="21"/>
              </w:rPr>
            </w:pPr>
            <w:r>
              <w:rPr>
                <w:rFonts w:hint="eastAsia" w:ascii="微软雅黑" w:hAnsi="微软雅黑" w:eastAsia="微软雅黑" w:cs="微软雅黑"/>
                <w:b/>
                <w:bCs/>
                <w:color w:val="auto"/>
                <w:sz w:val="21"/>
                <w:szCs w:val="21"/>
              </w:rPr>
              <w:t>验收要求</w:t>
            </w:r>
          </w:p>
        </w:tc>
        <w:tc>
          <w:tcPr>
            <w:tcW w:w="7954" w:type="dxa"/>
            <w:tcBorders>
              <w:tl2br w:val="nil"/>
              <w:tr2bl w:val="nil"/>
            </w:tcBorders>
            <w:noWrap w:val="0"/>
            <w:vAlign w:val="center"/>
          </w:tcPr>
          <w:p w14:paraId="734C3E11">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0" w:rightChars="-24" w:firstLine="420" w:firstLineChars="200"/>
              <w:textAlignment w:val="auto"/>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（1）由采购人负责组织。</w:t>
            </w:r>
            <w:r>
              <w:rPr>
                <w:rFonts w:hint="eastAsia" w:ascii="微软雅黑" w:hAnsi="微软雅黑" w:eastAsia="微软雅黑" w:cs="微软雅黑"/>
                <w:color w:val="auto"/>
                <w:sz w:val="21"/>
                <w:szCs w:val="21"/>
                <w:lang w:val="en-US" w:eastAsia="zh-CN"/>
              </w:rPr>
              <w:t>成交供应商</w:t>
            </w:r>
            <w:r>
              <w:rPr>
                <w:rFonts w:hint="eastAsia" w:ascii="微软雅黑" w:hAnsi="微软雅黑" w:eastAsia="微软雅黑" w:cs="微软雅黑"/>
                <w:color w:val="auto"/>
                <w:sz w:val="21"/>
                <w:szCs w:val="21"/>
              </w:rPr>
              <w:t>需按本</w:t>
            </w:r>
            <w:r>
              <w:rPr>
                <w:rFonts w:hint="eastAsia" w:ascii="微软雅黑" w:hAnsi="微软雅黑" w:eastAsia="微软雅黑" w:cs="微软雅黑"/>
                <w:color w:val="auto"/>
                <w:sz w:val="21"/>
                <w:szCs w:val="21"/>
                <w:lang w:val="en-US" w:eastAsia="zh-CN"/>
              </w:rPr>
              <w:t>采购</w:t>
            </w:r>
            <w:r>
              <w:rPr>
                <w:rFonts w:hint="eastAsia" w:ascii="微软雅黑" w:hAnsi="微软雅黑" w:eastAsia="微软雅黑" w:cs="微软雅黑"/>
                <w:color w:val="auto"/>
                <w:sz w:val="21"/>
                <w:szCs w:val="21"/>
              </w:rPr>
              <w:t>文件中的技术要求及合同约定按期完成各项内容，提交完整资料，做好项目验收各项准备，并向采购人提交验收申请。具体验收方式、标准按有关办法和采购人规定执行。验收的主要依据包括本</w:t>
            </w:r>
            <w:r>
              <w:rPr>
                <w:rFonts w:hint="eastAsia" w:ascii="微软雅黑" w:hAnsi="微软雅黑" w:eastAsia="微软雅黑" w:cs="微软雅黑"/>
                <w:color w:val="auto"/>
                <w:sz w:val="21"/>
                <w:szCs w:val="21"/>
                <w:lang w:val="en-US" w:eastAsia="zh-CN"/>
              </w:rPr>
              <w:t>采购</w:t>
            </w:r>
            <w:r>
              <w:rPr>
                <w:rFonts w:hint="eastAsia" w:ascii="微软雅黑" w:hAnsi="微软雅黑" w:eastAsia="微软雅黑" w:cs="微软雅黑"/>
                <w:color w:val="auto"/>
                <w:sz w:val="21"/>
                <w:szCs w:val="21"/>
              </w:rPr>
              <w:t>文件需求书、</w:t>
            </w:r>
            <w:r>
              <w:rPr>
                <w:rFonts w:hint="eastAsia" w:ascii="微软雅黑" w:hAnsi="微软雅黑" w:eastAsia="微软雅黑" w:cs="微软雅黑"/>
                <w:color w:val="auto"/>
                <w:sz w:val="21"/>
                <w:szCs w:val="21"/>
                <w:lang w:val="en-US" w:eastAsia="zh-CN"/>
              </w:rPr>
              <w:t>响应</w:t>
            </w:r>
            <w:r>
              <w:rPr>
                <w:rFonts w:hint="eastAsia" w:ascii="微软雅黑" w:hAnsi="微软雅黑" w:eastAsia="微软雅黑" w:cs="微软雅黑"/>
                <w:color w:val="auto"/>
                <w:sz w:val="21"/>
                <w:szCs w:val="21"/>
              </w:rPr>
              <w:t>文件、合同文件，以及用户需求说明书等资料。</w:t>
            </w:r>
            <w:r>
              <w:rPr>
                <w:rFonts w:hint="eastAsia" w:ascii="微软雅黑" w:hAnsi="微软雅黑" w:eastAsia="微软雅黑" w:cs="微软雅黑"/>
                <w:color w:val="auto"/>
                <w:sz w:val="21"/>
                <w:szCs w:val="21"/>
                <w:lang w:val="en-US" w:eastAsia="zh-CN"/>
              </w:rPr>
              <w:t>成交供应商</w:t>
            </w:r>
            <w:r>
              <w:rPr>
                <w:rFonts w:hint="eastAsia" w:ascii="微软雅黑" w:hAnsi="微软雅黑" w:eastAsia="微软雅黑" w:cs="微软雅黑"/>
                <w:color w:val="auto"/>
                <w:sz w:val="21"/>
                <w:szCs w:val="21"/>
              </w:rPr>
              <w:t>需按</w:t>
            </w:r>
            <w:r>
              <w:rPr>
                <w:rFonts w:hint="eastAsia" w:ascii="微软雅黑" w:hAnsi="微软雅黑" w:eastAsia="微软雅黑" w:cs="微软雅黑"/>
                <w:color w:val="auto"/>
                <w:sz w:val="21"/>
                <w:szCs w:val="21"/>
                <w:lang w:val="en-US" w:eastAsia="zh-CN"/>
              </w:rPr>
              <w:t>采购</w:t>
            </w:r>
            <w:r>
              <w:rPr>
                <w:rFonts w:hint="eastAsia" w:ascii="微软雅黑" w:hAnsi="微软雅黑" w:eastAsia="微软雅黑" w:cs="微软雅黑"/>
                <w:color w:val="auto"/>
                <w:sz w:val="21"/>
                <w:szCs w:val="21"/>
              </w:rPr>
              <w:t xml:space="preserve">文件的技术要求和合同约定按期完成现场检测等。 </w:t>
            </w:r>
          </w:p>
          <w:p w14:paraId="48C353D2">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0" w:rightChars="-24" w:firstLine="420" w:firstLineChars="200"/>
              <w:textAlignment w:val="auto"/>
              <w:rPr>
                <w:rFonts w:hint="eastAsia" w:ascii="微软雅黑" w:hAnsi="微软雅黑" w:eastAsia="微软雅黑" w:cs="微软雅黑"/>
                <w:color w:val="auto"/>
                <w:sz w:val="21"/>
                <w:szCs w:val="21"/>
                <w:lang w:eastAsia="zh-CN"/>
              </w:rPr>
            </w:pPr>
            <w:r>
              <w:rPr>
                <w:rFonts w:hint="eastAsia" w:ascii="微软雅黑" w:hAnsi="微软雅黑" w:eastAsia="微软雅黑" w:cs="微软雅黑"/>
                <w:color w:val="auto"/>
                <w:sz w:val="21"/>
                <w:szCs w:val="21"/>
              </w:rPr>
              <w:t>（2）</w:t>
            </w:r>
            <w:r>
              <w:rPr>
                <w:rFonts w:hint="eastAsia" w:ascii="微软雅黑" w:hAnsi="微软雅黑" w:eastAsia="微软雅黑" w:cs="微软雅黑"/>
                <w:color w:val="auto"/>
                <w:sz w:val="21"/>
                <w:szCs w:val="21"/>
                <w:lang w:val="en-US" w:eastAsia="zh-CN"/>
              </w:rPr>
              <w:t>成交供应商</w:t>
            </w:r>
            <w:r>
              <w:rPr>
                <w:rFonts w:hint="eastAsia" w:ascii="微软雅黑" w:hAnsi="微软雅黑" w:eastAsia="微软雅黑" w:cs="微软雅黑"/>
                <w:color w:val="auto"/>
                <w:sz w:val="21"/>
                <w:szCs w:val="21"/>
              </w:rPr>
              <w:t>提供的检测成果质量不合格，应负责无偿给予重新检测或采取补救措施，直至达到质量要求。因检测成果质量不符合合同约定的要求造成后果时，</w:t>
            </w:r>
            <w:r>
              <w:rPr>
                <w:rFonts w:hint="eastAsia" w:ascii="微软雅黑" w:hAnsi="微软雅黑" w:eastAsia="微软雅黑" w:cs="微软雅黑"/>
                <w:color w:val="auto"/>
                <w:sz w:val="21"/>
                <w:szCs w:val="21"/>
                <w:lang w:val="en-US" w:eastAsia="zh-CN"/>
              </w:rPr>
              <w:t>成交供应商</w:t>
            </w:r>
            <w:r>
              <w:rPr>
                <w:rFonts w:hint="eastAsia" w:ascii="微软雅黑" w:hAnsi="微软雅黑" w:eastAsia="微软雅黑" w:cs="微软雅黑"/>
                <w:color w:val="auto"/>
                <w:sz w:val="21"/>
                <w:szCs w:val="21"/>
              </w:rPr>
              <w:t>应对由此造成的直接损失负赔偿责任，并承担相应的法律责任</w:t>
            </w:r>
            <w:r>
              <w:rPr>
                <w:rFonts w:hint="eastAsia" w:ascii="微软雅黑" w:hAnsi="微软雅黑" w:eastAsia="微软雅黑" w:cs="微软雅黑"/>
                <w:color w:val="auto"/>
                <w:sz w:val="21"/>
                <w:szCs w:val="21"/>
                <w:lang w:eastAsia="zh-CN"/>
              </w:rPr>
              <w:t>。</w:t>
            </w:r>
          </w:p>
        </w:tc>
      </w:tr>
      <w:tr w14:paraId="5E2BAE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36" w:hRule="atLeast"/>
          <w:jc w:val="center"/>
        </w:trPr>
        <w:tc>
          <w:tcPr>
            <w:tcW w:w="654" w:type="dxa"/>
            <w:tcBorders>
              <w:tl2br w:val="nil"/>
              <w:tr2bl w:val="nil"/>
            </w:tcBorders>
            <w:noWrap w:val="0"/>
            <w:vAlign w:val="center"/>
          </w:tcPr>
          <w:p w14:paraId="6420CACC">
            <w:pPr>
              <w:keepNext w:val="0"/>
              <w:keepLines w:val="0"/>
              <w:pageBreakBefore w:val="0"/>
              <w:widowControl w:val="0"/>
              <w:numPr>
                <w:ilvl w:val="0"/>
                <w:numId w:val="10"/>
              </w:numPr>
              <w:tabs>
                <w:tab w:val="left" w:pos="102"/>
              </w:tabs>
              <w:kinsoku/>
              <w:wordWrap/>
              <w:overflowPunct/>
              <w:topLinePunct w:val="0"/>
              <w:autoSpaceDE/>
              <w:autoSpaceDN/>
              <w:bidi w:val="0"/>
              <w:adjustRightInd/>
              <w:snapToGrid/>
              <w:spacing w:line="300" w:lineRule="exact"/>
              <w:ind w:left="0" w:leftChars="0" w:right="-65" w:rightChars="-31" w:firstLine="0" w:firstLineChars="0"/>
              <w:jc w:val="center"/>
              <w:textAlignment w:val="auto"/>
              <w:rPr>
                <w:rFonts w:hint="default" w:ascii="微软雅黑" w:hAnsi="微软雅黑" w:eastAsia="微软雅黑" w:cs="微软雅黑"/>
                <w:color w:val="auto"/>
                <w:sz w:val="21"/>
                <w:szCs w:val="21"/>
                <w:lang w:val="en-US" w:eastAsia="zh-CN"/>
              </w:rPr>
            </w:pPr>
          </w:p>
        </w:tc>
        <w:tc>
          <w:tcPr>
            <w:tcW w:w="1611" w:type="dxa"/>
            <w:tcBorders>
              <w:tl2br w:val="nil"/>
              <w:tr2bl w:val="nil"/>
            </w:tcBorders>
            <w:noWrap w:val="0"/>
            <w:vAlign w:val="center"/>
          </w:tcPr>
          <w:p w14:paraId="5DF2D9B8">
            <w:pPr>
              <w:keepNext w:val="0"/>
              <w:keepLines w:val="0"/>
              <w:pageBreakBefore w:val="0"/>
              <w:kinsoku/>
              <w:wordWrap/>
              <w:overflowPunct/>
              <w:topLinePunct w:val="0"/>
              <w:autoSpaceDE/>
              <w:autoSpaceDN/>
              <w:bidi w:val="0"/>
              <w:adjustRightInd/>
              <w:snapToGrid/>
              <w:spacing w:line="300" w:lineRule="exact"/>
              <w:ind w:left="-57" w:leftChars="-27" w:right="-78" w:rightChars="-37" w:firstLine="0" w:firstLineChars="0"/>
              <w:jc w:val="center"/>
              <w:textAlignment w:val="auto"/>
              <w:rPr>
                <w:rFonts w:hint="default" w:ascii="微软雅黑" w:hAnsi="微软雅黑" w:eastAsia="微软雅黑" w:cs="微软雅黑"/>
                <w:b/>
                <w:bCs/>
                <w:color w:val="auto"/>
                <w:kern w:val="2"/>
                <w:sz w:val="21"/>
                <w:szCs w:val="21"/>
                <w:lang w:val="en-US" w:eastAsia="zh-CN" w:bidi="ar-SA"/>
              </w:rPr>
            </w:pPr>
            <w:r>
              <w:rPr>
                <w:rFonts w:hint="eastAsia" w:ascii="微软雅黑" w:hAnsi="微软雅黑" w:eastAsia="微软雅黑" w:cs="微软雅黑"/>
                <w:b/>
                <w:bCs/>
                <w:color w:val="auto"/>
                <w:sz w:val="21"/>
                <w:szCs w:val="21"/>
                <w:lang w:val="en-US" w:eastAsia="zh-CN"/>
              </w:rPr>
              <w:t>知识产权</w:t>
            </w:r>
          </w:p>
        </w:tc>
        <w:tc>
          <w:tcPr>
            <w:tcW w:w="7954" w:type="dxa"/>
            <w:tcBorders>
              <w:tl2br w:val="nil"/>
              <w:tr2bl w:val="nil"/>
            </w:tcBorders>
            <w:noWrap w:val="0"/>
            <w:vAlign w:val="center"/>
          </w:tcPr>
          <w:p w14:paraId="3B1E6228">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0" w:rightChars="-24" w:firstLine="420" w:firstLineChars="200"/>
              <w:textAlignment w:val="auto"/>
              <w:rPr>
                <w:rFonts w:hint="eastAsia" w:ascii="微软雅黑" w:hAnsi="微软雅黑" w:eastAsia="微软雅黑" w:cs="微软雅黑"/>
                <w:color w:val="auto"/>
                <w:sz w:val="21"/>
                <w:szCs w:val="21"/>
                <w:lang w:eastAsia="zh-CN"/>
              </w:rPr>
            </w:pPr>
            <w:r>
              <w:rPr>
                <w:rFonts w:hint="eastAsia" w:ascii="微软雅黑" w:hAnsi="微软雅黑" w:eastAsia="微软雅黑" w:cs="微软雅黑"/>
                <w:color w:val="auto"/>
                <w:sz w:val="21"/>
                <w:szCs w:val="21"/>
                <w:lang w:eastAsia="zh-CN"/>
              </w:rPr>
              <w:t>1、供应商须保障采购人在使用该成果或其任何一部分时不受到第三方关于侵犯专利权、商标权或工业设计权等知识产权的指控。任何第三方提出的侵权指控均与采购人无关，供应商须与第三方交涉并承担可能发生的责任与一切费用。如采购人因此而遭致损失的，供应商应赔偿该损失。</w:t>
            </w:r>
          </w:p>
          <w:p w14:paraId="65D34C1E">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left="0" w:leftChars="0" w:right="-50" w:rightChars="-24" w:firstLine="420" w:firstLineChars="200"/>
              <w:textAlignment w:val="auto"/>
              <w:rPr>
                <w:rFonts w:hint="eastAsia" w:ascii="微软雅黑" w:hAnsi="微软雅黑" w:eastAsia="微软雅黑" w:cs="微软雅黑"/>
                <w:color w:val="auto"/>
                <w:kern w:val="2"/>
                <w:sz w:val="21"/>
                <w:szCs w:val="21"/>
                <w:lang w:val="en-US" w:eastAsia="zh-CN" w:bidi="ar-SA"/>
              </w:rPr>
            </w:pPr>
            <w:r>
              <w:rPr>
                <w:rFonts w:hint="eastAsia" w:ascii="微软雅黑" w:hAnsi="微软雅黑" w:eastAsia="微软雅黑" w:cs="微软雅黑"/>
                <w:color w:val="auto"/>
                <w:sz w:val="21"/>
                <w:szCs w:val="21"/>
                <w:lang w:eastAsia="zh-CN"/>
              </w:rPr>
              <w:t>2、本项目的所有成果著作权等知识产权和所有权益归采购人所有。未经采购人同意，成交供应商不得引用、发表和向第三者提供。采购人引用成交供应商的工作成果所完成的新的技术成果，属于采购人所有，采购人可依法享有就该项技术成果取得的精神权利、经济权利和其他权利。无论发生何种情形（包括但不限于合同提前终止或解除），采购人均有权利用成交供应商的阶段性工作成果，并且采购人引用成交供应商的阶段性工作成果所完成的新的技术成果，属于采购人所有，采购人可依法享有就该项技术成果取得的精神权利、经济权利和其他权利。</w:t>
            </w:r>
          </w:p>
        </w:tc>
      </w:tr>
    </w:tbl>
    <w:p w14:paraId="236A5EAB">
      <w:pPr>
        <w:pStyle w:val="32"/>
        <w:ind w:firstLine="0" w:firstLineChars="0"/>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CF7121-20DB-4524-853B-50DCD51FDA1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embedRegular r:id="rId2" w:fontKey="{84DDAE19-86E6-4B44-BA36-05AE145BB92F}"/>
  </w:font>
  <w:font w:name="微软雅黑">
    <w:panose1 w:val="020B0503020204020204"/>
    <w:charset w:val="86"/>
    <w:family w:val="swiss"/>
    <w:pitch w:val="default"/>
    <w:sig w:usb0="80000287" w:usb1="280F3C52" w:usb2="00000016" w:usb3="00000000" w:csb0="0004001F" w:csb1="00000000"/>
    <w:embedRegular r:id="rId3" w:fontKey="{44A5FA91-939B-4C42-AC29-9F47270185D7}"/>
  </w:font>
  <w:font w:name="方正小标宋简体">
    <w:altName w:val="黑体"/>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E9E6B672-693E-42E4-AB1F-91CE4A221540}"/>
  </w:font>
  <w:font w:name="楷体_GB2312">
    <w:altName w:val="楷体"/>
    <w:panose1 w:val="00000000000000000000"/>
    <w:charset w:val="86"/>
    <w:family w:val="modern"/>
    <w:pitch w:val="default"/>
    <w:sig w:usb0="00000000" w:usb1="00000000" w:usb2="00000000" w:usb3="00000000" w:csb0="00040000" w:csb1="00000000"/>
    <w:embedRegular r:id="rId5" w:fontKey="{AC6B5EBA-F7FE-4B8F-9707-F480CA291585}"/>
  </w:font>
  <w:font w:name="方正小标宋_GBK">
    <w:altName w:val="微软雅黑"/>
    <w:panose1 w:val="00000000000000000000"/>
    <w:charset w:val="86"/>
    <w:family w:val="auto"/>
    <w:pitch w:val="default"/>
    <w:sig w:usb0="00000000" w:usb1="00000000" w:usb2="00082016" w:usb3="00000000" w:csb0="00040001" w:csb1="00000000"/>
    <w:embedRegular r:id="rId6" w:fontKey="{FDD9A8B5-96E6-4412-A7AB-AEEE174DA5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146362"/>
    </w:sdtPr>
    <w:sdtContent>
      <w:p w14:paraId="3FB42E85">
        <w:pPr>
          <w:pStyle w:val="15"/>
          <w:jc w:val="center"/>
        </w:pPr>
        <w:r>
          <w:fldChar w:fldCharType="begin"/>
        </w:r>
        <w:r>
          <w:instrText xml:space="preserve"> PAGE   \* MERGEFORMAT </w:instrText>
        </w:r>
        <w:r>
          <w:fldChar w:fldCharType="separate"/>
        </w:r>
        <w:r>
          <w:rPr>
            <w:lang w:val="zh-CN"/>
          </w:rPr>
          <w:t>5</w:t>
        </w:r>
        <w:r>
          <w:rPr>
            <w:lang w:val="zh-CN"/>
          </w:rPr>
          <w:fldChar w:fldCharType="end"/>
        </w:r>
      </w:p>
    </w:sdtContent>
  </w:sdt>
  <w:p w14:paraId="55A2B9AD">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DEE90">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5AAFB"/>
    <w:multiLevelType w:val="singleLevel"/>
    <w:tmpl w:val="AA25AAFB"/>
    <w:lvl w:ilvl="0" w:tentative="0">
      <w:start w:val="1"/>
      <w:numFmt w:val="decimal"/>
      <w:suff w:val="nothing"/>
      <w:lvlText w:val="%1"/>
      <w:lvlJc w:val="left"/>
      <w:pPr>
        <w:ind w:left="0" w:firstLine="403"/>
      </w:pPr>
      <w:rPr>
        <w:rFonts w:hint="default"/>
      </w:rPr>
    </w:lvl>
  </w:abstractNum>
  <w:abstractNum w:abstractNumId="1">
    <w:nsid w:val="CC017888"/>
    <w:multiLevelType w:val="singleLevel"/>
    <w:tmpl w:val="CC017888"/>
    <w:lvl w:ilvl="0" w:tentative="0">
      <w:start w:val="1"/>
      <w:numFmt w:val="decimal"/>
      <w:pStyle w:val="30"/>
      <w:suff w:val="nothing"/>
      <w:lvlText w:val="%1"/>
      <w:lvlJc w:val="center"/>
      <w:pPr>
        <w:ind w:left="0" w:firstLine="0"/>
      </w:pPr>
      <w:rPr>
        <w:rFonts w:hint="default"/>
      </w:rPr>
    </w:lvl>
  </w:abstractNum>
  <w:abstractNum w:abstractNumId="2">
    <w:nsid w:val="0D8AABEB"/>
    <w:multiLevelType w:val="singleLevel"/>
    <w:tmpl w:val="0D8AABEB"/>
    <w:lvl w:ilvl="0" w:tentative="0">
      <w:start w:val="1"/>
      <w:numFmt w:val="decimal"/>
      <w:suff w:val="nothing"/>
      <w:lvlText w:val="%1"/>
      <w:lvlJc w:val="center"/>
      <w:pPr>
        <w:ind w:left="0" w:firstLine="0"/>
      </w:pPr>
      <w:rPr>
        <w:rFonts w:hint="default"/>
      </w:rPr>
    </w:lvl>
  </w:abstractNum>
  <w:abstractNum w:abstractNumId="3">
    <w:nsid w:val="1A7F49A3"/>
    <w:multiLevelType w:val="singleLevel"/>
    <w:tmpl w:val="1A7F49A3"/>
    <w:lvl w:ilvl="0" w:tentative="0">
      <w:start w:val="3"/>
      <w:numFmt w:val="chineseCounting"/>
      <w:suff w:val="nothing"/>
      <w:lvlText w:val="（%1）"/>
      <w:lvlJc w:val="left"/>
      <w:rPr>
        <w:rFonts w:hint="eastAsia"/>
      </w:rPr>
    </w:lvl>
  </w:abstractNum>
  <w:abstractNum w:abstractNumId="4">
    <w:nsid w:val="1DE4C7F9"/>
    <w:multiLevelType w:val="singleLevel"/>
    <w:tmpl w:val="1DE4C7F9"/>
    <w:lvl w:ilvl="0" w:tentative="0">
      <w:start w:val="1"/>
      <w:numFmt w:val="decimal"/>
      <w:suff w:val="nothing"/>
      <w:lvlText w:val="%1．"/>
      <w:lvlJc w:val="left"/>
      <w:pPr>
        <w:ind w:left="0" w:firstLine="400"/>
      </w:pPr>
      <w:rPr>
        <w:rFonts w:hint="default"/>
      </w:rPr>
    </w:lvl>
  </w:abstractNum>
  <w:abstractNum w:abstractNumId="5">
    <w:nsid w:val="2618B967"/>
    <w:multiLevelType w:val="singleLevel"/>
    <w:tmpl w:val="2618B967"/>
    <w:lvl w:ilvl="0" w:tentative="0">
      <w:start w:val="1"/>
      <w:numFmt w:val="chineseCounting"/>
      <w:suff w:val="nothing"/>
      <w:lvlText w:val="（%1）"/>
      <w:lvlJc w:val="left"/>
      <w:pPr>
        <w:ind w:left="0" w:firstLine="420"/>
      </w:pPr>
      <w:rPr>
        <w:rFonts w:hint="eastAsia"/>
      </w:rPr>
    </w:lvl>
  </w:abstractNum>
  <w:abstractNum w:abstractNumId="6">
    <w:nsid w:val="34DC88CD"/>
    <w:multiLevelType w:val="singleLevel"/>
    <w:tmpl w:val="34DC88CD"/>
    <w:lvl w:ilvl="0" w:tentative="0">
      <w:start w:val="1"/>
      <w:numFmt w:val="decimal"/>
      <w:suff w:val="nothing"/>
      <w:lvlText w:val="%1．"/>
      <w:lvlJc w:val="left"/>
      <w:pPr>
        <w:ind w:left="0" w:firstLine="400"/>
      </w:pPr>
      <w:rPr>
        <w:rFonts w:hint="default"/>
      </w:rPr>
    </w:lvl>
  </w:abstractNum>
  <w:abstractNum w:abstractNumId="7">
    <w:nsid w:val="35385C73"/>
    <w:multiLevelType w:val="singleLevel"/>
    <w:tmpl w:val="35385C73"/>
    <w:lvl w:ilvl="0" w:tentative="0">
      <w:start w:val="1"/>
      <w:numFmt w:val="decimal"/>
      <w:suff w:val="nothing"/>
      <w:lvlText w:val="%1．"/>
      <w:lvlJc w:val="left"/>
      <w:pPr>
        <w:ind w:left="0" w:firstLine="400"/>
      </w:pPr>
      <w:rPr>
        <w:rFonts w:hint="default"/>
      </w:rPr>
    </w:lvl>
  </w:abstractNum>
  <w:abstractNum w:abstractNumId="8">
    <w:nsid w:val="49BAB68B"/>
    <w:multiLevelType w:val="singleLevel"/>
    <w:tmpl w:val="49BAB68B"/>
    <w:lvl w:ilvl="0" w:tentative="0">
      <w:start w:val="1"/>
      <w:numFmt w:val="decimal"/>
      <w:suff w:val="nothing"/>
      <w:lvlText w:val="%1．"/>
      <w:lvlJc w:val="left"/>
      <w:pPr>
        <w:ind w:left="0" w:firstLine="400"/>
      </w:pPr>
      <w:rPr>
        <w:rFonts w:hint="default"/>
      </w:rPr>
    </w:lvl>
  </w:abstractNum>
  <w:abstractNum w:abstractNumId="9">
    <w:nsid w:val="4E705351"/>
    <w:multiLevelType w:val="multilevel"/>
    <w:tmpl w:val="4E705351"/>
    <w:lvl w:ilvl="0" w:tentative="0">
      <w:start w:val="1"/>
      <w:numFmt w:val="decimal"/>
      <w:lvlText w:val="%1."/>
      <w:lvlJc w:val="left"/>
      <w:pPr>
        <w:tabs>
          <w:tab w:val="left" w:pos="284"/>
        </w:tabs>
        <w:ind w:left="284" w:hanging="284"/>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
  </w:num>
  <w:num w:numId="3">
    <w:abstractNumId w:val="8"/>
  </w:num>
  <w:num w:numId="4">
    <w:abstractNumId w:val="5"/>
  </w:num>
  <w:num w:numId="5">
    <w:abstractNumId w:val="2"/>
  </w:num>
  <w:num w:numId="6">
    <w:abstractNumId w:val="9"/>
  </w:num>
  <w:num w:numId="7">
    <w:abstractNumId w:val="4"/>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gwNWY0OTg5M2U2NjYxNDJmMDE0NDcxNGQ4ZDBkMDgifQ=="/>
  </w:docVars>
  <w:rsids>
    <w:rsidRoot w:val="7F501FA0"/>
    <w:rsid w:val="000B1E06"/>
    <w:rsid w:val="00162AB3"/>
    <w:rsid w:val="00325103"/>
    <w:rsid w:val="00341BFA"/>
    <w:rsid w:val="00481736"/>
    <w:rsid w:val="00520E6F"/>
    <w:rsid w:val="008B4A05"/>
    <w:rsid w:val="009D0D25"/>
    <w:rsid w:val="00A04240"/>
    <w:rsid w:val="00A7011F"/>
    <w:rsid w:val="00A74EAD"/>
    <w:rsid w:val="00BB41BE"/>
    <w:rsid w:val="00BF2017"/>
    <w:rsid w:val="00CD41EE"/>
    <w:rsid w:val="00E2035A"/>
    <w:rsid w:val="00F40AB7"/>
    <w:rsid w:val="01515D1B"/>
    <w:rsid w:val="019855B4"/>
    <w:rsid w:val="023A679D"/>
    <w:rsid w:val="03776079"/>
    <w:rsid w:val="048E0FDE"/>
    <w:rsid w:val="06BE5BCF"/>
    <w:rsid w:val="0C58610A"/>
    <w:rsid w:val="0DF30E7C"/>
    <w:rsid w:val="11B368EA"/>
    <w:rsid w:val="12166BDD"/>
    <w:rsid w:val="13281781"/>
    <w:rsid w:val="14AD5AF1"/>
    <w:rsid w:val="15E20949"/>
    <w:rsid w:val="177078DD"/>
    <w:rsid w:val="18E229D6"/>
    <w:rsid w:val="1CF6796B"/>
    <w:rsid w:val="1EED2B47"/>
    <w:rsid w:val="1F024326"/>
    <w:rsid w:val="20486346"/>
    <w:rsid w:val="23BF72B9"/>
    <w:rsid w:val="250D6D8C"/>
    <w:rsid w:val="286B7EA8"/>
    <w:rsid w:val="28B746DD"/>
    <w:rsid w:val="28E1715E"/>
    <w:rsid w:val="299227E2"/>
    <w:rsid w:val="2A2B7203"/>
    <w:rsid w:val="2B3144B6"/>
    <w:rsid w:val="2C554250"/>
    <w:rsid w:val="2C7F39CF"/>
    <w:rsid w:val="2D34766F"/>
    <w:rsid w:val="2E8342B4"/>
    <w:rsid w:val="300A3B11"/>
    <w:rsid w:val="366B4AA0"/>
    <w:rsid w:val="384B7E9E"/>
    <w:rsid w:val="39496C0C"/>
    <w:rsid w:val="3A507787"/>
    <w:rsid w:val="3D926D2B"/>
    <w:rsid w:val="3EEF36DD"/>
    <w:rsid w:val="408511D9"/>
    <w:rsid w:val="40EF41AB"/>
    <w:rsid w:val="41744812"/>
    <w:rsid w:val="42927B60"/>
    <w:rsid w:val="42CA4CA8"/>
    <w:rsid w:val="454E4E6B"/>
    <w:rsid w:val="47737EE0"/>
    <w:rsid w:val="49271ED7"/>
    <w:rsid w:val="4AE40A24"/>
    <w:rsid w:val="4B7B0886"/>
    <w:rsid w:val="4BE26DD9"/>
    <w:rsid w:val="4D1556FC"/>
    <w:rsid w:val="57EF780E"/>
    <w:rsid w:val="5BD028CC"/>
    <w:rsid w:val="5CC001EE"/>
    <w:rsid w:val="5F5F1147"/>
    <w:rsid w:val="5FFC61D7"/>
    <w:rsid w:val="62291DB5"/>
    <w:rsid w:val="6393749D"/>
    <w:rsid w:val="64966BE4"/>
    <w:rsid w:val="652F20BC"/>
    <w:rsid w:val="6650192F"/>
    <w:rsid w:val="67512C7A"/>
    <w:rsid w:val="6D397761"/>
    <w:rsid w:val="6DF750A5"/>
    <w:rsid w:val="74A47284"/>
    <w:rsid w:val="753E126F"/>
    <w:rsid w:val="75BD6E5D"/>
    <w:rsid w:val="76CE4E99"/>
    <w:rsid w:val="783A4000"/>
    <w:rsid w:val="784E1B0A"/>
    <w:rsid w:val="7E0B40F7"/>
    <w:rsid w:val="7F501F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25"/>
    <w:qFormat/>
    <w:uiPriority w:val="0"/>
    <w:pPr>
      <w:keepNext/>
      <w:keepLines/>
      <w:spacing w:line="576" w:lineRule="auto"/>
      <w:jc w:val="center"/>
      <w:outlineLvl w:val="0"/>
    </w:pPr>
    <w:rPr>
      <w:rFonts w:ascii="Times New Roman" w:hAnsi="Times New Roman" w:eastAsia="方正小标宋简体" w:cs="Times New Roman"/>
      <w:spacing w:val="28"/>
      <w:kern w:val="36"/>
      <w:sz w:val="36"/>
      <w:szCs w:val="20"/>
    </w:rPr>
  </w:style>
  <w:style w:type="paragraph" w:styleId="3">
    <w:name w:val="heading 2"/>
    <w:basedOn w:val="1"/>
    <w:next w:val="1"/>
    <w:link w:val="23"/>
    <w:semiHidden/>
    <w:unhideWhenUsed/>
    <w:qFormat/>
    <w:uiPriority w:val="0"/>
    <w:pPr>
      <w:keepNext/>
      <w:keepLines/>
      <w:spacing w:line="416" w:lineRule="auto"/>
      <w:outlineLvl w:val="1"/>
    </w:pPr>
    <w:rPr>
      <w:rFonts w:ascii="Cambria" w:hAnsi="Cambria" w:eastAsia="黑体" w:cs="Times New Roman"/>
      <w:sz w:val="28"/>
      <w:szCs w:val="32"/>
    </w:rPr>
  </w:style>
  <w:style w:type="paragraph" w:styleId="4">
    <w:name w:val="heading 3"/>
    <w:basedOn w:val="1"/>
    <w:next w:val="1"/>
    <w:link w:val="28"/>
    <w:unhideWhenUsed/>
    <w:qFormat/>
    <w:uiPriority w:val="0"/>
    <w:pPr>
      <w:keepNext/>
      <w:keepLines/>
      <w:spacing w:before="260" w:after="260" w:line="360" w:lineRule="auto"/>
      <w:ind w:left="1080" w:hanging="720"/>
      <w:outlineLvl w:val="2"/>
    </w:pPr>
    <w:rPr>
      <w:rFonts w:ascii="Times New Roman" w:hAnsi="Times New Roman" w:eastAsia="楷体" w:cs="Times New Roman"/>
      <w:b/>
      <w:sz w:val="32"/>
      <w:szCs w:val="20"/>
    </w:rPr>
  </w:style>
  <w:style w:type="paragraph" w:styleId="5">
    <w:name w:val="heading 4"/>
    <w:basedOn w:val="1"/>
    <w:next w:val="1"/>
    <w:link w:val="31"/>
    <w:unhideWhenUsed/>
    <w:qFormat/>
    <w:uiPriority w:val="0"/>
    <w:pPr>
      <w:keepNext/>
      <w:keepLines/>
      <w:spacing w:before="280" w:after="290" w:line="376" w:lineRule="auto"/>
      <w:outlineLvl w:val="3"/>
    </w:pPr>
    <w:rPr>
      <w:rFonts w:ascii="黑体" w:hAnsi="黑体" w:eastAsia="黑体" w:cstheme="majorBidi"/>
      <w:b/>
      <w:bCs/>
      <w:sz w:val="28"/>
      <w:szCs w:val="28"/>
    </w:rPr>
  </w:style>
  <w:style w:type="paragraph" w:styleId="6">
    <w:name w:val="heading 5"/>
    <w:basedOn w:val="1"/>
    <w:next w:val="1"/>
    <w:link w:val="33"/>
    <w:unhideWhenUsed/>
    <w:qFormat/>
    <w:uiPriority w:val="0"/>
    <w:pPr>
      <w:keepNext/>
      <w:keepLines/>
      <w:widowControl w:val="0"/>
      <w:spacing w:before="200" w:after="220"/>
      <w:jc w:val="both"/>
      <w:outlineLvl w:val="4"/>
    </w:pPr>
    <w:rPr>
      <w:rFonts w:ascii="Times New Roman" w:hAnsi="Times New Roman" w:eastAsia="黑体" w:cs="Times New Roman"/>
      <w:kern w:val="2"/>
      <w:sz w:val="24"/>
      <w:szCs w:val="24"/>
      <w:lang w:val="en-US" w:eastAsia="zh-CN" w:bidi="ar-SA"/>
    </w:rPr>
  </w:style>
  <w:style w:type="paragraph" w:styleId="7">
    <w:name w:val="heading 6"/>
    <w:basedOn w:val="1"/>
    <w:next w:val="1"/>
    <w:unhideWhenUsed/>
    <w:qFormat/>
    <w:uiPriority w:val="0"/>
    <w:pPr>
      <w:keepNext/>
      <w:keepLines/>
      <w:spacing w:line="317" w:lineRule="auto"/>
      <w:outlineLvl w:val="5"/>
    </w:pPr>
    <w:rPr>
      <w:rFonts w:ascii="Arial" w:hAnsi="Arial" w:eastAsia="黑体"/>
      <w:b/>
      <w:sz w:val="2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8">
    <w:name w:val="caption"/>
    <w:basedOn w:val="1"/>
    <w:next w:val="1"/>
    <w:autoRedefine/>
    <w:qFormat/>
    <w:uiPriority w:val="99"/>
    <w:rPr>
      <w:rFonts w:ascii="Arial" w:hAnsi="Arial" w:eastAsia="黑体"/>
      <w:sz w:val="20"/>
      <w:szCs w:val="20"/>
    </w:rPr>
  </w:style>
  <w:style w:type="paragraph" w:styleId="9">
    <w:name w:val="annotation text"/>
    <w:basedOn w:val="1"/>
    <w:semiHidden/>
    <w:qFormat/>
    <w:uiPriority w:val="0"/>
    <w:pPr>
      <w:jc w:val="left"/>
    </w:pPr>
  </w:style>
  <w:style w:type="paragraph" w:styleId="10">
    <w:name w:val="Body Text"/>
    <w:basedOn w:val="1"/>
    <w:autoRedefine/>
    <w:unhideWhenUsed/>
    <w:qFormat/>
    <w:uiPriority w:val="99"/>
  </w:style>
  <w:style w:type="paragraph" w:styleId="11">
    <w:name w:val="Body Text Indent"/>
    <w:basedOn w:val="1"/>
    <w:next w:val="12"/>
    <w:qFormat/>
    <w:uiPriority w:val="0"/>
    <w:pPr>
      <w:spacing w:after="120"/>
      <w:ind w:left="420" w:leftChars="200"/>
    </w:pPr>
    <w:rPr>
      <w:kern w:val="0"/>
      <w:sz w:val="20"/>
    </w:rPr>
  </w:style>
  <w:style w:type="paragraph" w:styleId="12">
    <w:name w:val="annotation subject"/>
    <w:basedOn w:val="9"/>
    <w:next w:val="1"/>
    <w:qFormat/>
    <w:uiPriority w:val="0"/>
    <w:rPr>
      <w:b/>
      <w:bCs/>
    </w:rPr>
  </w:style>
  <w:style w:type="paragraph" w:styleId="13">
    <w:name w:val="Plain Text"/>
    <w:basedOn w:val="1"/>
    <w:autoRedefine/>
    <w:qFormat/>
    <w:uiPriority w:val="0"/>
    <w:rPr>
      <w:rFonts w:ascii="宋体" w:hAnsi="Courier New"/>
      <w:kern w:val="0"/>
      <w:sz w:val="20"/>
      <w:szCs w:val="21"/>
    </w:rPr>
  </w:style>
  <w:style w:type="paragraph" w:styleId="14">
    <w:name w:val="Balloon Text"/>
    <w:basedOn w:val="1"/>
    <w:link w:val="44"/>
    <w:autoRedefine/>
    <w:qFormat/>
    <w:uiPriority w:val="0"/>
    <w:rPr>
      <w:sz w:val="18"/>
      <w:szCs w:val="18"/>
    </w:rPr>
  </w:style>
  <w:style w:type="paragraph" w:styleId="15">
    <w:name w:val="footer"/>
    <w:basedOn w:val="1"/>
    <w:link w:val="45"/>
    <w:autoRedefine/>
    <w:qFormat/>
    <w:uiPriority w:val="99"/>
    <w:pPr>
      <w:tabs>
        <w:tab w:val="center" w:pos="4153"/>
        <w:tab w:val="right" w:pos="8306"/>
      </w:tabs>
      <w:snapToGrid w:val="0"/>
      <w:jc w:val="left"/>
    </w:pPr>
    <w:rPr>
      <w:sz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autoRedefine/>
    <w:qFormat/>
    <w:uiPriority w:val="0"/>
    <w:pPr>
      <w:jc w:val="left"/>
    </w:pPr>
    <w:rPr>
      <w:rFonts w:eastAsia="微软雅黑"/>
      <w:b/>
      <w:sz w:val="24"/>
    </w:rPr>
  </w:style>
  <w:style w:type="paragraph" w:styleId="18">
    <w:name w:val="Body Text First Indent 2"/>
    <w:basedOn w:val="11"/>
    <w:next w:val="1"/>
    <w:unhideWhenUsed/>
    <w:qFormat/>
    <w:uiPriority w:val="99"/>
    <w:pPr>
      <w:autoSpaceDE w:val="0"/>
      <w:autoSpaceDN w:val="0"/>
      <w:adjustRightInd w:val="0"/>
      <w:ind w:firstLine="420"/>
      <w:jc w:val="left"/>
    </w:pPr>
    <w:rPr>
      <w:rFonts w:ascii="Calibri" w:hAnsi="Calibri" w:eastAsia="宋体" w:cs="Times New Roman"/>
      <w:kern w:val="0"/>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2">
    <w:name w:val="正文首行缩进1"/>
    <w:basedOn w:val="1"/>
    <w:autoRedefine/>
    <w:qFormat/>
    <w:uiPriority w:val="99"/>
    <w:pPr>
      <w:spacing w:after="120"/>
      <w:ind w:firstLine="420" w:firstLineChars="100"/>
    </w:pPr>
  </w:style>
  <w:style w:type="character" w:customStyle="1" w:styleId="23">
    <w:name w:val="标题 2 Char"/>
    <w:link w:val="3"/>
    <w:autoRedefine/>
    <w:qFormat/>
    <w:uiPriority w:val="0"/>
    <w:rPr>
      <w:rFonts w:ascii="Cambria" w:hAnsi="Cambria" w:eastAsia="黑体" w:cs="Times New Roman"/>
      <w:sz w:val="28"/>
      <w:szCs w:val="32"/>
    </w:rPr>
  </w:style>
  <w:style w:type="paragraph" w:customStyle="1" w:styleId="24">
    <w:name w:val="表头"/>
    <w:basedOn w:val="8"/>
    <w:autoRedefine/>
    <w:qFormat/>
    <w:uiPriority w:val="0"/>
    <w:pPr>
      <w:spacing w:line="360" w:lineRule="auto"/>
      <w:jc w:val="center"/>
    </w:pPr>
    <w:rPr>
      <w:rFonts w:hint="eastAsia" w:ascii="Times New Roman" w:hAnsi="Times New Roman" w:eastAsia="微软雅黑"/>
      <w:b/>
      <w:sz w:val="22"/>
      <w:szCs w:val="22"/>
    </w:rPr>
  </w:style>
  <w:style w:type="character" w:customStyle="1" w:styleId="25">
    <w:name w:val="标题 1 Char"/>
    <w:link w:val="2"/>
    <w:autoRedefine/>
    <w:qFormat/>
    <w:uiPriority w:val="0"/>
    <w:rPr>
      <w:rFonts w:ascii="Times New Roman" w:hAnsi="Times New Roman" w:eastAsia="方正小标宋简体"/>
      <w:spacing w:val="28"/>
      <w:kern w:val="36"/>
      <w:sz w:val="36"/>
      <w:szCs w:val="20"/>
    </w:rPr>
  </w:style>
  <w:style w:type="paragraph" w:customStyle="1" w:styleId="26">
    <w:name w:val="文章正文"/>
    <w:autoRedefine/>
    <w:qFormat/>
    <w:uiPriority w:val="0"/>
    <w:pPr>
      <w:widowControl w:val="0"/>
      <w:adjustRightInd w:val="0"/>
      <w:snapToGrid w:val="0"/>
      <w:spacing w:beforeLines="100" w:line="400" w:lineRule="exact"/>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27">
    <w:name w:val="表格1"/>
    <w:autoRedefine/>
    <w:qFormat/>
    <w:uiPriority w:val="0"/>
    <w:pPr>
      <w:widowControl w:val="0"/>
      <w:spacing w:line="300" w:lineRule="exact"/>
    </w:pPr>
    <w:rPr>
      <w:rFonts w:ascii="Times New Roman" w:hAnsi="Times New Roman" w:eastAsia="微软雅黑" w:cs="Times New Roman"/>
      <w:kern w:val="2"/>
      <w:sz w:val="21"/>
      <w:szCs w:val="24"/>
      <w:lang w:val="en-US" w:eastAsia="zh-CN" w:bidi="ar-SA"/>
    </w:rPr>
  </w:style>
  <w:style w:type="character" w:customStyle="1" w:styleId="28">
    <w:name w:val="标题 3 Char"/>
    <w:link w:val="4"/>
    <w:autoRedefine/>
    <w:qFormat/>
    <w:uiPriority w:val="0"/>
    <w:rPr>
      <w:rFonts w:ascii="Times New Roman" w:hAnsi="Times New Roman" w:eastAsia="楷体" w:cs="Times New Roman"/>
      <w:b/>
      <w:sz w:val="32"/>
      <w:szCs w:val="20"/>
    </w:rPr>
  </w:style>
  <w:style w:type="paragraph" w:customStyle="1" w:styleId="29">
    <w:name w:val="表格内标题行"/>
    <w:basedOn w:val="1"/>
    <w:autoRedefine/>
    <w:qFormat/>
    <w:uiPriority w:val="0"/>
    <w:pPr>
      <w:widowControl/>
      <w:tabs>
        <w:tab w:val="left" w:pos="33"/>
      </w:tabs>
      <w:spacing w:line="480" w:lineRule="auto"/>
      <w:ind w:firstLine="920" w:firstLineChars="100"/>
      <w:jc w:val="center"/>
    </w:pPr>
    <w:rPr>
      <w:rFonts w:ascii="宋体" w:hAnsi="宋体" w:eastAsia="黑体"/>
      <w:b/>
      <w:szCs w:val="24"/>
    </w:rPr>
  </w:style>
  <w:style w:type="paragraph" w:customStyle="1" w:styleId="30">
    <w:name w:val="表格内容左对齐"/>
    <w:basedOn w:val="1"/>
    <w:autoRedefine/>
    <w:qFormat/>
    <w:uiPriority w:val="0"/>
    <w:pPr>
      <w:widowControl/>
      <w:numPr>
        <w:ilvl w:val="0"/>
        <w:numId w:val="1"/>
      </w:numPr>
      <w:tabs>
        <w:tab w:val="left" w:pos="33"/>
      </w:tabs>
      <w:spacing w:line="260" w:lineRule="exact"/>
      <w:ind w:right="-48" w:rightChars="-23" w:firstLine="920" w:firstLineChars="100"/>
      <w:jc w:val="left"/>
    </w:pPr>
    <w:rPr>
      <w:rFonts w:ascii="宋体" w:hAnsi="宋体" w:eastAsia="微软雅黑"/>
      <w:sz w:val="20"/>
      <w:szCs w:val="24"/>
    </w:rPr>
  </w:style>
  <w:style w:type="character" w:customStyle="1" w:styleId="31">
    <w:name w:val="标题 4 Char"/>
    <w:link w:val="5"/>
    <w:autoRedefine/>
    <w:qFormat/>
    <w:uiPriority w:val="0"/>
    <w:rPr>
      <w:rFonts w:ascii="Cambria" w:hAnsi="Cambria" w:eastAsia="黑体" w:cs="Times New Roman"/>
      <w:sz w:val="28"/>
      <w:szCs w:val="28"/>
    </w:rPr>
  </w:style>
  <w:style w:type="paragraph" w:customStyle="1" w:styleId="32">
    <w:name w:val="正文(首行缩进)"/>
    <w:basedOn w:val="1"/>
    <w:autoRedefine/>
    <w:qFormat/>
    <w:uiPriority w:val="0"/>
    <w:pPr>
      <w:widowControl/>
      <w:spacing w:line="340" w:lineRule="exact"/>
      <w:ind w:firstLine="1840" w:firstLineChars="200"/>
      <w:jc w:val="left"/>
    </w:pPr>
    <w:rPr>
      <w:rFonts w:ascii="Arial Narrow" w:hAnsi="Arial Narrow" w:eastAsia="宋体"/>
      <w:sz w:val="24"/>
    </w:rPr>
  </w:style>
  <w:style w:type="character" w:customStyle="1" w:styleId="33">
    <w:name w:val="标题 5 Char"/>
    <w:link w:val="6"/>
    <w:autoRedefine/>
    <w:qFormat/>
    <w:uiPriority w:val="0"/>
    <w:rPr>
      <w:rFonts w:ascii="Times New Roman" w:hAnsi="Times New Roman" w:eastAsia="黑体" w:cs="Times New Roman"/>
      <w:kern w:val="2"/>
      <w:sz w:val="24"/>
      <w:szCs w:val="24"/>
      <w:lang w:val="en-US" w:eastAsia="zh-CN" w:bidi="ar-SA"/>
    </w:rPr>
  </w:style>
  <w:style w:type="paragraph" w:customStyle="1" w:styleId="34">
    <w:name w:val="正文四号"/>
    <w:basedOn w:val="1"/>
    <w:link w:val="35"/>
    <w:autoRedefine/>
    <w:qFormat/>
    <w:uiPriority w:val="0"/>
    <w:pPr>
      <w:ind w:firstLine="529" w:firstLineChars="189"/>
    </w:pPr>
    <w:rPr>
      <w:rFonts w:eastAsia="仿宋_GB2312" w:asciiTheme="minorHAnsi" w:hAnsiTheme="minorHAnsi"/>
      <w:sz w:val="28"/>
      <w:szCs w:val="28"/>
    </w:rPr>
  </w:style>
  <w:style w:type="character" w:customStyle="1" w:styleId="35">
    <w:name w:val="正文四号 字符"/>
    <w:basedOn w:val="36"/>
    <w:link w:val="34"/>
    <w:autoRedefine/>
    <w:qFormat/>
    <w:uiPriority w:val="0"/>
    <w:rPr>
      <w:rFonts w:eastAsia="仿宋_GB2312" w:asciiTheme="minorHAnsi" w:hAnsiTheme="minorHAnsi"/>
      <w:sz w:val="28"/>
      <w:szCs w:val="28"/>
    </w:rPr>
  </w:style>
  <w:style w:type="character" w:customStyle="1" w:styleId="36">
    <w:name w:val="列出段落 Char"/>
    <w:basedOn w:val="21"/>
    <w:link w:val="37"/>
    <w:autoRedefine/>
    <w:qFormat/>
    <w:uiPriority w:val="34"/>
  </w:style>
  <w:style w:type="paragraph" w:styleId="37">
    <w:name w:val="List Paragraph"/>
    <w:basedOn w:val="1"/>
    <w:link w:val="36"/>
    <w:autoRedefine/>
    <w:qFormat/>
    <w:uiPriority w:val="34"/>
    <w:pPr>
      <w:ind w:firstLine="420" w:firstLineChars="200"/>
    </w:pPr>
  </w:style>
  <w:style w:type="paragraph" w:customStyle="1" w:styleId="38">
    <w:name w:val="论文标题"/>
    <w:basedOn w:val="1"/>
    <w:autoRedefine/>
    <w:qFormat/>
    <w:uiPriority w:val="0"/>
    <w:pPr>
      <w:jc w:val="center"/>
    </w:pPr>
    <w:rPr>
      <w:rFonts w:eastAsia="楷体_GB2312"/>
      <w:b/>
      <w:kern w:val="36"/>
      <w:sz w:val="52"/>
      <w:szCs w:val="52"/>
    </w:rPr>
  </w:style>
  <w:style w:type="paragraph" w:customStyle="1" w:styleId="39">
    <w:name w:val="研究生姓名"/>
    <w:basedOn w:val="1"/>
    <w:autoRedefine/>
    <w:qFormat/>
    <w:uiPriority w:val="0"/>
    <w:pPr>
      <w:ind w:firstLine="700" w:firstLineChars="700"/>
    </w:pPr>
    <w:rPr>
      <w:sz w:val="28"/>
      <w:szCs w:val="28"/>
    </w:rPr>
  </w:style>
  <w:style w:type="paragraph" w:customStyle="1" w:styleId="40">
    <w:name w:val="封面日期"/>
    <w:basedOn w:val="1"/>
    <w:autoRedefine/>
    <w:qFormat/>
    <w:uiPriority w:val="0"/>
    <w:pPr>
      <w:jc w:val="center"/>
    </w:pPr>
    <w:rPr>
      <w:rFonts w:ascii="黑体" w:eastAsia="黑体"/>
      <w:sz w:val="32"/>
      <w:szCs w:val="32"/>
    </w:rPr>
  </w:style>
  <w:style w:type="paragraph" w:customStyle="1" w:styleId="41">
    <w:name w:val="WPSOffice手动目录 1"/>
    <w:autoRedefine/>
    <w:qFormat/>
    <w:uiPriority w:val="0"/>
    <w:rPr>
      <w:rFonts w:asciiTheme="minorHAnsi" w:hAnsiTheme="minorHAnsi" w:eastAsiaTheme="minorEastAsia" w:cstheme="minorBidi"/>
      <w:lang w:val="en-US" w:eastAsia="zh-CN" w:bidi="ar-SA"/>
    </w:rPr>
  </w:style>
  <w:style w:type="paragraph" w:customStyle="1" w:styleId="42">
    <w:name w:val="WPSOffice手动目录 2"/>
    <w:autoRedefine/>
    <w:qFormat/>
    <w:uiPriority w:val="0"/>
    <w:pPr>
      <w:ind w:left="200" w:leftChars="200"/>
    </w:pPr>
    <w:rPr>
      <w:rFonts w:asciiTheme="minorHAnsi" w:hAnsiTheme="minorHAnsi" w:eastAsiaTheme="minorEastAsia" w:cstheme="minorBidi"/>
      <w:lang w:val="en-US" w:eastAsia="zh-CN" w:bidi="ar-SA"/>
    </w:rPr>
  </w:style>
  <w:style w:type="paragraph" w:customStyle="1" w:styleId="43">
    <w:name w:val="Table Paragraph"/>
    <w:basedOn w:val="1"/>
    <w:autoRedefine/>
    <w:qFormat/>
    <w:uiPriority w:val="1"/>
    <w:rPr>
      <w:rFonts w:ascii="微软雅黑" w:hAnsi="微软雅黑" w:eastAsia="微软雅黑" w:cs="微软雅黑"/>
      <w:lang w:val="zh-CN" w:bidi="zh-CN"/>
    </w:rPr>
  </w:style>
  <w:style w:type="character" w:customStyle="1" w:styleId="44">
    <w:name w:val="批注框文本 Char"/>
    <w:basedOn w:val="21"/>
    <w:link w:val="14"/>
    <w:autoRedefine/>
    <w:qFormat/>
    <w:uiPriority w:val="0"/>
    <w:rPr>
      <w:rFonts w:ascii="等线" w:hAnsi="等线" w:eastAsia="等线" w:cs="宋体"/>
      <w:kern w:val="2"/>
      <w:sz w:val="18"/>
      <w:szCs w:val="18"/>
    </w:rPr>
  </w:style>
  <w:style w:type="character" w:customStyle="1" w:styleId="45">
    <w:name w:val="页脚 Char"/>
    <w:basedOn w:val="21"/>
    <w:link w:val="15"/>
    <w:autoRedefine/>
    <w:qFormat/>
    <w:uiPriority w:val="99"/>
    <w:rPr>
      <w:rFonts w:ascii="等线" w:hAnsi="等线" w:eastAsia="等线" w:cs="宋体"/>
      <w:kern w:val="2"/>
      <w:sz w:val="18"/>
      <w:szCs w:val="22"/>
    </w:rPr>
  </w:style>
  <w:style w:type="character" w:customStyle="1" w:styleId="46">
    <w:name w:val="NormalCharacter"/>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4527</Words>
  <Characters>4859</Characters>
  <Lines>32</Lines>
  <Paragraphs>9</Paragraphs>
  <TotalTime>43</TotalTime>
  <ScaleCrop>false</ScaleCrop>
  <LinksUpToDate>false</LinksUpToDate>
  <CharactersWithSpaces>5310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2021-08-30T07:24:00Z</dcterms:created>
  <dc:creator>Sugar</dc:creator>
  <cp:lastModifiedBy>Administrator</cp:lastModifiedBy>
  <cp:lastPrinted>2021-08-31T01:33:00Z</cp:lastPrinted>
  <dcterms:modified xsi:type="dcterms:W3CDTF">2026-08-07T03:43:34Z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5E1A782DA31147DDA21C86BB4D880968_13</vt:lpwstr>
  </property>
  <property fmtid="{D5CDD505-2E9C-101B-9397-08002B2CF9AE}" pid="4" name="KSOSaveFontToCloudKey">
    <vt:lpwstr>217099218_cloud</vt:lpwstr>
  </property>
  <property fmtid="{D5CDD505-2E9C-101B-9397-08002B2CF9AE}" pid="5" name="KSOTemplateDocerSaveRecord">
    <vt:lpwstr>eyJoZGlkIjoiOTgwNWY0OTg5M2U2NjYxNDJmMDE0NDcxNGQ4ZDBkMDgiLCJ1c2VySWQiOiI2MTk4MjAyNDUifQ==</vt:lpwstr>
  </property>
</Properties>
</file>