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96B43">
      <w:pPr>
        <w:widowControl w:val="0"/>
        <w:numPr>
          <w:ilvl w:val="0"/>
          <w:numId w:val="1"/>
        </w:numPr>
        <w:tabs>
          <w:tab w:val="left" w:pos="8820"/>
          <w:tab w:val="left" w:pos="9345"/>
          <w:tab w:val="left" w:pos="9765"/>
        </w:tabs>
        <w:kinsoku/>
        <w:autoSpaceDE/>
        <w:autoSpaceDN/>
        <w:adjustRightInd w:val="0"/>
        <w:snapToGrid w:val="0"/>
        <w:spacing w:before="156" w:beforeLines="50" w:line="360" w:lineRule="auto"/>
        <w:ind w:right="384" w:rightChars="183"/>
        <w:jc w:val="center"/>
        <w:textAlignment w:val="auto"/>
        <w:rPr>
          <w:rFonts w:hint="eastAsia" w:ascii="黑体" w:hAnsi="Times New Roman" w:eastAsia="黑体" w:cs="Times New Roman"/>
          <w:b/>
          <w:snapToGrid/>
          <w:color w:val="auto"/>
          <w:kern w:val="2"/>
          <w:sz w:val="32"/>
          <w:szCs w:val="32"/>
          <w:highlight w:val="none"/>
          <w:lang w:eastAsia="zh-CN"/>
        </w:rPr>
      </w:pPr>
      <w:bookmarkStart w:id="1" w:name="_GoBack"/>
      <w:bookmarkEnd w:id="1"/>
      <w:r>
        <w:rPr>
          <w:rFonts w:hint="eastAsia" w:ascii="黑体" w:hAnsi="Times New Roman" w:eastAsia="黑体" w:cs="Times New Roman"/>
          <w:b/>
          <w:snapToGrid/>
          <w:color w:val="auto"/>
          <w:kern w:val="2"/>
          <w:sz w:val="32"/>
          <w:szCs w:val="32"/>
          <w:highlight w:val="none"/>
          <w:lang w:eastAsia="zh-CN"/>
        </w:rPr>
        <w:t>采购需求</w:t>
      </w:r>
    </w:p>
    <w:p w14:paraId="0E9D232A">
      <w:pPr>
        <w:widowControl/>
        <w:numPr>
          <w:ilvl w:val="0"/>
          <w:numId w:val="2"/>
        </w:numPr>
        <w:kinsoku w:val="0"/>
        <w:autoSpaceDE w:val="0"/>
        <w:autoSpaceDN w:val="0"/>
        <w:adjustRightInd w:val="0"/>
        <w:snapToGrid w:val="0"/>
        <w:spacing w:before="225" w:line="227" w:lineRule="auto"/>
        <w:ind w:left="2461" w:leftChars="0" w:hanging="2461" w:hangingChars="901"/>
        <w:jc w:val="left"/>
        <w:textAlignment w:val="baseline"/>
        <w:rPr>
          <w:rFonts w:hint="eastAsia" w:ascii="宋体" w:hAnsi="宋体" w:eastAsia="宋体" w:cs="宋体"/>
          <w:b w:val="0"/>
          <w:bCs w:val="0"/>
          <w:snapToGrid/>
          <w:color w:val="auto"/>
          <w:kern w:val="2"/>
          <w:sz w:val="22"/>
          <w:szCs w:val="22"/>
          <w:highlight w:val="none"/>
          <w:lang w:val="en-US" w:eastAsia="zh-CN"/>
        </w:rPr>
      </w:pPr>
      <w:r>
        <w:rPr>
          <w:rFonts w:hint="eastAsia" w:ascii="楷体" w:hAnsi="楷体" w:eastAsia="楷体" w:cs="楷体"/>
          <w:b/>
          <w:bCs/>
          <w:snapToGrid w:val="0"/>
          <w:color w:val="auto"/>
          <w:spacing w:val="-4"/>
          <w:kern w:val="0"/>
          <w:sz w:val="28"/>
          <w:szCs w:val="28"/>
          <w:highlight w:val="none"/>
          <w:lang w:val="en-US" w:eastAsia="en-US" w:bidi="ar-SA"/>
        </w:rPr>
        <w:t>采购项目</w:t>
      </w:r>
      <w:r>
        <w:rPr>
          <w:rFonts w:hint="eastAsia" w:ascii="楷体" w:hAnsi="楷体" w:eastAsia="楷体" w:cs="楷体"/>
          <w:b/>
          <w:bCs/>
          <w:snapToGrid w:val="0"/>
          <w:color w:val="auto"/>
          <w:spacing w:val="-4"/>
          <w:kern w:val="0"/>
          <w:sz w:val="28"/>
          <w:szCs w:val="28"/>
          <w:highlight w:val="none"/>
          <w:lang w:val="en-US" w:eastAsia="zh-CN" w:bidi="ar-SA"/>
        </w:rPr>
        <w:t>概况：</w:t>
      </w:r>
    </w:p>
    <w:p w14:paraId="0A23359D">
      <w:pPr>
        <w:widowControl/>
        <w:numPr>
          <w:ilvl w:val="0"/>
          <w:numId w:val="3"/>
        </w:numPr>
        <w:kinsoku w:val="0"/>
        <w:autoSpaceDE w:val="0"/>
        <w:autoSpaceDN w:val="0"/>
        <w:adjustRightInd w:val="0"/>
        <w:snapToGrid w:val="0"/>
        <w:spacing w:before="225" w:line="227" w:lineRule="auto"/>
        <w:ind w:leftChars="-901" w:firstLine="1980" w:firstLineChars="900"/>
        <w:jc w:val="left"/>
        <w:textAlignment w:val="baseline"/>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项目名称：资兴市2026年油菜生产采购项目；</w:t>
      </w:r>
    </w:p>
    <w:p w14:paraId="3ADD719D">
      <w:pPr>
        <w:widowControl/>
        <w:numPr>
          <w:ilvl w:val="0"/>
          <w:numId w:val="3"/>
        </w:numPr>
        <w:kinsoku w:val="0"/>
        <w:autoSpaceDE w:val="0"/>
        <w:autoSpaceDN w:val="0"/>
        <w:adjustRightInd w:val="0"/>
        <w:snapToGrid w:val="0"/>
        <w:spacing w:before="225" w:line="227" w:lineRule="auto"/>
        <w:ind w:leftChars="-901" w:firstLine="1980" w:firstLineChars="900"/>
        <w:jc w:val="left"/>
        <w:textAlignment w:val="baseline"/>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项目预算金额及最高限价：1100000.00元。</w:t>
      </w:r>
    </w:p>
    <w:p w14:paraId="540DD38E">
      <w:pPr>
        <w:keepNext w:val="0"/>
        <w:keepLines w:val="0"/>
        <w:pageBreakBefore w:val="0"/>
        <w:widowControl/>
        <w:kinsoku w:val="0"/>
        <w:wordWrap/>
        <w:overflowPunct/>
        <w:topLinePunct w:val="0"/>
        <w:autoSpaceDE w:val="0"/>
        <w:autoSpaceDN w:val="0"/>
        <w:bidi w:val="0"/>
        <w:adjustRightInd w:val="0"/>
        <w:snapToGrid w:val="0"/>
        <w:spacing w:before="19" w:line="360" w:lineRule="auto"/>
        <w:jc w:val="left"/>
        <w:textAlignment w:val="baseline"/>
        <w:rPr>
          <w:rFonts w:hint="default" w:ascii="楷体" w:hAnsi="楷体" w:eastAsia="楷体" w:cs="楷体"/>
          <w:b/>
          <w:bCs/>
          <w:snapToGrid w:val="0"/>
          <w:color w:val="auto"/>
          <w:spacing w:val="-4"/>
          <w:kern w:val="0"/>
          <w:sz w:val="28"/>
          <w:szCs w:val="28"/>
          <w:highlight w:val="none"/>
          <w:lang w:val="en-US" w:eastAsia="zh-CN" w:bidi="ar-SA"/>
        </w:rPr>
      </w:pPr>
      <w:r>
        <w:rPr>
          <w:rFonts w:ascii="楷体" w:hAnsi="楷体" w:eastAsia="楷体" w:cs="楷体"/>
          <w:b/>
          <w:bCs/>
          <w:snapToGrid w:val="0"/>
          <w:color w:val="auto"/>
          <w:spacing w:val="-4"/>
          <w:kern w:val="0"/>
          <w:sz w:val="28"/>
          <w:szCs w:val="28"/>
          <w:highlight w:val="none"/>
          <w:lang w:val="en-US" w:eastAsia="en-US" w:bidi="ar-SA"/>
        </w:rPr>
        <w:t>二、采购内容</w:t>
      </w:r>
      <w:r>
        <w:rPr>
          <w:rFonts w:hint="eastAsia" w:ascii="楷体" w:hAnsi="楷体" w:eastAsia="楷体" w:cs="楷体"/>
          <w:b/>
          <w:bCs/>
          <w:snapToGrid w:val="0"/>
          <w:color w:val="auto"/>
          <w:spacing w:val="-4"/>
          <w:kern w:val="0"/>
          <w:sz w:val="28"/>
          <w:szCs w:val="28"/>
          <w:highlight w:val="none"/>
          <w:lang w:val="en-US" w:eastAsia="zh-CN" w:bidi="ar-SA"/>
        </w:rPr>
        <w:t>及参数</w:t>
      </w:r>
    </w:p>
    <w:p w14:paraId="10CDA429">
      <w:pPr>
        <w:keepNext w:val="0"/>
        <w:keepLines w:val="0"/>
        <w:pageBreakBefore w:val="0"/>
        <w:widowControl/>
        <w:kinsoku w:val="0"/>
        <w:wordWrap/>
        <w:overflowPunct/>
        <w:topLinePunct w:val="0"/>
        <w:autoSpaceDE w:val="0"/>
        <w:autoSpaceDN w:val="0"/>
        <w:bidi w:val="0"/>
        <w:adjustRightInd w:val="0"/>
        <w:snapToGrid w:val="0"/>
        <w:spacing w:before="19" w:line="360" w:lineRule="auto"/>
        <w:ind w:firstLine="440" w:firstLineChars="200"/>
        <w:jc w:val="left"/>
        <w:textAlignment w:val="baseline"/>
        <w:rPr>
          <w:rFonts w:ascii="楷体" w:hAnsi="楷体" w:eastAsia="楷体" w:cs="楷体"/>
          <w:snapToGrid w:val="0"/>
          <w:color w:val="auto"/>
          <w:kern w:val="0"/>
          <w:sz w:val="24"/>
          <w:szCs w:val="24"/>
          <w:highlight w:val="none"/>
          <w:lang w:val="en-US" w:eastAsia="en-US" w:bidi="ar-SA"/>
        </w:rPr>
      </w:pPr>
      <w:r>
        <w:rPr>
          <w:rFonts w:hint="eastAsia" w:ascii="宋体" w:hAnsi="宋体" w:eastAsia="宋体" w:cs="宋体"/>
          <w:b w:val="0"/>
          <w:bCs w:val="0"/>
          <w:snapToGrid/>
          <w:color w:val="auto"/>
          <w:kern w:val="2"/>
          <w:sz w:val="22"/>
          <w:szCs w:val="22"/>
          <w:highlight w:val="none"/>
          <w:lang w:val="en-US" w:eastAsia="zh-CN"/>
        </w:rPr>
        <w:t>为切实做好我市2026年油菜扩种项目实施，根据省农业农村厅《关于印发&lt;2026年耕地轮作项目实施方案&gt;&lt;2026年油菜生产项目实施方案&gt;的通知》和省财政厅《关于下达2026年中央油菜扩种资金的通知》(湘财预[2026]14号)等文件精神，结合我市实际，具体采购情况如下：</w:t>
      </w:r>
    </w:p>
    <w:tbl>
      <w:tblPr>
        <w:tblStyle w:val="4"/>
        <w:tblW w:w="4958" w:type="pct"/>
        <w:tblInd w:w="-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98"/>
        <w:gridCol w:w="1383"/>
        <w:gridCol w:w="1469"/>
        <w:gridCol w:w="3192"/>
      </w:tblGrid>
      <w:tr w14:paraId="0FF81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333" w:type="pct"/>
            <w:noWrap w:val="0"/>
            <w:vAlign w:val="center"/>
          </w:tcPr>
          <w:p w14:paraId="28AA15FD">
            <w:pPr>
              <w:widowControl/>
              <w:kinsoku w:val="0"/>
              <w:autoSpaceDE w:val="0"/>
              <w:autoSpaceDN w:val="0"/>
              <w:adjustRightInd w:val="0"/>
              <w:snapToGrid w:val="0"/>
              <w:spacing w:before="44" w:line="211" w:lineRule="auto"/>
              <w:ind w:firstLine="220" w:firstLineChars="100"/>
              <w:jc w:val="center"/>
              <w:textAlignment w:val="baseline"/>
              <w:rPr>
                <w:rFonts w:hint="eastAsia" w:ascii="宋体" w:hAnsi="宋体" w:eastAsia="Arial" w:cs="宋体"/>
                <w:b/>
                <w:bCs/>
                <w:i w:val="0"/>
                <w:iCs w:val="0"/>
                <w:snapToGrid w:val="0"/>
                <w:color w:val="000000"/>
                <w:kern w:val="0"/>
                <w:sz w:val="22"/>
                <w:szCs w:val="22"/>
                <w:u w:val="none"/>
                <w:lang w:val="en-US" w:eastAsia="zh-CN" w:bidi="ar"/>
              </w:rPr>
            </w:pPr>
            <w:r>
              <w:rPr>
                <w:rFonts w:hint="eastAsia" w:ascii="宋体" w:hAnsi="宋体" w:eastAsia="Arial" w:cs="宋体"/>
                <w:b/>
                <w:bCs/>
                <w:i w:val="0"/>
                <w:iCs w:val="0"/>
                <w:snapToGrid w:val="0"/>
                <w:color w:val="000000"/>
                <w:kern w:val="0"/>
                <w:sz w:val="22"/>
                <w:szCs w:val="22"/>
                <w:u w:val="none"/>
                <w:lang w:val="en-US" w:eastAsia="zh-CN" w:bidi="ar"/>
              </w:rPr>
              <w:t>货物品名</w:t>
            </w:r>
          </w:p>
        </w:tc>
        <w:tc>
          <w:tcPr>
            <w:tcW w:w="838" w:type="pct"/>
            <w:noWrap w:val="0"/>
            <w:vAlign w:val="center"/>
          </w:tcPr>
          <w:p w14:paraId="1B12FE08">
            <w:pPr>
              <w:widowControl/>
              <w:kinsoku w:val="0"/>
              <w:autoSpaceDE w:val="0"/>
              <w:autoSpaceDN w:val="0"/>
              <w:adjustRightInd w:val="0"/>
              <w:snapToGrid w:val="0"/>
              <w:spacing w:before="44" w:line="211" w:lineRule="auto"/>
              <w:ind w:firstLine="220" w:firstLineChars="100"/>
              <w:jc w:val="center"/>
              <w:textAlignment w:val="baseline"/>
              <w:rPr>
                <w:rFonts w:hint="eastAsia" w:ascii="宋体" w:hAnsi="宋体" w:eastAsia="Arial" w:cs="宋体"/>
                <w:b/>
                <w:bCs/>
                <w:i w:val="0"/>
                <w:iCs w:val="0"/>
                <w:snapToGrid w:val="0"/>
                <w:color w:val="000000"/>
                <w:kern w:val="0"/>
                <w:sz w:val="22"/>
                <w:szCs w:val="22"/>
                <w:u w:val="none"/>
                <w:lang w:val="en-US" w:eastAsia="zh-CN" w:bidi="ar"/>
              </w:rPr>
            </w:pPr>
            <w:r>
              <w:rPr>
                <w:rFonts w:hint="eastAsia" w:ascii="宋体" w:hAnsi="宋体" w:eastAsia="Arial" w:cs="宋体"/>
                <w:b/>
                <w:bCs/>
                <w:i w:val="0"/>
                <w:iCs w:val="0"/>
                <w:snapToGrid w:val="0"/>
                <w:color w:val="000000"/>
                <w:kern w:val="0"/>
                <w:sz w:val="22"/>
                <w:szCs w:val="22"/>
                <w:u w:val="none"/>
                <w:lang w:val="en-US" w:eastAsia="zh-CN" w:bidi="ar"/>
              </w:rPr>
              <w:t>规格</w:t>
            </w:r>
          </w:p>
        </w:tc>
        <w:tc>
          <w:tcPr>
            <w:tcW w:w="891" w:type="pct"/>
            <w:noWrap w:val="0"/>
            <w:vAlign w:val="center"/>
          </w:tcPr>
          <w:p w14:paraId="405E46F0">
            <w:pPr>
              <w:widowControl/>
              <w:kinsoku w:val="0"/>
              <w:autoSpaceDE w:val="0"/>
              <w:autoSpaceDN w:val="0"/>
              <w:adjustRightInd w:val="0"/>
              <w:snapToGrid w:val="0"/>
              <w:spacing w:before="44" w:line="211" w:lineRule="auto"/>
              <w:jc w:val="center"/>
              <w:textAlignment w:val="baseline"/>
              <w:rPr>
                <w:rFonts w:hint="eastAsia" w:ascii="宋体" w:hAnsi="宋体" w:eastAsia="Arial" w:cs="宋体"/>
                <w:b/>
                <w:bCs/>
                <w:i w:val="0"/>
                <w:iCs w:val="0"/>
                <w:snapToGrid w:val="0"/>
                <w:color w:val="000000"/>
                <w:kern w:val="0"/>
                <w:sz w:val="22"/>
                <w:szCs w:val="22"/>
                <w:u w:val="none"/>
                <w:lang w:val="en-US" w:eastAsia="zh-CN" w:bidi="ar"/>
              </w:rPr>
            </w:pPr>
            <w:r>
              <w:rPr>
                <w:rFonts w:hint="eastAsia" w:ascii="宋体" w:hAnsi="宋体" w:eastAsia="Arial" w:cs="宋体"/>
                <w:b/>
                <w:bCs/>
                <w:i w:val="0"/>
                <w:iCs w:val="0"/>
                <w:snapToGrid w:val="0"/>
                <w:color w:val="000000"/>
                <w:kern w:val="0"/>
                <w:sz w:val="22"/>
                <w:szCs w:val="22"/>
                <w:u w:val="none"/>
                <w:lang w:val="en-US" w:eastAsia="en-US" w:bidi="ar"/>
              </w:rPr>
              <w:t>数量</w:t>
            </w:r>
          </w:p>
        </w:tc>
        <w:tc>
          <w:tcPr>
            <w:tcW w:w="1936" w:type="pct"/>
            <w:noWrap w:val="0"/>
            <w:vAlign w:val="center"/>
          </w:tcPr>
          <w:p w14:paraId="1B6157D0">
            <w:pPr>
              <w:widowControl/>
              <w:kinsoku w:val="0"/>
              <w:autoSpaceDE w:val="0"/>
              <w:autoSpaceDN w:val="0"/>
              <w:adjustRightInd w:val="0"/>
              <w:snapToGrid w:val="0"/>
              <w:spacing w:before="44" w:line="211" w:lineRule="auto"/>
              <w:jc w:val="center"/>
              <w:textAlignment w:val="baseline"/>
              <w:rPr>
                <w:rFonts w:hint="eastAsia" w:ascii="宋体" w:hAnsi="宋体" w:eastAsia="宋体" w:cs="宋体"/>
                <w:b/>
                <w:bCs/>
                <w:i w:val="0"/>
                <w:iCs w:val="0"/>
                <w:snapToGrid w:val="0"/>
                <w:color w:val="000000"/>
                <w:kern w:val="0"/>
                <w:sz w:val="22"/>
                <w:szCs w:val="22"/>
                <w:u w:val="none"/>
                <w:lang w:val="en-US" w:eastAsia="zh-CN" w:bidi="ar"/>
              </w:rPr>
            </w:pPr>
            <w:r>
              <w:rPr>
                <w:rFonts w:hint="eastAsia" w:ascii="宋体" w:hAnsi="宋体" w:eastAsia="宋体" w:cs="宋体"/>
                <w:b/>
                <w:bCs/>
                <w:i w:val="0"/>
                <w:iCs w:val="0"/>
                <w:snapToGrid w:val="0"/>
                <w:color w:val="000000"/>
                <w:kern w:val="0"/>
                <w:sz w:val="22"/>
                <w:szCs w:val="22"/>
                <w:u w:val="none"/>
                <w:lang w:val="en-US" w:eastAsia="zh-CN" w:bidi="ar"/>
              </w:rPr>
              <w:t>备注</w:t>
            </w:r>
          </w:p>
        </w:tc>
      </w:tr>
      <w:tr w14:paraId="45D38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5F32FFE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中熟油菜种子</w:t>
            </w:r>
          </w:p>
          <w:p w14:paraId="01486102">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（品种1）</w:t>
            </w:r>
          </w:p>
        </w:tc>
        <w:tc>
          <w:tcPr>
            <w:tcW w:w="838" w:type="pct"/>
            <w:noWrap w:val="0"/>
            <w:vAlign w:val="center"/>
          </w:tcPr>
          <w:p w14:paraId="5A0720F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891" w:type="pct"/>
            <w:noWrap w:val="0"/>
            <w:vAlign w:val="center"/>
          </w:tcPr>
          <w:p w14:paraId="27AFE687">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48000包</w:t>
            </w:r>
          </w:p>
        </w:tc>
        <w:tc>
          <w:tcPr>
            <w:tcW w:w="1936" w:type="pct"/>
            <w:vMerge w:val="restart"/>
            <w:noWrap w:val="0"/>
            <w:vAlign w:val="center"/>
          </w:tcPr>
          <w:p w14:paraId="5ACFC156">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en-US" w:bidi="ar"/>
              </w:rPr>
              <w:t>纯度不低于</w:t>
            </w:r>
            <w:r>
              <w:rPr>
                <w:rFonts w:hint="eastAsia" w:ascii="宋体" w:hAnsi="宋体" w:eastAsia="宋体" w:cs="宋体"/>
                <w:i w:val="0"/>
                <w:iCs w:val="0"/>
                <w:snapToGrid w:val="0"/>
                <w:color w:val="auto"/>
                <w:kern w:val="0"/>
                <w:sz w:val="21"/>
                <w:szCs w:val="21"/>
                <w:highlight w:val="none"/>
                <w:u w:val="none"/>
                <w:lang w:val="en-US" w:eastAsia="zh-CN" w:bidi="ar"/>
              </w:rPr>
              <w:t>86</w:t>
            </w:r>
            <w:r>
              <w:rPr>
                <w:rFonts w:hint="eastAsia" w:ascii="宋体" w:hAnsi="宋体" w:eastAsia="宋体" w:cs="宋体"/>
                <w:i w:val="0"/>
                <w:iCs w:val="0"/>
                <w:snapToGrid w:val="0"/>
                <w:color w:val="auto"/>
                <w:kern w:val="0"/>
                <w:sz w:val="21"/>
                <w:szCs w:val="21"/>
                <w:highlight w:val="none"/>
                <w:u w:val="none"/>
                <w:lang w:val="en-US" w:eastAsia="en-US" w:bidi="ar"/>
              </w:rPr>
              <w:t>%,净度不低于98%,发芽率不低于</w:t>
            </w:r>
            <w:r>
              <w:rPr>
                <w:rFonts w:hint="eastAsia" w:ascii="宋体" w:hAnsi="宋体" w:eastAsia="宋体" w:cs="宋体"/>
                <w:i w:val="0"/>
                <w:iCs w:val="0"/>
                <w:snapToGrid w:val="0"/>
                <w:color w:val="auto"/>
                <w:kern w:val="0"/>
                <w:sz w:val="21"/>
                <w:szCs w:val="21"/>
                <w:highlight w:val="none"/>
                <w:u w:val="none"/>
                <w:lang w:val="en-US" w:eastAsia="zh-CN" w:bidi="ar"/>
              </w:rPr>
              <w:t>82</w:t>
            </w:r>
            <w:r>
              <w:rPr>
                <w:rFonts w:hint="eastAsia" w:ascii="宋体" w:hAnsi="宋体" w:eastAsia="宋体" w:cs="宋体"/>
                <w:i w:val="0"/>
                <w:iCs w:val="0"/>
                <w:snapToGrid w:val="0"/>
                <w:color w:val="auto"/>
                <w:kern w:val="0"/>
                <w:sz w:val="21"/>
                <w:szCs w:val="21"/>
                <w:highlight w:val="none"/>
                <w:u w:val="none"/>
                <w:lang w:val="en-US" w:eastAsia="en-US" w:bidi="ar"/>
              </w:rPr>
              <w:t>%,水分不高于9%</w:t>
            </w:r>
            <w:r>
              <w:rPr>
                <w:rFonts w:hint="eastAsia" w:ascii="宋体" w:hAnsi="宋体" w:eastAsia="宋体" w:cs="宋体"/>
                <w:i w:val="0"/>
                <w:iCs w:val="0"/>
                <w:snapToGrid w:val="0"/>
                <w:color w:val="auto"/>
                <w:kern w:val="0"/>
                <w:sz w:val="21"/>
                <w:szCs w:val="21"/>
                <w:highlight w:val="none"/>
                <w:u w:val="none"/>
                <w:lang w:val="en-US" w:eastAsia="zh-CN" w:bidi="ar"/>
              </w:rPr>
              <w:t>，</w:t>
            </w:r>
            <w:r>
              <w:rPr>
                <w:rFonts w:hint="eastAsia" w:ascii="宋体" w:hAnsi="宋体" w:eastAsia="宋体" w:cs="宋体"/>
                <w:i w:val="0"/>
                <w:iCs w:val="0"/>
                <w:snapToGrid/>
                <w:color w:val="auto"/>
                <w:kern w:val="0"/>
                <w:sz w:val="21"/>
                <w:szCs w:val="21"/>
                <w:highlight w:val="none"/>
                <w:u w:val="none"/>
                <w:lang w:val="en-US" w:eastAsia="zh-CN" w:bidi="ar"/>
              </w:rPr>
              <w:t>质量</w:t>
            </w:r>
            <w:r>
              <w:rPr>
                <w:rFonts w:hint="eastAsia" w:ascii="宋体" w:hAnsi="宋体" w:eastAsia="宋体" w:cs="宋体"/>
                <w:i w:val="0"/>
                <w:iCs w:val="0"/>
                <w:snapToGrid w:val="0"/>
                <w:color w:val="auto"/>
                <w:kern w:val="0"/>
                <w:sz w:val="21"/>
                <w:szCs w:val="21"/>
                <w:highlight w:val="none"/>
                <w:u w:val="none"/>
                <w:lang w:val="en-US" w:eastAsia="en-US" w:bidi="ar"/>
              </w:rPr>
              <w:t>符合</w:t>
            </w:r>
            <w:r>
              <w:rPr>
                <w:rFonts w:hint="eastAsia" w:ascii="宋体" w:hAnsi="宋体" w:eastAsia="宋体" w:cs="宋体"/>
                <w:i w:val="0"/>
                <w:iCs w:val="0"/>
                <w:snapToGrid w:val="0"/>
                <w:color w:val="auto"/>
                <w:kern w:val="0"/>
                <w:sz w:val="21"/>
                <w:szCs w:val="21"/>
                <w:highlight w:val="none"/>
                <w:u w:val="none"/>
                <w:lang w:val="en-US" w:eastAsia="zh-CN" w:bidi="ar"/>
              </w:rPr>
              <w:t>国家标准</w:t>
            </w:r>
            <w:r>
              <w:rPr>
                <w:rFonts w:hint="eastAsia" w:ascii="宋体" w:hAnsi="宋体" w:eastAsia="宋体" w:cs="宋体"/>
                <w:i w:val="0"/>
                <w:iCs w:val="0"/>
                <w:snapToGrid w:val="0"/>
                <w:color w:val="auto"/>
                <w:kern w:val="0"/>
                <w:sz w:val="21"/>
                <w:szCs w:val="21"/>
                <w:highlight w:val="none"/>
                <w:u w:val="none"/>
                <w:lang w:val="en-US" w:eastAsia="en-US" w:bidi="ar"/>
              </w:rPr>
              <w:t>GB4407.2-20</w:t>
            </w:r>
            <w:r>
              <w:rPr>
                <w:rFonts w:hint="eastAsia" w:ascii="宋体" w:hAnsi="宋体" w:eastAsia="宋体" w:cs="宋体"/>
                <w:i w:val="0"/>
                <w:iCs w:val="0"/>
                <w:snapToGrid w:val="0"/>
                <w:color w:val="auto"/>
                <w:kern w:val="0"/>
                <w:sz w:val="21"/>
                <w:szCs w:val="21"/>
                <w:highlight w:val="none"/>
                <w:u w:val="none"/>
                <w:lang w:val="en-US" w:eastAsia="zh-CN" w:bidi="ar"/>
              </w:rPr>
              <w:t>24。</w:t>
            </w:r>
          </w:p>
        </w:tc>
      </w:tr>
      <w:tr w14:paraId="76166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2CD1BEA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中熟油菜种子</w:t>
            </w:r>
          </w:p>
          <w:p w14:paraId="0E79CC0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（品种2）</w:t>
            </w:r>
          </w:p>
        </w:tc>
        <w:tc>
          <w:tcPr>
            <w:tcW w:w="838" w:type="pct"/>
            <w:noWrap w:val="0"/>
            <w:vAlign w:val="center"/>
          </w:tcPr>
          <w:p w14:paraId="251EE65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891" w:type="pct"/>
            <w:noWrap w:val="0"/>
            <w:vAlign w:val="center"/>
          </w:tcPr>
          <w:p w14:paraId="4D2D99D7">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46600包</w:t>
            </w:r>
          </w:p>
        </w:tc>
        <w:tc>
          <w:tcPr>
            <w:tcW w:w="1936" w:type="pct"/>
            <w:vMerge w:val="continue"/>
            <w:noWrap w:val="0"/>
            <w:vAlign w:val="center"/>
          </w:tcPr>
          <w:p w14:paraId="7B8182F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zh-CN" w:bidi="ar"/>
              </w:rPr>
            </w:pPr>
          </w:p>
        </w:tc>
      </w:tr>
      <w:tr w14:paraId="6E46B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5137AE9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早熟熟油菜种子</w:t>
            </w:r>
          </w:p>
          <w:p w14:paraId="73523E34">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（品种1）</w:t>
            </w:r>
          </w:p>
        </w:tc>
        <w:tc>
          <w:tcPr>
            <w:tcW w:w="838" w:type="pct"/>
            <w:noWrap w:val="0"/>
            <w:vAlign w:val="center"/>
          </w:tcPr>
          <w:p w14:paraId="2C1DC3B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891" w:type="pct"/>
            <w:noWrap w:val="0"/>
            <w:vAlign w:val="center"/>
          </w:tcPr>
          <w:p w14:paraId="0BFAA692">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9000包</w:t>
            </w:r>
          </w:p>
        </w:tc>
        <w:tc>
          <w:tcPr>
            <w:tcW w:w="1936" w:type="pct"/>
            <w:vMerge w:val="continue"/>
            <w:noWrap w:val="0"/>
            <w:vAlign w:val="center"/>
          </w:tcPr>
          <w:p w14:paraId="6493BB1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zh-CN" w:bidi="ar"/>
              </w:rPr>
            </w:pPr>
          </w:p>
        </w:tc>
      </w:tr>
      <w:tr w14:paraId="5BC83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332495F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早熟熟油菜种子</w:t>
            </w:r>
          </w:p>
          <w:p w14:paraId="64811D61">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（品种2）</w:t>
            </w:r>
          </w:p>
        </w:tc>
        <w:tc>
          <w:tcPr>
            <w:tcW w:w="838" w:type="pct"/>
            <w:noWrap w:val="0"/>
            <w:vAlign w:val="center"/>
          </w:tcPr>
          <w:p w14:paraId="2C55227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100克/包</w:t>
            </w:r>
          </w:p>
        </w:tc>
        <w:tc>
          <w:tcPr>
            <w:tcW w:w="891" w:type="pct"/>
            <w:noWrap w:val="0"/>
            <w:vAlign w:val="center"/>
          </w:tcPr>
          <w:p w14:paraId="67FF85D0">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9000包</w:t>
            </w:r>
          </w:p>
        </w:tc>
        <w:tc>
          <w:tcPr>
            <w:tcW w:w="1936" w:type="pct"/>
            <w:vMerge w:val="continue"/>
            <w:noWrap w:val="0"/>
            <w:vAlign w:val="center"/>
          </w:tcPr>
          <w:p w14:paraId="6168C1BF">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auto"/>
                <w:kern w:val="0"/>
                <w:sz w:val="21"/>
                <w:szCs w:val="21"/>
                <w:highlight w:val="none"/>
                <w:u w:val="none"/>
                <w:lang w:val="en-US" w:eastAsia="zh-CN" w:bidi="ar"/>
              </w:rPr>
            </w:pPr>
          </w:p>
        </w:tc>
      </w:tr>
      <w:tr w14:paraId="31058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2F0B1537">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肥用型油菜种子</w:t>
            </w:r>
          </w:p>
        </w:tc>
        <w:tc>
          <w:tcPr>
            <w:tcW w:w="838" w:type="pct"/>
            <w:noWrap w:val="0"/>
            <w:vAlign w:val="center"/>
          </w:tcPr>
          <w:p w14:paraId="497F7AE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1000克/包</w:t>
            </w:r>
          </w:p>
        </w:tc>
        <w:tc>
          <w:tcPr>
            <w:tcW w:w="891" w:type="pct"/>
            <w:noWrap w:val="0"/>
            <w:vAlign w:val="center"/>
          </w:tcPr>
          <w:p w14:paraId="3FE52979">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3000包</w:t>
            </w:r>
          </w:p>
        </w:tc>
        <w:tc>
          <w:tcPr>
            <w:tcW w:w="1936" w:type="pct"/>
            <w:tcBorders>
              <w:top w:val="single" w:color="auto" w:sz="4" w:space="0"/>
            </w:tcBorders>
            <w:noWrap w:val="0"/>
            <w:vAlign w:val="center"/>
          </w:tcPr>
          <w:p w14:paraId="02242C0F">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en-US" w:bidi="ar"/>
              </w:rPr>
              <w:t>纯度不低于85%</w:t>
            </w:r>
            <w:r>
              <w:rPr>
                <w:rFonts w:hint="eastAsia" w:ascii="宋体" w:hAnsi="宋体" w:eastAsia="宋体" w:cs="宋体"/>
                <w:i w:val="0"/>
                <w:iCs w:val="0"/>
                <w:snapToGrid w:val="0"/>
                <w:color w:val="auto"/>
                <w:kern w:val="0"/>
                <w:sz w:val="21"/>
                <w:szCs w:val="21"/>
                <w:highlight w:val="none"/>
                <w:u w:val="none"/>
                <w:lang w:val="en-US" w:eastAsia="zh-CN" w:bidi="ar"/>
              </w:rPr>
              <w:t>，</w:t>
            </w:r>
            <w:r>
              <w:rPr>
                <w:rFonts w:hint="eastAsia" w:ascii="宋体" w:hAnsi="宋体" w:eastAsia="宋体" w:cs="宋体"/>
                <w:i w:val="0"/>
                <w:iCs w:val="0"/>
                <w:snapToGrid w:val="0"/>
                <w:color w:val="auto"/>
                <w:kern w:val="0"/>
                <w:sz w:val="21"/>
                <w:szCs w:val="21"/>
                <w:highlight w:val="none"/>
                <w:u w:val="none"/>
                <w:lang w:val="en-US" w:eastAsia="en-US" w:bidi="ar"/>
              </w:rPr>
              <w:t>净度不低于98%,发芽率不低于</w:t>
            </w:r>
            <w:r>
              <w:rPr>
                <w:rFonts w:hint="eastAsia" w:ascii="宋体" w:hAnsi="宋体" w:eastAsia="宋体" w:cs="宋体"/>
                <w:i w:val="0"/>
                <w:iCs w:val="0"/>
                <w:snapToGrid w:val="0"/>
                <w:color w:val="auto"/>
                <w:kern w:val="0"/>
                <w:sz w:val="21"/>
                <w:szCs w:val="21"/>
                <w:highlight w:val="none"/>
                <w:u w:val="none"/>
                <w:lang w:val="en-US" w:eastAsia="zh-CN" w:bidi="ar"/>
              </w:rPr>
              <w:t>85</w:t>
            </w:r>
            <w:r>
              <w:rPr>
                <w:rFonts w:hint="eastAsia" w:ascii="宋体" w:hAnsi="宋体" w:eastAsia="宋体" w:cs="宋体"/>
                <w:i w:val="0"/>
                <w:iCs w:val="0"/>
                <w:snapToGrid w:val="0"/>
                <w:color w:val="auto"/>
                <w:kern w:val="0"/>
                <w:sz w:val="21"/>
                <w:szCs w:val="21"/>
                <w:highlight w:val="none"/>
                <w:u w:val="none"/>
                <w:lang w:val="en-US" w:eastAsia="en-US" w:bidi="ar"/>
              </w:rPr>
              <w:t>%,水分不高于9%</w:t>
            </w:r>
            <w:r>
              <w:rPr>
                <w:rFonts w:hint="eastAsia" w:ascii="宋体" w:hAnsi="宋体" w:eastAsia="宋体" w:cs="宋体"/>
                <w:i w:val="0"/>
                <w:iCs w:val="0"/>
                <w:snapToGrid w:val="0"/>
                <w:color w:val="auto"/>
                <w:kern w:val="0"/>
                <w:sz w:val="21"/>
                <w:szCs w:val="21"/>
                <w:highlight w:val="none"/>
                <w:u w:val="none"/>
                <w:lang w:val="en-US" w:eastAsia="zh-CN" w:bidi="ar"/>
              </w:rPr>
              <w:t>，</w:t>
            </w:r>
            <w:r>
              <w:rPr>
                <w:rFonts w:hint="eastAsia" w:ascii="宋体" w:hAnsi="宋体" w:eastAsia="宋体" w:cs="宋体"/>
                <w:i w:val="0"/>
                <w:iCs w:val="0"/>
                <w:snapToGrid/>
                <w:color w:val="auto"/>
                <w:kern w:val="0"/>
                <w:sz w:val="21"/>
                <w:szCs w:val="21"/>
                <w:highlight w:val="none"/>
                <w:u w:val="none"/>
                <w:lang w:val="en-US" w:eastAsia="zh-CN" w:bidi="ar"/>
              </w:rPr>
              <w:t>质量</w:t>
            </w:r>
            <w:r>
              <w:rPr>
                <w:rFonts w:hint="eastAsia" w:ascii="宋体" w:hAnsi="宋体" w:eastAsia="宋体" w:cs="宋体"/>
                <w:i w:val="0"/>
                <w:iCs w:val="0"/>
                <w:snapToGrid w:val="0"/>
                <w:color w:val="auto"/>
                <w:kern w:val="0"/>
                <w:sz w:val="21"/>
                <w:szCs w:val="21"/>
                <w:highlight w:val="none"/>
                <w:u w:val="none"/>
                <w:lang w:val="en-US" w:eastAsia="en-US" w:bidi="ar"/>
              </w:rPr>
              <w:t>符合</w:t>
            </w:r>
            <w:r>
              <w:rPr>
                <w:rFonts w:hint="eastAsia" w:ascii="宋体" w:hAnsi="宋体" w:eastAsia="宋体" w:cs="宋体"/>
                <w:i w:val="0"/>
                <w:iCs w:val="0"/>
                <w:snapToGrid w:val="0"/>
                <w:color w:val="auto"/>
                <w:kern w:val="0"/>
                <w:sz w:val="21"/>
                <w:szCs w:val="21"/>
                <w:highlight w:val="none"/>
                <w:u w:val="none"/>
                <w:lang w:val="en-US" w:eastAsia="zh-CN" w:bidi="ar"/>
              </w:rPr>
              <w:t>国家标准</w:t>
            </w:r>
            <w:r>
              <w:rPr>
                <w:rFonts w:hint="eastAsia" w:ascii="宋体" w:hAnsi="宋体" w:eastAsia="宋体" w:cs="宋体"/>
                <w:i w:val="0"/>
                <w:iCs w:val="0"/>
                <w:snapToGrid w:val="0"/>
                <w:color w:val="auto"/>
                <w:kern w:val="0"/>
                <w:sz w:val="21"/>
                <w:szCs w:val="21"/>
                <w:highlight w:val="none"/>
                <w:u w:val="none"/>
                <w:lang w:val="en-US" w:eastAsia="en-US" w:bidi="ar"/>
              </w:rPr>
              <w:t>GB4407.2-20</w:t>
            </w:r>
            <w:r>
              <w:rPr>
                <w:rFonts w:hint="eastAsia" w:ascii="宋体" w:hAnsi="宋体" w:eastAsia="宋体" w:cs="宋体"/>
                <w:i w:val="0"/>
                <w:iCs w:val="0"/>
                <w:snapToGrid w:val="0"/>
                <w:color w:val="auto"/>
                <w:kern w:val="0"/>
                <w:sz w:val="21"/>
                <w:szCs w:val="21"/>
                <w:highlight w:val="none"/>
                <w:u w:val="none"/>
                <w:lang w:val="en-US" w:eastAsia="zh-CN" w:bidi="ar"/>
              </w:rPr>
              <w:t>24。</w:t>
            </w:r>
          </w:p>
        </w:tc>
      </w:tr>
      <w:tr w14:paraId="58728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333" w:type="pct"/>
            <w:noWrap w:val="0"/>
            <w:vAlign w:val="center"/>
          </w:tcPr>
          <w:p w14:paraId="2E01442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颗粒硼肥</w:t>
            </w:r>
          </w:p>
        </w:tc>
        <w:tc>
          <w:tcPr>
            <w:tcW w:w="838" w:type="pct"/>
            <w:noWrap w:val="0"/>
            <w:vAlign w:val="center"/>
          </w:tcPr>
          <w:p w14:paraId="77D8455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snapToGrid w:val="0"/>
                <w:color w:val="000000"/>
                <w:kern w:val="0"/>
                <w:sz w:val="22"/>
                <w:szCs w:val="22"/>
                <w:u w:val="none"/>
                <w:lang w:val="en-US" w:eastAsia="zh-CN" w:bidi="ar"/>
              </w:rPr>
              <w:t>200克/包</w:t>
            </w:r>
          </w:p>
        </w:tc>
        <w:tc>
          <w:tcPr>
            <w:tcW w:w="891" w:type="pct"/>
            <w:noWrap w:val="0"/>
            <w:vAlign w:val="center"/>
          </w:tcPr>
          <w:p w14:paraId="4FC3790B">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62000包</w:t>
            </w:r>
          </w:p>
        </w:tc>
        <w:tc>
          <w:tcPr>
            <w:tcW w:w="1936" w:type="pct"/>
            <w:noWrap w:val="0"/>
            <w:vAlign w:val="center"/>
          </w:tcPr>
          <w:p w14:paraId="1851261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auto"/>
                <w:kern w:val="0"/>
                <w:sz w:val="21"/>
                <w:szCs w:val="21"/>
                <w:highlight w:val="none"/>
                <w:u w:val="none"/>
                <w:lang w:val="en-US" w:eastAsia="en-US" w:bidi="ar"/>
              </w:rPr>
            </w:pPr>
            <w:r>
              <w:rPr>
                <w:rFonts w:hint="eastAsia" w:ascii="宋体" w:hAnsi="宋体" w:eastAsia="宋体" w:cs="宋体"/>
                <w:i w:val="0"/>
                <w:iCs w:val="0"/>
                <w:snapToGrid w:val="0"/>
                <w:color w:val="auto"/>
                <w:kern w:val="0"/>
                <w:sz w:val="21"/>
                <w:szCs w:val="21"/>
                <w:highlight w:val="none"/>
                <w:u w:val="none"/>
                <w:lang w:val="en-US" w:eastAsia="en-US" w:bidi="ar"/>
              </w:rPr>
              <w:t>纯硼含量≥1</w:t>
            </w:r>
            <w:r>
              <w:rPr>
                <w:rFonts w:hint="eastAsia" w:ascii="宋体" w:hAnsi="宋体" w:eastAsia="宋体" w:cs="宋体"/>
                <w:i w:val="0"/>
                <w:iCs w:val="0"/>
                <w:snapToGrid w:val="0"/>
                <w:color w:val="auto"/>
                <w:kern w:val="0"/>
                <w:sz w:val="21"/>
                <w:szCs w:val="21"/>
                <w:highlight w:val="none"/>
                <w:u w:val="none"/>
                <w:lang w:val="en-US" w:eastAsia="zh-CN" w:bidi="ar"/>
              </w:rPr>
              <w:t>5</w:t>
            </w:r>
            <w:r>
              <w:rPr>
                <w:rFonts w:hint="eastAsia" w:ascii="宋体" w:hAnsi="宋体" w:eastAsia="宋体" w:cs="宋体"/>
                <w:i w:val="0"/>
                <w:iCs w:val="0"/>
                <w:snapToGrid w:val="0"/>
                <w:color w:val="auto"/>
                <w:kern w:val="0"/>
                <w:sz w:val="21"/>
                <w:szCs w:val="21"/>
                <w:highlight w:val="none"/>
                <w:u w:val="none"/>
                <w:lang w:val="en-US" w:eastAsia="en-US" w:bidi="ar"/>
              </w:rPr>
              <w:t>%</w:t>
            </w:r>
          </w:p>
        </w:tc>
      </w:tr>
      <w:tr w14:paraId="0D76A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333" w:type="pct"/>
            <w:noWrap w:val="0"/>
            <w:vAlign w:val="center"/>
          </w:tcPr>
          <w:p w14:paraId="09CF1D4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油菜配方肥</w:t>
            </w:r>
          </w:p>
        </w:tc>
        <w:tc>
          <w:tcPr>
            <w:tcW w:w="838" w:type="pct"/>
            <w:noWrap w:val="0"/>
            <w:vAlign w:val="center"/>
          </w:tcPr>
          <w:p w14:paraId="1AA2CC35">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1"/>
                <w:szCs w:val="21"/>
                <w:highlight w:val="none"/>
                <w:lang w:val="en-US" w:eastAsia="en-US" w:bidi="ar-SA"/>
              </w:rPr>
            </w:pPr>
            <w:r>
              <w:rPr>
                <w:rFonts w:hint="eastAsia" w:ascii="宋体" w:hAnsi="宋体" w:eastAsia="宋体" w:cs="宋体"/>
                <w:i w:val="0"/>
                <w:iCs w:val="0"/>
                <w:snapToGrid w:val="0"/>
                <w:color w:val="000000"/>
                <w:kern w:val="0"/>
                <w:sz w:val="22"/>
                <w:szCs w:val="22"/>
                <w:u w:val="none"/>
                <w:lang w:val="en-US" w:eastAsia="zh-CN" w:bidi="ar"/>
              </w:rPr>
              <w:t>50公斤/包</w:t>
            </w:r>
          </w:p>
        </w:tc>
        <w:tc>
          <w:tcPr>
            <w:tcW w:w="891" w:type="pct"/>
            <w:noWrap w:val="0"/>
            <w:vAlign w:val="center"/>
          </w:tcPr>
          <w:p w14:paraId="7C7A3269">
            <w:pPr>
              <w:keepNext w:val="0"/>
              <w:keepLines w:val="0"/>
              <w:widowControl/>
              <w:suppressLineNumbers w:val="0"/>
              <w:kinsoku w:val="0"/>
              <w:autoSpaceDE w:val="0"/>
              <w:autoSpaceDN w:val="0"/>
              <w:adjustRightInd w:val="0"/>
              <w:snapToGrid w:val="0"/>
              <w:spacing w:line="240" w:lineRule="auto"/>
              <w:jc w:val="center"/>
              <w:textAlignment w:val="center"/>
              <w:rPr>
                <w:rFonts w:hint="default" w:ascii="宋体" w:hAnsi="宋体" w:eastAsia="宋体" w:cs="宋体"/>
                <w:b w:val="0"/>
                <w:bCs w:val="0"/>
                <w:snapToGrid w:val="0"/>
                <w:color w:val="auto"/>
                <w:spacing w:val="-4"/>
                <w:kern w:val="0"/>
                <w:sz w:val="20"/>
                <w:szCs w:val="20"/>
                <w:highlight w:val="none"/>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60吨</w:t>
            </w:r>
          </w:p>
        </w:tc>
        <w:tc>
          <w:tcPr>
            <w:tcW w:w="1936" w:type="pct"/>
            <w:noWrap w:val="0"/>
            <w:vAlign w:val="center"/>
          </w:tcPr>
          <w:p w14:paraId="04A98E6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总养分（</w:t>
            </w:r>
            <w:r>
              <w:rPr>
                <w:rFonts w:hint="eastAsia" w:ascii="宋体" w:hAnsi="宋体" w:eastAsia="宋体" w:cs="宋体"/>
                <w:i w:val="0"/>
                <w:iCs w:val="0"/>
                <w:snapToGrid/>
                <w:color w:val="auto"/>
                <w:kern w:val="0"/>
                <w:sz w:val="21"/>
                <w:szCs w:val="21"/>
                <w:highlight w:val="none"/>
                <w:u w:val="none"/>
                <w:lang w:val="en-US" w:eastAsia="zh-CN" w:bidi="ar"/>
              </w:rPr>
              <w:t>N+P</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color w:val="auto"/>
                <w:kern w:val="0"/>
                <w:sz w:val="21"/>
                <w:szCs w:val="21"/>
                <w:highlight w:val="none"/>
                <w:u w:val="none"/>
                <w:vertAlign w:val="subscript"/>
                <w:lang w:val="en-US" w:eastAsia="zh-CN" w:bidi="ar"/>
              </w:rPr>
              <w:t>5</w:t>
            </w:r>
            <w:r>
              <w:rPr>
                <w:rFonts w:hint="eastAsia" w:ascii="宋体" w:hAnsi="宋体" w:eastAsia="宋体" w:cs="宋体"/>
                <w:i w:val="0"/>
                <w:iCs w:val="0"/>
                <w:snapToGrid/>
                <w:color w:val="auto"/>
                <w:kern w:val="0"/>
                <w:sz w:val="21"/>
                <w:szCs w:val="21"/>
                <w:highlight w:val="none"/>
                <w:u w:val="none"/>
                <w:lang w:val="en-US" w:eastAsia="zh-CN" w:bidi="ar"/>
              </w:rPr>
              <w:t>+K</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val="0"/>
                <w:color w:val="auto"/>
                <w:kern w:val="0"/>
                <w:sz w:val="21"/>
                <w:szCs w:val="21"/>
                <w:highlight w:val="none"/>
                <w:u w:val="none"/>
                <w:lang w:val="en-US" w:eastAsia="zh-CN" w:bidi="ar"/>
              </w:rPr>
              <w:t>）≥40%，总氮</w:t>
            </w:r>
          </w:p>
          <w:p w14:paraId="59A0D17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snapToGrid w:val="0"/>
                <w:color w:val="auto"/>
                <w:kern w:val="0"/>
                <w:sz w:val="21"/>
                <w:szCs w:val="21"/>
                <w:highlight w:val="none"/>
                <w:u w:val="none"/>
                <w:lang w:val="en-US" w:eastAsia="zh-CN" w:bidi="ar"/>
              </w:rPr>
            </w:pPr>
            <w:r>
              <w:rPr>
                <w:rFonts w:hint="eastAsia" w:ascii="宋体" w:hAnsi="宋体" w:eastAsia="宋体" w:cs="宋体"/>
                <w:i w:val="0"/>
                <w:iCs w:val="0"/>
                <w:snapToGrid w:val="0"/>
                <w:color w:val="auto"/>
                <w:kern w:val="0"/>
                <w:sz w:val="21"/>
                <w:szCs w:val="21"/>
                <w:highlight w:val="none"/>
                <w:u w:val="none"/>
                <w:lang w:val="en-US" w:eastAsia="zh-CN" w:bidi="ar"/>
              </w:rPr>
              <w:t>（N）含量≥20%</w:t>
            </w:r>
            <w:r>
              <w:rPr>
                <w:rFonts w:hint="eastAsia" w:ascii="宋体" w:hAnsi="宋体" w:eastAsia="Arial" w:cs="宋体"/>
                <w:i w:val="0"/>
                <w:iCs w:val="0"/>
                <w:snapToGrid w:val="0"/>
                <w:color w:val="auto"/>
                <w:kern w:val="0"/>
                <w:sz w:val="21"/>
                <w:szCs w:val="21"/>
                <w:highlight w:val="none"/>
                <w:u w:val="none"/>
                <w:lang w:val="en-US" w:eastAsia="zh-CN" w:bidi="ar"/>
              </w:rPr>
              <w:t>。</w:t>
            </w:r>
          </w:p>
        </w:tc>
      </w:tr>
      <w:tr w14:paraId="4B027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5000" w:type="pct"/>
            <w:gridSpan w:val="4"/>
            <w:noWrap w:val="0"/>
            <w:vAlign w:val="center"/>
          </w:tcPr>
          <w:p w14:paraId="11491A30">
            <w:pPr>
              <w:keepNext w:val="0"/>
              <w:keepLines w:val="0"/>
              <w:widowControl/>
              <w:suppressLineNumbers w:val="0"/>
              <w:kinsoku/>
              <w:autoSpaceDE/>
              <w:autoSpaceDN/>
              <w:adjustRightInd/>
              <w:snapToGrid/>
              <w:spacing w:line="240" w:lineRule="auto"/>
              <w:jc w:val="both"/>
              <w:textAlignment w:val="center"/>
              <w:rPr>
                <w:rFonts w:hint="default" w:ascii="宋体" w:hAnsi="宋体" w:eastAsia="宋体" w:cs="宋体"/>
                <w:b/>
                <w:bCs/>
                <w:i w:val="0"/>
                <w:iCs w:val="0"/>
                <w:snapToGrid/>
                <w:color w:val="auto"/>
                <w:kern w:val="0"/>
                <w:sz w:val="20"/>
                <w:szCs w:val="20"/>
                <w:highlight w:val="none"/>
                <w:u w:val="none"/>
                <w:lang w:val="en-US" w:eastAsia="zh-CN" w:bidi="ar"/>
              </w:rPr>
            </w:pPr>
            <w:r>
              <w:rPr>
                <w:rFonts w:hint="default" w:ascii="宋体" w:hAnsi="宋体" w:eastAsia="宋体" w:cs="宋体"/>
                <w:b/>
                <w:bCs/>
                <w:i w:val="0"/>
                <w:iCs w:val="0"/>
                <w:snapToGrid/>
                <w:color w:val="auto"/>
                <w:kern w:val="0"/>
                <w:sz w:val="20"/>
                <w:szCs w:val="20"/>
                <w:highlight w:val="none"/>
                <w:u w:val="none"/>
                <w:lang w:val="en-US" w:eastAsia="zh-CN" w:bidi="ar"/>
              </w:rPr>
              <w:t>备注：</w:t>
            </w:r>
          </w:p>
          <w:p w14:paraId="53588AA5">
            <w:pPr>
              <w:keepNext w:val="0"/>
              <w:keepLines w:val="0"/>
              <w:widowControl/>
              <w:suppressLineNumbers w:val="0"/>
              <w:kinsoku w:val="0"/>
              <w:autoSpaceDE w:val="0"/>
              <w:autoSpaceDN w:val="0"/>
              <w:adjustRightInd w:val="0"/>
              <w:snapToGrid w:val="0"/>
              <w:spacing w:line="240" w:lineRule="auto"/>
              <w:ind w:firstLine="420" w:firstLineChars="200"/>
              <w:jc w:val="left"/>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1、所投油菜种子必须通过省级或以上主管部门登记，且适宜湖南省种植区域及季节，根据资兴市2026年产油大县及油菜生产会商会纪要，确定采购中熟油菜品种7个（湘杂油787、沣油789、佳和2号、沣油2118、湘杂油137、沣油9379和邡油135R），早熟品种5个（阳光131、沣油320、沣油112、晟湘油191和沣早2号）(品种排名不分先后)。提供所投产品农作物种子登记证书扫描件。</w:t>
            </w:r>
          </w:p>
          <w:p w14:paraId="7C21C59F">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2、所投油菜种子必须是符合国家标准要求，提供所投产品具备法定检测资质的专业检测机构出具的检测报告（水分、发芽率、净度），纯度须提供所投产品生产厂家出具的纯度承诺函；</w:t>
            </w:r>
          </w:p>
          <w:p w14:paraId="2950162F">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i w:val="0"/>
                <w:iCs w:val="0"/>
                <w:snapToGrid/>
                <w:color w:val="auto"/>
                <w:kern w:val="0"/>
                <w:sz w:val="21"/>
                <w:szCs w:val="21"/>
                <w:highlight w:val="none"/>
                <w:u w:val="none"/>
                <w:lang w:val="en-US" w:eastAsia="zh-CN" w:bidi="ar"/>
              </w:rPr>
            </w:pPr>
            <w:r>
              <w:rPr>
                <w:rFonts w:hint="eastAsia" w:ascii="宋体" w:hAnsi="宋体" w:eastAsia="宋体" w:cs="宋体"/>
                <w:i w:val="0"/>
                <w:iCs w:val="0"/>
                <w:snapToGrid/>
                <w:color w:val="auto"/>
                <w:kern w:val="0"/>
                <w:sz w:val="21"/>
                <w:szCs w:val="21"/>
                <w:highlight w:val="none"/>
                <w:u w:val="none"/>
                <w:lang w:val="en-US" w:eastAsia="zh-CN" w:bidi="ar"/>
              </w:rPr>
              <w:t>3、所投基施硼肥必须符合国家标准，提供质量符合国家标准、</w:t>
            </w:r>
            <w:r>
              <w:rPr>
                <w:rFonts w:hint="eastAsia" w:ascii="宋体" w:hAnsi="宋体" w:eastAsia="宋体" w:cs="宋体"/>
                <w:i w:val="0"/>
                <w:iCs w:val="0"/>
                <w:snapToGrid/>
                <w:color w:val="auto"/>
                <w:kern w:val="0"/>
                <w:sz w:val="21"/>
                <w:szCs w:val="21"/>
                <w:highlight w:val="none"/>
                <w:u w:val="none"/>
                <w:lang w:val="en-US" w:eastAsia="en-US" w:bidi="ar"/>
              </w:rPr>
              <w:t>纯硼含量≥1</w:t>
            </w:r>
            <w:r>
              <w:rPr>
                <w:rFonts w:hint="eastAsia" w:ascii="宋体" w:hAnsi="宋体" w:eastAsia="宋体" w:cs="宋体"/>
                <w:i w:val="0"/>
                <w:iCs w:val="0"/>
                <w:snapToGrid/>
                <w:color w:val="auto"/>
                <w:kern w:val="0"/>
                <w:sz w:val="21"/>
                <w:szCs w:val="21"/>
                <w:highlight w:val="none"/>
                <w:u w:val="none"/>
                <w:lang w:val="en-US" w:eastAsia="zh-CN" w:bidi="ar"/>
              </w:rPr>
              <w:t>5</w:t>
            </w:r>
            <w:r>
              <w:rPr>
                <w:rFonts w:hint="eastAsia" w:ascii="宋体" w:hAnsi="宋体" w:eastAsia="宋体" w:cs="宋体"/>
                <w:i w:val="0"/>
                <w:iCs w:val="0"/>
                <w:snapToGrid/>
                <w:color w:val="auto"/>
                <w:kern w:val="0"/>
                <w:sz w:val="21"/>
                <w:szCs w:val="21"/>
                <w:highlight w:val="none"/>
                <w:u w:val="none"/>
                <w:lang w:val="en-US" w:eastAsia="en-US" w:bidi="ar"/>
              </w:rPr>
              <w:t>%</w:t>
            </w:r>
            <w:r>
              <w:rPr>
                <w:rFonts w:hint="eastAsia" w:ascii="宋体" w:hAnsi="宋体" w:eastAsia="宋体" w:cs="宋体"/>
                <w:i w:val="0"/>
                <w:iCs w:val="0"/>
                <w:snapToGrid/>
                <w:color w:val="auto"/>
                <w:kern w:val="0"/>
                <w:sz w:val="21"/>
                <w:szCs w:val="21"/>
                <w:highlight w:val="none"/>
                <w:u w:val="none"/>
                <w:lang w:val="en-US" w:eastAsia="zh-CN" w:bidi="ar"/>
              </w:rPr>
              <w:t>，提供具备法定检测资质的专业检测机构出具的检测报告。</w:t>
            </w:r>
          </w:p>
          <w:p w14:paraId="7DC69702">
            <w:pPr>
              <w:keepNext w:val="0"/>
              <w:keepLines w:val="0"/>
              <w:widowControl/>
              <w:suppressLineNumbers w:val="0"/>
              <w:kinsoku/>
              <w:autoSpaceDE/>
              <w:autoSpaceDN/>
              <w:adjustRightInd/>
              <w:snapToGrid/>
              <w:spacing w:line="240" w:lineRule="auto"/>
              <w:ind w:firstLine="420" w:firstLineChars="200"/>
              <w:jc w:val="both"/>
              <w:textAlignment w:val="center"/>
              <w:rPr>
                <w:rFonts w:hint="eastAsia" w:ascii="宋体" w:hAnsi="宋体" w:eastAsia="宋体" w:cs="宋体"/>
                <w:b w:val="0"/>
                <w:bCs w:val="0"/>
                <w:snapToGrid w:val="0"/>
                <w:color w:val="auto"/>
                <w:spacing w:val="-4"/>
                <w:kern w:val="0"/>
                <w:sz w:val="22"/>
                <w:szCs w:val="22"/>
                <w:highlight w:val="none"/>
                <w:lang w:val="en-US" w:eastAsia="zh-CN" w:bidi="ar-SA"/>
              </w:rPr>
            </w:pPr>
            <w:r>
              <w:rPr>
                <w:rFonts w:hint="eastAsia" w:ascii="宋体" w:hAnsi="宋体" w:eastAsia="宋体" w:cs="宋体"/>
                <w:i w:val="0"/>
                <w:iCs w:val="0"/>
                <w:snapToGrid/>
                <w:color w:val="auto"/>
                <w:kern w:val="0"/>
                <w:sz w:val="21"/>
                <w:szCs w:val="21"/>
                <w:highlight w:val="none"/>
                <w:u w:val="none"/>
                <w:lang w:val="en-US" w:eastAsia="zh-CN" w:bidi="ar"/>
              </w:rPr>
              <w:t>4、所投油菜配方肥必须符合国家标准，总养分（N+P</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w:t>
            </w:r>
            <w:r>
              <w:rPr>
                <w:rFonts w:hint="eastAsia" w:ascii="宋体" w:hAnsi="宋体" w:eastAsia="宋体" w:cs="宋体"/>
                <w:i w:val="0"/>
                <w:iCs w:val="0"/>
                <w:snapToGrid/>
                <w:color w:val="auto"/>
                <w:kern w:val="0"/>
                <w:sz w:val="21"/>
                <w:szCs w:val="21"/>
                <w:highlight w:val="none"/>
                <w:u w:val="none"/>
                <w:vertAlign w:val="subscript"/>
                <w:lang w:val="en-US" w:eastAsia="zh-CN" w:bidi="ar"/>
              </w:rPr>
              <w:t>5</w:t>
            </w:r>
            <w:r>
              <w:rPr>
                <w:rFonts w:hint="eastAsia" w:ascii="宋体" w:hAnsi="宋体" w:eastAsia="宋体" w:cs="宋体"/>
                <w:i w:val="0"/>
                <w:iCs w:val="0"/>
                <w:snapToGrid/>
                <w:color w:val="auto"/>
                <w:kern w:val="0"/>
                <w:sz w:val="21"/>
                <w:szCs w:val="21"/>
                <w:highlight w:val="none"/>
                <w:u w:val="none"/>
                <w:lang w:val="en-US" w:eastAsia="zh-CN" w:bidi="ar"/>
              </w:rPr>
              <w:t>+K</w:t>
            </w:r>
            <w:r>
              <w:rPr>
                <w:rFonts w:hint="eastAsia" w:ascii="宋体" w:hAnsi="宋体" w:eastAsia="宋体" w:cs="宋体"/>
                <w:i w:val="0"/>
                <w:iCs w:val="0"/>
                <w:snapToGrid/>
                <w:color w:val="auto"/>
                <w:kern w:val="0"/>
                <w:sz w:val="21"/>
                <w:szCs w:val="21"/>
                <w:highlight w:val="none"/>
                <w:u w:val="none"/>
                <w:vertAlign w:val="subscript"/>
                <w:lang w:val="en-US" w:eastAsia="zh-CN" w:bidi="ar"/>
              </w:rPr>
              <w:t>2</w:t>
            </w:r>
            <w:r>
              <w:rPr>
                <w:rFonts w:hint="eastAsia" w:ascii="宋体" w:hAnsi="宋体" w:eastAsia="宋体" w:cs="宋体"/>
                <w:i w:val="0"/>
                <w:iCs w:val="0"/>
                <w:snapToGrid/>
                <w:color w:val="auto"/>
                <w:kern w:val="0"/>
                <w:sz w:val="21"/>
                <w:szCs w:val="21"/>
                <w:highlight w:val="none"/>
                <w:u w:val="none"/>
                <w:lang w:val="en-US" w:eastAsia="zh-CN" w:bidi="ar"/>
              </w:rPr>
              <w:t>0）含量≥40%，其中总氮（N）含量≥20%，提供具备法定检测资质的专业检测机构出具的检测报告。</w:t>
            </w:r>
          </w:p>
        </w:tc>
      </w:tr>
    </w:tbl>
    <w:p w14:paraId="7A9DCF4F">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4"/>
          <w:szCs w:val="24"/>
          <w:highlight w:val="none"/>
          <w:lang w:val="en-US" w:eastAsia="zh-CN" w:bidi="ar-SA"/>
        </w:rPr>
      </w:pPr>
      <w:r>
        <w:rPr>
          <w:rFonts w:hint="eastAsia" w:ascii="宋体" w:hAnsi="宋体" w:eastAsia="Arial" w:cs="Arial"/>
          <w:b w:val="0"/>
          <w:bCs/>
          <w:snapToGrid w:val="0"/>
          <w:color w:val="auto"/>
          <w:kern w:val="0"/>
          <w:sz w:val="20"/>
          <w:szCs w:val="20"/>
          <w:lang w:eastAsia="en-US"/>
        </w:rPr>
        <w:t>说明：上表技术参数为采购人基本要求，</w:t>
      </w:r>
      <w:r>
        <w:rPr>
          <w:rFonts w:hint="eastAsia" w:ascii="宋体" w:hAnsi="宋体" w:eastAsia="宋体" w:cs="Arial"/>
          <w:b w:val="0"/>
          <w:bCs/>
          <w:snapToGrid w:val="0"/>
          <w:color w:val="auto"/>
          <w:kern w:val="0"/>
          <w:sz w:val="20"/>
          <w:szCs w:val="20"/>
          <w:lang w:val="en-US" w:eastAsia="zh-CN"/>
        </w:rPr>
        <w:t>供应商在参与招标时从中选择中熟品种和早熟品种各两个进行投标，</w:t>
      </w:r>
      <w:r>
        <w:rPr>
          <w:rFonts w:hint="eastAsia" w:ascii="宋体" w:hAnsi="宋体" w:eastAsia="Arial" w:cs="Arial"/>
          <w:b w:val="0"/>
          <w:bCs/>
          <w:snapToGrid w:val="0"/>
          <w:color w:val="auto"/>
          <w:kern w:val="0"/>
          <w:sz w:val="20"/>
          <w:szCs w:val="20"/>
          <w:lang w:val="en-US" w:eastAsia="zh-CN"/>
        </w:rPr>
        <w:t>投标人必须对所有的品目进行投标，不得仅对一个包中的部分品目投标，否则投标无效。</w:t>
      </w:r>
    </w:p>
    <w:p w14:paraId="1EF1EA42">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三、</w:t>
      </w:r>
      <w:bookmarkStart w:id="0" w:name="_Hlk7184628"/>
      <w:r>
        <w:rPr>
          <w:rFonts w:hint="eastAsia" w:ascii="楷体" w:hAnsi="楷体" w:eastAsia="楷体" w:cs="楷体"/>
          <w:b/>
          <w:bCs/>
          <w:snapToGrid w:val="0"/>
          <w:color w:val="auto"/>
          <w:spacing w:val="-4"/>
          <w:kern w:val="0"/>
          <w:sz w:val="28"/>
          <w:szCs w:val="28"/>
          <w:highlight w:val="none"/>
          <w:lang w:val="en-US" w:eastAsia="zh-CN" w:bidi="ar-SA"/>
        </w:rPr>
        <w:t>技术标准规范：</w:t>
      </w:r>
    </w:p>
    <w:p w14:paraId="13EF2B1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bCs/>
          <w:snapToGrid/>
          <w:color w:val="000000"/>
          <w:kern w:val="2"/>
          <w:szCs w:val="21"/>
          <w:lang w:eastAsia="zh-CN"/>
        </w:rPr>
      </w:pPr>
      <w:r>
        <w:rPr>
          <w:rFonts w:hint="eastAsia" w:ascii="宋体" w:hAnsi="宋体" w:eastAsia="宋体" w:cs="Times New Roman"/>
          <w:bCs/>
          <w:snapToGrid/>
          <w:color w:val="000000"/>
          <w:kern w:val="2"/>
          <w:szCs w:val="21"/>
          <w:lang w:val="en-US" w:eastAsia="zh-CN"/>
        </w:rPr>
        <w:t>1、</w:t>
      </w:r>
      <w:r>
        <w:rPr>
          <w:rFonts w:hint="eastAsia" w:ascii="宋体" w:hAnsi="宋体" w:eastAsia="宋体" w:cs="Times New Roman"/>
          <w:bCs/>
          <w:snapToGrid/>
          <w:color w:val="000000"/>
          <w:kern w:val="2"/>
          <w:szCs w:val="21"/>
          <w:lang w:eastAsia="zh-CN"/>
        </w:rPr>
        <w:t>产品的技术指标和性能须符合国家、地方及行业相关标准。</w:t>
      </w:r>
    </w:p>
    <w:bookmarkEnd w:id="0"/>
    <w:p w14:paraId="33BA3B39">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四、供货范围及交货时间</w:t>
      </w:r>
    </w:p>
    <w:p w14:paraId="2ED9E46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 xml:space="preserve">供货范围：采购人指定。 </w:t>
      </w:r>
    </w:p>
    <w:p w14:paraId="6D6E6FA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交货时间：合同签订并接到采购人下发供货指令后，</w:t>
      </w:r>
      <w:r>
        <w:rPr>
          <w:rFonts w:hint="eastAsia" w:ascii="宋体" w:hAnsi="宋体" w:eastAsia="宋体" w:cs="宋体"/>
          <w:b w:val="0"/>
          <w:bCs w:val="0"/>
          <w:snapToGrid w:val="0"/>
          <w:color w:val="000000"/>
          <w:kern w:val="0"/>
          <w:sz w:val="21"/>
          <w:szCs w:val="21"/>
          <w:u w:val="single"/>
          <w:lang w:val="en-US" w:eastAsia="zh-CN"/>
        </w:rPr>
        <w:t>3日</w:t>
      </w:r>
      <w:r>
        <w:rPr>
          <w:rFonts w:hint="eastAsia" w:ascii="宋体" w:hAnsi="宋体" w:eastAsia="宋体" w:cs="宋体"/>
          <w:b w:val="0"/>
          <w:bCs w:val="0"/>
          <w:snapToGrid w:val="0"/>
          <w:color w:val="000000"/>
          <w:kern w:val="0"/>
          <w:sz w:val="21"/>
          <w:szCs w:val="21"/>
          <w:lang w:val="en-US" w:eastAsia="zh-CN"/>
        </w:rPr>
        <w:t>内完成交货到指定地点。</w:t>
      </w:r>
    </w:p>
    <w:p w14:paraId="2D6A61A6">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五、运输</w:t>
      </w:r>
    </w:p>
    <w:p w14:paraId="2855B3C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 xml:space="preserve">1.成交人负责保证货物在没有任何损坏的情况下安全运抵合同规定的交货地点，应承担由于其包装或防护措施不妥引起货物损坏和丢失的任何责任或费用。 </w:t>
      </w:r>
    </w:p>
    <w:p w14:paraId="6F038B8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 xml:space="preserve">2.成交人负责货物在实施地点的保管，直至项目验收实施完成。 </w:t>
      </w:r>
    </w:p>
    <w:p w14:paraId="2123D7C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3.成交人应对提供的货物在运输、存放及交货过程中的毁损或丢失或质量下降等情形进行保险投保，负责其派出的服务人员的人身意外保险。</w:t>
      </w:r>
    </w:p>
    <w:p w14:paraId="7EF361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楷体" w:hAnsi="楷体" w:eastAsia="楷体" w:cs="楷体"/>
          <w:b/>
          <w:bCs/>
          <w:snapToGrid w:val="0"/>
          <w:color w:val="auto"/>
          <w:spacing w:val="-4"/>
          <w:kern w:val="0"/>
          <w:sz w:val="28"/>
          <w:szCs w:val="28"/>
          <w:highlight w:val="none"/>
          <w:lang w:val="en-US" w:eastAsia="zh-CN" w:bidi="ar-SA"/>
        </w:rPr>
        <w:t>六、验收标准和方法</w:t>
      </w:r>
    </w:p>
    <w:p w14:paraId="23C463A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1、</w:t>
      </w:r>
      <w:r>
        <w:rPr>
          <w:rFonts w:hint="eastAsia" w:ascii="宋体" w:hAnsi="宋体" w:eastAsia="宋体" w:cs="宋体"/>
          <w:b w:val="0"/>
          <w:bCs w:val="0"/>
          <w:snapToGrid w:val="0"/>
          <w:color w:val="000000"/>
          <w:kern w:val="0"/>
          <w:sz w:val="21"/>
          <w:szCs w:val="21"/>
          <w:lang w:val="en-US" w:eastAsia="en-US"/>
        </w:rPr>
        <w:t>本项目最终结算金额以实际供货量为准。</w:t>
      </w:r>
    </w:p>
    <w:p w14:paraId="3A329D6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2、产品抽样送检。成交人在合同规定的时间内将货物运抵项目指定地点后一周内，市农业农村局组织相关人员对成交人所交货物依照招标文件上的技术规格要求、成交产品有关指标和合同要求，进行随机抽取并送到有资质的检测部门检测，检验报告结果作为付款的依据之一。若检验不合格，按合同约定处理，由此造成的损失由成交人负责。</w:t>
      </w:r>
    </w:p>
    <w:p w14:paraId="06E324D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en-US"/>
        </w:rPr>
      </w:pPr>
      <w:r>
        <w:rPr>
          <w:rFonts w:hint="eastAsia" w:ascii="宋体" w:hAnsi="宋体" w:eastAsia="宋体" w:cs="宋体"/>
          <w:b w:val="0"/>
          <w:bCs w:val="0"/>
          <w:snapToGrid w:val="0"/>
          <w:color w:val="000000"/>
          <w:kern w:val="0"/>
          <w:sz w:val="21"/>
          <w:szCs w:val="21"/>
          <w:lang w:val="en-US" w:eastAsia="zh-CN"/>
        </w:rPr>
        <w:t>3、成交人</w:t>
      </w:r>
      <w:r>
        <w:rPr>
          <w:rFonts w:hint="eastAsia" w:ascii="宋体" w:hAnsi="宋体" w:eastAsia="宋体" w:cs="宋体"/>
          <w:b w:val="0"/>
          <w:bCs w:val="0"/>
          <w:snapToGrid w:val="0"/>
          <w:color w:val="000000"/>
          <w:kern w:val="0"/>
          <w:sz w:val="21"/>
          <w:szCs w:val="21"/>
          <w:lang w:val="en-US" w:eastAsia="en-US"/>
        </w:rPr>
        <w:t>供货完成后，由采购人组织验收小组按照国家相关标准和本项目成交合同、采购文件、响应文件对本项目采购</w:t>
      </w:r>
      <w:r>
        <w:rPr>
          <w:rFonts w:hint="eastAsia" w:ascii="宋体" w:hAnsi="宋体" w:eastAsia="宋体" w:cs="宋体"/>
          <w:b w:val="0"/>
          <w:bCs w:val="0"/>
          <w:snapToGrid w:val="0"/>
          <w:color w:val="000000"/>
          <w:kern w:val="0"/>
          <w:sz w:val="21"/>
          <w:szCs w:val="21"/>
          <w:lang w:val="en-US" w:eastAsia="zh-CN"/>
        </w:rPr>
        <w:t>种子品种、规格、数量、质量等</w:t>
      </w:r>
      <w:r>
        <w:rPr>
          <w:rFonts w:hint="eastAsia" w:ascii="宋体" w:hAnsi="宋体" w:eastAsia="宋体" w:cs="宋体"/>
          <w:b w:val="0"/>
          <w:bCs w:val="0"/>
          <w:snapToGrid w:val="0"/>
          <w:color w:val="000000"/>
          <w:kern w:val="0"/>
          <w:sz w:val="21"/>
          <w:szCs w:val="21"/>
          <w:lang w:val="en-US" w:eastAsia="en-US"/>
        </w:rPr>
        <w:t>进行验收</w:t>
      </w:r>
      <w:r>
        <w:rPr>
          <w:rFonts w:hint="eastAsia" w:ascii="宋体" w:hAnsi="宋体" w:eastAsia="宋体" w:cs="宋体"/>
          <w:b w:val="0"/>
          <w:bCs w:val="0"/>
          <w:snapToGrid w:val="0"/>
          <w:color w:val="000000"/>
          <w:kern w:val="0"/>
          <w:sz w:val="21"/>
          <w:szCs w:val="21"/>
          <w:lang w:val="en-US" w:eastAsia="zh-CN"/>
        </w:rPr>
        <w:t>。</w:t>
      </w:r>
      <w:r>
        <w:rPr>
          <w:rFonts w:hint="eastAsia" w:ascii="宋体" w:hAnsi="宋体" w:eastAsia="宋体" w:cs="宋体"/>
          <w:b w:val="0"/>
          <w:bCs w:val="0"/>
          <w:snapToGrid w:val="0"/>
          <w:color w:val="000000"/>
          <w:kern w:val="0"/>
          <w:sz w:val="21"/>
          <w:szCs w:val="21"/>
          <w:lang w:val="en-US" w:eastAsia="en-US"/>
        </w:rPr>
        <w:t>验收合格的，以验收当天为完成供货日期，并办理签收手续；不合格的，由成交人无条件更换直至合格，</w:t>
      </w:r>
      <w:r>
        <w:rPr>
          <w:rFonts w:hint="eastAsia" w:ascii="宋体" w:hAnsi="宋体" w:eastAsia="宋体" w:cs="宋体"/>
          <w:b w:val="0"/>
          <w:bCs w:val="0"/>
          <w:snapToGrid w:val="0"/>
          <w:color w:val="000000"/>
          <w:kern w:val="0"/>
          <w:sz w:val="21"/>
          <w:szCs w:val="21"/>
          <w:lang w:val="en-US" w:eastAsia="zh-CN"/>
        </w:rPr>
        <w:t>由此</w:t>
      </w:r>
      <w:r>
        <w:rPr>
          <w:rFonts w:hint="eastAsia" w:ascii="宋体" w:hAnsi="宋体" w:eastAsia="宋体" w:cs="宋体"/>
          <w:b w:val="0"/>
          <w:bCs w:val="0"/>
          <w:snapToGrid w:val="0"/>
          <w:color w:val="000000"/>
          <w:kern w:val="0"/>
          <w:sz w:val="21"/>
          <w:szCs w:val="21"/>
          <w:lang w:val="en-US" w:eastAsia="en-US"/>
        </w:rPr>
        <w:t>造成的损失由成交人承担，</w:t>
      </w:r>
      <w:r>
        <w:rPr>
          <w:rFonts w:hint="eastAsia" w:ascii="宋体" w:hAnsi="宋体" w:eastAsia="宋体" w:cs="宋体"/>
          <w:b w:val="0"/>
          <w:bCs w:val="0"/>
          <w:snapToGrid w:val="0"/>
          <w:color w:val="000000"/>
          <w:kern w:val="0"/>
          <w:sz w:val="21"/>
          <w:szCs w:val="21"/>
          <w:lang w:val="en-US" w:eastAsia="zh-CN"/>
        </w:rPr>
        <w:t>如未按</w:t>
      </w:r>
      <w:r>
        <w:rPr>
          <w:rFonts w:hint="eastAsia" w:ascii="宋体" w:hAnsi="宋体" w:eastAsia="宋体" w:cs="宋体"/>
          <w:b w:val="0"/>
          <w:bCs w:val="0"/>
          <w:snapToGrid w:val="0"/>
          <w:color w:val="000000"/>
          <w:kern w:val="0"/>
          <w:sz w:val="21"/>
          <w:szCs w:val="21"/>
          <w:lang w:val="en-US" w:eastAsia="en-US"/>
        </w:rPr>
        <w:t>采购人</w:t>
      </w:r>
      <w:r>
        <w:rPr>
          <w:rFonts w:hint="eastAsia" w:ascii="宋体" w:hAnsi="宋体" w:eastAsia="宋体" w:cs="宋体"/>
          <w:b w:val="0"/>
          <w:bCs w:val="0"/>
          <w:snapToGrid w:val="0"/>
          <w:color w:val="000000"/>
          <w:kern w:val="0"/>
          <w:sz w:val="21"/>
          <w:szCs w:val="21"/>
          <w:lang w:val="en-US" w:eastAsia="zh-CN"/>
        </w:rPr>
        <w:t>要求进行整改，采购人</w:t>
      </w:r>
      <w:r>
        <w:rPr>
          <w:rFonts w:hint="eastAsia" w:ascii="宋体" w:hAnsi="宋体" w:eastAsia="宋体" w:cs="宋体"/>
          <w:b w:val="0"/>
          <w:bCs w:val="0"/>
          <w:snapToGrid w:val="0"/>
          <w:color w:val="000000"/>
          <w:kern w:val="0"/>
          <w:sz w:val="21"/>
          <w:szCs w:val="21"/>
          <w:lang w:val="en-US" w:eastAsia="en-US"/>
        </w:rPr>
        <w:t>有权拒绝接收，并拒绝付款。</w:t>
      </w:r>
    </w:p>
    <w:p w14:paraId="093535EC">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六、售后服务</w:t>
      </w:r>
    </w:p>
    <w:p w14:paraId="2EF8A19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en-US"/>
        </w:rPr>
      </w:pPr>
      <w:r>
        <w:rPr>
          <w:rFonts w:hint="eastAsia" w:ascii="宋体" w:hAnsi="宋体" w:eastAsia="宋体" w:cs="宋体"/>
          <w:b w:val="0"/>
          <w:bCs w:val="0"/>
          <w:snapToGrid w:val="0"/>
          <w:color w:val="000000"/>
          <w:kern w:val="0"/>
          <w:sz w:val="21"/>
          <w:szCs w:val="21"/>
          <w:lang w:val="en-US" w:eastAsia="en-US"/>
        </w:rPr>
        <w:t>1.质保期按国家相关规定执行（如没有国家标准，按行业标准质保）。</w:t>
      </w:r>
    </w:p>
    <w:p w14:paraId="11FE26A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en-US"/>
        </w:rPr>
      </w:pPr>
      <w:r>
        <w:rPr>
          <w:rFonts w:hint="eastAsia" w:ascii="宋体" w:hAnsi="宋体" w:eastAsia="宋体" w:cs="宋体"/>
          <w:b w:val="0"/>
          <w:bCs w:val="0"/>
          <w:snapToGrid w:val="0"/>
          <w:color w:val="000000"/>
          <w:kern w:val="0"/>
          <w:sz w:val="21"/>
          <w:szCs w:val="21"/>
          <w:lang w:val="en-US" w:eastAsia="zh-CN"/>
        </w:rPr>
        <w:t>2</w:t>
      </w:r>
      <w:r>
        <w:rPr>
          <w:rFonts w:hint="eastAsia" w:ascii="宋体" w:hAnsi="宋体" w:eastAsia="宋体" w:cs="宋体"/>
          <w:b w:val="0"/>
          <w:bCs w:val="0"/>
          <w:snapToGrid w:val="0"/>
          <w:color w:val="000000"/>
          <w:kern w:val="0"/>
          <w:sz w:val="21"/>
          <w:szCs w:val="21"/>
          <w:lang w:val="en-US" w:eastAsia="en-US"/>
        </w:rPr>
        <w:t>.提供 7×24小时的售后服务受理，售后服务机构的名称、联系方法等应在响应文件中注明，若种子出现质量问题，</w:t>
      </w:r>
      <w:r>
        <w:rPr>
          <w:rFonts w:hint="eastAsia" w:ascii="宋体" w:hAnsi="宋体" w:eastAsia="宋体" w:cs="宋体"/>
          <w:b w:val="0"/>
          <w:bCs w:val="0"/>
          <w:snapToGrid w:val="0"/>
          <w:color w:val="000000"/>
          <w:kern w:val="0"/>
          <w:sz w:val="21"/>
          <w:szCs w:val="21"/>
          <w:lang w:val="en-US" w:eastAsia="zh-CN"/>
        </w:rPr>
        <w:t>2</w:t>
      </w:r>
      <w:r>
        <w:rPr>
          <w:rFonts w:hint="eastAsia" w:ascii="宋体" w:hAnsi="宋体" w:eastAsia="宋体" w:cs="宋体"/>
          <w:b w:val="0"/>
          <w:bCs w:val="0"/>
          <w:snapToGrid w:val="0"/>
          <w:color w:val="000000"/>
          <w:kern w:val="0"/>
          <w:sz w:val="21"/>
          <w:szCs w:val="21"/>
          <w:lang w:val="en-US" w:eastAsia="en-US"/>
        </w:rPr>
        <w:t xml:space="preserve"> 日内必须到现场进行处理并解决。</w:t>
      </w:r>
    </w:p>
    <w:p w14:paraId="26CE1A82">
      <w:pPr>
        <w:widowControl/>
        <w:kinsoku w:val="0"/>
        <w:autoSpaceDE w:val="0"/>
        <w:autoSpaceDN w:val="0"/>
        <w:adjustRightInd w:val="0"/>
        <w:snapToGrid w:val="0"/>
        <w:spacing w:before="19" w:line="213" w:lineRule="auto"/>
        <w:jc w:val="left"/>
        <w:textAlignment w:val="baseline"/>
        <w:rPr>
          <w:rFonts w:hint="eastAsia" w:ascii="楷体" w:hAnsi="楷体" w:eastAsia="楷体" w:cs="楷体"/>
          <w:b/>
          <w:bCs/>
          <w:snapToGrid w:val="0"/>
          <w:color w:val="auto"/>
          <w:spacing w:val="-4"/>
          <w:kern w:val="0"/>
          <w:sz w:val="28"/>
          <w:szCs w:val="28"/>
          <w:highlight w:val="none"/>
          <w:lang w:val="en-US" w:eastAsia="zh-CN" w:bidi="ar-SA"/>
        </w:rPr>
      </w:pPr>
      <w:r>
        <w:rPr>
          <w:rFonts w:hint="eastAsia" w:ascii="楷体" w:hAnsi="楷体" w:eastAsia="楷体" w:cs="楷体"/>
          <w:b/>
          <w:bCs/>
          <w:snapToGrid w:val="0"/>
          <w:color w:val="auto"/>
          <w:spacing w:val="-4"/>
          <w:kern w:val="0"/>
          <w:sz w:val="28"/>
          <w:szCs w:val="28"/>
          <w:highlight w:val="none"/>
          <w:lang w:val="en-US" w:eastAsia="zh-CN" w:bidi="ar-SA"/>
        </w:rPr>
        <w:t>七、其他事项：</w:t>
      </w:r>
    </w:p>
    <w:p w14:paraId="1E54F2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eastAsia="zh-CN"/>
        </w:rPr>
        <w:t>　　</w:t>
      </w:r>
      <w:r>
        <w:rPr>
          <w:rFonts w:hint="eastAsia" w:ascii="宋体" w:hAnsi="宋体" w:eastAsia="宋体" w:cs="宋体"/>
          <w:b w:val="0"/>
          <w:bCs w:val="0"/>
          <w:snapToGrid w:val="0"/>
          <w:color w:val="000000"/>
          <w:kern w:val="0"/>
          <w:sz w:val="21"/>
          <w:szCs w:val="21"/>
          <w:lang w:val="en-US" w:eastAsia="zh-CN"/>
        </w:rPr>
        <w:t>1.付款方式：合同中约定。</w:t>
      </w:r>
    </w:p>
    <w:p w14:paraId="3C577CE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2、所供货物必须是完整、原装、未过期的正规合格产品，符合国家检测标准及货物出厂标准。在规定的保质期内，供货方对由于工艺或材料缺陷等质量问题导致作物受害承担赔偿责任。</w:t>
      </w:r>
    </w:p>
    <w:p w14:paraId="0109ED7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snapToGrid w:val="0"/>
          <w:color w:val="000000"/>
          <w:kern w:val="0"/>
          <w:sz w:val="21"/>
          <w:szCs w:val="21"/>
          <w:lang w:val="en-US" w:eastAsia="zh-CN"/>
        </w:rPr>
      </w:pPr>
      <w:r>
        <w:rPr>
          <w:rFonts w:hint="eastAsia" w:ascii="宋体" w:hAnsi="宋体" w:eastAsia="宋体" w:cs="宋体"/>
          <w:b w:val="0"/>
          <w:bCs w:val="0"/>
          <w:snapToGrid w:val="0"/>
          <w:color w:val="000000"/>
          <w:kern w:val="0"/>
          <w:sz w:val="21"/>
          <w:szCs w:val="21"/>
          <w:lang w:val="en-US" w:eastAsia="zh-CN"/>
        </w:rPr>
        <w:t>3、供应商除提供货物外，必须提出详细的、操作性强的技术服务到农户到田的方案。即对所用货物的使用人员提供售后服务，并进行宣传和技术培训，主要包括产品贮存与使用方法等方面培训。</w:t>
      </w:r>
    </w:p>
    <w:p w14:paraId="3EAE4E70">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5.所供种子需通过植物检疫，投标人投标时需提供产地检疫证书，成交人供货时需提供调运检疫证书。</w:t>
      </w:r>
    </w:p>
    <w:p w14:paraId="35B07C89">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6.报价含产品配送到指定地点的运输费、装卸费和包装费等所有可能产生的费用。</w:t>
      </w:r>
    </w:p>
    <w:p w14:paraId="200CB45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b w:val="0"/>
          <w:bCs w:val="0"/>
          <w:snapToGrid/>
          <w:color w:val="auto"/>
          <w:kern w:val="2"/>
          <w:sz w:val="22"/>
          <w:szCs w:val="22"/>
          <w:highlight w:val="none"/>
          <w:lang w:val="en-US" w:eastAsia="zh-CN"/>
        </w:rPr>
      </w:pPr>
      <w:r>
        <w:rPr>
          <w:rFonts w:hint="eastAsia" w:ascii="宋体" w:hAnsi="宋体" w:eastAsia="宋体" w:cs="宋体"/>
          <w:b w:val="0"/>
          <w:bCs w:val="0"/>
          <w:snapToGrid/>
          <w:color w:val="auto"/>
          <w:kern w:val="2"/>
          <w:sz w:val="22"/>
          <w:szCs w:val="22"/>
          <w:highlight w:val="none"/>
          <w:lang w:val="en-US" w:eastAsia="zh-CN"/>
        </w:rPr>
        <w:t>7.如因成交人产品质量、技术等原因造成农户减产，由成交人负责赔偿。</w:t>
      </w:r>
    </w:p>
    <w:p w14:paraId="3DD42E26">
      <w:pPr>
        <w:keepNext w:val="0"/>
        <w:keepLines w:val="0"/>
        <w:pageBreakBefore w:val="0"/>
        <w:widowControl w:val="0"/>
        <w:kinsoku/>
        <w:wordWrap/>
        <w:overflowPunct/>
        <w:topLinePunct w:val="0"/>
        <w:autoSpaceDE/>
        <w:autoSpaceDN/>
        <w:bidi w:val="0"/>
        <w:adjustRightInd/>
        <w:snapToGrid/>
        <w:spacing w:after="0" w:line="360" w:lineRule="auto"/>
        <w:ind w:left="0" w:leftChars="0" w:firstLine="422" w:firstLineChars="200"/>
        <w:jc w:val="left"/>
        <w:textAlignment w:val="auto"/>
        <w:rPr>
          <w:rFonts w:hint="eastAsia" w:ascii="仿宋" w:hAnsi="仿宋" w:eastAsia="仿宋" w:cs="宋体"/>
          <w:b/>
          <w:bCs/>
          <w:snapToGrid/>
          <w:color w:val="000000"/>
          <w:kern w:val="0"/>
          <w:sz w:val="24"/>
          <w:szCs w:val="24"/>
          <w:highlight w:val="none"/>
          <w:lang w:val="en-US" w:eastAsia="zh-CN" w:bidi="ar-SA"/>
        </w:rPr>
      </w:pPr>
      <w:r>
        <w:rPr>
          <w:rFonts w:hint="eastAsia" w:ascii="宋体" w:hAnsi="宋体" w:eastAsia="宋体" w:cs="宋体"/>
          <w:b/>
          <w:bCs/>
          <w:snapToGrid w:val="0"/>
          <w:color w:val="000000"/>
          <w:kern w:val="0"/>
          <w:sz w:val="21"/>
          <w:szCs w:val="21"/>
          <w:lang w:val="en-US" w:eastAsia="zh-CN"/>
        </w:rPr>
        <w:t>八</w:t>
      </w:r>
      <w:r>
        <w:rPr>
          <w:rFonts w:hint="eastAsia" w:ascii="宋体" w:hAnsi="宋体" w:eastAsia="宋体" w:cs="宋体"/>
          <w:b/>
          <w:bCs/>
          <w:snapToGrid w:val="0"/>
          <w:color w:val="000000"/>
          <w:kern w:val="0"/>
          <w:sz w:val="21"/>
          <w:szCs w:val="21"/>
          <w:lang w:eastAsia="zh-CN"/>
        </w:rPr>
        <w:t>、</w:t>
      </w:r>
      <w:r>
        <w:rPr>
          <w:rFonts w:hint="eastAsia" w:ascii="宋体" w:hAnsi="宋体" w:eastAsia="宋体" w:cs="宋体"/>
          <w:b/>
          <w:bCs/>
          <w:snapToGrid/>
          <w:color w:val="000000"/>
          <w:kern w:val="2"/>
          <w:sz w:val="22"/>
          <w:szCs w:val="22"/>
          <w:lang w:eastAsia="zh-CN"/>
        </w:rPr>
        <w:t>其它需要说明的事项</w:t>
      </w:r>
      <w:r>
        <w:rPr>
          <w:rFonts w:hint="eastAsia" w:ascii="宋体" w:hAnsi="宋体" w:eastAsia="宋体" w:cs="宋体"/>
          <w:b w:val="0"/>
          <w:bCs w:val="0"/>
          <w:snapToGrid w:val="0"/>
          <w:color w:val="000000"/>
          <w:kern w:val="0"/>
          <w:sz w:val="21"/>
          <w:szCs w:val="21"/>
          <w:lang w:eastAsia="zh-CN"/>
        </w:rPr>
        <w:t>：其它未尽事宜以政府采购合同协议书为准并按国家相关法律及行业标准执行。对于上述项目要求，</w:t>
      </w:r>
      <w:r>
        <w:rPr>
          <w:rFonts w:hint="eastAsia" w:ascii="宋体" w:hAnsi="宋体" w:eastAsia="宋体" w:cs="宋体"/>
          <w:b w:val="0"/>
          <w:bCs w:val="0"/>
          <w:snapToGrid w:val="0"/>
          <w:color w:val="000000"/>
          <w:kern w:val="0"/>
          <w:sz w:val="21"/>
          <w:szCs w:val="21"/>
          <w:lang w:val="en-US" w:eastAsia="zh-CN"/>
        </w:rPr>
        <w:t>供应商应在响应文件中进行实质性响应，提供相关资料并作出承诺，否则为无效投标。</w:t>
      </w:r>
    </w:p>
    <w:p w14:paraId="390C4A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7FA0A"/>
    <w:multiLevelType w:val="singleLevel"/>
    <w:tmpl w:val="8597FA0A"/>
    <w:lvl w:ilvl="0" w:tentative="0">
      <w:start w:val="4"/>
      <w:numFmt w:val="chineseCounting"/>
      <w:suff w:val="space"/>
      <w:lvlText w:val="第%1章"/>
      <w:lvlJc w:val="left"/>
      <w:rPr>
        <w:rFonts w:hint="eastAsia"/>
      </w:rPr>
    </w:lvl>
  </w:abstractNum>
  <w:abstractNum w:abstractNumId="1">
    <w:nsid w:val="12D3ACBD"/>
    <w:multiLevelType w:val="singleLevel"/>
    <w:tmpl w:val="12D3ACBD"/>
    <w:lvl w:ilvl="0" w:tentative="0">
      <w:start w:val="1"/>
      <w:numFmt w:val="chineseCounting"/>
      <w:suff w:val="nothing"/>
      <w:lvlText w:val="%1、"/>
      <w:lvlJc w:val="left"/>
      <w:rPr>
        <w:rFonts w:hint="eastAsia"/>
      </w:rPr>
    </w:lvl>
  </w:abstractNum>
  <w:abstractNum w:abstractNumId="2">
    <w:nsid w:val="2211DA75"/>
    <w:multiLevelType w:val="singleLevel"/>
    <w:tmpl w:val="2211DA75"/>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F1945"/>
    <w:rsid w:val="0A4F1945"/>
    <w:rsid w:val="15010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1937</Words>
  <Characters>2116</Characters>
  <Lines>0</Lines>
  <Paragraphs>0</Paragraphs>
  <TotalTime>0</TotalTime>
  <ScaleCrop>false</ScaleCrop>
  <LinksUpToDate>false</LinksUpToDate>
  <CharactersWithSpaces>2123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2026-09-03T02:16:00Z</dcterms:created>
  <dc:creator>上善若水</dc:creator>
  <cp:lastModifiedBy>上善若水</cp:lastModifiedBy>
  <dcterms:modified xsi:type="dcterms:W3CDTF">2026-09-03T05:02:12Z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E6483F2409294D0F9D855C4CD471E9EB_11</vt:lpwstr>
  </property>
  <property fmtid="{D5CDD505-2E9C-101B-9397-08002B2CF9AE}" pid="4" name="KSOTemplateDocerSaveRecord">
    <vt:lpwstr>eyJoZGlkIjoiMDNkYzNiNDExOWVmNTY0NjVlZmMwNTQwNWEyZjVjN2YiLCJ1c2VySWQiOiI1ODE5MzA2MTcifQ==</vt:lpwstr>
  </property>
</Properties>
</file>