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28F39">
      <w:pPr>
        <w:spacing w:line="360" w:lineRule="auto"/>
        <w:rPr>
          <w:rFonts w:hint="eastAsia" w:ascii="宋体" w:hAnsi="宋体" w:eastAsia="宋体" w:cs="宋体"/>
          <w:color w:val="auto"/>
          <w:kern w:val="0"/>
          <w:sz w:val="24"/>
          <w:lang w:eastAsia="zh-CN"/>
        </w:rPr>
      </w:pPr>
      <w:r>
        <w:rPr>
          <w:rFonts w:hint="eastAsia" w:ascii="宋体" w:hAnsi="宋体" w:eastAsia="宋体" w:cs="宋体"/>
          <w:color w:val="auto"/>
          <w:kern w:val="0"/>
          <w:sz w:val="24"/>
          <w:lang w:val="en-US" w:eastAsia="zh-CN"/>
        </w:rPr>
        <w:t xml:space="preserve"> </w:t>
      </w:r>
    </w:p>
    <w:p w14:paraId="77A92AFE">
      <w:pPr>
        <w:keepNext w:val="0"/>
        <w:keepLines w:val="0"/>
        <w:widowControl/>
        <w:suppressLineNumbers w:val="0"/>
        <w:spacing w:line="360" w:lineRule="auto"/>
        <w:jc w:val="center"/>
        <w:outlineLvl w:val="9"/>
        <w:rPr>
          <w:rFonts w:hint="eastAsia" w:ascii="仿宋" w:hAnsi="仿宋" w:eastAsia="仿宋" w:cs="仿宋"/>
          <w:sz w:val="84"/>
          <w:szCs w:val="84"/>
        </w:rPr>
      </w:pPr>
      <w:bookmarkStart w:id="0" w:name="_Toc21001314"/>
      <w:bookmarkStart w:id="1" w:name="_Toc20816073"/>
      <w:bookmarkStart w:id="2" w:name="_Toc53472201"/>
      <w:bookmarkStart w:id="3" w:name="_Toc35421027"/>
      <w:bookmarkStart w:id="4" w:name="_Toc20642243"/>
      <w:bookmarkStart w:id="5" w:name="_Toc21000471"/>
      <w:bookmarkStart w:id="6" w:name="_Toc20988241"/>
      <w:bookmarkStart w:id="7" w:name="_Toc34720698"/>
      <w:r>
        <w:rPr>
          <w:rFonts w:hint="eastAsia" w:ascii="仿宋" w:hAnsi="仿宋" w:eastAsia="仿宋" w:cs="仿宋"/>
          <w:color w:val="000000"/>
          <w:kern w:val="0"/>
          <w:sz w:val="84"/>
          <w:szCs w:val="84"/>
          <w:lang w:val="en-US" w:eastAsia="zh-CN" w:bidi="ar"/>
        </w:rPr>
        <w:t>政府采购</w:t>
      </w:r>
    </w:p>
    <w:p w14:paraId="065480E7">
      <w:pPr>
        <w:keepNext w:val="0"/>
        <w:keepLines w:val="0"/>
        <w:widowControl/>
        <w:suppressLineNumbers w:val="0"/>
        <w:spacing w:line="360" w:lineRule="auto"/>
        <w:jc w:val="center"/>
        <w:outlineLvl w:val="9"/>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84"/>
          <w:szCs w:val="84"/>
          <w:lang w:val="en-US" w:eastAsia="zh-CN" w:bidi="ar"/>
        </w:rPr>
        <w:t>招 标 文 件</w:t>
      </w:r>
    </w:p>
    <w:p w14:paraId="284ABBE2">
      <w:pPr>
        <w:keepNext w:val="0"/>
        <w:keepLines w:val="0"/>
        <w:widowControl/>
        <w:suppressLineNumbers w:val="0"/>
        <w:spacing w:line="360" w:lineRule="auto"/>
        <w:jc w:val="center"/>
        <w:outlineLvl w:val="9"/>
        <w:rPr>
          <w:rFonts w:hint="eastAsia" w:ascii="仿宋" w:hAnsi="仿宋" w:eastAsia="仿宋" w:cs="仿宋"/>
          <w:color w:val="000000"/>
          <w:kern w:val="0"/>
          <w:sz w:val="24"/>
          <w:szCs w:val="24"/>
          <w:lang w:val="en-US" w:eastAsia="zh-CN" w:bidi="ar"/>
        </w:rPr>
      </w:pPr>
    </w:p>
    <w:p w14:paraId="26A20B6D">
      <w:pPr>
        <w:keepNext w:val="0"/>
        <w:keepLines w:val="0"/>
        <w:widowControl/>
        <w:suppressLineNumbers w:val="0"/>
        <w:spacing w:line="360" w:lineRule="auto"/>
        <w:jc w:val="center"/>
        <w:outlineLvl w:val="9"/>
        <w:rPr>
          <w:rFonts w:hint="eastAsia" w:ascii="仿宋" w:hAnsi="仿宋" w:eastAsia="仿宋" w:cs="仿宋"/>
          <w:sz w:val="52"/>
          <w:szCs w:val="52"/>
        </w:rPr>
      </w:pPr>
      <w:r>
        <w:rPr>
          <w:rFonts w:hint="eastAsia" w:ascii="仿宋" w:hAnsi="仿宋" w:eastAsia="仿宋" w:cs="仿宋"/>
          <w:b/>
          <w:bCs/>
          <w:color w:val="000000"/>
          <w:kern w:val="0"/>
          <w:sz w:val="52"/>
          <w:szCs w:val="52"/>
          <w:lang w:val="en-US" w:eastAsia="zh-CN" w:bidi="ar"/>
        </w:rPr>
        <w:t>（综合评分法）</w:t>
      </w:r>
    </w:p>
    <w:p w14:paraId="36269FDD">
      <w:pPr>
        <w:keepNext w:val="0"/>
        <w:keepLines w:val="0"/>
        <w:widowControl/>
        <w:suppressLineNumbers w:val="0"/>
        <w:spacing w:line="360" w:lineRule="auto"/>
        <w:jc w:val="center"/>
        <w:outlineLvl w:val="9"/>
        <w:rPr>
          <w:rFonts w:hint="default" w:ascii="仿宋" w:hAnsi="仿宋" w:eastAsia="仿宋" w:cs="仿宋"/>
          <w:b/>
          <w:bCs/>
          <w:color w:val="000000"/>
          <w:kern w:val="0"/>
          <w:sz w:val="24"/>
          <w:szCs w:val="24"/>
          <w:lang w:val="en-US" w:eastAsia="zh-CN" w:bidi="ar"/>
        </w:rPr>
      </w:pPr>
      <w:r>
        <w:rPr>
          <w:rFonts w:hint="eastAsia" w:ascii="仿宋" w:hAnsi="仿宋" w:eastAsia="仿宋" w:cs="仿宋"/>
          <w:b/>
          <w:bCs/>
          <w:color w:val="000000"/>
          <w:kern w:val="0"/>
          <w:sz w:val="52"/>
          <w:szCs w:val="52"/>
          <w:lang w:val="en-US" w:eastAsia="zh-CN" w:bidi="ar"/>
        </w:rPr>
        <w:t>货物类</w:t>
      </w:r>
    </w:p>
    <w:p w14:paraId="3F590E6C">
      <w:pPr>
        <w:keepNext w:val="0"/>
        <w:keepLines w:val="0"/>
        <w:widowControl/>
        <w:suppressLineNumbers w:val="0"/>
        <w:spacing w:line="360" w:lineRule="auto"/>
        <w:jc w:val="center"/>
        <w:outlineLvl w:val="9"/>
        <w:rPr>
          <w:rFonts w:hint="eastAsia" w:ascii="仿宋" w:hAnsi="仿宋" w:eastAsia="仿宋" w:cs="仿宋"/>
          <w:b/>
          <w:bCs/>
          <w:color w:val="000000"/>
          <w:kern w:val="0"/>
          <w:sz w:val="24"/>
          <w:szCs w:val="24"/>
          <w:lang w:val="en-US" w:eastAsia="zh-CN" w:bidi="ar"/>
        </w:rPr>
      </w:pPr>
    </w:p>
    <w:p w14:paraId="3BAC5D05">
      <w:pPr>
        <w:jc w:val="center"/>
        <w:rPr>
          <w:rFonts w:hint="eastAsia"/>
          <w:b/>
          <w:bCs/>
          <w:color w:val="auto"/>
          <w:sz w:val="32"/>
          <w:szCs w:val="32"/>
          <w:highlight w:val="none"/>
        </w:rPr>
      </w:pPr>
      <w:r>
        <w:rPr>
          <w:rFonts w:hint="eastAsia" w:ascii="仿宋" w:hAnsi="仿宋" w:eastAsia="仿宋" w:cs="仿宋"/>
          <w:b/>
          <w:bCs/>
          <w:color w:val="000000"/>
          <w:kern w:val="0"/>
          <w:sz w:val="32"/>
          <w:szCs w:val="32"/>
          <w:lang w:val="en-US" w:eastAsia="zh-CN" w:bidi="ar"/>
        </w:rPr>
        <w:t>采购项目名称:吉首市第一中学学生宿舍楼建设项目-床、桌椅及柜子采购（第二次）</w:t>
      </w:r>
    </w:p>
    <w:p w14:paraId="4DAF41D3">
      <w:pPr>
        <w:keepNext w:val="0"/>
        <w:keepLines w:val="0"/>
        <w:widowControl/>
        <w:suppressLineNumbers w:val="0"/>
        <w:spacing w:line="360" w:lineRule="auto"/>
        <w:ind w:left="2249" w:hanging="2249" w:hangingChars="700"/>
        <w:jc w:val="left"/>
        <w:outlineLvl w:val="9"/>
        <w:rPr>
          <w:rFonts w:hint="default" w:ascii="仿宋" w:hAnsi="仿宋" w:eastAsia="仿宋" w:cs="仿宋"/>
          <w:b/>
          <w:bCs/>
          <w:color w:val="000000"/>
          <w:kern w:val="0"/>
          <w:sz w:val="32"/>
          <w:szCs w:val="32"/>
          <w:lang w:val="en-US" w:eastAsia="zh-CN" w:bidi="ar"/>
        </w:rPr>
      </w:pPr>
    </w:p>
    <w:p w14:paraId="72B59AEE">
      <w:pPr>
        <w:keepNext w:val="0"/>
        <w:keepLines w:val="0"/>
        <w:widowControl/>
        <w:suppressLineNumbers w:val="0"/>
        <w:spacing w:line="360" w:lineRule="auto"/>
        <w:jc w:val="left"/>
        <w:outlineLvl w:val="9"/>
        <w:rPr>
          <w:rFonts w:hint="default" w:ascii="仿宋" w:hAnsi="仿宋" w:eastAsia="仿宋" w:cs="仿宋"/>
          <w:b/>
          <w:bCs/>
          <w:color w:val="FF0000"/>
          <w:kern w:val="0"/>
          <w:sz w:val="32"/>
          <w:szCs w:val="32"/>
          <w:lang w:val="en-US" w:eastAsia="zh-CN" w:bidi="ar"/>
        </w:rPr>
      </w:pPr>
      <w:r>
        <w:rPr>
          <w:rFonts w:hint="eastAsia" w:ascii="仿宋" w:hAnsi="仿宋" w:eastAsia="仿宋" w:cs="仿宋"/>
          <w:b/>
          <w:bCs/>
          <w:color w:val="000000"/>
          <w:kern w:val="0"/>
          <w:sz w:val="32"/>
          <w:szCs w:val="32"/>
          <w:lang w:val="en-US" w:eastAsia="zh-CN" w:bidi="ar"/>
        </w:rPr>
        <w:t>政府采购编号:XXZCJC[2026]0049</w:t>
      </w:r>
    </w:p>
    <w:p w14:paraId="48332AEB">
      <w:pPr>
        <w:keepNext w:val="0"/>
        <w:keepLines w:val="0"/>
        <w:widowControl/>
        <w:suppressLineNumbers w:val="0"/>
        <w:spacing w:line="360" w:lineRule="auto"/>
        <w:jc w:val="left"/>
        <w:outlineLvl w:val="9"/>
        <w:rPr>
          <w:rFonts w:hint="default" w:ascii="仿宋" w:hAnsi="仿宋" w:eastAsia="仿宋" w:cs="仿宋"/>
          <w:b/>
          <w:bCs/>
          <w:color w:val="000000"/>
          <w:kern w:val="0"/>
          <w:sz w:val="32"/>
          <w:szCs w:val="32"/>
          <w:lang w:val="en-US" w:eastAsia="zh-CN" w:bidi="ar"/>
        </w:rPr>
      </w:pPr>
    </w:p>
    <w:p w14:paraId="22FFFD04">
      <w:pPr>
        <w:keepNext w:val="0"/>
        <w:keepLines w:val="0"/>
        <w:widowControl/>
        <w:suppressLineNumbers w:val="0"/>
        <w:spacing w:line="360" w:lineRule="auto"/>
        <w:jc w:val="left"/>
        <w:outlineLvl w:val="9"/>
        <w:rPr>
          <w:rFonts w:hint="default"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采购计划编号:(2026)433101000002-1</w:t>
      </w:r>
    </w:p>
    <w:p w14:paraId="57142460">
      <w:pPr>
        <w:keepNext w:val="0"/>
        <w:keepLines w:val="0"/>
        <w:widowControl/>
        <w:suppressLineNumbers w:val="0"/>
        <w:spacing w:line="360" w:lineRule="auto"/>
        <w:jc w:val="center"/>
        <w:outlineLvl w:val="9"/>
        <w:rPr>
          <w:rFonts w:hint="eastAsia" w:ascii="仿宋" w:hAnsi="仿宋" w:eastAsia="仿宋" w:cs="仿宋"/>
          <w:b/>
          <w:bCs/>
          <w:color w:val="000000"/>
          <w:kern w:val="0"/>
          <w:sz w:val="32"/>
          <w:szCs w:val="32"/>
          <w:lang w:val="en-US" w:eastAsia="zh-CN" w:bidi="ar"/>
        </w:rPr>
      </w:pPr>
    </w:p>
    <w:p w14:paraId="118C9B98">
      <w:pPr>
        <w:keepNext w:val="0"/>
        <w:keepLines w:val="0"/>
        <w:widowControl/>
        <w:suppressLineNumbers w:val="0"/>
        <w:spacing w:line="360" w:lineRule="auto"/>
        <w:jc w:val="center"/>
        <w:outlineLvl w:val="9"/>
        <w:rPr>
          <w:rFonts w:hint="eastAsia" w:ascii="仿宋" w:hAnsi="仿宋" w:eastAsia="仿宋" w:cs="仿宋"/>
          <w:b/>
          <w:bCs/>
          <w:color w:val="0000FF"/>
          <w:kern w:val="0"/>
          <w:sz w:val="32"/>
          <w:szCs w:val="32"/>
          <w:lang w:val="en-US" w:eastAsia="zh-CN" w:bidi="ar"/>
        </w:rPr>
      </w:pPr>
      <w:r>
        <w:rPr>
          <w:rFonts w:hint="eastAsia" w:ascii="仿宋" w:hAnsi="仿宋" w:eastAsia="仿宋" w:cs="仿宋"/>
          <w:b/>
          <w:bCs/>
          <w:color w:val="000000"/>
          <w:kern w:val="0"/>
          <w:sz w:val="32"/>
          <w:szCs w:val="32"/>
          <w:lang w:val="en-US" w:eastAsia="zh-CN" w:bidi="ar"/>
        </w:rPr>
        <w:t>湘西土家族苗族自治州政府采购中心</w:t>
      </w:r>
    </w:p>
    <w:p w14:paraId="6376D946">
      <w:pPr>
        <w:keepNext w:val="0"/>
        <w:keepLines w:val="0"/>
        <w:widowControl/>
        <w:suppressLineNumbers w:val="0"/>
        <w:spacing w:line="360" w:lineRule="auto"/>
        <w:jc w:val="center"/>
        <w:outlineLvl w:val="9"/>
        <w:rPr>
          <w:rFonts w:hint="eastAsia" w:ascii="仿宋" w:hAnsi="仿宋" w:eastAsia="仿宋" w:cs="仿宋"/>
          <w:b/>
          <w:bCs/>
          <w:color w:val="000000"/>
          <w:kern w:val="0"/>
          <w:sz w:val="32"/>
          <w:szCs w:val="32"/>
          <w:lang w:val="en-US" w:eastAsia="zh-CN" w:bidi="ar"/>
        </w:rPr>
        <w:sectPr>
          <w:headerReference r:id="rId3" w:type="default"/>
          <w:footerReference r:id="rId4" w:type="default"/>
          <w:pgSz w:w="11906" w:h="16838"/>
          <w:pgMar w:top="1134" w:right="1134" w:bottom="1134" w:left="1417" w:header="567" w:footer="340" w:gutter="0"/>
          <w:pgNumType w:fmt="decimal"/>
          <w:cols w:space="0" w:num="1"/>
          <w:rtlGutter w:val="0"/>
          <w:docGrid w:type="lines" w:linePitch="312" w:charSpace="0"/>
        </w:sectPr>
      </w:pPr>
      <w:r>
        <w:rPr>
          <w:rFonts w:hint="eastAsia" w:ascii="仿宋" w:hAnsi="仿宋" w:eastAsia="仿宋" w:cs="仿宋"/>
          <w:b/>
          <w:bCs/>
          <w:color w:val="000000"/>
          <w:kern w:val="0"/>
          <w:sz w:val="32"/>
          <w:szCs w:val="32"/>
          <w:lang w:val="en-US" w:eastAsia="zh-CN" w:bidi="ar"/>
        </w:rPr>
        <w:t xml:space="preserve">  2026年8月</w:t>
      </w:r>
      <w:bookmarkStart w:id="536" w:name="_GoBack"/>
      <w:bookmarkEnd w:id="536"/>
    </w:p>
    <w:sdt>
      <w:sdtPr>
        <w:rPr>
          <w:rFonts w:hint="eastAsia" w:ascii="宋体" w:hAnsi="宋体" w:eastAsia="宋体" w:cs="宋体"/>
          <w:kern w:val="2"/>
          <w:sz w:val="21"/>
          <w:szCs w:val="24"/>
          <w:highlight w:val="none"/>
          <w:lang w:val="en-US" w:eastAsia="zh-CN" w:bidi="ar-SA"/>
        </w:rPr>
        <w:id w:val="147457880"/>
        <w15:color w:val="DBDBDB"/>
        <w:docPartObj>
          <w:docPartGallery w:val="Table of Contents"/>
          <w:docPartUnique/>
        </w:docPartObj>
      </w:sdtPr>
      <w:sdtEndPr>
        <w:rPr>
          <w:rFonts w:hint="eastAsia" w:ascii="宋体" w:hAnsi="宋体" w:eastAsia="宋体" w:cs="宋体"/>
          <w:kern w:val="2"/>
          <w:sz w:val="21"/>
          <w:szCs w:val="24"/>
          <w:highlight w:val="none"/>
          <w:lang w:val="en-US" w:eastAsia="zh-CN" w:bidi="ar-SA"/>
        </w:rPr>
      </w:sdtEndPr>
      <w:sdtContent>
        <w:sdt>
          <w:sdtPr>
            <w:rPr>
              <w:rFonts w:hint="eastAsia" w:ascii="宋体" w:hAnsi="宋体" w:eastAsia="宋体" w:cs="宋体"/>
              <w:kern w:val="2"/>
              <w:sz w:val="21"/>
              <w:szCs w:val="24"/>
              <w:highlight w:val="none"/>
              <w:lang w:val="en-US" w:eastAsia="zh-CN" w:bidi="ar-SA"/>
            </w:rPr>
            <w:id w:val="147473958"/>
            <w15:color w:val="DBDBDB"/>
            <w:docPartObj>
              <w:docPartGallery w:val="Table of Contents"/>
              <w:docPartUnique/>
            </w:docPartObj>
          </w:sdtPr>
          <w:sdtEndPr>
            <w:rPr>
              <w:rFonts w:hint="eastAsia" w:ascii="宋体" w:hAnsi="宋体" w:eastAsia="宋体" w:cs="宋体"/>
              <w:kern w:val="2"/>
              <w:sz w:val="21"/>
              <w:szCs w:val="24"/>
              <w:highlight w:val="none"/>
              <w:lang w:val="en-US" w:eastAsia="zh-CN" w:bidi="ar-SA"/>
            </w:rPr>
          </w:sdtEndPr>
          <w:sdtContent>
            <w:p w14:paraId="45069E93">
              <w:pPr>
                <w:spacing w:before="0" w:beforeLines="0" w:after="0" w:afterLines="0" w:line="240" w:lineRule="auto"/>
                <w:ind w:left="0" w:leftChars="0" w:right="0" w:rightChars="0" w:firstLine="0" w:firstLineChars="0"/>
                <w:jc w:val="center"/>
                <w:rPr>
                  <w:rFonts w:hint="eastAsia" w:ascii="宋体" w:hAnsi="宋体" w:eastAsia="宋体" w:cs="宋体"/>
                  <w:b/>
                  <w:bCs/>
                  <w:sz w:val="36"/>
                  <w:szCs w:val="36"/>
                  <w:highlight w:val="none"/>
                </w:rPr>
              </w:pPr>
              <w:r>
                <w:rPr>
                  <w:rFonts w:hint="eastAsia" w:ascii="宋体" w:hAnsi="宋体" w:eastAsia="宋体" w:cs="宋体"/>
                  <w:b/>
                  <w:bCs/>
                  <w:sz w:val="36"/>
                  <w:szCs w:val="36"/>
                  <w:highlight w:val="none"/>
                </w:rPr>
                <w:t>目</w:t>
              </w:r>
              <w:r>
                <w:rPr>
                  <w:rFonts w:hint="eastAsia" w:ascii="宋体" w:hAnsi="宋体" w:eastAsia="宋体" w:cs="宋体"/>
                  <w:b/>
                  <w:bCs/>
                  <w:sz w:val="36"/>
                  <w:szCs w:val="36"/>
                  <w:highlight w:val="none"/>
                  <w:lang w:val="en-US" w:eastAsia="zh-CN"/>
                </w:rPr>
                <w:t xml:space="preserve">  </w:t>
              </w:r>
              <w:r>
                <w:rPr>
                  <w:rFonts w:hint="eastAsia" w:ascii="宋体" w:hAnsi="宋体" w:eastAsia="宋体" w:cs="宋体"/>
                  <w:b/>
                  <w:bCs/>
                  <w:sz w:val="36"/>
                  <w:szCs w:val="36"/>
                  <w:highlight w:val="none"/>
                </w:rPr>
                <w:t>录</w:t>
              </w:r>
            </w:p>
            <w:p w14:paraId="4B58CEB8">
              <w:pPr>
                <w:pStyle w:val="30"/>
                <w:numPr>
                  <w:ilvl w:val="0"/>
                  <w:numId w:val="1"/>
                </w:numPr>
                <w:tabs>
                  <w:tab w:val="right" w:leader="dot" w:pos="9355"/>
                </w:tabs>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投标邀请</w:t>
              </w:r>
            </w:p>
            <w:p w14:paraId="582BFE4D">
              <w:pPr>
                <w:pStyle w:val="30"/>
                <w:numPr>
                  <w:ilvl w:val="0"/>
                  <w:numId w:val="1"/>
                </w:numPr>
                <w:tabs>
                  <w:tab w:val="right" w:leader="dot" w:pos="9355"/>
                </w:tabs>
              </w:pPr>
              <w:r>
                <w:rPr>
                  <w:rFonts w:hint="eastAsia" w:ascii="宋体" w:hAnsi="宋体" w:eastAsia="宋体" w:cs="宋体"/>
                  <w:sz w:val="24"/>
                  <w:szCs w:val="24"/>
                  <w:lang w:val="en-US" w:eastAsia="zh-CN"/>
                </w:rPr>
                <w:t>投标须知</w:t>
              </w:r>
            </w:p>
            <w:p w14:paraId="4261F760">
              <w:pPr>
                <w:pStyle w:val="30"/>
                <w:numPr>
                  <w:ilvl w:val="0"/>
                  <w:numId w:val="1"/>
                </w:numPr>
                <w:tabs>
                  <w:tab w:val="right" w:leader="dot" w:pos="9355"/>
                </w:tabs>
              </w:pPr>
              <w:r>
                <w:rPr>
                  <w:rFonts w:hint="eastAsia" w:ascii="宋体" w:hAnsi="宋体" w:eastAsia="宋体" w:cs="宋体"/>
                  <w:sz w:val="24"/>
                  <w:szCs w:val="24"/>
                  <w:lang w:val="en-US" w:eastAsia="zh-CN"/>
                </w:rPr>
                <w:t>资格审查</w:t>
              </w:r>
            </w:p>
            <w:p w14:paraId="342F3448">
              <w:pPr>
                <w:pStyle w:val="30"/>
                <w:numPr>
                  <w:ilvl w:val="0"/>
                  <w:numId w:val="1"/>
                </w:numPr>
                <w:tabs>
                  <w:tab w:val="right" w:leader="dot" w:pos="9355"/>
                </w:tabs>
              </w:pPr>
              <w:r>
                <w:rPr>
                  <w:rFonts w:hint="eastAsia" w:ascii="宋体" w:hAnsi="宋体" w:eastAsia="宋体" w:cs="宋体"/>
                  <w:sz w:val="24"/>
                  <w:szCs w:val="24"/>
                  <w:lang w:val="en-US" w:eastAsia="zh-CN"/>
                </w:rPr>
                <w:t>评标方法及标准（综合评分法）</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TOC \o "1-3" \h \u </w:instrText>
              </w:r>
              <w:r>
                <w:rPr>
                  <w:rFonts w:hint="eastAsia" w:ascii="宋体" w:hAnsi="宋体" w:eastAsia="宋体" w:cs="宋体"/>
                  <w:sz w:val="24"/>
                  <w:szCs w:val="24"/>
                </w:rPr>
                <w:fldChar w:fldCharType="separate"/>
              </w:r>
              <w:r>
                <w:rPr>
                  <w:rFonts w:hint="eastAsia" w:ascii="宋体" w:hAnsi="宋体" w:eastAsia="宋体" w:cs="宋体"/>
                  <w:szCs w:val="24"/>
                </w:rPr>
                <w:fldChar w:fldCharType="begin"/>
              </w:r>
              <w:r>
                <w:rPr>
                  <w:rFonts w:hint="eastAsia" w:ascii="宋体" w:hAnsi="宋体" w:eastAsia="宋体" w:cs="宋体"/>
                  <w:szCs w:val="24"/>
                </w:rPr>
                <w:instrText xml:space="preserve"> HYPERLINK \l _Toc16415 </w:instrText>
              </w:r>
              <w:r>
                <w:rPr>
                  <w:rFonts w:hint="eastAsia" w:ascii="宋体" w:hAnsi="宋体" w:eastAsia="宋体" w:cs="宋体"/>
                  <w:szCs w:val="24"/>
                </w:rPr>
                <w:fldChar w:fldCharType="separate"/>
              </w:r>
              <w:r>
                <w:rPr>
                  <w:rFonts w:hint="eastAsia" w:ascii="宋体" w:hAnsi="宋体" w:eastAsia="宋体" w:cs="宋体"/>
                  <w:szCs w:val="24"/>
                </w:rPr>
                <w:fldChar w:fldCharType="end"/>
              </w:r>
            </w:p>
            <w:p w14:paraId="55F57BCC">
              <w:pPr>
                <w:pStyle w:val="30"/>
                <w:numPr>
                  <w:ilvl w:val="0"/>
                  <w:numId w:val="1"/>
                </w:numPr>
                <w:tabs>
                  <w:tab w:val="right" w:leader="dot" w:pos="9355"/>
                </w:tabs>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采购需求</w:t>
              </w:r>
            </w:p>
            <w:p w14:paraId="3230AFB7">
              <w:pPr>
                <w:pStyle w:val="30"/>
                <w:numPr>
                  <w:ilvl w:val="0"/>
                  <w:numId w:val="1"/>
                </w:numPr>
                <w:tabs>
                  <w:tab w:val="right" w:leader="dot" w:pos="9355"/>
                </w:tabs>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政府采购合同</w:t>
              </w:r>
            </w:p>
            <w:p w14:paraId="7A70AFE7">
              <w:pPr>
                <w:pStyle w:val="30"/>
                <w:numPr>
                  <w:ilvl w:val="0"/>
                  <w:numId w:val="1"/>
                </w:numPr>
                <w:tabs>
                  <w:tab w:val="right" w:leader="dot" w:pos="9355"/>
                </w:tabs>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投标文件的组成</w:t>
              </w:r>
            </w:p>
            <w:p w14:paraId="10DD4194">
              <w:pPr>
                <w:pStyle w:val="23"/>
                <w:tabs>
                  <w:tab w:val="right" w:leader="dot" w:pos="9355"/>
                </w:tabs>
                <w:ind w:left="0" w:leftChars="0" w:firstLine="0" w:firstLineChars="0"/>
              </w:pPr>
            </w:p>
            <w:p w14:paraId="182554F4">
              <w:pPr>
                <w:rPr>
                  <w:rFonts w:hint="eastAsia" w:ascii="宋体" w:hAnsi="宋体" w:eastAsia="宋体" w:cs="宋体"/>
                </w:rPr>
              </w:pPr>
              <w:r>
                <w:rPr>
                  <w:rFonts w:hint="eastAsia" w:ascii="宋体" w:hAnsi="宋体" w:eastAsia="宋体" w:cs="宋体"/>
                  <w:szCs w:val="24"/>
                </w:rPr>
                <w:fldChar w:fldCharType="end"/>
              </w:r>
            </w:p>
          </w:sdtContent>
        </w:sdt>
      </w:sdtContent>
    </w:sdt>
    <w:p w14:paraId="4FEF81A4">
      <w:pPr>
        <w:pStyle w:val="16"/>
        <w:rPr>
          <w:rFonts w:hint="eastAsia" w:ascii="宋体" w:hAnsi="宋体" w:eastAsia="宋体" w:cs="宋体"/>
          <w:lang w:eastAsia="zh-CN"/>
        </w:rPr>
      </w:pPr>
    </w:p>
    <w:p w14:paraId="67AE1FCB">
      <w:pPr>
        <w:rPr>
          <w:rFonts w:hint="eastAsia"/>
          <w:lang w:eastAsia="zh-CN"/>
        </w:rPr>
        <w:sectPr>
          <w:headerReference r:id="rId5" w:type="default"/>
          <w:footerReference r:id="rId6" w:type="default"/>
          <w:pgSz w:w="11906" w:h="16838"/>
          <w:pgMar w:top="1474" w:right="1134" w:bottom="1474" w:left="1417" w:header="567" w:footer="709" w:gutter="0"/>
          <w:pgBorders>
            <w:top w:val="none" w:sz="0" w:space="0"/>
            <w:left w:val="none" w:sz="0" w:space="0"/>
            <w:bottom w:val="none" w:sz="0" w:space="0"/>
            <w:right w:val="none" w:sz="0" w:space="0"/>
          </w:pgBorders>
          <w:pgNumType w:fmt="decimal" w:start="1"/>
          <w:cols w:space="720" w:num="1"/>
          <w:docGrid w:type="lines" w:linePitch="312" w:charSpace="0"/>
        </w:sectPr>
      </w:pPr>
    </w:p>
    <w:p w14:paraId="69B83359">
      <w:pPr>
        <w:pStyle w:val="2"/>
        <w:bidi w:val="0"/>
        <w:rPr>
          <w:rFonts w:hint="eastAsia" w:ascii="宋体" w:hAnsi="宋体" w:eastAsia="宋体" w:cs="宋体"/>
        </w:rPr>
      </w:pPr>
      <w:bookmarkStart w:id="8" w:name="_Toc15641"/>
      <w:bookmarkStart w:id="9" w:name="_Toc16415"/>
      <w:r>
        <w:rPr>
          <w:rFonts w:hint="eastAsia" w:ascii="宋体" w:hAnsi="宋体" w:eastAsia="宋体" w:cs="宋体"/>
        </w:rPr>
        <w:t>第一章 投标邀请</w:t>
      </w:r>
      <w:bookmarkEnd w:id="8"/>
      <w:bookmarkEnd w:id="9"/>
    </w:p>
    <w:p w14:paraId="707E0AEC">
      <w:pPr>
        <w:pBdr>
          <w:top w:val="single" w:color="auto" w:sz="4" w:space="0"/>
          <w:left w:val="single" w:color="auto" w:sz="4" w:space="0"/>
          <w:bottom w:val="single" w:color="auto" w:sz="4" w:space="0"/>
          <w:right w:val="single" w:color="auto" w:sz="4" w:space="0"/>
        </w:pBdr>
        <w:adjustRightInd w:val="0"/>
        <w:spacing w:line="360" w:lineRule="auto"/>
        <w:rPr>
          <w:rFonts w:hint="eastAsia" w:ascii="宋体" w:hAnsi="宋体" w:eastAsia="宋体" w:cs="宋体"/>
          <w:b/>
          <w:color w:val="auto"/>
          <w:kern w:val="0"/>
          <w:sz w:val="24"/>
        </w:rPr>
      </w:pPr>
      <w:r>
        <w:rPr>
          <w:rFonts w:hint="eastAsia" w:ascii="宋体" w:hAnsi="宋体" w:eastAsia="宋体" w:cs="宋体"/>
          <w:b/>
          <w:color w:val="auto"/>
          <w:kern w:val="0"/>
          <w:sz w:val="24"/>
        </w:rPr>
        <w:t>项目概况：</w:t>
      </w:r>
    </w:p>
    <w:p w14:paraId="5D632D88">
      <w:pPr>
        <w:pBdr>
          <w:top w:val="single" w:color="auto" w:sz="4" w:space="0"/>
          <w:left w:val="single" w:color="auto" w:sz="4" w:space="0"/>
          <w:bottom w:val="single" w:color="auto" w:sz="4" w:space="0"/>
          <w:right w:val="single" w:color="auto" w:sz="4" w:space="0"/>
        </w:pBdr>
        <w:adjustRightInd w:val="0"/>
        <w:spacing w:line="360" w:lineRule="auto"/>
        <w:ind w:firstLine="480" w:firstLineChars="200"/>
        <w:rPr>
          <w:rFonts w:hint="eastAsia" w:ascii="宋体" w:hAnsi="宋体" w:eastAsia="宋体" w:cs="宋体"/>
          <w:color w:val="auto"/>
          <w:sz w:val="24"/>
        </w:rPr>
      </w:pPr>
      <w:r>
        <w:rPr>
          <w:rFonts w:hint="eastAsia" w:ascii="宋体" w:hAnsi="宋体" w:cs="宋体"/>
          <w:color w:val="auto"/>
          <w:sz w:val="24"/>
          <w:u w:val="single"/>
          <w:lang w:val="en-US" w:eastAsia="zh-CN"/>
        </w:rPr>
        <w:t>吉首市第一中学学生宿舍楼建设项目-床、桌椅及柜子采购（第二次）</w:t>
      </w:r>
      <w:r>
        <w:rPr>
          <w:rFonts w:hint="eastAsia" w:ascii="宋体" w:hAnsi="宋体" w:eastAsia="宋体" w:cs="宋体"/>
          <w:color w:val="auto"/>
          <w:sz w:val="24"/>
        </w:rPr>
        <w:t>潜在</w:t>
      </w:r>
      <w:r>
        <w:rPr>
          <w:rFonts w:hint="eastAsia" w:ascii="宋体" w:hAnsi="宋体" w:eastAsia="宋体" w:cs="宋体"/>
          <w:color w:val="auto"/>
          <w:sz w:val="24"/>
          <w:lang w:eastAsia="zh-CN"/>
        </w:rPr>
        <w:t>供应商</w:t>
      </w:r>
      <w:r>
        <w:rPr>
          <w:rFonts w:hint="eastAsia" w:ascii="宋体" w:hAnsi="宋体" w:eastAsia="宋体" w:cs="宋体"/>
          <w:color w:val="auto"/>
          <w:sz w:val="24"/>
        </w:rPr>
        <w:t>应在《湘西公共资源交易网》（</w:t>
      </w:r>
      <w:r>
        <w:rPr>
          <w:rFonts w:hint="eastAsia" w:ascii="宋体" w:hAnsi="宋体" w:cs="宋体"/>
          <w:color w:val="auto"/>
          <w:sz w:val="24"/>
          <w:lang w:eastAsia="zh-CN"/>
        </w:rPr>
        <w:t>http://xxzggzyjy.cn/</w:t>
      </w:r>
      <w:r>
        <w:rPr>
          <w:rFonts w:hint="eastAsia" w:ascii="宋体" w:hAnsi="宋体" w:eastAsia="宋体" w:cs="宋体"/>
          <w:color w:val="auto"/>
          <w:sz w:val="24"/>
        </w:rPr>
        <w:t>）获取电子招标文件，</w:t>
      </w:r>
      <w:r>
        <w:rPr>
          <w:rFonts w:hint="eastAsia" w:ascii="宋体" w:hAnsi="宋体" w:cs="宋体"/>
          <w:b w:val="0"/>
          <w:bCs w:val="0"/>
          <w:color w:val="auto"/>
          <w:sz w:val="24"/>
          <w:u w:val="single"/>
          <w:lang w:val="en-US" w:eastAsia="zh-CN"/>
        </w:rPr>
        <w:t xml:space="preserve">  2026  </w:t>
      </w:r>
      <w:r>
        <w:rPr>
          <w:rFonts w:hint="eastAsia" w:ascii="宋体" w:hAnsi="宋体" w:eastAsia="宋体" w:cs="宋体"/>
          <w:b w:val="0"/>
          <w:bCs w:val="0"/>
          <w:color w:val="auto"/>
          <w:kern w:val="0"/>
          <w:sz w:val="24"/>
          <w:u w:val="none"/>
          <w:lang w:eastAsia="zh-CN"/>
        </w:rPr>
        <w:t>年</w:t>
      </w:r>
      <w:r>
        <w:rPr>
          <w:rFonts w:hint="eastAsia" w:ascii="宋体" w:hAnsi="宋体" w:cs="宋体"/>
          <w:b w:val="0"/>
          <w:bCs w:val="0"/>
          <w:color w:val="auto"/>
          <w:kern w:val="0"/>
          <w:sz w:val="24"/>
          <w:u w:val="single"/>
          <w:lang w:val="en-US" w:eastAsia="zh-CN"/>
        </w:rPr>
        <w:t xml:space="preserve"> 9 </w:t>
      </w:r>
      <w:r>
        <w:rPr>
          <w:rFonts w:hint="eastAsia" w:ascii="宋体" w:hAnsi="宋体" w:eastAsia="宋体" w:cs="宋体"/>
          <w:b w:val="0"/>
          <w:bCs w:val="0"/>
          <w:color w:val="auto"/>
          <w:kern w:val="0"/>
          <w:sz w:val="24"/>
          <w:u w:val="none"/>
          <w:lang w:eastAsia="zh-CN"/>
        </w:rPr>
        <w:t>月</w:t>
      </w:r>
      <w:r>
        <w:rPr>
          <w:rFonts w:hint="eastAsia" w:ascii="宋体" w:hAnsi="宋体" w:cs="宋体"/>
          <w:b w:val="0"/>
          <w:bCs w:val="0"/>
          <w:color w:val="auto"/>
          <w:kern w:val="0"/>
          <w:sz w:val="24"/>
          <w:u w:val="single"/>
          <w:lang w:val="en-US" w:eastAsia="zh-CN"/>
        </w:rPr>
        <w:t xml:space="preserve"> 2 </w:t>
      </w:r>
      <w:r>
        <w:rPr>
          <w:rFonts w:hint="eastAsia" w:ascii="宋体" w:hAnsi="宋体" w:eastAsia="宋体" w:cs="宋体"/>
          <w:b w:val="0"/>
          <w:bCs w:val="0"/>
          <w:color w:val="auto"/>
          <w:kern w:val="0"/>
          <w:sz w:val="24"/>
          <w:u w:val="none"/>
          <w:lang w:eastAsia="zh-CN"/>
        </w:rPr>
        <w:t>日</w:t>
      </w:r>
      <w:r>
        <w:rPr>
          <w:rFonts w:hint="eastAsia" w:ascii="宋体" w:hAnsi="宋体" w:cs="宋体"/>
          <w:b w:val="0"/>
          <w:bCs w:val="0"/>
          <w:color w:val="auto"/>
          <w:kern w:val="0"/>
          <w:sz w:val="24"/>
          <w:u w:val="single"/>
          <w:lang w:val="en-US" w:eastAsia="zh-CN"/>
        </w:rPr>
        <w:t xml:space="preserve"> 9 </w:t>
      </w:r>
      <w:r>
        <w:rPr>
          <w:rFonts w:hint="eastAsia" w:ascii="宋体" w:hAnsi="宋体" w:eastAsia="宋体" w:cs="宋体"/>
          <w:b w:val="0"/>
          <w:bCs w:val="0"/>
          <w:color w:val="auto"/>
          <w:kern w:val="0"/>
          <w:sz w:val="24"/>
          <w:u w:val="none"/>
        </w:rPr>
        <w:t>时</w:t>
      </w:r>
      <w:r>
        <w:rPr>
          <w:rFonts w:hint="eastAsia" w:ascii="宋体" w:hAnsi="宋体" w:cs="宋体"/>
          <w:b w:val="0"/>
          <w:bCs w:val="0"/>
          <w:color w:val="auto"/>
          <w:kern w:val="0"/>
          <w:sz w:val="24"/>
          <w:u w:val="single"/>
          <w:lang w:val="en-US" w:eastAsia="zh-CN"/>
        </w:rPr>
        <w:t xml:space="preserve"> 00 </w:t>
      </w:r>
      <w:r>
        <w:rPr>
          <w:rFonts w:hint="eastAsia" w:ascii="宋体" w:hAnsi="宋体" w:eastAsia="宋体" w:cs="宋体"/>
          <w:b w:val="0"/>
          <w:bCs w:val="0"/>
          <w:color w:val="auto"/>
          <w:kern w:val="0"/>
          <w:sz w:val="24"/>
          <w:u w:val="none"/>
        </w:rPr>
        <w:t>分</w:t>
      </w:r>
      <w:r>
        <w:rPr>
          <w:rFonts w:hint="eastAsia" w:ascii="宋体" w:hAnsi="宋体" w:eastAsia="宋体" w:cs="宋体"/>
          <w:color w:val="auto"/>
          <w:sz w:val="24"/>
        </w:rPr>
        <w:t>（北京时间）前登录湘西州公共资源交易网上传电子投标文件。</w:t>
      </w:r>
    </w:p>
    <w:p w14:paraId="702DD37C">
      <w:pPr>
        <w:adjustRightInd w:val="0"/>
        <w:snapToGrid w:val="0"/>
        <w:spacing w:line="360" w:lineRule="auto"/>
        <w:ind w:firstLine="480" w:firstLineChars="200"/>
        <w:rPr>
          <w:rFonts w:hint="eastAsia" w:ascii="宋体" w:hAnsi="宋体" w:eastAsia="宋体" w:cs="宋体"/>
          <w:color w:val="auto"/>
          <w:sz w:val="24"/>
          <w:szCs w:val="24"/>
          <w:u w:val="single"/>
          <w:lang w:eastAsia="zh-CN"/>
        </w:rPr>
      </w:pPr>
    </w:p>
    <w:p w14:paraId="191BBD78">
      <w:pPr>
        <w:adjustRightInd w:val="0"/>
        <w:snapToGrid w:val="0"/>
        <w:spacing w:line="360" w:lineRule="auto"/>
        <w:ind w:firstLine="480" w:firstLineChars="200"/>
        <w:rPr>
          <w:rFonts w:hint="eastAsia" w:ascii="宋体" w:hAnsi="宋体" w:eastAsia="宋体" w:cs="宋体"/>
          <w:b/>
          <w:color w:val="auto"/>
          <w:kern w:val="0"/>
          <w:sz w:val="24"/>
        </w:rPr>
      </w:pPr>
      <w:r>
        <w:rPr>
          <w:rFonts w:hint="eastAsia" w:ascii="宋体" w:hAnsi="宋体" w:cs="宋体"/>
          <w:color w:val="auto"/>
          <w:sz w:val="24"/>
          <w:u w:val="single"/>
          <w:lang w:val="en-US" w:eastAsia="zh-CN"/>
        </w:rPr>
        <w:t>吉首市第一中学</w:t>
      </w:r>
      <w:r>
        <w:rPr>
          <w:rFonts w:hint="eastAsia" w:ascii="宋体" w:hAnsi="宋体" w:eastAsia="宋体" w:cs="宋体"/>
          <w:color w:val="auto"/>
          <w:sz w:val="24"/>
          <w:szCs w:val="24"/>
        </w:rPr>
        <w:t>（采购人名称）的</w:t>
      </w:r>
      <w:r>
        <w:rPr>
          <w:rFonts w:hint="eastAsia" w:ascii="宋体" w:hAnsi="宋体" w:cs="宋体"/>
          <w:color w:val="auto"/>
          <w:sz w:val="24"/>
          <w:u w:val="single"/>
          <w:lang w:val="en-US" w:eastAsia="zh-CN"/>
        </w:rPr>
        <w:t>吉首市第一中学学生宿舍楼建设项目-床、桌椅及柜子采购（第二次）</w:t>
      </w:r>
      <w:r>
        <w:rPr>
          <w:rFonts w:hint="eastAsia" w:ascii="宋体" w:hAnsi="宋体" w:eastAsia="宋体" w:cs="宋体"/>
          <w:color w:val="auto"/>
          <w:sz w:val="24"/>
          <w:szCs w:val="24"/>
        </w:rPr>
        <w:t>进行公开招标采购，现邀请合格投标人参加投标。</w:t>
      </w:r>
    </w:p>
    <w:p w14:paraId="7F4F627F">
      <w:pPr>
        <w:adjustRightInd w:val="0"/>
        <w:spacing w:line="360" w:lineRule="auto"/>
        <w:rPr>
          <w:rFonts w:hint="eastAsia" w:ascii="宋体" w:hAnsi="宋体" w:eastAsia="宋体" w:cs="宋体"/>
          <w:color w:val="auto"/>
        </w:rPr>
      </w:pPr>
      <w:r>
        <w:rPr>
          <w:rFonts w:hint="eastAsia" w:ascii="宋体" w:hAnsi="宋体" w:eastAsia="宋体" w:cs="宋体"/>
          <w:b/>
          <w:color w:val="auto"/>
          <w:kern w:val="0"/>
          <w:sz w:val="24"/>
        </w:rPr>
        <w:t>一、</w:t>
      </w:r>
      <w:r>
        <w:rPr>
          <w:rFonts w:hint="eastAsia" w:ascii="宋体" w:hAnsi="宋体" w:eastAsia="宋体" w:cs="宋体"/>
          <w:b/>
          <w:color w:val="auto"/>
          <w:sz w:val="24"/>
          <w:szCs w:val="24"/>
        </w:rPr>
        <w:t>采购项目基本信息</w:t>
      </w:r>
      <w:r>
        <w:rPr>
          <w:rFonts w:hint="eastAsia" w:ascii="宋体" w:hAnsi="宋体" w:eastAsia="宋体" w:cs="宋体"/>
          <w:b/>
          <w:color w:val="auto"/>
          <w:kern w:val="0"/>
          <w:sz w:val="24"/>
        </w:rPr>
        <w:t>：</w:t>
      </w:r>
    </w:p>
    <w:p w14:paraId="1D5ED97C">
      <w:pPr>
        <w:adjustRightInd w:val="0"/>
        <w:snapToGrid w:val="0"/>
        <w:spacing w:line="360" w:lineRule="auto"/>
        <w:ind w:firstLine="480" w:firstLineChars="200"/>
        <w:rPr>
          <w:rFonts w:hint="eastAsia" w:ascii="宋体" w:hAnsi="宋体" w:cs="宋体"/>
          <w:color w:val="auto"/>
          <w:kern w:val="0"/>
          <w:sz w:val="24"/>
          <w:lang w:val="en-US" w:eastAsia="zh-CN"/>
        </w:rPr>
      </w:pPr>
      <w:r>
        <w:rPr>
          <w:rFonts w:hint="eastAsia" w:ascii="宋体" w:hAnsi="宋体" w:eastAsia="宋体" w:cs="宋体"/>
          <w:color w:val="auto"/>
          <w:sz w:val="24"/>
        </w:rPr>
        <w:t>1</w:t>
      </w:r>
      <w:r>
        <w:rPr>
          <w:rFonts w:hint="eastAsia" w:ascii="宋体" w:hAnsi="宋体" w:cs="宋体"/>
          <w:color w:val="auto"/>
          <w:sz w:val="24"/>
          <w:lang w:eastAsia="zh-CN"/>
        </w:rPr>
        <w:t>、</w:t>
      </w:r>
      <w:r>
        <w:rPr>
          <w:rFonts w:hint="eastAsia" w:ascii="宋体" w:hAnsi="宋体" w:eastAsia="宋体" w:cs="宋体"/>
          <w:color w:val="auto"/>
          <w:sz w:val="24"/>
        </w:rPr>
        <w:t>采</w:t>
      </w:r>
      <w:r>
        <w:rPr>
          <w:rFonts w:hint="eastAsia" w:ascii="宋体" w:hAnsi="宋体" w:cs="宋体"/>
          <w:color w:val="auto"/>
          <w:kern w:val="0"/>
          <w:sz w:val="24"/>
          <w:lang w:val="en-US" w:eastAsia="zh-CN"/>
        </w:rPr>
        <w:t>购项目名称：吉首市第一中学学生宿舍楼建设项目-床、桌椅及柜子采购（第二次）</w:t>
      </w:r>
    </w:p>
    <w:p w14:paraId="307BB41F">
      <w:pPr>
        <w:adjustRightInd w:val="0"/>
        <w:snapToGrid w:val="0"/>
        <w:spacing w:line="360" w:lineRule="auto"/>
        <w:ind w:firstLine="480" w:firstLineChars="200"/>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2、政府采购编号：XXZCJC[2026]0049</w:t>
      </w:r>
    </w:p>
    <w:p w14:paraId="5B770DCD">
      <w:pPr>
        <w:adjustRightInd w:val="0"/>
        <w:snapToGrid w:val="0"/>
        <w:spacing w:line="360" w:lineRule="auto"/>
        <w:ind w:firstLine="480" w:firstLineChars="200"/>
        <w:rPr>
          <w:rFonts w:hint="default" w:ascii="宋体" w:hAnsi="宋体" w:eastAsia="宋体" w:cs="宋体"/>
          <w:color w:val="auto"/>
          <w:kern w:val="0"/>
          <w:sz w:val="24"/>
          <w:lang w:val="en-US" w:eastAsia="zh-CN"/>
        </w:rPr>
      </w:pPr>
      <w:r>
        <w:rPr>
          <w:rFonts w:hint="eastAsia" w:ascii="宋体" w:hAnsi="宋体" w:cs="宋体"/>
          <w:color w:val="auto"/>
          <w:kern w:val="0"/>
          <w:sz w:val="24"/>
          <w:lang w:val="en-US" w:eastAsia="zh-CN"/>
        </w:rPr>
        <w:t>3、采购计划编号：(2026)433101000002-1</w:t>
      </w:r>
    </w:p>
    <w:p w14:paraId="7C3F6764">
      <w:pPr>
        <w:adjustRightInd w:val="0"/>
        <w:snapToGrid w:val="0"/>
        <w:spacing w:line="360" w:lineRule="auto"/>
        <w:ind w:firstLine="480" w:firstLineChars="200"/>
        <w:rPr>
          <w:rFonts w:hint="default" w:ascii="宋体" w:hAnsi="宋体" w:eastAsia="宋体" w:cs="宋体"/>
          <w:color w:val="auto"/>
          <w:sz w:val="24"/>
          <w:szCs w:val="24"/>
          <w:highlight w:val="none"/>
          <w:u w:val="singl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rPr>
        <w:t>采购项目预算：</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u w:val="single"/>
          <w:lang w:val="en-US" w:eastAsia="zh-CN"/>
        </w:rPr>
        <w:t>209.799</w:t>
      </w:r>
      <w:r>
        <w:rPr>
          <w:rFonts w:hint="eastAsia" w:ascii="宋体" w:hAnsi="宋体" w:cs="宋体"/>
          <w:color w:val="auto"/>
          <w:sz w:val="24"/>
          <w:szCs w:val="24"/>
          <w:u w:val="single"/>
          <w:lang w:val="en-US" w:eastAsia="zh-CN"/>
        </w:rPr>
        <w:t>万元</w:t>
      </w:r>
    </w:p>
    <w:p w14:paraId="497F6F00">
      <w:pPr>
        <w:adjustRightInd w:val="0"/>
        <w:snapToGrid w:val="0"/>
        <w:spacing w:line="360" w:lineRule="auto"/>
        <w:ind w:firstLine="720" w:firstLineChars="300"/>
        <w:rPr>
          <w:rFonts w:hint="eastAsia" w:ascii="宋体" w:hAnsi="宋体" w:eastAsia="宋体" w:cs="宋体"/>
          <w:bCs/>
          <w:color w:val="auto"/>
          <w:sz w:val="24"/>
          <w:szCs w:val="24"/>
          <w:u w:val="single"/>
          <w:lang w:val="en-US" w:eastAsia="zh-CN"/>
        </w:rPr>
      </w:pPr>
      <w:r>
        <w:rPr>
          <w:rFonts w:hint="eastAsia" w:ascii="宋体" w:hAnsi="宋体" w:eastAsia="宋体" w:cs="宋体"/>
          <w:b w:val="0"/>
          <w:bCs w:val="0"/>
          <w:iCs/>
          <w:color w:val="auto"/>
          <w:sz w:val="24"/>
          <w:szCs w:val="24"/>
        </w:rPr>
        <w:sym w:font="Wingdings" w:char="00A8"/>
      </w:r>
      <w:r>
        <w:rPr>
          <w:rFonts w:hint="eastAsia" w:ascii="宋体" w:hAnsi="宋体" w:eastAsia="宋体" w:cs="宋体"/>
          <w:iCs/>
          <w:color w:val="auto"/>
          <w:sz w:val="24"/>
          <w:szCs w:val="24"/>
        </w:rPr>
        <w:t>支持</w:t>
      </w:r>
      <w:r>
        <w:rPr>
          <w:rFonts w:hint="eastAsia" w:ascii="宋体" w:hAnsi="宋体" w:eastAsia="宋体" w:cs="宋体"/>
          <w:bCs/>
          <w:color w:val="auto"/>
          <w:sz w:val="24"/>
          <w:szCs w:val="24"/>
        </w:rPr>
        <w:t>预付款，预付比例：</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en-US" w:eastAsia="zh-CN"/>
        </w:rPr>
        <w:t xml:space="preserve">  </w:t>
      </w:r>
      <w:r>
        <w:rPr>
          <w:rFonts w:hint="eastAsia" w:ascii="宋体" w:hAnsi="宋体" w:cs="宋体"/>
          <w:b/>
          <w:bCs w:val="0"/>
          <w:color w:val="auto"/>
          <w:sz w:val="24"/>
          <w:szCs w:val="24"/>
          <w:u w:val="single"/>
          <w:lang w:val="en-US" w:eastAsia="zh-CN"/>
        </w:rPr>
        <w:t>/</w:t>
      </w:r>
      <w:r>
        <w:rPr>
          <w:rFonts w:hint="eastAsia" w:ascii="宋体" w:hAnsi="宋体" w:eastAsia="宋体" w:cs="宋体"/>
          <w:bCs/>
          <w:color w:val="auto"/>
          <w:sz w:val="24"/>
          <w:szCs w:val="24"/>
          <w:u w:val="single"/>
          <w:lang w:val="en-US" w:eastAsia="zh-CN"/>
        </w:rPr>
        <w:t xml:space="preserve">      </w:t>
      </w:r>
    </w:p>
    <w:p w14:paraId="11A0A3B1">
      <w:pPr>
        <w:adjustRightInd w:val="0"/>
        <w:snapToGrid w:val="0"/>
        <w:spacing w:line="360" w:lineRule="auto"/>
        <w:ind w:firstLine="480" w:firstLineChars="200"/>
        <w:rPr>
          <w:rFonts w:hint="eastAsia" w:ascii="宋体" w:hAnsi="宋体" w:eastAsia="宋体" w:cs="宋体"/>
          <w:color w:val="auto"/>
          <w:sz w:val="24"/>
          <w:szCs w:val="24"/>
          <w:u w:val="single"/>
        </w:rPr>
      </w:pPr>
      <w:r>
        <w:rPr>
          <w:rFonts w:hint="eastAsia" w:ascii="宋体" w:hAnsi="宋体" w:eastAsia="宋体" w:cs="宋体"/>
          <w:bCs/>
          <w:color w:val="auto"/>
          <w:sz w:val="24"/>
          <w:szCs w:val="24"/>
        </w:rPr>
        <w:t>5、本项目</w:t>
      </w:r>
      <w:r>
        <w:rPr>
          <w:rFonts w:hint="eastAsia" w:ascii="宋体" w:hAnsi="宋体" w:eastAsia="宋体" w:cs="宋体"/>
          <w:color w:val="auto"/>
          <w:sz w:val="24"/>
          <w:szCs w:val="24"/>
        </w:rPr>
        <w:t>对应的中小企业划分标准所属行业：</w:t>
      </w:r>
      <w:r>
        <w:rPr>
          <w:rFonts w:hint="eastAsia" w:ascii="宋体" w:hAnsi="宋体" w:eastAsia="宋体" w:cs="宋体"/>
          <w:color w:val="auto"/>
          <w:sz w:val="24"/>
          <w:szCs w:val="24"/>
          <w:u w:val="single"/>
        </w:rPr>
        <w:t xml:space="preserve"> </w:t>
      </w:r>
      <w:r>
        <w:rPr>
          <w:rFonts w:hint="eastAsia" w:ascii="宋体" w:hAnsi="宋体" w:cs="宋体"/>
          <w:color w:val="0000FF"/>
          <w:sz w:val="24"/>
          <w:szCs w:val="24"/>
          <w:u w:val="single"/>
          <w:lang w:val="en-US" w:eastAsia="zh-CN"/>
        </w:rPr>
        <w:t>工业</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p>
    <w:p w14:paraId="602A3B32">
      <w:pPr>
        <w:adjustRightInd w:val="0"/>
        <w:snapToGrid w:val="0"/>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6、评标方法：</w:t>
      </w:r>
      <w:r>
        <w:rPr>
          <w:rFonts w:hint="eastAsia" w:ascii="宋体" w:hAnsi="宋体" w:eastAsia="宋体" w:cs="宋体"/>
          <w:iCs/>
          <w:color w:val="auto"/>
          <w:sz w:val="24"/>
          <w:szCs w:val="24"/>
        </w:rPr>
        <w:sym w:font="Wingdings" w:char="00FE"/>
      </w:r>
      <w:r>
        <w:rPr>
          <w:rFonts w:hint="eastAsia" w:ascii="宋体" w:hAnsi="宋体" w:eastAsia="宋体" w:cs="宋体"/>
          <w:iCs/>
          <w:color w:val="auto"/>
          <w:sz w:val="24"/>
          <w:szCs w:val="24"/>
        </w:rPr>
        <w:t>综合评分法</w:t>
      </w:r>
      <w:r>
        <w:rPr>
          <w:rFonts w:hint="eastAsia" w:ascii="宋体" w:hAnsi="宋体" w:cs="宋体"/>
          <w:iCs/>
          <w:color w:val="auto"/>
          <w:sz w:val="24"/>
          <w:szCs w:val="24"/>
          <w:lang w:val="en-US" w:eastAsia="zh-CN"/>
        </w:rPr>
        <w:t xml:space="preserve">    </w:t>
      </w:r>
      <w:r>
        <w:rPr>
          <w:rFonts w:hint="eastAsia" w:ascii="宋体" w:hAnsi="宋体" w:eastAsia="宋体" w:cs="宋体"/>
          <w:iCs/>
          <w:color w:val="auto"/>
          <w:sz w:val="24"/>
          <w:szCs w:val="24"/>
        </w:rPr>
        <w:t xml:space="preserve">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最低评标价法</w:t>
      </w:r>
    </w:p>
    <w:p w14:paraId="699AE831">
      <w:pPr>
        <w:adjustRightInd w:val="0"/>
        <w:snapToGrid w:val="0"/>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7、合同定价方式：</w:t>
      </w:r>
      <w:r>
        <w:rPr>
          <w:rFonts w:hint="eastAsia" w:ascii="宋体" w:hAnsi="宋体" w:eastAsia="宋体" w:cs="宋体"/>
          <w:iCs/>
          <w:color w:val="auto"/>
          <w:sz w:val="24"/>
          <w:szCs w:val="24"/>
        </w:rPr>
        <w:sym w:font="Wingdings" w:char="00FE"/>
      </w:r>
      <w:r>
        <w:rPr>
          <w:rFonts w:hint="eastAsia" w:ascii="宋体" w:hAnsi="宋体" w:eastAsia="宋体" w:cs="宋体"/>
          <w:iCs/>
          <w:color w:val="auto"/>
          <w:sz w:val="24"/>
          <w:szCs w:val="24"/>
        </w:rPr>
        <w:t>固定总价</w:t>
      </w:r>
      <w:r>
        <w:rPr>
          <w:rFonts w:hint="eastAsia" w:ascii="宋体" w:hAnsi="宋体" w:cs="宋体"/>
          <w:iCs/>
          <w:color w:val="auto"/>
          <w:sz w:val="24"/>
          <w:szCs w:val="24"/>
          <w:lang w:val="en-US" w:eastAsia="zh-CN"/>
        </w:rPr>
        <w:t xml:space="preserve"> </w:t>
      </w:r>
      <w:r>
        <w:rPr>
          <w:rFonts w:hint="eastAsia" w:ascii="宋体" w:hAnsi="宋体" w:eastAsia="宋体" w:cs="宋体"/>
          <w:iCs/>
          <w:color w:val="auto"/>
          <w:sz w:val="24"/>
          <w:szCs w:val="24"/>
        </w:rPr>
        <w:t xml:space="preserve">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固定单价</w:t>
      </w:r>
      <w:r>
        <w:rPr>
          <w:rFonts w:hint="eastAsia" w:ascii="宋体" w:hAnsi="宋体" w:cs="宋体"/>
          <w:iCs/>
          <w:color w:val="auto"/>
          <w:sz w:val="24"/>
          <w:szCs w:val="24"/>
          <w:lang w:val="en-US" w:eastAsia="zh-CN"/>
        </w:rPr>
        <w:t xml:space="preserve"> </w:t>
      </w:r>
      <w:r>
        <w:rPr>
          <w:rFonts w:hint="eastAsia" w:ascii="宋体" w:hAnsi="宋体" w:eastAsia="宋体" w:cs="宋体"/>
          <w:iCs/>
          <w:color w:val="auto"/>
          <w:sz w:val="24"/>
          <w:szCs w:val="24"/>
        </w:rPr>
        <w:t xml:space="preserve">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成本补偿</w:t>
      </w:r>
      <w:r>
        <w:rPr>
          <w:rFonts w:hint="eastAsia" w:ascii="宋体" w:hAnsi="宋体" w:cs="宋体"/>
          <w:iCs/>
          <w:color w:val="auto"/>
          <w:sz w:val="24"/>
          <w:szCs w:val="24"/>
          <w:lang w:val="en-US" w:eastAsia="zh-CN"/>
        </w:rPr>
        <w:t xml:space="preserve"> </w:t>
      </w:r>
      <w:r>
        <w:rPr>
          <w:rFonts w:hint="eastAsia" w:ascii="宋体" w:hAnsi="宋体" w:eastAsia="宋体" w:cs="宋体"/>
          <w:iCs/>
          <w:color w:val="auto"/>
          <w:sz w:val="24"/>
          <w:szCs w:val="24"/>
        </w:rPr>
        <w:t xml:space="preserve">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绩效激励</w:t>
      </w:r>
    </w:p>
    <w:p w14:paraId="78034CD9">
      <w:pPr>
        <w:adjustRightInd w:val="0"/>
        <w:spacing w:line="360" w:lineRule="auto"/>
        <w:ind w:firstLine="480" w:firstLineChars="200"/>
        <w:rPr>
          <w:rFonts w:hint="default" w:ascii="宋体" w:hAnsi="宋体" w:eastAsia="宋体" w:cs="宋体"/>
          <w:color w:val="auto"/>
          <w:sz w:val="24"/>
          <w:lang w:val="en-US" w:eastAsia="zh-CN"/>
        </w:rPr>
      </w:pPr>
      <w:r>
        <w:rPr>
          <w:rFonts w:hint="eastAsia" w:ascii="宋体" w:hAnsi="宋体" w:eastAsia="宋体" w:cs="宋体"/>
          <w:color w:val="auto"/>
          <w:sz w:val="24"/>
        </w:rPr>
        <w:t>8、</w:t>
      </w:r>
      <w:r>
        <w:rPr>
          <w:rFonts w:hint="eastAsia" w:ascii="宋体" w:hAnsi="宋体" w:eastAsia="宋体" w:cs="宋体"/>
          <w:color w:val="auto"/>
          <w:sz w:val="24"/>
          <w:lang w:val="en-US" w:eastAsia="zh-CN"/>
        </w:rPr>
        <w:t>服务</w:t>
      </w:r>
      <w:r>
        <w:rPr>
          <w:rFonts w:hint="eastAsia" w:ascii="宋体" w:hAnsi="宋体" w:eastAsia="宋体" w:cs="宋体"/>
          <w:color w:val="auto"/>
          <w:sz w:val="24"/>
        </w:rPr>
        <w:t>期限：</w:t>
      </w:r>
      <w:r>
        <w:rPr>
          <w:rFonts w:hint="eastAsia" w:ascii="宋体" w:hAnsi="宋体" w:cs="宋体"/>
          <w:color w:val="auto"/>
          <w:sz w:val="24"/>
          <w:u w:val="single"/>
          <w:lang w:val="en-US" w:eastAsia="zh-CN"/>
        </w:rPr>
        <w:t xml:space="preserve"> </w:t>
      </w:r>
      <w:r>
        <w:rPr>
          <w:rFonts w:hint="eastAsia" w:ascii="宋体" w:hAnsi="宋体" w:eastAsia="宋体" w:cs="宋体"/>
          <w:bCs/>
          <w:color w:val="auto"/>
          <w:sz w:val="24"/>
          <w:szCs w:val="24"/>
          <w:u w:val="single"/>
          <w:lang w:val="en-US" w:eastAsia="zh-CN"/>
        </w:rPr>
        <w:t xml:space="preserve"> </w:t>
      </w:r>
      <w:r>
        <w:rPr>
          <w:rFonts w:hint="eastAsia" w:ascii="宋体" w:hAnsi="宋体" w:cs="宋体"/>
          <w:b/>
          <w:bCs w:val="0"/>
          <w:color w:val="auto"/>
          <w:sz w:val="24"/>
          <w:szCs w:val="24"/>
          <w:u w:val="single"/>
          <w:lang w:val="en-US" w:eastAsia="zh-CN"/>
        </w:rPr>
        <w:t>/</w:t>
      </w:r>
      <w:r>
        <w:rPr>
          <w:rFonts w:hint="eastAsia" w:ascii="宋体" w:hAnsi="宋体" w:eastAsia="宋体" w:cs="宋体"/>
          <w:bCs/>
          <w:color w:val="auto"/>
          <w:sz w:val="24"/>
          <w:szCs w:val="24"/>
          <w:u w:val="single"/>
          <w:lang w:val="en-US" w:eastAsia="zh-CN"/>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lang w:val="en-US" w:eastAsia="zh-CN"/>
        </w:rPr>
        <w:t>。</w:t>
      </w:r>
    </w:p>
    <w:p w14:paraId="3FEA5E4A">
      <w:pPr>
        <w:pStyle w:val="62"/>
        <w:rPr>
          <w:rFonts w:hint="eastAsia" w:ascii="宋体" w:hAnsi="宋体" w:eastAsia="宋体" w:cs="宋体"/>
          <w:color w:val="auto"/>
          <w:sz w:val="24"/>
          <w:szCs w:val="24"/>
        </w:rPr>
      </w:pPr>
      <w:r>
        <w:rPr>
          <w:rFonts w:hint="eastAsia" w:ascii="宋体" w:hAnsi="宋体" w:eastAsia="宋体" w:cs="宋体"/>
          <w:bCs/>
          <w:color w:val="auto"/>
          <w:kern w:val="2"/>
          <w:sz w:val="24"/>
          <w:szCs w:val="24"/>
          <w:lang w:val="en-US" w:eastAsia="zh-CN" w:bidi="ar-SA"/>
        </w:rPr>
        <w:t>9、</w:t>
      </w:r>
      <w:r>
        <w:rPr>
          <w:rFonts w:hint="eastAsia" w:ascii="宋体" w:hAnsi="宋体" w:eastAsia="宋体" w:cs="宋体"/>
          <w:color w:val="auto"/>
          <w:sz w:val="24"/>
          <w:szCs w:val="24"/>
        </w:rPr>
        <w:t>本项目分阶段要求投标人提供以下保证：</w:t>
      </w:r>
    </w:p>
    <w:p w14:paraId="5922A317">
      <w:pPr>
        <w:pStyle w:val="62"/>
        <w:spacing w:line="360" w:lineRule="auto"/>
        <w:rPr>
          <w:rFonts w:hint="eastAsia" w:ascii="宋体" w:hAnsi="宋体" w:eastAsia="宋体" w:cs="宋体"/>
          <w:iCs/>
          <w:color w:val="auto"/>
          <w:sz w:val="24"/>
          <w:szCs w:val="24"/>
          <w:lang w:eastAsia="zh-CN"/>
        </w:rPr>
      </w:pPr>
      <w:r>
        <w:rPr>
          <w:rFonts w:hint="eastAsia" w:ascii="宋体" w:hAnsi="宋体" w:eastAsia="宋体" w:cs="宋体"/>
          <w:iCs/>
          <w:color w:val="auto"/>
          <w:sz w:val="24"/>
          <w:szCs w:val="24"/>
        </w:rPr>
        <w:sym w:font="Wingdings" w:char="00A8"/>
      </w:r>
      <w:r>
        <w:rPr>
          <w:rFonts w:hint="eastAsia" w:ascii="宋体" w:hAnsi="宋体" w:eastAsia="宋体" w:cs="宋体"/>
          <w:color w:val="auto"/>
          <w:sz w:val="24"/>
          <w:szCs w:val="24"/>
        </w:rPr>
        <w:t>投标保证金</w:t>
      </w:r>
      <w:r>
        <w:rPr>
          <w:rFonts w:hint="eastAsia" w:ascii="宋体" w:hAnsi="宋体" w:eastAsia="宋体" w:cs="宋体"/>
          <w:color w:val="auto"/>
          <w:sz w:val="24"/>
          <w:szCs w:val="24"/>
          <w:lang w:eastAsia="zh-CN"/>
        </w:rPr>
        <w:t>：</w:t>
      </w:r>
      <w:r>
        <w:rPr>
          <w:rFonts w:hint="eastAsia" w:ascii="宋体" w:hAnsi="宋体" w:eastAsia="宋体" w:cs="宋体"/>
          <w:iCs/>
          <w:color w:val="auto"/>
          <w:sz w:val="24"/>
          <w:szCs w:val="24"/>
        </w:rPr>
        <w:t>采购项目预算的</w:t>
      </w:r>
      <w:r>
        <w:rPr>
          <w:rFonts w:hint="eastAsia" w:ascii="宋体" w:hAnsi="宋体" w:eastAsia="宋体" w:cs="宋体"/>
          <w:iCs/>
          <w:color w:val="auto"/>
          <w:sz w:val="24"/>
          <w:szCs w:val="24"/>
          <w:u w:val="single"/>
          <w:lang w:val="en-US" w:eastAsia="zh-CN"/>
        </w:rPr>
        <w:t xml:space="preserve">  </w:t>
      </w:r>
      <w:r>
        <w:rPr>
          <w:rFonts w:hint="eastAsia" w:ascii="宋体" w:hAnsi="宋体" w:eastAsia="宋体" w:cs="宋体"/>
          <w:bCs/>
          <w:color w:val="auto"/>
          <w:sz w:val="24"/>
          <w:szCs w:val="24"/>
          <w:u w:val="single"/>
          <w:lang w:val="en-US" w:eastAsia="zh-CN"/>
        </w:rPr>
        <w:t xml:space="preserve"> </w:t>
      </w:r>
      <w:r>
        <w:rPr>
          <w:rFonts w:hint="eastAsia" w:ascii="宋体" w:hAnsi="宋体" w:cs="宋体"/>
          <w:b/>
          <w:bCs w:val="0"/>
          <w:color w:val="auto"/>
          <w:sz w:val="24"/>
          <w:szCs w:val="24"/>
          <w:u w:val="single"/>
          <w:lang w:val="en-US" w:eastAsia="zh-CN"/>
        </w:rPr>
        <w:t>/</w:t>
      </w:r>
      <w:r>
        <w:rPr>
          <w:rFonts w:hint="eastAsia" w:ascii="宋体" w:hAnsi="宋体" w:eastAsia="宋体" w:cs="宋体"/>
          <w:bCs/>
          <w:color w:val="auto"/>
          <w:sz w:val="24"/>
          <w:szCs w:val="24"/>
          <w:u w:val="single"/>
          <w:lang w:val="en-US" w:eastAsia="zh-CN"/>
        </w:rPr>
        <w:t xml:space="preserve"> </w:t>
      </w:r>
      <w:r>
        <w:rPr>
          <w:rFonts w:hint="eastAsia" w:ascii="宋体" w:hAnsi="宋体" w:cs="宋体"/>
          <w:iCs/>
          <w:color w:val="auto"/>
          <w:sz w:val="24"/>
          <w:szCs w:val="24"/>
          <w:u w:val="single"/>
          <w:lang w:val="en-US" w:eastAsia="zh-CN"/>
        </w:rPr>
        <w:t xml:space="preserve"> </w:t>
      </w:r>
      <w:r>
        <w:rPr>
          <w:rFonts w:hint="eastAsia" w:ascii="宋体" w:hAnsi="宋体" w:eastAsia="宋体" w:cs="宋体"/>
          <w:iCs/>
          <w:color w:val="auto"/>
          <w:sz w:val="24"/>
          <w:szCs w:val="24"/>
          <w:u w:val="single"/>
          <w:lang w:val="en-US" w:eastAsia="zh-CN"/>
        </w:rPr>
        <w:t xml:space="preserve"> </w:t>
      </w:r>
      <w:r>
        <w:rPr>
          <w:rFonts w:hint="eastAsia" w:ascii="宋体" w:hAnsi="宋体" w:eastAsia="宋体" w:cs="宋体"/>
          <w:iCs/>
          <w:color w:val="auto"/>
          <w:sz w:val="24"/>
          <w:szCs w:val="24"/>
        </w:rPr>
        <w:t>%</w:t>
      </w:r>
      <w:r>
        <w:rPr>
          <w:rFonts w:hint="eastAsia" w:ascii="宋体" w:hAnsi="宋体" w:eastAsia="宋体" w:cs="宋体"/>
          <w:color w:val="auto"/>
          <w:sz w:val="24"/>
          <w:szCs w:val="24"/>
          <w:lang w:eastAsia="zh-CN"/>
        </w:rPr>
        <w:t>；</w:t>
      </w:r>
    </w:p>
    <w:p w14:paraId="2E5AE02D">
      <w:pPr>
        <w:pStyle w:val="62"/>
        <w:spacing w:line="360" w:lineRule="auto"/>
        <w:rPr>
          <w:rFonts w:hint="eastAsia" w:ascii="宋体" w:hAnsi="宋体" w:eastAsia="宋体" w:cs="宋体"/>
          <w:iCs/>
          <w:color w:val="auto"/>
          <w:sz w:val="24"/>
          <w:szCs w:val="24"/>
          <w:highlight w:val="cyan"/>
          <w:lang w:eastAsia="zh-CN"/>
        </w:rPr>
      </w:pPr>
      <w:r>
        <w:rPr>
          <w:rFonts w:hint="eastAsia" w:ascii="宋体" w:hAnsi="宋体" w:eastAsia="宋体" w:cs="宋体"/>
          <w:iCs/>
          <w:color w:val="auto"/>
          <w:sz w:val="24"/>
          <w:szCs w:val="24"/>
        </w:rPr>
        <w:sym w:font="Wingdings" w:char="00FE"/>
      </w:r>
      <w:r>
        <w:rPr>
          <w:rFonts w:hint="eastAsia" w:ascii="宋体" w:hAnsi="宋体" w:eastAsia="宋体" w:cs="宋体"/>
          <w:color w:val="auto"/>
          <w:sz w:val="24"/>
          <w:szCs w:val="24"/>
        </w:rPr>
        <w:t>履约保证金</w:t>
      </w:r>
      <w:r>
        <w:rPr>
          <w:rFonts w:hint="eastAsia" w:ascii="宋体" w:hAnsi="宋体" w:eastAsia="宋体" w:cs="宋体"/>
          <w:color w:val="auto"/>
          <w:sz w:val="24"/>
          <w:szCs w:val="24"/>
          <w:lang w:eastAsia="zh-CN"/>
        </w:rPr>
        <w:t>：</w:t>
      </w:r>
      <w:r>
        <w:rPr>
          <w:rFonts w:hint="eastAsia" w:ascii="宋体" w:hAnsi="宋体" w:cs="宋体"/>
          <w:color w:val="auto"/>
          <w:sz w:val="24"/>
          <w:szCs w:val="24"/>
          <w:u w:val="single"/>
          <w:lang w:val="en-US" w:eastAsia="zh-CN"/>
        </w:rPr>
        <w:t xml:space="preserve"> 3%</w:t>
      </w:r>
      <w:r>
        <w:rPr>
          <w:rFonts w:hint="eastAsia" w:ascii="宋体" w:hAnsi="宋体" w:cs="宋体"/>
          <w:bCs/>
          <w:color w:val="auto"/>
          <w:kern w:val="2"/>
          <w:sz w:val="24"/>
          <w:szCs w:val="24"/>
          <w:u w:val="single"/>
          <w:lang w:val="en-US" w:eastAsia="zh-CN" w:bidi="ar-SA"/>
        </w:rPr>
        <w:t xml:space="preserve"> </w:t>
      </w:r>
      <w:r>
        <w:rPr>
          <w:rFonts w:hint="eastAsia" w:ascii="宋体" w:hAnsi="宋体" w:eastAsia="宋体" w:cs="宋体"/>
          <w:bCs/>
          <w:color w:val="auto"/>
          <w:kern w:val="2"/>
          <w:sz w:val="24"/>
          <w:szCs w:val="24"/>
          <w:u w:val="single"/>
          <w:lang w:val="en-US" w:eastAsia="zh-CN" w:bidi="ar-SA"/>
        </w:rPr>
        <w:t xml:space="preserve"> </w:t>
      </w:r>
      <w:r>
        <w:rPr>
          <w:rFonts w:hint="eastAsia" w:ascii="宋体" w:hAnsi="宋体" w:cs="宋体"/>
          <w:iCs/>
          <w:color w:val="auto"/>
          <w:sz w:val="24"/>
          <w:szCs w:val="24"/>
          <w:u w:val="none"/>
          <w:lang w:val="en-US" w:eastAsia="zh-CN"/>
        </w:rPr>
        <w:t>；</w:t>
      </w:r>
    </w:p>
    <w:p w14:paraId="40D83E86">
      <w:pPr>
        <w:pStyle w:val="62"/>
        <w:spacing w:line="360" w:lineRule="auto"/>
        <w:rPr>
          <w:rFonts w:hint="eastAsia" w:ascii="宋体" w:hAnsi="宋体" w:eastAsia="宋体" w:cs="宋体"/>
          <w:iCs/>
          <w:color w:val="auto"/>
          <w:sz w:val="24"/>
          <w:szCs w:val="24"/>
          <w:lang w:eastAsia="zh-CN"/>
        </w:rPr>
      </w:pP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预付款保证金</w:t>
      </w:r>
      <w:r>
        <w:rPr>
          <w:rFonts w:hint="eastAsia" w:ascii="宋体" w:hAnsi="宋体" w:eastAsia="宋体" w:cs="宋体"/>
          <w:iCs/>
          <w:color w:val="auto"/>
          <w:sz w:val="24"/>
          <w:szCs w:val="24"/>
          <w:lang w:eastAsia="zh-CN"/>
        </w:rPr>
        <w:t>：</w:t>
      </w:r>
      <w:r>
        <w:rPr>
          <w:rFonts w:hint="eastAsia" w:ascii="宋体" w:hAnsi="宋体" w:eastAsia="宋体" w:cs="宋体"/>
          <w:iCs/>
          <w:color w:val="auto"/>
          <w:sz w:val="24"/>
          <w:szCs w:val="24"/>
        </w:rPr>
        <w:t>预付款的</w:t>
      </w:r>
      <w:r>
        <w:rPr>
          <w:rFonts w:hint="eastAsia" w:ascii="宋体" w:hAnsi="宋体" w:eastAsia="宋体" w:cs="宋体"/>
          <w:iCs/>
          <w:color w:val="auto"/>
          <w:sz w:val="24"/>
          <w:szCs w:val="24"/>
          <w:u w:val="single"/>
          <w:lang w:val="en-US" w:eastAsia="zh-CN"/>
        </w:rPr>
        <w:t xml:space="preserve"> </w:t>
      </w:r>
      <w:r>
        <w:rPr>
          <w:rFonts w:hint="eastAsia" w:ascii="宋体" w:hAnsi="宋体" w:eastAsia="宋体" w:cs="宋体"/>
          <w:bCs/>
          <w:color w:val="auto"/>
          <w:sz w:val="24"/>
          <w:szCs w:val="24"/>
          <w:u w:val="single"/>
          <w:lang w:val="en-US" w:eastAsia="zh-CN"/>
        </w:rPr>
        <w:t xml:space="preserve"> </w:t>
      </w:r>
      <w:r>
        <w:rPr>
          <w:rFonts w:hint="eastAsia" w:ascii="宋体" w:hAnsi="宋体" w:cs="宋体"/>
          <w:b/>
          <w:bCs w:val="0"/>
          <w:color w:val="auto"/>
          <w:sz w:val="24"/>
          <w:szCs w:val="24"/>
          <w:u w:val="single"/>
          <w:lang w:val="en-US" w:eastAsia="zh-CN"/>
        </w:rPr>
        <w:t>/</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iCs/>
          <w:color w:val="auto"/>
          <w:sz w:val="24"/>
          <w:szCs w:val="24"/>
          <w:u w:val="single"/>
          <w:lang w:val="en-US" w:eastAsia="zh-CN"/>
        </w:rPr>
        <w:t xml:space="preserve">  </w:t>
      </w:r>
      <w:r>
        <w:rPr>
          <w:rFonts w:hint="eastAsia" w:ascii="宋体" w:hAnsi="宋体" w:eastAsia="宋体" w:cs="宋体"/>
          <w:iCs/>
          <w:color w:val="auto"/>
          <w:sz w:val="24"/>
          <w:szCs w:val="24"/>
        </w:rPr>
        <w:t>%</w:t>
      </w:r>
      <w:r>
        <w:rPr>
          <w:rFonts w:hint="eastAsia" w:ascii="宋体" w:hAnsi="宋体" w:eastAsia="宋体" w:cs="宋体"/>
          <w:iCs/>
          <w:color w:val="auto"/>
          <w:sz w:val="24"/>
          <w:szCs w:val="24"/>
          <w:lang w:eastAsia="zh-CN"/>
        </w:rPr>
        <w:t>；</w:t>
      </w:r>
    </w:p>
    <w:p w14:paraId="30BFEA6A">
      <w:pPr>
        <w:pStyle w:val="62"/>
        <w:spacing w:line="360" w:lineRule="auto"/>
        <w:rPr>
          <w:rFonts w:hint="eastAsia" w:ascii="宋体" w:hAnsi="宋体" w:eastAsia="宋体" w:cs="宋体"/>
          <w:iCs/>
          <w:color w:val="auto"/>
          <w:sz w:val="24"/>
          <w:szCs w:val="24"/>
          <w:lang w:eastAsia="zh-CN"/>
        </w:rPr>
      </w:pP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质量保证金</w:t>
      </w:r>
      <w:r>
        <w:rPr>
          <w:rFonts w:hint="eastAsia" w:ascii="宋体" w:hAnsi="宋体" w:eastAsia="宋体" w:cs="宋体"/>
          <w:iCs/>
          <w:color w:val="auto"/>
          <w:sz w:val="24"/>
          <w:szCs w:val="24"/>
          <w:lang w:eastAsia="zh-CN"/>
        </w:rPr>
        <w:t>：</w:t>
      </w:r>
      <w:r>
        <w:rPr>
          <w:rFonts w:hint="eastAsia" w:ascii="宋体" w:hAnsi="宋体" w:eastAsia="宋体" w:cs="宋体"/>
          <w:iCs/>
          <w:color w:val="auto"/>
          <w:sz w:val="24"/>
          <w:szCs w:val="24"/>
        </w:rPr>
        <w:t>合同金额的</w:t>
      </w:r>
      <w:r>
        <w:rPr>
          <w:rFonts w:hint="eastAsia" w:ascii="宋体" w:hAnsi="宋体" w:eastAsia="宋体" w:cs="宋体"/>
          <w:iCs/>
          <w:color w:val="auto"/>
          <w:sz w:val="24"/>
          <w:szCs w:val="24"/>
          <w:u w:val="single"/>
          <w:lang w:val="en-US" w:eastAsia="zh-CN"/>
        </w:rPr>
        <w:t xml:space="preserve">  </w:t>
      </w:r>
      <w:r>
        <w:rPr>
          <w:rFonts w:hint="eastAsia" w:ascii="宋体" w:hAnsi="宋体" w:eastAsia="宋体" w:cs="宋体"/>
          <w:bCs/>
          <w:color w:val="auto"/>
          <w:sz w:val="24"/>
          <w:szCs w:val="24"/>
          <w:u w:val="single"/>
          <w:lang w:val="en-US" w:eastAsia="zh-CN"/>
        </w:rPr>
        <w:t xml:space="preserve"> </w:t>
      </w:r>
      <w:r>
        <w:rPr>
          <w:rFonts w:hint="eastAsia" w:ascii="宋体" w:hAnsi="宋体" w:cs="宋体"/>
          <w:b/>
          <w:bCs w:val="0"/>
          <w:color w:val="auto"/>
          <w:sz w:val="24"/>
          <w:szCs w:val="24"/>
          <w:u w:val="single"/>
          <w:lang w:val="en-US" w:eastAsia="zh-CN"/>
        </w:rPr>
        <w:t>/</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iCs/>
          <w:color w:val="auto"/>
          <w:sz w:val="24"/>
          <w:szCs w:val="24"/>
          <w:u w:val="single"/>
          <w:lang w:val="en-US" w:eastAsia="zh-CN"/>
        </w:rPr>
        <w:t xml:space="preserve">  </w:t>
      </w:r>
      <w:r>
        <w:rPr>
          <w:rFonts w:hint="eastAsia" w:ascii="宋体" w:hAnsi="宋体" w:eastAsia="宋体" w:cs="宋体"/>
          <w:iCs/>
          <w:color w:val="auto"/>
          <w:sz w:val="24"/>
          <w:szCs w:val="24"/>
        </w:rPr>
        <w:t>%</w:t>
      </w:r>
      <w:r>
        <w:rPr>
          <w:rFonts w:hint="eastAsia" w:ascii="宋体" w:hAnsi="宋体" w:eastAsia="宋体" w:cs="宋体"/>
          <w:iCs/>
          <w:color w:val="auto"/>
          <w:sz w:val="24"/>
          <w:szCs w:val="24"/>
          <w:lang w:eastAsia="zh-CN"/>
        </w:rPr>
        <w:t>。</w:t>
      </w:r>
    </w:p>
    <w:p w14:paraId="0BB39B0D">
      <w:pPr>
        <w:pStyle w:val="62"/>
        <w:spacing w:line="360" w:lineRule="auto"/>
        <w:rPr>
          <w:rFonts w:hint="eastAsia" w:ascii="宋体" w:hAnsi="宋体" w:eastAsia="宋体" w:cs="宋体"/>
          <w:iCs/>
          <w:color w:val="auto"/>
          <w:sz w:val="24"/>
          <w:szCs w:val="24"/>
          <w:lang w:eastAsia="zh-CN"/>
        </w:rPr>
      </w:pPr>
    </w:p>
    <w:p w14:paraId="5DC45F36">
      <w:pPr>
        <w:adjustRightInd w:val="0"/>
        <w:snapToGrid w:val="0"/>
        <w:spacing w:line="360" w:lineRule="auto"/>
        <w:rPr>
          <w:rFonts w:hint="eastAsia"/>
          <w:lang w:val="en-US" w:eastAsia="zh-CN"/>
        </w:rPr>
      </w:pPr>
      <w:r>
        <w:rPr>
          <w:rFonts w:hint="eastAsia" w:ascii="宋体" w:hAnsi="宋体" w:eastAsia="宋体" w:cs="宋体"/>
          <w:b/>
          <w:color w:val="auto"/>
          <w:sz w:val="24"/>
          <w:szCs w:val="24"/>
        </w:rPr>
        <w:t>二、采购人的采购需求</w:t>
      </w:r>
    </w:p>
    <w:tbl>
      <w:tblPr>
        <w:tblStyle w:val="44"/>
        <w:tblW w:w="4838" w:type="pct"/>
        <w:tblInd w:w="0" w:type="dxa"/>
        <w:tblLayout w:type="fixed"/>
        <w:tblCellMar>
          <w:top w:w="0" w:type="dxa"/>
          <w:left w:w="0" w:type="dxa"/>
          <w:bottom w:w="0" w:type="dxa"/>
          <w:right w:w="0" w:type="dxa"/>
        </w:tblCellMar>
      </w:tblPr>
      <w:tblGrid>
        <w:gridCol w:w="947"/>
        <w:gridCol w:w="2850"/>
        <w:gridCol w:w="2636"/>
        <w:gridCol w:w="1607"/>
        <w:gridCol w:w="1584"/>
      </w:tblGrid>
      <w:tr w14:paraId="70174211">
        <w:tblPrEx>
          <w:tblCellMar>
            <w:top w:w="0" w:type="dxa"/>
            <w:left w:w="0" w:type="dxa"/>
            <w:bottom w:w="0" w:type="dxa"/>
            <w:right w:w="0" w:type="dxa"/>
          </w:tblCellMar>
        </w:tblPrEx>
        <w:trPr>
          <w:trHeight w:val="569" w:hRule="atLeast"/>
        </w:trPr>
        <w:tc>
          <w:tcPr>
            <w:tcW w:w="491" w:type="pct"/>
            <w:tcBorders>
              <w:top w:val="single" w:color="000000" w:sz="4" w:space="0"/>
              <w:left w:val="single" w:color="000000" w:sz="4" w:space="0"/>
              <w:bottom w:val="single" w:color="auto" w:sz="4" w:space="0"/>
              <w:right w:val="single" w:color="auto" w:sz="4" w:space="0"/>
            </w:tcBorders>
            <w:noWrap w:val="0"/>
            <w:tcMar>
              <w:top w:w="12" w:type="dxa"/>
              <w:left w:w="12" w:type="dxa"/>
              <w:right w:w="12" w:type="dxa"/>
            </w:tcMar>
            <w:vAlign w:val="center"/>
          </w:tcPr>
          <w:p w14:paraId="6314F071">
            <w:pPr>
              <w:pStyle w:val="17"/>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包名</w:t>
            </w:r>
          </w:p>
        </w:tc>
        <w:tc>
          <w:tcPr>
            <w:tcW w:w="1480" w:type="pct"/>
            <w:tcBorders>
              <w:top w:val="single" w:color="000000" w:sz="4" w:space="0"/>
              <w:left w:val="single" w:color="auto" w:sz="4" w:space="0"/>
              <w:bottom w:val="single" w:color="auto" w:sz="4" w:space="0"/>
              <w:right w:val="single" w:color="000000" w:sz="4" w:space="0"/>
            </w:tcBorders>
            <w:noWrap w:val="0"/>
            <w:tcMar>
              <w:top w:w="12" w:type="dxa"/>
              <w:left w:w="12" w:type="dxa"/>
              <w:right w:w="12" w:type="dxa"/>
            </w:tcMar>
            <w:vAlign w:val="center"/>
          </w:tcPr>
          <w:p w14:paraId="54B1CA41">
            <w:pPr>
              <w:pStyle w:val="17"/>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标的名称</w:t>
            </w:r>
          </w:p>
        </w:tc>
        <w:tc>
          <w:tcPr>
            <w:tcW w:w="1369" w:type="pct"/>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A14CECE">
            <w:pPr>
              <w:pStyle w:val="134"/>
              <w:spacing w:before="172"/>
              <w:ind w:left="294" w:leftChars="0"/>
              <w:jc w:val="center"/>
              <w:rPr>
                <w:rFonts w:hint="eastAsia" w:ascii="宋体" w:hAnsi="宋体" w:eastAsia="宋体" w:cs="Times New Roman"/>
                <w:color w:val="auto"/>
                <w:kern w:val="2"/>
                <w:sz w:val="24"/>
                <w:szCs w:val="24"/>
                <w:lang w:val="en-US" w:eastAsia="zh-CN" w:bidi="ar-SA"/>
              </w:rPr>
            </w:pPr>
            <w:r>
              <w:rPr>
                <w:color w:val="auto"/>
                <w:sz w:val="24"/>
              </w:rPr>
              <w:t>简要</w:t>
            </w:r>
            <w:r>
              <w:rPr>
                <w:rFonts w:hint="eastAsia"/>
                <w:color w:val="auto"/>
                <w:sz w:val="24"/>
                <w:lang w:val="en-US" w:eastAsia="zh-CN"/>
              </w:rPr>
              <w:t>技术</w:t>
            </w:r>
            <w:r>
              <w:rPr>
                <w:color w:val="auto"/>
                <w:sz w:val="24"/>
              </w:rPr>
              <w:t>要求</w:t>
            </w:r>
          </w:p>
        </w:tc>
        <w:tc>
          <w:tcPr>
            <w:tcW w:w="834" w:type="pct"/>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84E9D58">
            <w:pPr>
              <w:pStyle w:val="134"/>
              <w:spacing w:before="172"/>
              <w:ind w:firstLine="480" w:firstLineChars="200"/>
              <w:jc w:val="both"/>
              <w:rPr>
                <w:rFonts w:hint="eastAsia" w:eastAsia="宋体"/>
                <w:color w:val="auto"/>
                <w:sz w:val="24"/>
                <w:lang w:val="en-US" w:eastAsia="zh-CN"/>
              </w:rPr>
            </w:pPr>
            <w:r>
              <w:rPr>
                <w:rFonts w:hint="eastAsia"/>
                <w:color w:val="auto"/>
                <w:sz w:val="24"/>
                <w:lang w:val="en-US" w:eastAsia="zh-CN"/>
              </w:rPr>
              <w:t>数量</w:t>
            </w:r>
          </w:p>
        </w:tc>
        <w:tc>
          <w:tcPr>
            <w:tcW w:w="82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top"/>
          </w:tcPr>
          <w:p w14:paraId="1AFB8BED">
            <w:pPr>
              <w:pStyle w:val="134"/>
              <w:spacing w:before="172"/>
              <w:jc w:val="center"/>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采购预算</w:t>
            </w:r>
          </w:p>
          <w:p w14:paraId="0A22F895">
            <w:pPr>
              <w:pStyle w:val="134"/>
              <w:spacing w:before="172"/>
              <w:jc w:val="center"/>
              <w:rPr>
                <w:rFonts w:hint="eastAsia" w:eastAsia="宋体"/>
                <w:color w:val="auto"/>
                <w:sz w:val="24"/>
                <w:lang w:val="en-US" w:eastAsia="zh-CN"/>
              </w:rPr>
            </w:pPr>
            <w:r>
              <w:rPr>
                <w:rFonts w:hint="eastAsia" w:ascii="宋体" w:hAnsi="宋体" w:eastAsia="宋体" w:cs="Times New Roman"/>
                <w:color w:val="auto"/>
                <w:kern w:val="2"/>
                <w:sz w:val="24"/>
                <w:szCs w:val="24"/>
                <w:lang w:val="en-US" w:eastAsia="zh-CN" w:bidi="ar-SA"/>
              </w:rPr>
              <w:t>（万元）</w:t>
            </w:r>
          </w:p>
        </w:tc>
      </w:tr>
      <w:tr w14:paraId="345BA4C6">
        <w:tblPrEx>
          <w:tblCellMar>
            <w:top w:w="0" w:type="dxa"/>
            <w:left w:w="0" w:type="dxa"/>
            <w:bottom w:w="0" w:type="dxa"/>
            <w:right w:w="0" w:type="dxa"/>
          </w:tblCellMar>
        </w:tblPrEx>
        <w:trPr>
          <w:trHeight w:val="946" w:hRule="atLeast"/>
        </w:trPr>
        <w:tc>
          <w:tcPr>
            <w:tcW w:w="491" w:type="pc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14:paraId="2955F8CB">
            <w:pPr>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lang w:val="en-US" w:eastAsia="zh-CN"/>
              </w:rPr>
              <w:t>1</w:t>
            </w:r>
          </w:p>
        </w:tc>
        <w:tc>
          <w:tcPr>
            <w:tcW w:w="1480" w:type="pc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14:paraId="07765977">
            <w:pPr>
              <w:adjustRightInd w:val="0"/>
              <w:spacing w:line="360" w:lineRule="auto"/>
              <w:rPr>
                <w:rFonts w:hint="eastAsia" w:ascii="宋体" w:hAnsi="宋体" w:cs="宋体"/>
                <w:color w:val="auto"/>
                <w:sz w:val="24"/>
                <w:szCs w:val="24"/>
                <w:u w:val="none"/>
                <w:lang w:val="en-US" w:eastAsia="zh-CN"/>
              </w:rPr>
            </w:pPr>
            <w:r>
              <w:rPr>
                <w:rFonts w:hint="eastAsia" w:ascii="宋体" w:hAnsi="宋体" w:cs="宋体"/>
                <w:color w:val="auto"/>
                <w:sz w:val="24"/>
                <w:u w:val="single"/>
                <w:lang w:val="en-US" w:eastAsia="zh-CN"/>
              </w:rPr>
              <w:t>吉首市第一中学学生宿舍楼建设项目-床、桌椅及柜子采购（第二次）</w:t>
            </w:r>
          </w:p>
        </w:tc>
        <w:tc>
          <w:tcPr>
            <w:tcW w:w="1369" w:type="pc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14:paraId="6AB35301">
            <w:pPr>
              <w:pStyle w:val="134"/>
              <w:spacing w:before="177" w:line="247" w:lineRule="auto"/>
              <w:ind w:left="294" w:leftChars="0" w:right="158" w:rightChars="0" w:hanging="120" w:firstLineChars="0"/>
              <w:jc w:val="center"/>
              <w:rPr>
                <w:rFonts w:hint="eastAsia"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详见采购需求</w:t>
            </w:r>
          </w:p>
        </w:tc>
        <w:tc>
          <w:tcPr>
            <w:tcW w:w="834" w:type="pct"/>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14:paraId="5530E877">
            <w:pPr>
              <w:pStyle w:val="134"/>
              <w:spacing w:before="174" w:line="247" w:lineRule="auto"/>
              <w:ind w:left="294" w:leftChars="0" w:right="158" w:rightChars="0" w:hanging="120" w:firstLineChars="0"/>
              <w:jc w:val="center"/>
              <w:rPr>
                <w:rFonts w:hint="default" w:eastAsia="宋体"/>
                <w:color w:val="auto"/>
                <w:sz w:val="24"/>
                <w:lang w:val="en-US" w:eastAsia="zh-CN"/>
              </w:rPr>
            </w:pPr>
            <w:r>
              <w:rPr>
                <w:rFonts w:hint="eastAsia"/>
                <w:color w:val="auto"/>
                <w:sz w:val="24"/>
                <w:lang w:val="en-US" w:eastAsia="zh-CN"/>
              </w:rPr>
              <w:t>1批</w:t>
            </w:r>
          </w:p>
        </w:tc>
        <w:tc>
          <w:tcPr>
            <w:tcW w:w="822" w:type="pct"/>
            <w:tcBorders>
              <w:top w:val="single" w:color="000000" w:sz="4" w:space="0"/>
              <w:left w:val="single" w:color="auto" w:sz="4" w:space="0"/>
              <w:bottom w:val="single" w:color="auto" w:sz="4" w:space="0"/>
              <w:right w:val="single" w:color="000000" w:sz="4" w:space="0"/>
            </w:tcBorders>
            <w:noWrap w:val="0"/>
            <w:tcMar>
              <w:top w:w="12" w:type="dxa"/>
              <w:left w:w="12" w:type="dxa"/>
              <w:right w:w="12" w:type="dxa"/>
            </w:tcMar>
            <w:vAlign w:val="center"/>
          </w:tcPr>
          <w:p w14:paraId="7A24FBA3">
            <w:pPr>
              <w:pStyle w:val="134"/>
              <w:spacing w:before="177" w:line="247" w:lineRule="auto"/>
              <w:ind w:left="294" w:leftChars="0" w:right="158" w:rightChars="0" w:hanging="120" w:firstLineChars="0"/>
              <w:jc w:val="center"/>
              <w:rPr>
                <w:rFonts w:hint="default" w:eastAsia="宋体"/>
                <w:color w:val="auto"/>
                <w:sz w:val="24"/>
                <w:lang w:val="en-US" w:eastAsia="zh-CN"/>
              </w:rPr>
            </w:pPr>
            <w:r>
              <w:rPr>
                <w:rFonts w:hint="eastAsia" w:ascii="宋体" w:hAnsi="宋体" w:cs="宋体"/>
                <w:color w:val="auto"/>
                <w:sz w:val="24"/>
                <w:u w:val="single"/>
                <w:lang w:val="en-US" w:eastAsia="zh-CN"/>
              </w:rPr>
              <w:t>209.799</w:t>
            </w:r>
          </w:p>
        </w:tc>
      </w:tr>
    </w:tbl>
    <w:p w14:paraId="0350F1AE">
      <w:pPr>
        <w:adjustRightInd w:val="0"/>
        <w:snapToGrid w:val="0"/>
        <w:spacing w:line="360" w:lineRule="auto"/>
        <w:rPr>
          <w:rFonts w:hint="eastAsia" w:ascii="宋体" w:hAnsi="宋体" w:eastAsia="宋体" w:cs="宋体"/>
          <w:b/>
          <w:color w:val="auto"/>
          <w:sz w:val="24"/>
          <w:szCs w:val="24"/>
        </w:rPr>
      </w:pPr>
    </w:p>
    <w:p w14:paraId="730B5944">
      <w:pPr>
        <w:adjustRightInd w:val="0"/>
        <w:snapToGrid w:val="0"/>
        <w:spacing w:line="360" w:lineRule="auto"/>
        <w:rPr>
          <w:rFonts w:hint="eastAsia" w:ascii="宋体" w:hAnsi="宋体" w:eastAsia="宋体" w:cs="宋体"/>
          <w:b/>
          <w:color w:val="auto"/>
          <w:sz w:val="24"/>
          <w:szCs w:val="24"/>
        </w:rPr>
      </w:pPr>
      <w:r>
        <w:rPr>
          <w:rFonts w:hint="eastAsia" w:ascii="宋体" w:hAnsi="宋体" w:eastAsia="宋体" w:cs="宋体"/>
          <w:b/>
          <w:color w:val="auto"/>
          <w:sz w:val="24"/>
          <w:szCs w:val="24"/>
        </w:rPr>
        <w:t>三、采购项目需落实的政府采购政策</w:t>
      </w:r>
      <w:r>
        <w:rPr>
          <w:rFonts w:hint="eastAsia" w:ascii="宋体" w:hAnsi="宋体" w:eastAsia="宋体" w:cs="宋体"/>
          <w:color w:val="auto"/>
          <w:sz w:val="24"/>
          <w:szCs w:val="24"/>
        </w:rPr>
        <w:t>：</w:t>
      </w:r>
    </w:p>
    <w:p w14:paraId="32C33BCC">
      <w:pPr>
        <w:adjustRightInd w:val="0"/>
        <w:snapToGrid w:val="0"/>
        <w:spacing w:line="360" w:lineRule="auto"/>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1、强制采购：政府采购实行强制采购的节能产品。</w:t>
      </w:r>
    </w:p>
    <w:p w14:paraId="6271C194">
      <w:pPr>
        <w:adjustRightInd w:val="0"/>
        <w:snapToGrid w:val="0"/>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优先采购：</w:t>
      </w:r>
      <w:r>
        <w:rPr>
          <w:rFonts w:hint="eastAsia" w:ascii="宋体" w:hAnsi="宋体" w:cs="宋体"/>
          <w:color w:val="auto"/>
          <w:sz w:val="24"/>
          <w:szCs w:val="24"/>
          <w:lang w:val="en-US" w:eastAsia="zh-CN"/>
        </w:rPr>
        <w:t>政府采购鼓励采购节能环保产品。</w:t>
      </w:r>
    </w:p>
    <w:p w14:paraId="4B73D5E9">
      <w:pPr>
        <w:adjustRightInd w:val="0"/>
        <w:snapToGrid w:val="0"/>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支持中小企业：</w:t>
      </w:r>
      <w:r>
        <w:rPr>
          <w:rFonts w:hint="eastAsia" w:ascii="宋体" w:hAnsi="宋体" w:cs="宋体"/>
          <w:color w:val="auto"/>
          <w:sz w:val="24"/>
          <w:szCs w:val="24"/>
          <w:lang w:val="en-US" w:eastAsia="zh-CN"/>
        </w:rPr>
        <w:t>政府采购促进中小企业发展（包括政府采购支持监狱企业发展、政府采购促进残疾人就业）</w:t>
      </w:r>
      <w:r>
        <w:rPr>
          <w:rFonts w:hint="eastAsia" w:ascii="宋体" w:hAnsi="宋体" w:eastAsia="宋体" w:cs="宋体"/>
          <w:color w:val="auto"/>
          <w:sz w:val="24"/>
          <w:szCs w:val="24"/>
          <w:lang w:val="en-US" w:eastAsia="zh-CN"/>
        </w:rPr>
        <w:t>。</w:t>
      </w:r>
    </w:p>
    <w:p w14:paraId="1F6EE26A">
      <w:pPr>
        <w:pStyle w:val="16"/>
        <w:rPr>
          <w:rFonts w:hint="default"/>
          <w:u w:val="none"/>
          <w:lang w:val="en-US" w:eastAsia="zh-CN"/>
        </w:rPr>
      </w:pPr>
      <w:r>
        <w:rPr>
          <w:rFonts w:hint="eastAsia" w:ascii="宋体" w:hAnsi="宋体" w:cs="宋体"/>
          <w:color w:val="auto"/>
          <w:sz w:val="24"/>
          <w:szCs w:val="24"/>
          <w:lang w:val="en-US" w:eastAsia="zh-CN"/>
        </w:rPr>
        <w:t xml:space="preserve">    4、采购进口产品：本采购项目</w:t>
      </w:r>
      <w:r>
        <w:rPr>
          <w:rFonts w:hint="eastAsia" w:ascii="宋体" w:hAnsi="宋体" w:cs="宋体"/>
          <w:color w:val="auto"/>
          <w:sz w:val="24"/>
          <w:szCs w:val="24"/>
          <w:u w:val="single"/>
          <w:lang w:val="en-US" w:eastAsia="zh-CN"/>
        </w:rPr>
        <w:t xml:space="preserve">   拒绝    </w:t>
      </w:r>
      <w:r>
        <w:rPr>
          <w:rFonts w:hint="eastAsia" w:ascii="宋体" w:hAnsi="宋体" w:cs="宋体"/>
          <w:color w:val="auto"/>
          <w:sz w:val="24"/>
          <w:szCs w:val="24"/>
          <w:u w:val="none"/>
          <w:lang w:val="en-US" w:eastAsia="zh-CN"/>
        </w:rPr>
        <w:t>进口产品投标。</w:t>
      </w:r>
    </w:p>
    <w:p w14:paraId="6FBFE0A9">
      <w:pPr>
        <w:adjustRightInd w:val="0"/>
        <w:spacing w:line="360" w:lineRule="auto"/>
        <w:rPr>
          <w:rFonts w:hint="eastAsia" w:ascii="宋体" w:hAnsi="宋体" w:eastAsia="宋体" w:cs="宋体"/>
          <w:color w:val="auto"/>
        </w:rPr>
      </w:pPr>
      <w:r>
        <w:rPr>
          <w:rFonts w:hint="eastAsia" w:ascii="宋体" w:hAnsi="宋体" w:cs="宋体"/>
          <w:b/>
          <w:color w:val="auto"/>
          <w:kern w:val="0"/>
          <w:sz w:val="24"/>
          <w:lang w:val="en-US" w:eastAsia="zh-CN"/>
        </w:rPr>
        <w:t>四</w:t>
      </w:r>
      <w:r>
        <w:rPr>
          <w:rFonts w:hint="eastAsia" w:ascii="宋体" w:hAnsi="宋体" w:eastAsia="宋体" w:cs="宋体"/>
          <w:b/>
          <w:color w:val="auto"/>
          <w:kern w:val="0"/>
          <w:sz w:val="24"/>
        </w:rPr>
        <w:t>、</w:t>
      </w:r>
      <w:r>
        <w:rPr>
          <w:rFonts w:hint="eastAsia" w:ascii="宋体" w:hAnsi="宋体" w:eastAsia="宋体" w:cs="宋体"/>
          <w:b/>
          <w:color w:val="auto"/>
          <w:kern w:val="0"/>
          <w:sz w:val="24"/>
          <w:lang w:val="en-US" w:eastAsia="zh-CN"/>
        </w:rPr>
        <w:t>投标</w:t>
      </w:r>
      <w:r>
        <w:rPr>
          <w:rFonts w:hint="eastAsia" w:ascii="宋体" w:hAnsi="宋体" w:eastAsia="宋体" w:cs="宋体"/>
          <w:b/>
          <w:color w:val="auto"/>
          <w:kern w:val="0"/>
          <w:sz w:val="24"/>
          <w:lang w:eastAsia="zh-CN"/>
        </w:rPr>
        <w:t>供应商</w:t>
      </w:r>
      <w:r>
        <w:rPr>
          <w:rFonts w:hint="eastAsia" w:ascii="宋体" w:hAnsi="宋体" w:eastAsia="宋体" w:cs="宋体"/>
          <w:b/>
          <w:color w:val="auto"/>
          <w:kern w:val="0"/>
          <w:sz w:val="24"/>
        </w:rPr>
        <w:t>的资格要求：</w:t>
      </w:r>
    </w:p>
    <w:p w14:paraId="6DAB6321">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1、投标人的基本资格条件：投标人必须是在中华人民共和国境内注册登记的法人、其他组织或者自然人，且应当符合《政府采购法》第二十二条的规定。</w:t>
      </w:r>
    </w:p>
    <w:p w14:paraId="0DEF1F94">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（1）具有独立承担民事责任的能力；</w:t>
      </w:r>
    </w:p>
    <w:p w14:paraId="7AE8C9AE">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（2）具有良好的商业信誉和健全的财务会计制度；</w:t>
      </w:r>
    </w:p>
    <w:p w14:paraId="7B04DA38">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（3）具有履行合同所必需的设备和专业技术能力；</w:t>
      </w:r>
    </w:p>
    <w:p w14:paraId="183061E1">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（4）有依法缴纳税收和社会保障资金的良好记录；</w:t>
      </w:r>
    </w:p>
    <w:p w14:paraId="22492E89">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（5）参加政府采购活动前三年内，在经营活动中没有重大违法记录；</w:t>
      </w:r>
    </w:p>
    <w:p w14:paraId="6D1D44D8">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color w:val="auto"/>
          <w:sz w:val="24"/>
          <w:szCs w:val="24"/>
        </w:rPr>
        <w:t>（6）法律、行政法规规定的其他条件。</w:t>
      </w:r>
    </w:p>
    <w:p w14:paraId="7D4C6AD2">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2、落实政府采购政策需满足的资格要求：</w:t>
      </w:r>
    </w:p>
    <w:p w14:paraId="5FCDB9B7">
      <w:pPr>
        <w:adjustRightInd w:val="0"/>
        <w:snapToGrid w:val="0"/>
        <w:spacing w:line="360" w:lineRule="auto"/>
        <w:ind w:firstLine="720" w:firstLineChars="300"/>
        <w:rPr>
          <w:rFonts w:hint="eastAsia" w:ascii="宋体" w:hAnsi="宋体" w:eastAsia="宋体" w:cs="宋体"/>
          <w:color w:val="auto"/>
          <w:sz w:val="24"/>
          <w:szCs w:val="24"/>
        </w:rPr>
      </w:pPr>
      <w:r>
        <w:rPr>
          <w:rFonts w:hint="eastAsia" w:ascii="宋体" w:hAnsi="宋体" w:eastAsia="宋体" w:cs="宋体"/>
          <w:iCs/>
          <w:color w:val="auto"/>
          <w:sz w:val="24"/>
          <w:szCs w:val="24"/>
        </w:rPr>
        <w:sym w:font="Wingdings" w:char="00FE"/>
      </w:r>
      <w:r>
        <w:rPr>
          <w:rFonts w:hint="eastAsia" w:ascii="宋体" w:hAnsi="宋体" w:eastAsia="宋体" w:cs="宋体"/>
          <w:iCs/>
          <w:color w:val="auto"/>
          <w:sz w:val="24"/>
          <w:szCs w:val="24"/>
          <w:lang w:val="en-US" w:eastAsia="zh-CN"/>
        </w:rPr>
        <w:t>专门面向</w:t>
      </w:r>
      <w:r>
        <w:rPr>
          <w:rFonts w:hint="eastAsia" w:ascii="宋体" w:hAnsi="宋体" w:eastAsia="宋体" w:cs="宋体"/>
          <w:bCs/>
          <w:color w:val="auto"/>
          <w:sz w:val="24"/>
          <w:szCs w:val="24"/>
          <w:lang w:eastAsia="zh-CN"/>
        </w:rPr>
        <w:t>：</w:t>
      </w:r>
      <w:r>
        <w:rPr>
          <w:rFonts w:hint="eastAsia" w:ascii="宋体" w:hAnsi="宋体" w:eastAsia="宋体" w:cs="宋体"/>
          <w:iCs/>
          <w:color w:val="auto"/>
          <w:sz w:val="24"/>
          <w:szCs w:val="24"/>
        </w:rPr>
        <w:sym w:font="Wingdings" w:char="00FE"/>
      </w:r>
      <w:r>
        <w:rPr>
          <w:rFonts w:hint="eastAsia" w:ascii="宋体" w:hAnsi="宋体" w:eastAsia="宋体" w:cs="宋体"/>
          <w:iCs/>
          <w:color w:val="auto"/>
          <w:sz w:val="24"/>
          <w:szCs w:val="24"/>
        </w:rPr>
        <w:t>中</w:t>
      </w:r>
      <w:r>
        <w:rPr>
          <w:rFonts w:hint="eastAsia" w:ascii="宋体" w:hAnsi="宋体" w:eastAsia="宋体" w:cs="宋体"/>
          <w:iCs/>
          <w:color w:val="auto"/>
          <w:sz w:val="24"/>
          <w:szCs w:val="24"/>
          <w:lang w:val="en-US" w:eastAsia="zh-CN"/>
        </w:rPr>
        <w:t>小</w:t>
      </w:r>
      <w:r>
        <w:rPr>
          <w:rFonts w:hint="eastAsia" w:ascii="宋体" w:hAnsi="宋体" w:eastAsia="宋体" w:cs="宋体"/>
          <w:iCs/>
          <w:color w:val="auto"/>
          <w:sz w:val="24"/>
          <w:szCs w:val="24"/>
        </w:rPr>
        <w:t xml:space="preserve">企业  </w:t>
      </w:r>
      <w:r>
        <w:rPr>
          <w:rFonts w:hint="eastAsia" w:ascii="宋体" w:hAnsi="宋体" w:eastAsia="宋体" w:cs="宋体"/>
          <w:iCs/>
          <w:color w:val="auto"/>
          <w:sz w:val="24"/>
          <w:szCs w:val="24"/>
        </w:rPr>
        <w:sym w:font="Wingdings" w:char="00FE"/>
      </w:r>
      <w:r>
        <w:rPr>
          <w:rFonts w:hint="eastAsia" w:ascii="宋体" w:hAnsi="宋体" w:eastAsia="宋体" w:cs="宋体"/>
          <w:iCs/>
          <w:color w:val="auto"/>
          <w:sz w:val="24"/>
          <w:szCs w:val="24"/>
        </w:rPr>
        <w:t xml:space="preserve">小微企业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 xml:space="preserve">监狱企业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福利性单位。</w:t>
      </w:r>
    </w:p>
    <w:p w14:paraId="0C909A3A">
      <w:pPr>
        <w:adjustRightInd w:val="0"/>
        <w:snapToGrid w:val="0"/>
        <w:spacing w:line="360" w:lineRule="auto"/>
        <w:ind w:firstLine="720" w:firstLineChars="300"/>
        <w:rPr>
          <w:rFonts w:hint="eastAsia" w:ascii="宋体" w:hAnsi="宋体" w:cs="宋体"/>
          <w:b/>
          <w:bCs/>
          <w:iCs/>
          <w:color w:val="auto"/>
          <w:sz w:val="24"/>
          <w:highlight w:val="none"/>
          <w:lang w:val="en-US" w:eastAsia="zh-CN"/>
        </w:rPr>
      </w:pP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强制</w:t>
      </w:r>
      <w:r>
        <w:rPr>
          <w:rFonts w:hint="eastAsia" w:ascii="宋体" w:hAnsi="宋体" w:eastAsia="宋体" w:cs="宋体"/>
          <w:bCs/>
          <w:color w:val="auto"/>
          <w:sz w:val="24"/>
          <w:szCs w:val="24"/>
        </w:rPr>
        <w:t>分包</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大型企业应将采购份额</w:t>
      </w:r>
      <w:r>
        <w:rPr>
          <w:rFonts w:hint="eastAsia" w:ascii="宋体" w:hAnsi="宋体" w:eastAsia="宋体" w:cs="宋体"/>
          <w:bCs/>
          <w:color w:val="auto"/>
          <w:sz w:val="24"/>
          <w:szCs w:val="24"/>
          <w:lang w:val="en-US" w:eastAsia="zh-CN"/>
        </w:rPr>
        <w:t>的</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
          <w:bCs w:val="0"/>
          <w:color w:val="auto"/>
          <w:sz w:val="24"/>
          <w:szCs w:val="24"/>
          <w:u w:val="single"/>
          <w:lang w:val="en-US" w:eastAsia="zh-CN"/>
        </w:rPr>
        <w:t>/</w:t>
      </w:r>
      <w:r>
        <w:rPr>
          <w:rFonts w:hint="eastAsia" w:ascii="宋体" w:hAnsi="宋体" w:eastAsia="宋体" w:cs="宋体"/>
          <w:bCs/>
          <w:color w:val="auto"/>
          <w:sz w:val="24"/>
          <w:szCs w:val="24"/>
          <w:u w:val="single"/>
          <w:lang w:val="en-US" w:eastAsia="zh-CN"/>
        </w:rPr>
        <w:t xml:space="preserve"> </w:t>
      </w:r>
      <w:r>
        <w:rPr>
          <w:rFonts w:hint="eastAsia" w:ascii="宋体" w:hAnsi="宋体" w:cs="宋体"/>
          <w:bCs/>
          <w:color w:val="auto"/>
          <w:sz w:val="24"/>
          <w:szCs w:val="24"/>
          <w:u w:val="single"/>
          <w:lang w:val="en-US" w:eastAsia="zh-CN"/>
        </w:rPr>
        <w:t xml:space="preserve">  </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%分包给中小企业。</w:t>
      </w:r>
    </w:p>
    <w:p w14:paraId="447628E0">
      <w:pPr>
        <w:spacing w:line="360" w:lineRule="auto"/>
        <w:ind w:firstLine="482" w:firstLineChars="200"/>
        <w:rPr>
          <w:rFonts w:hint="eastAsia" w:ascii="宋体" w:hAnsi="宋体" w:cs="宋体"/>
          <w:b/>
          <w:bCs/>
          <w:iCs/>
          <w:color w:val="auto"/>
          <w:sz w:val="24"/>
          <w:highlight w:val="none"/>
          <w:u w:val="none"/>
          <w:lang w:val="en-US" w:eastAsia="zh-CN"/>
        </w:rPr>
      </w:pPr>
      <w:r>
        <w:rPr>
          <w:rFonts w:hint="eastAsia" w:ascii="宋体" w:hAnsi="宋体" w:cs="宋体"/>
          <w:b/>
          <w:bCs/>
          <w:iCs/>
          <w:color w:val="auto"/>
          <w:sz w:val="24"/>
          <w:highlight w:val="none"/>
          <w:lang w:val="en-US" w:eastAsia="zh-CN"/>
        </w:rPr>
        <w:t>3</w:t>
      </w:r>
      <w:r>
        <w:rPr>
          <w:rFonts w:hint="eastAsia" w:ascii="宋体" w:hAnsi="宋体" w:eastAsia="宋体" w:cs="宋体"/>
          <w:b/>
          <w:bCs/>
          <w:iCs/>
          <w:color w:val="auto"/>
          <w:sz w:val="24"/>
          <w:highlight w:val="none"/>
        </w:rPr>
        <w:t>.</w:t>
      </w:r>
      <w:r>
        <w:rPr>
          <w:rFonts w:hint="eastAsia" w:ascii="宋体" w:hAnsi="宋体" w:cs="宋体"/>
          <w:b/>
          <w:bCs/>
          <w:iCs/>
          <w:color w:val="auto"/>
          <w:sz w:val="24"/>
          <w:highlight w:val="none"/>
          <w:u w:val="none"/>
          <w:lang w:val="en-US" w:eastAsia="zh-CN"/>
        </w:rPr>
        <w:t>本项目的特定资格要求：</w:t>
      </w:r>
    </w:p>
    <w:p w14:paraId="493D6B4A">
      <w:pPr>
        <w:adjustRightInd w:val="0"/>
        <w:snapToGrid w:val="0"/>
        <w:spacing w:line="360" w:lineRule="auto"/>
        <w:ind w:firstLine="480" w:firstLineChars="200"/>
        <w:rPr>
          <w:rFonts w:hint="eastAsia" w:ascii="宋体" w:hAnsi="宋体" w:eastAsia="宋体" w:cs="宋体"/>
          <w:iCs/>
          <w:color w:val="auto"/>
          <w:sz w:val="24"/>
        </w:rPr>
      </w:pPr>
      <w:r>
        <w:rPr>
          <w:rFonts w:hint="eastAsia" w:ascii="宋体" w:hAnsi="宋体" w:cs="宋体"/>
          <w:iCs/>
          <w:color w:val="auto"/>
          <w:sz w:val="24"/>
          <w:lang w:val="en-US" w:eastAsia="zh-CN"/>
        </w:rPr>
        <w:t>4</w:t>
      </w:r>
      <w:r>
        <w:rPr>
          <w:rFonts w:hint="eastAsia" w:ascii="宋体" w:hAnsi="宋体" w:eastAsia="宋体" w:cs="宋体"/>
          <w:iCs/>
          <w:color w:val="auto"/>
          <w:sz w:val="24"/>
        </w:rPr>
        <w:t>.单位负责人为同一人或者存在直接控股、管理关系的不同</w:t>
      </w:r>
      <w:r>
        <w:rPr>
          <w:rFonts w:hint="eastAsia" w:ascii="宋体" w:hAnsi="宋体" w:eastAsia="宋体" w:cs="宋体"/>
          <w:iCs/>
          <w:color w:val="auto"/>
          <w:sz w:val="24"/>
          <w:lang w:eastAsia="zh-CN"/>
        </w:rPr>
        <w:t>供应商</w:t>
      </w:r>
      <w:r>
        <w:rPr>
          <w:rFonts w:hint="eastAsia" w:ascii="宋体" w:hAnsi="宋体" w:eastAsia="宋体" w:cs="宋体"/>
          <w:iCs/>
          <w:color w:val="auto"/>
          <w:sz w:val="24"/>
        </w:rPr>
        <w:t>，不得参加本项目同一合同项下的政府采购活动。</w:t>
      </w:r>
    </w:p>
    <w:p w14:paraId="73364627">
      <w:pPr>
        <w:adjustRightInd w:val="0"/>
        <w:snapToGrid w:val="0"/>
        <w:spacing w:line="360" w:lineRule="auto"/>
        <w:ind w:firstLine="480" w:firstLineChars="200"/>
        <w:rPr>
          <w:rFonts w:hint="eastAsia" w:ascii="宋体" w:hAnsi="宋体" w:eastAsia="宋体" w:cs="宋体"/>
          <w:iCs/>
          <w:color w:val="auto"/>
          <w:sz w:val="24"/>
        </w:rPr>
      </w:pPr>
      <w:r>
        <w:rPr>
          <w:rFonts w:hint="eastAsia" w:ascii="宋体" w:hAnsi="宋体" w:cs="宋体"/>
          <w:iCs/>
          <w:color w:val="auto"/>
          <w:sz w:val="24"/>
          <w:lang w:val="en-US" w:eastAsia="zh-CN"/>
        </w:rPr>
        <w:t>5</w:t>
      </w:r>
      <w:r>
        <w:rPr>
          <w:rFonts w:hint="eastAsia" w:ascii="宋体" w:hAnsi="宋体" w:eastAsia="宋体" w:cs="宋体"/>
          <w:iCs/>
          <w:color w:val="auto"/>
          <w:sz w:val="24"/>
        </w:rPr>
        <w:t>.为本采购项目提供整体设计、规范编制或者项目管理、监理、检测等服务的，不得再参加本项目的其他招标采购活动。</w:t>
      </w:r>
    </w:p>
    <w:p w14:paraId="423F476A">
      <w:pPr>
        <w:adjustRightInd w:val="0"/>
        <w:snapToGrid w:val="0"/>
        <w:spacing w:line="360" w:lineRule="auto"/>
        <w:ind w:firstLine="480" w:firstLineChars="200"/>
        <w:rPr>
          <w:rFonts w:hint="eastAsia" w:ascii="宋体" w:hAnsi="宋体" w:eastAsia="宋体" w:cs="宋体"/>
          <w:iCs/>
          <w:color w:val="auto"/>
          <w:sz w:val="24"/>
        </w:rPr>
      </w:pPr>
      <w:r>
        <w:rPr>
          <w:rFonts w:hint="eastAsia" w:ascii="宋体" w:hAnsi="宋体" w:cs="宋体"/>
          <w:iCs/>
          <w:color w:val="auto"/>
          <w:sz w:val="24"/>
          <w:lang w:val="en-US" w:eastAsia="zh-CN"/>
        </w:rPr>
        <w:t>6</w:t>
      </w:r>
      <w:r>
        <w:rPr>
          <w:rFonts w:hint="eastAsia" w:ascii="宋体" w:hAnsi="宋体" w:eastAsia="宋体" w:cs="宋体"/>
          <w:iCs/>
          <w:color w:val="auto"/>
          <w:sz w:val="24"/>
        </w:rPr>
        <w:t>.未被列入失信被执行人、重大税收违法案件当事人名单，未被列入政府采购严重违法失信行为记录名单。</w:t>
      </w:r>
    </w:p>
    <w:p w14:paraId="600A2371">
      <w:pPr>
        <w:adjustRightInd w:val="0"/>
        <w:snapToGrid w:val="0"/>
        <w:spacing w:line="360" w:lineRule="auto"/>
        <w:ind w:firstLine="480" w:firstLineChars="200"/>
        <w:rPr>
          <w:rFonts w:hint="default" w:ascii="宋体" w:hAnsi="宋体" w:eastAsia="宋体" w:cs="宋体"/>
          <w:b w:val="0"/>
          <w:bCs w:val="0"/>
          <w:iCs/>
          <w:color w:val="auto"/>
          <w:sz w:val="24"/>
          <w:highlight w:val="yellow"/>
          <w:lang w:val="en-US" w:eastAsia="zh-CN"/>
        </w:rPr>
      </w:pPr>
      <w:r>
        <w:rPr>
          <w:rFonts w:hint="eastAsia" w:ascii="宋体" w:hAnsi="宋体" w:cs="宋体"/>
          <w:b w:val="0"/>
          <w:bCs w:val="0"/>
          <w:iCs/>
          <w:color w:val="auto"/>
          <w:sz w:val="24"/>
          <w:highlight w:val="none"/>
          <w:lang w:val="en-US" w:eastAsia="zh-CN"/>
        </w:rPr>
        <w:t>7</w:t>
      </w:r>
      <w:r>
        <w:rPr>
          <w:rFonts w:hint="eastAsia" w:ascii="宋体" w:hAnsi="宋体" w:eastAsia="宋体" w:cs="宋体"/>
          <w:b w:val="0"/>
          <w:bCs w:val="0"/>
          <w:iCs/>
          <w:color w:val="auto"/>
          <w:sz w:val="24"/>
          <w:highlight w:val="none"/>
        </w:rPr>
        <w:t>.</w:t>
      </w:r>
      <w:r>
        <w:rPr>
          <w:rFonts w:hint="eastAsia" w:ascii="宋体" w:hAnsi="宋体" w:eastAsia="宋体" w:cs="宋体"/>
          <w:color w:val="auto"/>
          <w:sz w:val="24"/>
          <w:szCs w:val="24"/>
          <w:highlight w:val="none"/>
        </w:rPr>
        <w:t>联合体投标。本次招标</w:t>
      </w:r>
      <w:r>
        <w:rPr>
          <w:rFonts w:hint="eastAsia" w:ascii="宋体" w:hAnsi="宋体" w:eastAsia="宋体" w:cs="宋体"/>
          <w:color w:val="auto"/>
          <w:sz w:val="24"/>
          <w:szCs w:val="24"/>
          <w:highlight w:val="none"/>
          <w:u w:val="single"/>
        </w:rPr>
        <w:t xml:space="preserve">  不接受</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(接受或不接受)联合体投标。接受联合体投标的，联合体应当具备下列条件：</w:t>
      </w:r>
      <w:r>
        <w:rPr>
          <w:rFonts w:hint="eastAsia" w:ascii="宋体" w:hAnsi="宋体" w:eastAsia="宋体" w:cs="宋体"/>
          <w:color w:val="auto"/>
          <w:sz w:val="24"/>
          <w:szCs w:val="24"/>
          <w:highlight w:val="none"/>
          <w:u w:val="single"/>
        </w:rPr>
        <w:t xml:space="preserve">        </w:t>
      </w:r>
      <w:r>
        <w:rPr>
          <w:rFonts w:hint="eastAsia" w:ascii="宋体" w:hAnsi="宋体" w:cs="宋体"/>
          <w:b/>
          <w:bCs/>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68A0403">
      <w:pPr>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五、获取招标文件的时间、期限、地点及方式</w:t>
      </w:r>
    </w:p>
    <w:p w14:paraId="0B0052BB">
      <w:pPr>
        <w:adjustRightInd w:val="0"/>
        <w:snapToGrid w:val="0"/>
        <w:spacing w:line="360" w:lineRule="auto"/>
        <w:ind w:left="239" w:leftChars="114"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本项目实行电子交易，有意参加投标者，于</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u w:val="single"/>
          <w:lang w:val="en-US" w:eastAsia="zh-CN"/>
        </w:rPr>
        <w:t>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u w:val="single"/>
          <w:lang w:val="en-US" w:eastAsia="zh-CN"/>
        </w:rPr>
        <w:t xml:space="preserve"> 12 </w:t>
      </w:r>
      <w:r>
        <w:rPr>
          <w:rFonts w:hint="eastAsia" w:ascii="宋体" w:hAnsi="宋体" w:eastAsia="宋体" w:cs="宋体"/>
          <w:color w:val="auto"/>
          <w:sz w:val="24"/>
          <w:szCs w:val="24"/>
          <w:highlight w:val="none"/>
        </w:rPr>
        <w:t>日至</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lang w:val="en-US" w:eastAsia="zh-CN"/>
        </w:rPr>
        <w:t>年</w:t>
      </w:r>
      <w:r>
        <w:rPr>
          <w:rFonts w:hint="eastAsia" w:ascii="宋体" w:hAnsi="宋体" w:cs="宋体"/>
          <w:color w:val="auto"/>
          <w:sz w:val="24"/>
          <w:szCs w:val="24"/>
          <w:highlight w:val="none"/>
          <w:u w:val="single"/>
          <w:lang w:val="en-US" w:eastAsia="zh-CN"/>
        </w:rPr>
        <w:t>9</w:t>
      </w:r>
      <w:r>
        <w:rPr>
          <w:rFonts w:hint="eastAsia" w:ascii="宋体" w:hAnsi="宋体" w:eastAsia="宋体" w:cs="宋体"/>
          <w:color w:val="auto"/>
          <w:sz w:val="24"/>
          <w:szCs w:val="24"/>
          <w:highlight w:val="none"/>
          <w:lang w:val="en-US" w:eastAsia="zh-CN"/>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1 </w:t>
      </w:r>
      <w:r>
        <w:rPr>
          <w:rFonts w:hint="eastAsia" w:ascii="宋体" w:hAnsi="宋体" w:eastAsia="宋体" w:cs="宋体"/>
          <w:color w:val="auto"/>
          <w:sz w:val="24"/>
          <w:szCs w:val="24"/>
          <w:highlight w:val="none"/>
        </w:rPr>
        <w:t>日（北京时间）</w:t>
      </w:r>
      <w:r>
        <w:rPr>
          <w:rFonts w:hint="eastAsia" w:ascii="宋体" w:hAnsi="宋体" w:eastAsia="宋体" w:cs="宋体"/>
          <w:color w:val="auto"/>
          <w:sz w:val="24"/>
          <w:szCs w:val="24"/>
          <w:highlight w:val="none"/>
          <w:lang w:val="en-US" w:eastAsia="zh-CN"/>
        </w:rPr>
        <w:t>登</w:t>
      </w:r>
      <w:r>
        <w:rPr>
          <w:rFonts w:hint="eastAsia" w:ascii="宋体" w:hAnsi="宋体" w:cs="宋体"/>
          <w:color w:val="auto"/>
          <w:sz w:val="24"/>
          <w:szCs w:val="24"/>
          <w:highlight w:val="none"/>
          <w:lang w:val="en-US" w:eastAsia="zh-CN"/>
        </w:rPr>
        <w:t>录</w:t>
      </w:r>
      <w:r>
        <w:rPr>
          <w:rFonts w:hint="eastAsia" w:ascii="宋体" w:hAnsi="宋体" w:eastAsia="宋体" w:cs="宋体"/>
          <w:color w:val="auto"/>
          <w:sz w:val="24"/>
          <w:szCs w:val="24"/>
          <w:highlight w:val="none"/>
          <w:u w:val="single"/>
        </w:rPr>
        <w:t>《湘西公共资源交易网》（</w:t>
      </w:r>
      <w:r>
        <w:rPr>
          <w:rFonts w:hint="eastAsia" w:ascii="宋体" w:hAnsi="宋体" w:cs="宋体"/>
          <w:color w:val="auto"/>
          <w:sz w:val="24"/>
          <w:szCs w:val="24"/>
          <w:highlight w:val="none"/>
          <w:u w:val="single"/>
          <w:lang w:eastAsia="zh-CN"/>
        </w:rPr>
        <w:t>http://xxzggzyjy.cn/</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获取电子版招标文件。</w:t>
      </w:r>
    </w:p>
    <w:p w14:paraId="6315C3B8">
      <w:pPr>
        <w:adjustRightInd w:val="0"/>
        <w:spacing w:line="360" w:lineRule="auto"/>
        <w:ind w:firstLine="482" w:firstLineChars="200"/>
        <w:jc w:val="left"/>
        <w:rPr>
          <w:rFonts w:hint="eastAsia" w:ascii="宋体" w:hAnsi="宋体" w:eastAsia="宋体" w:cs="宋体"/>
          <w:color w:val="auto"/>
          <w:sz w:val="24"/>
          <w:szCs w:val="24"/>
          <w:u w:val="none"/>
        </w:rPr>
      </w:pPr>
      <w:r>
        <w:rPr>
          <w:rFonts w:hint="eastAsia" w:ascii="宋体" w:hAnsi="宋体" w:eastAsia="宋体" w:cs="宋体"/>
          <w:b/>
          <w:bCs/>
          <w:iCs/>
          <w:color w:val="auto"/>
          <w:sz w:val="24"/>
          <w:szCs w:val="24"/>
        </w:rPr>
        <w:t>方式：</w:t>
      </w:r>
      <w:r>
        <w:rPr>
          <w:rFonts w:hint="eastAsia" w:ascii="宋体" w:hAnsi="宋体" w:eastAsia="宋体" w:cs="宋体"/>
          <w:b/>
          <w:color w:val="auto"/>
          <w:kern w:val="0"/>
          <w:sz w:val="24"/>
          <w:szCs w:val="24"/>
          <w:u w:val="single"/>
          <w:lang w:eastAsia="zh-CN"/>
        </w:rPr>
        <w:t>投标人</w:t>
      </w:r>
      <w:r>
        <w:rPr>
          <w:rFonts w:hint="eastAsia" w:ascii="宋体" w:hAnsi="宋体" w:eastAsia="宋体" w:cs="宋体"/>
          <w:b/>
          <w:color w:val="auto"/>
          <w:kern w:val="0"/>
          <w:sz w:val="24"/>
          <w:szCs w:val="24"/>
          <w:u w:val="single"/>
        </w:rPr>
        <w:t>必须在《湘西公共资源交易网》（</w:t>
      </w:r>
      <w:r>
        <w:rPr>
          <w:rFonts w:hint="eastAsia" w:ascii="宋体" w:hAnsi="宋体" w:cs="宋体"/>
          <w:b/>
          <w:color w:val="auto"/>
          <w:kern w:val="0"/>
          <w:sz w:val="24"/>
          <w:szCs w:val="24"/>
          <w:u w:val="single"/>
          <w:lang w:eastAsia="zh-CN"/>
        </w:rPr>
        <w:t>http://xxzggzyjy.cn/</w:t>
      </w:r>
      <w:r>
        <w:rPr>
          <w:rFonts w:hint="eastAsia" w:ascii="宋体" w:hAnsi="宋体" w:eastAsia="宋体" w:cs="宋体"/>
          <w:b/>
          <w:color w:val="auto"/>
          <w:kern w:val="0"/>
          <w:sz w:val="24"/>
          <w:szCs w:val="24"/>
          <w:u w:val="single"/>
        </w:rPr>
        <w:t>）进行注册登记和办理购买CA数字证书</w:t>
      </w:r>
      <w:r>
        <w:rPr>
          <w:rFonts w:hint="eastAsia" w:ascii="宋体" w:hAnsi="宋体" w:eastAsia="宋体" w:cs="宋体"/>
          <w:b/>
          <w:color w:val="auto"/>
          <w:kern w:val="0"/>
          <w:sz w:val="24"/>
          <w:szCs w:val="24"/>
          <w:u w:val="none"/>
        </w:rPr>
        <w:t>。</w:t>
      </w:r>
    </w:p>
    <w:p w14:paraId="1A580178">
      <w:pPr>
        <w:widowControl/>
        <w:adjustRightInd w:val="0"/>
        <w:spacing w:line="360" w:lineRule="auto"/>
        <w:ind w:firstLine="482" w:firstLineChars="200"/>
        <w:jc w:val="left"/>
        <w:rPr>
          <w:rFonts w:hint="eastAsia" w:ascii="宋体" w:hAnsi="宋体" w:eastAsia="宋体" w:cs="宋体"/>
          <w:sz w:val="24"/>
          <w:szCs w:val="24"/>
        </w:rPr>
      </w:pPr>
      <w:r>
        <w:rPr>
          <w:rFonts w:hint="eastAsia" w:ascii="宋体" w:hAnsi="宋体" w:eastAsia="宋体" w:cs="宋体"/>
          <w:b/>
          <w:color w:val="auto"/>
          <w:kern w:val="0"/>
          <w:sz w:val="24"/>
          <w:szCs w:val="24"/>
        </w:rPr>
        <w:t>下载电子采购文件流程：</w:t>
      </w:r>
      <w:r>
        <w:rPr>
          <w:rFonts w:hint="eastAsia" w:ascii="宋体" w:hAnsi="宋体" w:eastAsia="宋体" w:cs="宋体"/>
          <w:iCs/>
          <w:color w:val="auto"/>
          <w:sz w:val="24"/>
          <w:szCs w:val="24"/>
        </w:rPr>
        <w:t>登</w:t>
      </w:r>
      <w:r>
        <w:rPr>
          <w:rFonts w:hint="eastAsia" w:ascii="宋体" w:hAnsi="宋体" w:cs="宋体"/>
          <w:iCs/>
          <w:color w:val="auto"/>
          <w:sz w:val="24"/>
          <w:szCs w:val="24"/>
          <w:lang w:val="en-US" w:eastAsia="zh-CN"/>
        </w:rPr>
        <w:t>录</w:t>
      </w:r>
      <w:r>
        <w:rPr>
          <w:rFonts w:hint="eastAsia" w:ascii="宋体" w:hAnsi="宋体" w:eastAsia="宋体" w:cs="宋体"/>
          <w:iCs/>
          <w:color w:val="auto"/>
          <w:sz w:val="24"/>
          <w:szCs w:val="24"/>
        </w:rPr>
        <w:t>《湘西公共资源交易网》→点击“一站式”综合服务系统→点击</w:t>
      </w:r>
      <w:r>
        <w:rPr>
          <w:rFonts w:hint="eastAsia" w:ascii="宋体" w:hAnsi="宋体" w:eastAsia="宋体" w:cs="宋体"/>
          <w:iCs/>
          <w:color w:val="auto"/>
          <w:sz w:val="24"/>
          <w:szCs w:val="24"/>
          <w:lang w:eastAsia="zh-CN"/>
        </w:rPr>
        <w:t>投标供应商</w:t>
      </w:r>
      <w:r>
        <w:rPr>
          <w:rFonts w:hint="eastAsia" w:ascii="宋体" w:hAnsi="宋体" w:eastAsia="宋体" w:cs="宋体"/>
          <w:iCs/>
          <w:color w:val="auto"/>
          <w:sz w:val="24"/>
          <w:szCs w:val="24"/>
        </w:rPr>
        <w:t>/</w:t>
      </w:r>
      <w:r>
        <w:rPr>
          <w:rFonts w:hint="eastAsia" w:ascii="宋体" w:hAnsi="宋体" w:eastAsia="宋体" w:cs="宋体"/>
          <w:iCs/>
          <w:color w:val="auto"/>
          <w:sz w:val="24"/>
          <w:szCs w:val="24"/>
          <w:lang w:val="en-US" w:eastAsia="zh-CN"/>
        </w:rPr>
        <w:t>竞</w:t>
      </w:r>
      <w:r>
        <w:rPr>
          <w:rFonts w:hint="eastAsia" w:ascii="宋体" w:hAnsi="宋体" w:eastAsia="宋体" w:cs="宋体"/>
          <w:iCs/>
          <w:color w:val="auto"/>
          <w:sz w:val="24"/>
          <w:szCs w:val="24"/>
        </w:rPr>
        <w:t>买方登录→CA数字证书登录→点击“采购业务-选择投标项目”菜单，进入页面→点击“操作”按钮，进入到标段信息页面，点击我要投标→点击“采购业务-采购公告及文件下载”菜单，进入页面→点击“领取”下载按钮，进入详细页面→点击“下载招标文件”按钮，进入文件详细页面进行交易文件下载。</w:t>
      </w:r>
    </w:p>
    <w:p w14:paraId="48232F1C">
      <w:pPr>
        <w:adjustRightInd w:val="0"/>
        <w:snapToGrid w:val="0"/>
        <w:spacing w:line="360" w:lineRule="auto"/>
        <w:rPr>
          <w:rFonts w:hint="eastAsia" w:ascii="宋体" w:hAnsi="宋体" w:eastAsia="宋体" w:cs="宋体"/>
          <w:b/>
          <w:color w:val="auto"/>
          <w:sz w:val="24"/>
          <w:szCs w:val="24"/>
        </w:rPr>
      </w:pPr>
      <w:r>
        <w:rPr>
          <w:rFonts w:hint="eastAsia" w:ascii="宋体" w:hAnsi="宋体" w:eastAsia="宋体" w:cs="宋体"/>
          <w:b/>
          <w:color w:val="auto"/>
          <w:sz w:val="24"/>
          <w:szCs w:val="24"/>
        </w:rPr>
        <w:t>六、投标截止时间、开标时间及地点</w:t>
      </w:r>
    </w:p>
    <w:p w14:paraId="5D9D6837">
      <w:pPr>
        <w:keepNext w:val="0"/>
        <w:keepLines w:val="0"/>
        <w:pageBreakBefore w:val="0"/>
        <w:widowControl w:val="0"/>
        <w:kinsoku/>
        <w:wordWrap w:val="0"/>
        <w:overflowPunct/>
        <w:topLinePunct w:val="0"/>
        <w:autoSpaceDE/>
        <w:autoSpaceDN/>
        <w:bidi w:val="0"/>
        <w:adjustRightInd/>
        <w:snapToGrid/>
        <w:spacing w:line="360" w:lineRule="auto"/>
        <w:ind w:firstLine="420" w:firstLineChars="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1、提交投标文件的截止时间：</w:t>
      </w:r>
      <w:r>
        <w:rPr>
          <w:rFonts w:hint="eastAsia" w:ascii="宋体" w:hAnsi="宋体" w:cs="宋体"/>
          <w:color w:val="auto"/>
          <w:sz w:val="24"/>
          <w:szCs w:val="24"/>
          <w:u w:val="single"/>
          <w:lang w:val="en-US" w:eastAsia="zh-CN"/>
        </w:rPr>
        <w:t>2026</w:t>
      </w:r>
      <w:r>
        <w:rPr>
          <w:rFonts w:hint="eastAsia" w:ascii="宋体" w:hAnsi="宋体" w:eastAsia="宋体" w:cs="宋体"/>
          <w:color w:val="auto"/>
          <w:sz w:val="24"/>
          <w:szCs w:val="24"/>
        </w:rPr>
        <w:t>年</w:t>
      </w:r>
      <w:r>
        <w:rPr>
          <w:rFonts w:hint="eastAsia" w:ascii="宋体" w:hAnsi="宋体" w:cs="宋体"/>
          <w:color w:val="auto"/>
          <w:sz w:val="24"/>
          <w:szCs w:val="24"/>
          <w:u w:val="single"/>
          <w:lang w:val="en-US" w:eastAsia="zh-CN"/>
        </w:rPr>
        <w:t>9</w:t>
      </w:r>
      <w:r>
        <w:rPr>
          <w:rFonts w:hint="eastAsia" w:ascii="宋体" w:hAnsi="宋体" w:eastAsia="宋体" w:cs="宋体"/>
          <w:color w:val="auto"/>
          <w:sz w:val="24"/>
          <w:szCs w:val="24"/>
        </w:rPr>
        <w:t>月</w:t>
      </w:r>
      <w:r>
        <w:rPr>
          <w:rFonts w:hint="eastAsia" w:ascii="宋体" w:hAnsi="宋体" w:cs="宋体"/>
          <w:color w:val="auto"/>
          <w:sz w:val="24"/>
          <w:szCs w:val="24"/>
          <w:u w:val="single"/>
          <w:lang w:val="en-US" w:eastAsia="zh-CN"/>
        </w:rPr>
        <w:t xml:space="preserve">2 </w:t>
      </w:r>
      <w:r>
        <w:rPr>
          <w:rFonts w:hint="eastAsia" w:ascii="宋体" w:hAnsi="宋体" w:eastAsia="宋体" w:cs="宋体"/>
          <w:color w:val="auto"/>
          <w:sz w:val="24"/>
          <w:szCs w:val="24"/>
        </w:rPr>
        <w:t>日</w:t>
      </w:r>
      <w:r>
        <w:rPr>
          <w:rFonts w:hint="eastAsia" w:ascii="宋体" w:hAnsi="宋体" w:cs="宋体"/>
          <w:color w:val="auto"/>
          <w:sz w:val="24"/>
          <w:szCs w:val="24"/>
          <w:u w:val="single"/>
          <w:lang w:val="en-US" w:eastAsia="zh-CN"/>
        </w:rPr>
        <w:t>9</w:t>
      </w:r>
      <w:r>
        <w:rPr>
          <w:rFonts w:hint="eastAsia" w:ascii="宋体" w:hAnsi="宋体" w:eastAsia="宋体" w:cs="宋体"/>
          <w:color w:val="auto"/>
          <w:sz w:val="24"/>
          <w:szCs w:val="24"/>
        </w:rPr>
        <w:t>时</w:t>
      </w:r>
      <w:r>
        <w:rPr>
          <w:rFonts w:hint="eastAsia" w:ascii="宋体" w:hAnsi="宋体" w:cs="宋体"/>
          <w:color w:val="auto"/>
          <w:sz w:val="24"/>
          <w:szCs w:val="24"/>
          <w:u w:val="single"/>
          <w:lang w:val="en-US" w:eastAsia="zh-CN"/>
        </w:rPr>
        <w:t>00</w:t>
      </w:r>
      <w:r>
        <w:rPr>
          <w:rFonts w:hint="eastAsia" w:ascii="宋体" w:hAnsi="宋体" w:eastAsia="宋体" w:cs="宋体"/>
          <w:color w:val="auto"/>
          <w:sz w:val="24"/>
          <w:szCs w:val="24"/>
        </w:rPr>
        <w:t>分（北京时间）；</w:t>
      </w:r>
      <w:r>
        <w:rPr>
          <w:rFonts w:hint="eastAsia" w:ascii="宋体" w:hAnsi="宋体" w:eastAsia="宋体" w:cs="宋体"/>
          <w:iCs/>
          <w:color w:val="auto"/>
          <w:sz w:val="24"/>
          <w:szCs w:val="24"/>
        </w:rPr>
        <w:t>请</w:t>
      </w:r>
      <w:r>
        <w:rPr>
          <w:rFonts w:hint="eastAsia" w:ascii="宋体" w:hAnsi="宋体" w:eastAsia="宋体" w:cs="宋体"/>
          <w:iCs/>
          <w:color w:val="auto"/>
          <w:sz w:val="24"/>
          <w:szCs w:val="24"/>
          <w:lang w:eastAsia="zh-CN"/>
        </w:rPr>
        <w:t>投标人</w:t>
      </w:r>
      <w:r>
        <w:rPr>
          <w:rFonts w:hint="eastAsia" w:ascii="宋体" w:hAnsi="宋体" w:eastAsia="宋体" w:cs="宋体"/>
          <w:iCs/>
          <w:color w:val="auto"/>
          <w:sz w:val="24"/>
          <w:szCs w:val="24"/>
        </w:rPr>
        <w:t>登录《湘西公共资源交易中心》</w:t>
      </w:r>
      <w:r>
        <w:rPr>
          <w:rFonts w:hint="eastAsia" w:ascii="宋体" w:hAnsi="宋体" w:eastAsia="宋体" w:cs="宋体"/>
          <w:color w:val="auto"/>
          <w:kern w:val="0"/>
          <w:sz w:val="24"/>
          <w:szCs w:val="24"/>
        </w:rPr>
        <w:t>(</w:t>
      </w:r>
      <w:r>
        <w:rPr>
          <w:rFonts w:hint="eastAsia" w:ascii="宋体" w:hAnsi="宋体" w:cs="宋体"/>
          <w:b/>
          <w:color w:val="auto"/>
          <w:kern w:val="0"/>
          <w:sz w:val="24"/>
          <w:szCs w:val="24"/>
          <w:u w:val="single"/>
          <w:lang w:eastAsia="zh-CN"/>
        </w:rPr>
        <w:t>http://xxzggzyjy.cn/</w:t>
      </w:r>
      <w:r>
        <w:rPr>
          <w:rFonts w:hint="eastAsia" w:ascii="宋体" w:hAnsi="宋体" w:eastAsia="宋体" w:cs="宋体"/>
          <w:color w:val="auto"/>
          <w:kern w:val="0"/>
          <w:sz w:val="24"/>
          <w:szCs w:val="24"/>
        </w:rPr>
        <w:t>)</w:t>
      </w:r>
      <w:r>
        <w:rPr>
          <w:rFonts w:hint="eastAsia" w:ascii="宋体" w:hAnsi="宋体" w:eastAsia="宋体" w:cs="宋体"/>
          <w:iCs/>
          <w:color w:val="auto"/>
          <w:sz w:val="24"/>
          <w:szCs w:val="24"/>
        </w:rPr>
        <w:t>下载电子投标文件制作工具编制投标文件，</w:t>
      </w:r>
      <w:r>
        <w:rPr>
          <w:rFonts w:hint="eastAsia" w:ascii="宋体" w:hAnsi="宋体" w:eastAsia="宋体" w:cs="宋体"/>
          <w:iCs/>
          <w:color w:val="auto"/>
          <w:sz w:val="24"/>
          <w:szCs w:val="24"/>
          <w:lang w:eastAsia="zh-CN"/>
        </w:rPr>
        <w:t>投标人</w:t>
      </w:r>
      <w:r>
        <w:rPr>
          <w:rFonts w:hint="eastAsia" w:ascii="宋体" w:hAnsi="宋体" w:eastAsia="宋体" w:cs="宋体"/>
          <w:iCs/>
          <w:color w:val="auto"/>
          <w:sz w:val="24"/>
          <w:szCs w:val="24"/>
        </w:rPr>
        <w:t>应在投标</w:t>
      </w:r>
      <w:r>
        <w:rPr>
          <w:rFonts w:hint="eastAsia" w:ascii="宋体" w:hAnsi="宋体" w:cs="宋体"/>
          <w:iCs/>
          <w:color w:val="auto"/>
          <w:sz w:val="24"/>
          <w:szCs w:val="24"/>
          <w:lang w:eastAsia="zh-CN"/>
        </w:rPr>
        <w:t>截止</w:t>
      </w:r>
      <w:r>
        <w:rPr>
          <w:rFonts w:hint="eastAsia" w:ascii="宋体" w:hAnsi="宋体" w:eastAsia="宋体" w:cs="宋体"/>
          <w:iCs/>
          <w:color w:val="auto"/>
          <w:sz w:val="24"/>
          <w:szCs w:val="24"/>
        </w:rPr>
        <w:t>时间前通过电子招标投标交易平台上传数据电文形式的电子投标文件。逾期递交的投标文件，电子招标投标交易平台予以拒收。</w:t>
      </w:r>
    </w:p>
    <w:p w14:paraId="08F5C828">
      <w:pPr>
        <w:adjustRightInd w:val="0"/>
        <w:snapToGrid w:val="0"/>
        <w:spacing w:line="360" w:lineRule="auto"/>
        <w:ind w:firstLine="480" w:firstLineChars="200"/>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rPr>
        <w:t>2、投标地点：</w:t>
      </w:r>
      <w:r>
        <w:rPr>
          <w:rFonts w:hint="eastAsia" w:ascii="宋体" w:hAnsi="宋体" w:eastAsia="宋体" w:cs="宋体"/>
          <w:iCs/>
          <w:color w:val="auto"/>
          <w:sz w:val="24"/>
          <w:szCs w:val="24"/>
          <w:u w:val="single"/>
        </w:rPr>
        <w:t>《湘西公共资源交易中心》</w:t>
      </w:r>
      <w:r>
        <w:rPr>
          <w:rFonts w:hint="eastAsia" w:ascii="宋体" w:hAnsi="宋体" w:eastAsia="宋体" w:cs="宋体"/>
          <w:color w:val="auto"/>
          <w:kern w:val="0"/>
          <w:sz w:val="24"/>
          <w:szCs w:val="24"/>
          <w:u w:val="single"/>
        </w:rPr>
        <w:t>(</w:t>
      </w:r>
      <w:r>
        <w:rPr>
          <w:rFonts w:hint="eastAsia" w:ascii="宋体" w:hAnsi="宋体" w:cs="宋体"/>
          <w:b/>
          <w:color w:val="auto"/>
          <w:kern w:val="0"/>
          <w:sz w:val="24"/>
          <w:szCs w:val="24"/>
          <w:u w:val="single"/>
          <w:lang w:eastAsia="zh-CN"/>
        </w:rPr>
        <w:t>http://xxzggzyjy.cn/</w:t>
      </w:r>
      <w:r>
        <w:rPr>
          <w:rFonts w:hint="eastAsia" w:ascii="宋体" w:hAnsi="宋体" w:eastAsia="宋体" w:cs="宋体"/>
          <w:color w:val="auto"/>
          <w:kern w:val="0"/>
          <w:sz w:val="24"/>
          <w:szCs w:val="24"/>
          <w:u w:val="single"/>
        </w:rPr>
        <w:t>)</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none"/>
          <w:lang w:eastAsia="zh-CN"/>
        </w:rPr>
        <w:t>。</w:t>
      </w:r>
    </w:p>
    <w:p w14:paraId="4A5EA2A9">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3、开标时间：</w:t>
      </w:r>
      <w:r>
        <w:rPr>
          <w:rFonts w:hint="eastAsia" w:ascii="宋体" w:hAnsi="宋体" w:cs="宋体"/>
          <w:color w:val="auto"/>
          <w:sz w:val="24"/>
          <w:szCs w:val="24"/>
          <w:u w:val="single"/>
          <w:lang w:val="en-US" w:eastAsia="zh-CN"/>
        </w:rPr>
        <w:t>2026</w:t>
      </w:r>
      <w:r>
        <w:rPr>
          <w:rFonts w:hint="eastAsia" w:ascii="宋体" w:hAnsi="宋体" w:eastAsia="宋体" w:cs="宋体"/>
          <w:color w:val="auto"/>
          <w:sz w:val="24"/>
          <w:szCs w:val="24"/>
        </w:rPr>
        <w:t>年</w:t>
      </w:r>
      <w:r>
        <w:rPr>
          <w:rFonts w:hint="eastAsia" w:ascii="宋体" w:hAnsi="宋体" w:cs="宋体"/>
          <w:color w:val="auto"/>
          <w:sz w:val="24"/>
          <w:szCs w:val="24"/>
          <w:u w:val="single"/>
          <w:lang w:val="en-US" w:eastAsia="zh-CN"/>
        </w:rPr>
        <w:t>9</w:t>
      </w:r>
      <w:r>
        <w:rPr>
          <w:rFonts w:hint="eastAsia" w:ascii="宋体" w:hAnsi="宋体" w:eastAsia="宋体" w:cs="宋体"/>
          <w:color w:val="auto"/>
          <w:sz w:val="24"/>
          <w:szCs w:val="24"/>
        </w:rPr>
        <w:t>月</w:t>
      </w:r>
      <w:r>
        <w:rPr>
          <w:rFonts w:hint="eastAsia" w:ascii="宋体" w:hAnsi="宋体" w:cs="宋体"/>
          <w:color w:val="auto"/>
          <w:sz w:val="24"/>
          <w:szCs w:val="24"/>
          <w:u w:val="single"/>
          <w:lang w:val="en-US" w:eastAsia="zh-CN"/>
        </w:rPr>
        <w:t>2</w:t>
      </w:r>
      <w:r>
        <w:rPr>
          <w:rFonts w:hint="eastAsia" w:ascii="宋体" w:hAnsi="宋体" w:eastAsia="宋体" w:cs="宋体"/>
          <w:color w:val="auto"/>
          <w:sz w:val="24"/>
          <w:szCs w:val="24"/>
        </w:rPr>
        <w:t>日</w:t>
      </w:r>
      <w:r>
        <w:rPr>
          <w:rFonts w:hint="eastAsia" w:ascii="宋体" w:hAnsi="宋体" w:cs="宋体"/>
          <w:color w:val="auto"/>
          <w:sz w:val="24"/>
          <w:szCs w:val="24"/>
          <w:u w:val="single"/>
          <w:lang w:val="en-US" w:eastAsia="zh-CN"/>
        </w:rPr>
        <w:t>9</w:t>
      </w:r>
      <w:r>
        <w:rPr>
          <w:rFonts w:hint="eastAsia" w:ascii="宋体" w:hAnsi="宋体" w:eastAsia="宋体" w:cs="宋体"/>
          <w:color w:val="auto"/>
          <w:sz w:val="24"/>
          <w:szCs w:val="24"/>
        </w:rPr>
        <w:t>时</w:t>
      </w:r>
      <w:r>
        <w:rPr>
          <w:rFonts w:hint="eastAsia" w:ascii="宋体" w:hAnsi="宋体" w:cs="宋体"/>
          <w:color w:val="auto"/>
          <w:sz w:val="24"/>
          <w:szCs w:val="24"/>
          <w:u w:val="single"/>
          <w:lang w:val="en-US" w:eastAsia="zh-CN"/>
        </w:rPr>
        <w:t>00</w:t>
      </w:r>
      <w:r>
        <w:rPr>
          <w:rFonts w:hint="eastAsia" w:ascii="宋体" w:hAnsi="宋体" w:eastAsia="宋体" w:cs="宋体"/>
          <w:color w:val="auto"/>
          <w:sz w:val="24"/>
          <w:szCs w:val="24"/>
        </w:rPr>
        <w:t xml:space="preserve">分（北京时间）。 </w:t>
      </w:r>
    </w:p>
    <w:p w14:paraId="6EE16AE1">
      <w:pPr>
        <w:adjustRightInd w:val="0"/>
        <w:snapToGrid w:val="0"/>
        <w:spacing w:line="360" w:lineRule="auto"/>
        <w:ind w:firstLine="480" w:firstLineChars="200"/>
        <w:rPr>
          <w:rFonts w:hint="eastAsia" w:ascii="宋体" w:hAnsi="宋体" w:eastAsia="宋体" w:cs="宋体"/>
          <w:color w:val="auto"/>
          <w:kern w:val="0"/>
          <w:sz w:val="24"/>
          <w:szCs w:val="24"/>
          <w:u w:val="none"/>
          <w:lang w:eastAsia="zh-CN"/>
        </w:rPr>
      </w:pPr>
      <w:r>
        <w:rPr>
          <w:rFonts w:hint="eastAsia" w:ascii="宋体" w:hAnsi="宋体" w:eastAsia="宋体" w:cs="宋体"/>
          <w:color w:val="auto"/>
          <w:sz w:val="24"/>
          <w:szCs w:val="24"/>
        </w:rPr>
        <w:t>4、开标地点：</w:t>
      </w:r>
      <w:r>
        <w:rPr>
          <w:rFonts w:hint="eastAsia" w:ascii="宋体" w:hAnsi="宋体" w:eastAsia="宋体" w:cs="宋体"/>
          <w:color w:val="auto"/>
          <w:sz w:val="24"/>
          <w:szCs w:val="24"/>
          <w:u w:val="single"/>
        </w:rPr>
        <w:t xml:space="preserve"> 湘西</w:t>
      </w:r>
      <w:r>
        <w:rPr>
          <w:rFonts w:hint="eastAsia" w:ascii="宋体" w:hAnsi="宋体" w:cs="宋体"/>
          <w:color w:val="auto"/>
          <w:sz w:val="24"/>
          <w:szCs w:val="24"/>
          <w:u w:val="single"/>
          <w:lang w:val="en-US" w:eastAsia="zh-CN"/>
        </w:rPr>
        <w:t>土家族苗族</w:t>
      </w:r>
      <w:r>
        <w:rPr>
          <w:rFonts w:hint="eastAsia" w:ascii="宋体" w:hAnsi="宋体" w:eastAsia="宋体" w:cs="宋体"/>
          <w:color w:val="auto"/>
          <w:sz w:val="24"/>
          <w:szCs w:val="24"/>
          <w:u w:val="single"/>
        </w:rPr>
        <w:t>自治州公共资源交易中心</w:t>
      </w:r>
      <w:r>
        <w:rPr>
          <w:rFonts w:hint="eastAsia" w:ascii="宋体" w:hAnsi="宋体" w:cs="宋体"/>
          <w:color w:val="auto"/>
          <w:sz w:val="24"/>
          <w:szCs w:val="24"/>
          <w:u w:val="single"/>
          <w:lang w:val="en-US" w:eastAsia="zh-CN"/>
        </w:rPr>
        <w:t>网站的一站式综合服务系统内不见面线上开标（请投标人开标前登录系统保持在线，等待开标过程中的投标文件解密）</w:t>
      </w:r>
      <w:r>
        <w:rPr>
          <w:rFonts w:hint="eastAsia" w:ascii="宋体" w:hAnsi="宋体" w:cs="宋体"/>
          <w:color w:val="auto"/>
          <w:kern w:val="0"/>
          <w:sz w:val="24"/>
          <w:szCs w:val="24"/>
          <w:u w:val="none"/>
          <w:lang w:eastAsia="zh-CN"/>
        </w:rPr>
        <w:t>。</w:t>
      </w:r>
    </w:p>
    <w:p w14:paraId="07C8BBCD">
      <w:pPr>
        <w:spacing w:line="360" w:lineRule="auto"/>
        <w:ind w:firstLine="420" w:firstLineChars="0"/>
        <w:jc w:val="left"/>
        <w:rPr>
          <w:rFonts w:hint="eastAsia" w:ascii="宋体" w:hAnsi="宋体" w:eastAsia="宋体" w:cs="宋体"/>
          <w:iCs/>
          <w:color w:val="auto"/>
          <w:sz w:val="24"/>
          <w:szCs w:val="24"/>
        </w:rPr>
      </w:pPr>
      <w:r>
        <w:rPr>
          <w:rFonts w:hint="eastAsia" w:ascii="宋体" w:hAnsi="宋体" w:eastAsia="宋体" w:cs="宋体"/>
          <w:color w:val="auto"/>
          <w:kern w:val="0"/>
          <w:sz w:val="24"/>
          <w:szCs w:val="24"/>
          <w:u w:val="none"/>
          <w:lang w:val="en-US" w:eastAsia="zh-CN"/>
        </w:rPr>
        <w:t>5、</w:t>
      </w:r>
      <w:r>
        <w:rPr>
          <w:rFonts w:hint="eastAsia" w:ascii="宋体" w:hAnsi="宋体" w:eastAsia="宋体" w:cs="宋体"/>
          <w:iCs/>
          <w:color w:val="auto"/>
          <w:sz w:val="24"/>
          <w:szCs w:val="24"/>
        </w:rPr>
        <w:t>电子投标文件的解密截止时间</w:t>
      </w:r>
      <w:r>
        <w:rPr>
          <w:rFonts w:hint="eastAsia" w:ascii="宋体" w:hAnsi="宋体" w:eastAsia="宋体" w:cs="宋体"/>
          <w:iCs/>
          <w:color w:val="auto"/>
          <w:sz w:val="24"/>
          <w:szCs w:val="24"/>
          <w:lang w:eastAsia="zh-CN"/>
        </w:rPr>
        <w:t>：</w:t>
      </w:r>
      <w:r>
        <w:rPr>
          <w:rFonts w:hint="eastAsia" w:ascii="宋体" w:hAnsi="宋体" w:eastAsia="宋体" w:cs="宋体"/>
          <w:b/>
          <w:bCs/>
          <w:color w:val="auto"/>
          <w:sz w:val="24"/>
          <w:szCs w:val="24"/>
          <w:highlight w:val="none"/>
        </w:rPr>
        <w:t>发起解密指令后30分钟</w:t>
      </w:r>
      <w:r>
        <w:rPr>
          <w:rFonts w:hint="eastAsia" w:ascii="宋体" w:hAnsi="宋体" w:eastAsia="宋体" w:cs="宋体"/>
          <w:iCs/>
          <w:color w:val="auto"/>
          <w:sz w:val="24"/>
          <w:szCs w:val="24"/>
        </w:rPr>
        <w:t>，请</w:t>
      </w:r>
      <w:r>
        <w:rPr>
          <w:rFonts w:hint="eastAsia" w:ascii="宋体" w:hAnsi="宋体" w:eastAsia="宋体" w:cs="宋体"/>
          <w:iCs/>
          <w:color w:val="auto"/>
          <w:sz w:val="24"/>
          <w:szCs w:val="24"/>
          <w:lang w:eastAsia="zh-CN"/>
        </w:rPr>
        <w:t>投标人</w:t>
      </w:r>
      <w:r>
        <w:rPr>
          <w:rFonts w:hint="eastAsia" w:ascii="宋体" w:hAnsi="宋体" w:eastAsia="宋体" w:cs="宋体"/>
          <w:iCs/>
          <w:color w:val="auto"/>
          <w:sz w:val="24"/>
          <w:szCs w:val="24"/>
        </w:rPr>
        <w:t>确保投标文件如期解密</w:t>
      </w:r>
      <w:r>
        <w:rPr>
          <w:rFonts w:hint="eastAsia" w:ascii="宋体" w:hAnsi="宋体" w:eastAsia="宋体" w:cs="宋体"/>
          <w:iCs/>
          <w:color w:val="auto"/>
          <w:sz w:val="24"/>
          <w:szCs w:val="24"/>
          <w:lang w:eastAsia="zh-CN"/>
        </w:rPr>
        <w:t>，</w:t>
      </w:r>
      <w:r>
        <w:rPr>
          <w:rFonts w:hint="eastAsia" w:ascii="宋体" w:hAnsi="宋体" w:eastAsia="宋体" w:cs="宋体"/>
          <w:color w:val="auto"/>
          <w:sz w:val="24"/>
          <w:szCs w:val="24"/>
        </w:rPr>
        <w:t>投标文件在解密时限内未解密或解密失败，视为撤销其投标文件，开标继续进行。</w:t>
      </w:r>
      <w:r>
        <w:rPr>
          <w:rFonts w:hint="eastAsia" w:ascii="宋体" w:hAnsi="宋体" w:eastAsia="宋体" w:cs="宋体"/>
          <w:iCs/>
          <w:color w:val="auto"/>
          <w:sz w:val="24"/>
          <w:szCs w:val="24"/>
        </w:rPr>
        <w:t>。</w:t>
      </w:r>
    </w:p>
    <w:p w14:paraId="0AFDA9D7">
      <w:pPr>
        <w:pStyle w:val="16"/>
        <w:ind w:firstLine="420" w:firstLineChars="0"/>
        <w:rPr>
          <w:rFonts w:hint="eastAsia" w:ascii="宋体" w:hAnsi="宋体" w:eastAsia="宋体" w:cs="宋体"/>
          <w:sz w:val="24"/>
          <w:szCs w:val="24"/>
          <w:u w:val="none"/>
          <w:lang w:val="en-US" w:eastAsia="zh-CN"/>
        </w:rPr>
      </w:pPr>
      <w:r>
        <w:rPr>
          <w:rFonts w:hint="eastAsia" w:ascii="宋体" w:hAnsi="宋体" w:eastAsia="宋体" w:cs="宋体"/>
          <w:iCs/>
          <w:color w:val="auto"/>
          <w:sz w:val="24"/>
          <w:szCs w:val="24"/>
          <w:lang w:val="en-US" w:eastAsia="zh-CN"/>
        </w:rPr>
        <w:t>6、电子投标文件总容量不得超过200M，单个节点容量不得超过50M。</w:t>
      </w:r>
    </w:p>
    <w:p w14:paraId="22D7EB01">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b/>
          <w:color w:val="auto"/>
          <w:sz w:val="24"/>
          <w:szCs w:val="24"/>
        </w:rPr>
        <w:t>七、公告期限</w:t>
      </w:r>
      <w:r>
        <w:rPr>
          <w:rFonts w:hint="eastAsia" w:ascii="宋体" w:hAnsi="宋体" w:eastAsia="宋体" w:cs="宋体"/>
          <w:color w:val="auto"/>
          <w:sz w:val="24"/>
          <w:szCs w:val="24"/>
        </w:rPr>
        <w:t>：</w:t>
      </w:r>
    </w:p>
    <w:p w14:paraId="22991AF8">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1、本招标公告在中国湖南政府采购网（www.ccgp-hunan.gov.cn）及《湘西公共资源交易网》（</w:t>
      </w:r>
      <w:r>
        <w:rPr>
          <w:rFonts w:hint="eastAsia" w:ascii="宋体" w:hAnsi="宋体" w:cs="宋体"/>
          <w:color w:val="auto"/>
          <w:sz w:val="24"/>
          <w:szCs w:val="24"/>
          <w:lang w:eastAsia="zh-CN"/>
        </w:rPr>
        <w:t>http://xxzggzyjy.cn/</w:t>
      </w:r>
      <w:r>
        <w:rPr>
          <w:rFonts w:hint="eastAsia" w:ascii="宋体" w:hAnsi="宋体" w:eastAsia="宋体" w:cs="宋体"/>
          <w:color w:val="auto"/>
          <w:sz w:val="24"/>
          <w:szCs w:val="24"/>
        </w:rPr>
        <w:t>）发。公告期限从本招标公告发布之日起5个工作日。</w:t>
      </w:r>
    </w:p>
    <w:p w14:paraId="7ECE23A3">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2、在其他媒体发布的招标公告，公告内容以本招标公告指定媒体发布的公告为准；公告期限自本招标公告指定媒体最先发布公告之日起算。</w:t>
      </w:r>
    </w:p>
    <w:p w14:paraId="52856FA5">
      <w:pPr>
        <w:adjustRightIn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b/>
          <w:color w:val="auto"/>
          <w:kern w:val="0"/>
          <w:sz w:val="24"/>
          <w:szCs w:val="24"/>
          <w:lang w:eastAsia="zh-CN"/>
        </w:rPr>
        <w:t>八</w:t>
      </w:r>
      <w:r>
        <w:rPr>
          <w:rFonts w:hint="eastAsia" w:ascii="宋体" w:hAnsi="宋体" w:eastAsia="宋体" w:cs="宋体"/>
          <w:b/>
          <w:color w:val="auto"/>
          <w:kern w:val="0"/>
          <w:sz w:val="24"/>
          <w:szCs w:val="24"/>
        </w:rPr>
        <w:t>、其他补充事宜：</w:t>
      </w:r>
    </w:p>
    <w:p w14:paraId="31D0B1A4">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1.CA数字证书办理:</w:t>
      </w:r>
    </w:p>
    <w:p w14:paraId="7B1C3A85">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湖南省公共资源交易领域已对接湖南省 CA 证书与电子签章资源共享平台的交易系统将不再支持没有按照国家标准的《信息安全技术-安全电子签章密码技术规范》(GB/T 38540-2020)制作的电子印章和CA 证书。如果您所持有的CA证书与电子签章不符合上述国家标准，请联系之前办理的CA认证机构进行免费替换符合国家标准的CA证书和电子签章。</w:t>
      </w:r>
    </w:p>
    <w:p w14:paraId="42CBF1DE">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本项目为电子招投标项目，参与投标均须使用CA数字证书登录进行操作，具体办理流程详见《湘西公共资源交易网》(</w:t>
      </w:r>
      <w:r>
        <w:rPr>
          <w:rFonts w:hint="eastAsia" w:ascii="宋体" w:hAnsi="宋体" w:cs="宋体"/>
          <w:color w:val="auto"/>
          <w:sz w:val="24"/>
          <w:szCs w:val="24"/>
          <w:lang w:eastAsia="zh-CN"/>
        </w:rPr>
        <w:t>http://xxzggzyjy.cn/</w:t>
      </w:r>
      <w:r>
        <w:rPr>
          <w:rFonts w:hint="eastAsia" w:ascii="宋体" w:hAnsi="宋体" w:eastAsia="宋体" w:cs="宋体"/>
          <w:color w:val="auto"/>
          <w:sz w:val="24"/>
          <w:szCs w:val="24"/>
        </w:rPr>
        <w:t>)“服务导航”菜单“CA办理指南”。数字证书(含电子印章)有关业务流程或电话咨询:4009197888。</w:t>
      </w:r>
    </w:p>
    <w:p w14:paraId="449F84FA">
      <w:pPr>
        <w:adjustRightInd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2.注意事项</w:t>
      </w:r>
      <w:r>
        <w:rPr>
          <w:rFonts w:hint="eastAsia" w:ascii="宋体" w:hAnsi="宋体" w:eastAsia="宋体" w:cs="宋体"/>
          <w:color w:val="auto"/>
          <w:sz w:val="24"/>
          <w:szCs w:val="24"/>
          <w:lang w:eastAsia="zh-CN"/>
        </w:rPr>
        <w:t>：</w:t>
      </w:r>
    </w:p>
    <w:p w14:paraId="187507A7">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2.1由于对网上招投标操作不熟悉或自身电脑、个人网络等原因导致不能在投标截止时间之前完成电子投标文件上传的，相应责任由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自行承担。在使用系统过程中有疑问或困难请及时进行咨询。</w:t>
      </w:r>
    </w:p>
    <w:p w14:paraId="76D50945">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2.2如果开标时出现网络故障、技术故障等情形而影响招投标活动，</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可采取项目延期、延长电子投标文件解密时间等相应措施，以保障招投标活动的公开、公平和公正，</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不得对此持有异议。</w:t>
      </w:r>
    </w:p>
    <w:p w14:paraId="6FA6F814">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2.3开标注意事项：</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自行完成电子投标文件解密，因</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自身原因未在规定时间内完成解密或无法解密的投标文件视为撤销其投标文件，相应责任由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自行承担。</w:t>
      </w:r>
    </w:p>
    <w:p w14:paraId="432942A2">
      <w:pPr>
        <w:adjustRightInd w:val="0"/>
        <w:snapToGrid w:val="0"/>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3.询问：本项目投标过程中，电子系统使用操作遇到任何问题及时向软件公司咨询，咨询联系方式：0743-8523902。</w:t>
      </w:r>
    </w:p>
    <w:p w14:paraId="197369D0">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b/>
          <w:color w:val="auto"/>
          <w:sz w:val="24"/>
          <w:szCs w:val="24"/>
          <w:lang w:eastAsia="zh-CN"/>
        </w:rPr>
        <w:t>九</w:t>
      </w:r>
      <w:r>
        <w:rPr>
          <w:rFonts w:hint="eastAsia" w:ascii="宋体" w:hAnsi="宋体" w:eastAsia="宋体" w:cs="宋体"/>
          <w:b/>
          <w:color w:val="auto"/>
          <w:sz w:val="24"/>
          <w:szCs w:val="24"/>
        </w:rPr>
        <w:t>、询问及质疑</w:t>
      </w:r>
      <w:r>
        <w:rPr>
          <w:rFonts w:hint="eastAsia" w:ascii="宋体" w:hAnsi="宋体" w:eastAsia="宋体" w:cs="宋体"/>
          <w:color w:val="auto"/>
          <w:sz w:val="24"/>
          <w:szCs w:val="24"/>
        </w:rPr>
        <w:t>：</w:t>
      </w:r>
    </w:p>
    <w:p w14:paraId="1FE20240">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1、投标人对政府采购活动事项如有疑问的，可以向采购人、采购代理机构提出询问。采购人、采购代理机构将在3个工作日内作出答复。</w:t>
      </w:r>
    </w:p>
    <w:p w14:paraId="7F56C15F">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2、投标人对电子交易平台办理CA证书、操作等如有疑问，请咨询电子交易平台服务机构。</w:t>
      </w:r>
    </w:p>
    <w:p w14:paraId="6601D4F0">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20</w:t>
      </w:r>
      <w:r>
        <w:rPr>
          <w:rFonts w:hint="eastAsia" w:ascii="宋体" w:hAnsi="宋体" w:cs="宋体"/>
          <w:color w:val="auto"/>
          <w:sz w:val="24"/>
          <w:szCs w:val="24"/>
          <w:lang w:val="en-US" w:eastAsia="zh-CN"/>
        </w:rPr>
        <w:t>24</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67</w:t>
      </w:r>
      <w:r>
        <w:rPr>
          <w:rFonts w:hint="eastAsia" w:ascii="宋体" w:hAnsi="宋体" w:eastAsia="宋体" w:cs="宋体"/>
          <w:color w:val="auto"/>
          <w:sz w:val="24"/>
          <w:szCs w:val="24"/>
        </w:rPr>
        <w:t>号)规定，以纸质书面形式向采购人、采购代理机构提出质疑。</w:t>
      </w:r>
    </w:p>
    <w:p w14:paraId="698EB31B">
      <w:pPr>
        <w:adjustRightInd w:val="0"/>
        <w:snapToGrid w:val="0"/>
        <w:spacing w:line="360" w:lineRule="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eastAsia="zh-CN"/>
        </w:rPr>
        <w:t>十</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投标说明</w:t>
      </w:r>
    </w:p>
    <w:p w14:paraId="395395B5">
      <w:pPr>
        <w:tabs>
          <w:tab w:val="left" w:pos="4700"/>
          <w:tab w:val="left" w:pos="6000"/>
          <w:tab w:val="left" w:pos="7160"/>
          <w:tab w:val="left" w:pos="8520"/>
        </w:tabs>
        <w:autoSpaceDE w:val="0"/>
        <w:autoSpaceDN w:val="0"/>
        <w:adjustRightInd w:val="0"/>
        <w:snapToGrid w:val="0"/>
        <w:spacing w:line="360" w:lineRule="auto"/>
        <w:ind w:right="-23"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本公告选项：</w:t>
      </w:r>
      <w:r>
        <w:rPr>
          <w:rFonts w:hint="eastAsia" w:ascii="宋体" w:hAnsi="宋体" w:eastAsia="宋体" w:cs="宋体"/>
          <w:color w:val="auto"/>
          <w:sz w:val="24"/>
          <w:szCs w:val="24"/>
          <w:lang w:val="en-US" w:eastAsia="zh-CN"/>
        </w:rPr>
        <w:sym w:font="Wingdings" w:char="00FE"/>
      </w:r>
      <w:r>
        <w:rPr>
          <w:rFonts w:hint="eastAsia" w:ascii="宋体" w:hAnsi="宋体" w:eastAsia="宋体" w:cs="宋体"/>
          <w:color w:val="auto"/>
          <w:sz w:val="24"/>
          <w:szCs w:val="24"/>
          <w:lang w:val="en-US" w:eastAsia="zh-CN"/>
        </w:rPr>
        <w:t>表示选择，</w:t>
      </w:r>
      <w:r>
        <w:rPr>
          <w:rFonts w:hint="eastAsia" w:ascii="宋体" w:hAnsi="宋体" w:eastAsia="宋体" w:cs="宋体"/>
          <w:color w:val="auto"/>
          <w:sz w:val="24"/>
          <w:szCs w:val="24"/>
          <w:lang w:val="en-US" w:eastAsia="zh-CN"/>
        </w:rPr>
        <w:sym w:font="Wingdings" w:char="00A8"/>
      </w:r>
      <w:r>
        <w:rPr>
          <w:rFonts w:hint="eastAsia" w:ascii="宋体" w:hAnsi="宋体" w:eastAsia="宋体" w:cs="宋体"/>
          <w:color w:val="auto"/>
          <w:sz w:val="24"/>
          <w:szCs w:val="24"/>
          <w:lang w:val="en-US" w:eastAsia="zh-CN"/>
        </w:rPr>
        <w:t>表示未选择。</w:t>
      </w:r>
    </w:p>
    <w:p w14:paraId="0644B83A">
      <w:pPr>
        <w:adjustRightInd w:val="0"/>
        <w:snapToGrid w:val="0"/>
        <w:spacing w:line="360" w:lineRule="auto"/>
        <w:rPr>
          <w:rFonts w:hint="eastAsia" w:ascii="宋体" w:hAnsi="宋体" w:eastAsia="宋体" w:cs="宋体"/>
          <w:b/>
          <w:color w:val="auto"/>
          <w:sz w:val="24"/>
          <w:szCs w:val="24"/>
        </w:rPr>
      </w:pPr>
      <w:r>
        <w:rPr>
          <w:rFonts w:hint="eastAsia" w:ascii="宋体" w:hAnsi="宋体" w:eastAsia="宋体" w:cs="宋体"/>
          <w:b/>
          <w:color w:val="auto"/>
          <w:sz w:val="24"/>
          <w:szCs w:val="24"/>
          <w:lang w:eastAsia="zh-CN"/>
        </w:rPr>
        <w:t>十一</w:t>
      </w:r>
      <w:r>
        <w:rPr>
          <w:rFonts w:hint="eastAsia" w:ascii="宋体" w:hAnsi="宋体" w:eastAsia="宋体" w:cs="宋体"/>
          <w:b/>
          <w:color w:val="auto"/>
          <w:sz w:val="24"/>
          <w:szCs w:val="24"/>
        </w:rPr>
        <w:t>、采购项目联系人姓名和电话</w:t>
      </w:r>
    </w:p>
    <w:p w14:paraId="5B478EE9">
      <w:pPr>
        <w:adjustRightInd w:val="0"/>
        <w:snapToGrid w:val="0"/>
        <w:spacing w:line="360" w:lineRule="auto"/>
        <w:ind w:firstLine="480" w:firstLineChars="200"/>
        <w:rPr>
          <w:rFonts w:hint="default" w:ascii="宋体" w:hAnsi="宋体" w:eastAsia="宋体" w:cs="宋体"/>
          <w:color w:val="auto"/>
          <w:sz w:val="24"/>
          <w:lang w:val="en-US" w:eastAsia="zh-CN"/>
        </w:rPr>
      </w:pPr>
      <w:r>
        <w:rPr>
          <w:rFonts w:hint="eastAsia" w:ascii="宋体" w:hAnsi="宋体" w:eastAsia="宋体" w:cs="宋体"/>
          <w:color w:val="auto"/>
          <w:sz w:val="24"/>
          <w:szCs w:val="24"/>
        </w:rPr>
        <w:t>1、联系人姓名：</w:t>
      </w:r>
      <w:r>
        <w:rPr>
          <w:rFonts w:hint="eastAsia" w:ascii="宋体" w:hAnsi="宋体" w:cs="宋体"/>
          <w:color w:val="auto"/>
          <w:sz w:val="24"/>
          <w:szCs w:val="24"/>
          <w:lang w:val="en-US" w:eastAsia="zh-CN"/>
        </w:rPr>
        <w:t>韩肖</w:t>
      </w:r>
    </w:p>
    <w:p w14:paraId="280FA2C8">
      <w:pPr>
        <w:adjustRightInd w:val="0"/>
        <w:snapToGrid w:val="0"/>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2、电话：</w:t>
      </w:r>
      <w:r>
        <w:rPr>
          <w:rFonts w:hint="eastAsia" w:ascii="宋体" w:hAnsi="宋体" w:cs="宋体"/>
          <w:color w:val="auto"/>
          <w:sz w:val="24"/>
        </w:rPr>
        <w:t>0743-</w:t>
      </w:r>
      <w:r>
        <w:rPr>
          <w:rFonts w:hint="eastAsia" w:ascii="宋体" w:hAnsi="宋体" w:cs="宋体"/>
          <w:color w:val="auto"/>
          <w:sz w:val="24"/>
          <w:lang w:val="en-US" w:eastAsia="zh-CN"/>
        </w:rPr>
        <w:t>8523690</w:t>
      </w:r>
    </w:p>
    <w:p w14:paraId="7818FE98">
      <w:pPr>
        <w:adjustRightInd w:val="0"/>
        <w:snapToGrid w:val="0"/>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eastAsia="zh-CN"/>
        </w:rPr>
        <w:t>二</w:t>
      </w:r>
      <w:r>
        <w:rPr>
          <w:rFonts w:hint="eastAsia" w:ascii="宋体" w:hAnsi="宋体" w:eastAsia="宋体" w:cs="宋体"/>
          <w:b/>
          <w:bCs/>
          <w:color w:val="auto"/>
          <w:sz w:val="24"/>
          <w:szCs w:val="24"/>
        </w:rPr>
        <w:t>、采购人、采购代理机构的名称、地址和联系方法</w:t>
      </w:r>
    </w:p>
    <w:p w14:paraId="4689C29F">
      <w:pPr>
        <w:adjustRightInd w:val="0"/>
        <w:snapToGrid w:val="0"/>
        <w:spacing w:line="360" w:lineRule="auto"/>
        <w:ind w:firstLine="472" w:firstLineChars="196"/>
        <w:rPr>
          <w:rFonts w:hint="eastAsia" w:ascii="宋体" w:hAnsi="宋体" w:eastAsia="宋体" w:cs="宋体"/>
          <w:b/>
          <w:bCs/>
          <w:color w:val="auto"/>
          <w:sz w:val="24"/>
          <w:szCs w:val="24"/>
        </w:rPr>
      </w:pPr>
      <w:r>
        <w:rPr>
          <w:rFonts w:hint="eastAsia" w:ascii="宋体" w:hAnsi="宋体" w:eastAsia="宋体" w:cs="宋体"/>
          <w:b/>
          <w:bCs/>
          <w:color w:val="auto"/>
          <w:sz w:val="24"/>
          <w:szCs w:val="24"/>
        </w:rPr>
        <w:t>1</w:t>
      </w:r>
      <w:r>
        <w:rPr>
          <w:rFonts w:hint="eastAsia" w:ascii="宋体" w:hAnsi="宋体" w:eastAsia="宋体" w:cs="宋体"/>
          <w:color w:val="auto"/>
          <w:sz w:val="24"/>
          <w:szCs w:val="24"/>
        </w:rPr>
        <w:t>、</w:t>
      </w:r>
      <w:r>
        <w:rPr>
          <w:rFonts w:hint="eastAsia" w:ascii="宋体" w:hAnsi="宋体" w:eastAsia="宋体" w:cs="宋体"/>
          <w:b/>
          <w:bCs/>
          <w:color w:val="auto"/>
          <w:sz w:val="24"/>
          <w:szCs w:val="24"/>
        </w:rPr>
        <w:t>采购人信息</w:t>
      </w:r>
    </w:p>
    <w:p w14:paraId="0B9E3860">
      <w:pPr>
        <w:adjustRightInd w:val="0"/>
        <w:snapToGrid w:val="0"/>
        <w:spacing w:line="360" w:lineRule="auto"/>
        <w:ind w:firstLine="470" w:firstLineChars="196"/>
        <w:rPr>
          <w:rFonts w:hint="default" w:ascii="宋体" w:hAnsi="宋体" w:eastAsia="宋体" w:cs="宋体"/>
          <w:color w:val="auto"/>
          <w:sz w:val="24"/>
          <w:szCs w:val="24"/>
          <w:lang w:val="en-US"/>
        </w:rPr>
      </w:pPr>
      <w:r>
        <w:rPr>
          <w:rFonts w:hint="eastAsia" w:ascii="宋体" w:hAnsi="宋体" w:eastAsia="宋体" w:cs="宋体"/>
          <w:color w:val="auto"/>
          <w:sz w:val="24"/>
          <w:szCs w:val="24"/>
        </w:rPr>
        <w:t>（1）</w:t>
      </w:r>
      <w:r>
        <w:rPr>
          <w:rFonts w:hint="eastAsia" w:ascii="宋体" w:hAnsi="宋体" w:eastAsia="宋体" w:cs="宋体"/>
          <w:bCs/>
          <w:color w:val="auto"/>
          <w:sz w:val="24"/>
          <w:szCs w:val="24"/>
        </w:rPr>
        <w:t>名  称：</w:t>
      </w:r>
      <w:r>
        <w:rPr>
          <w:rFonts w:hint="eastAsia" w:ascii="宋体" w:hAnsi="宋体" w:cs="宋体"/>
          <w:color w:val="auto"/>
          <w:sz w:val="24"/>
          <w:lang w:val="en-US" w:eastAsia="zh-CN"/>
        </w:rPr>
        <w:t>吉首市第一中学</w:t>
      </w:r>
    </w:p>
    <w:p w14:paraId="02E96CC4">
      <w:pPr>
        <w:adjustRightInd w:val="0"/>
        <w:snapToGrid w:val="0"/>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（2）地  址：</w:t>
      </w:r>
      <w:r>
        <w:rPr>
          <w:rFonts w:hint="eastAsia" w:ascii="宋体" w:hAnsi="宋体" w:cs="宋体"/>
          <w:color w:val="auto"/>
          <w:sz w:val="24"/>
          <w:lang w:val="en-US" w:eastAsia="zh-CN"/>
        </w:rPr>
        <w:t xml:space="preserve">吉首市双塘街道新田村 </w:t>
      </w:r>
      <w:r>
        <w:rPr>
          <w:rFonts w:hint="eastAsia" w:ascii="宋体" w:hAnsi="宋体" w:eastAsia="宋体" w:cs="宋体"/>
          <w:bCs/>
          <w:color w:val="auto"/>
          <w:sz w:val="24"/>
          <w:szCs w:val="24"/>
          <w:lang w:val="en-US" w:eastAsia="zh-CN"/>
        </w:rPr>
        <w:t xml:space="preserve"> </w:t>
      </w:r>
    </w:p>
    <w:p w14:paraId="385C6F4A">
      <w:pPr>
        <w:adjustRightInd w:val="0"/>
        <w:snapToGrid w:val="0"/>
        <w:spacing w:line="360" w:lineRule="auto"/>
        <w:ind w:firstLine="480" w:firstLineChars="200"/>
        <w:rPr>
          <w:rFonts w:hint="eastAsia" w:ascii="宋体" w:hAnsi="宋体"/>
          <w:color w:val="000000"/>
          <w:sz w:val="28"/>
          <w:szCs w:val="28"/>
        </w:rPr>
      </w:pPr>
      <w:r>
        <w:rPr>
          <w:rFonts w:hint="eastAsia" w:ascii="宋体" w:hAnsi="宋体" w:eastAsia="宋体" w:cs="宋体"/>
          <w:color w:val="auto"/>
          <w:sz w:val="24"/>
          <w:szCs w:val="24"/>
        </w:rPr>
        <w:t>（3）联系人：</w:t>
      </w:r>
      <w:r>
        <w:rPr>
          <w:rFonts w:hint="eastAsia" w:ascii="宋体" w:hAnsi="宋体" w:cs="宋体"/>
          <w:color w:val="auto"/>
          <w:sz w:val="24"/>
          <w:szCs w:val="24"/>
          <w:lang w:val="en-US" w:eastAsia="zh-CN"/>
        </w:rPr>
        <w:t>彭忠</w:t>
      </w:r>
      <w:r>
        <w:rPr>
          <w:rFonts w:hint="eastAsia" w:ascii="宋体" w:hAnsi="宋体" w:cs="宋体"/>
          <w:bCs/>
          <w:color w:val="auto"/>
          <w:sz w:val="24"/>
          <w:szCs w:val="24"/>
          <w:lang w:val="en-US" w:eastAsia="zh-CN"/>
        </w:rPr>
        <w:t xml:space="preserve"> </w:t>
      </w:r>
      <w:r>
        <w:rPr>
          <w:rFonts w:hint="eastAsia" w:ascii="宋体" w:hAnsi="宋体" w:eastAsia="宋体" w:cs="宋体"/>
          <w:bCs/>
          <w:color w:val="auto"/>
          <w:sz w:val="24"/>
          <w:szCs w:val="24"/>
          <w:lang w:val="en-US" w:eastAsia="zh-CN"/>
        </w:rPr>
        <w:t xml:space="preserve"> </w:t>
      </w:r>
    </w:p>
    <w:p w14:paraId="0D459241">
      <w:pPr>
        <w:adjustRightInd w:val="0"/>
        <w:snapToGrid w:val="0"/>
        <w:spacing w:line="360" w:lineRule="auto"/>
        <w:ind w:firstLine="470" w:firstLineChars="196"/>
        <w:rPr>
          <w:rFonts w:hint="eastAsia" w:ascii="宋体" w:hAnsi="宋体" w:cs="宋体"/>
          <w:color w:val="auto"/>
          <w:sz w:val="24"/>
          <w:szCs w:val="24"/>
          <w:lang w:val="en-US" w:eastAsia="zh-CN"/>
        </w:rPr>
      </w:pPr>
      <w:r>
        <w:rPr>
          <w:rFonts w:hint="eastAsia" w:ascii="宋体" w:hAnsi="宋体" w:eastAsia="宋体" w:cs="宋体"/>
          <w:color w:val="auto"/>
          <w:sz w:val="24"/>
          <w:szCs w:val="24"/>
        </w:rPr>
        <w:t>（4）邮  编：</w:t>
      </w:r>
      <w:r>
        <w:rPr>
          <w:rFonts w:hint="eastAsia" w:ascii="宋体" w:hAnsi="宋体" w:cs="宋体"/>
          <w:color w:val="auto"/>
          <w:sz w:val="24"/>
          <w:szCs w:val="24"/>
          <w:lang w:val="en-US" w:eastAsia="zh-CN"/>
        </w:rPr>
        <w:t xml:space="preserve"> </w:t>
      </w:r>
      <w:r>
        <w:rPr>
          <w:rFonts w:hint="eastAsia" w:ascii="宋体" w:hAnsi="宋体" w:cs="宋体"/>
          <w:color w:val="auto"/>
          <w:sz w:val="24"/>
        </w:rPr>
        <w:t>416000</w:t>
      </w:r>
    </w:p>
    <w:p w14:paraId="002B5A03">
      <w:pPr>
        <w:adjustRightInd w:val="0"/>
        <w:snapToGrid w:val="0"/>
        <w:spacing w:line="360" w:lineRule="auto"/>
        <w:ind w:firstLine="470" w:firstLineChars="196"/>
        <w:rPr>
          <w:rFonts w:hint="default" w:ascii="宋体" w:hAnsi="宋体" w:cs="宋体"/>
          <w:color w:val="auto"/>
          <w:sz w:val="24"/>
          <w:lang w:val="en-US" w:eastAsia="zh-CN"/>
        </w:rPr>
      </w:pPr>
      <w:r>
        <w:rPr>
          <w:rFonts w:hint="eastAsia" w:ascii="宋体" w:hAnsi="宋体" w:cs="宋体"/>
          <w:color w:val="auto"/>
          <w:sz w:val="24"/>
          <w:lang w:val="en-US" w:eastAsia="zh-CN"/>
        </w:rPr>
        <w:t>（5）电  话：13365831868</w:t>
      </w:r>
    </w:p>
    <w:p w14:paraId="46595C26">
      <w:pPr>
        <w:adjustRightInd w:val="0"/>
        <w:snapToGrid w:val="0"/>
        <w:spacing w:line="360" w:lineRule="auto"/>
        <w:ind w:firstLine="472" w:firstLineChars="196"/>
        <w:rPr>
          <w:rFonts w:hint="eastAsia" w:ascii="宋体" w:hAnsi="宋体" w:eastAsia="宋体" w:cs="宋体"/>
          <w:b/>
          <w:bCs/>
          <w:color w:val="auto"/>
          <w:sz w:val="24"/>
          <w:szCs w:val="24"/>
        </w:rPr>
      </w:pPr>
      <w:r>
        <w:rPr>
          <w:rFonts w:hint="eastAsia" w:ascii="宋体" w:hAnsi="宋体" w:eastAsia="宋体" w:cs="宋体"/>
          <w:b/>
          <w:bCs/>
          <w:color w:val="auto"/>
          <w:sz w:val="24"/>
          <w:szCs w:val="24"/>
        </w:rPr>
        <w:t>2</w:t>
      </w:r>
      <w:r>
        <w:rPr>
          <w:rFonts w:hint="eastAsia" w:ascii="宋体" w:hAnsi="宋体" w:eastAsia="宋体" w:cs="宋体"/>
          <w:color w:val="auto"/>
          <w:sz w:val="24"/>
          <w:szCs w:val="24"/>
        </w:rPr>
        <w:t>、</w:t>
      </w:r>
      <w:r>
        <w:rPr>
          <w:rFonts w:hint="eastAsia" w:ascii="宋体" w:hAnsi="宋体" w:eastAsia="宋体" w:cs="宋体"/>
          <w:b/>
          <w:bCs/>
          <w:color w:val="auto"/>
          <w:sz w:val="24"/>
          <w:szCs w:val="24"/>
        </w:rPr>
        <w:t>采购代理机构信息</w:t>
      </w:r>
    </w:p>
    <w:p w14:paraId="55FC1274">
      <w:pPr>
        <w:adjustRightInd w:val="0"/>
        <w:snapToGrid w:val="0"/>
        <w:spacing w:line="360" w:lineRule="auto"/>
        <w:ind w:firstLine="470" w:firstLineChars="196"/>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（1）</w:t>
      </w:r>
      <w:r>
        <w:rPr>
          <w:rFonts w:hint="eastAsia" w:ascii="宋体" w:hAnsi="宋体" w:eastAsia="宋体" w:cs="宋体"/>
          <w:bCs/>
          <w:color w:val="auto"/>
          <w:sz w:val="24"/>
          <w:szCs w:val="24"/>
        </w:rPr>
        <w:t>名  称：</w:t>
      </w:r>
      <w:r>
        <w:rPr>
          <w:rFonts w:hint="eastAsia" w:ascii="宋体" w:hAnsi="宋体" w:cs="宋体"/>
          <w:color w:val="auto"/>
          <w:sz w:val="24"/>
          <w:lang w:val="en-US" w:eastAsia="zh-CN"/>
        </w:rPr>
        <w:t>湘西州政府采购中心</w:t>
      </w:r>
    </w:p>
    <w:p w14:paraId="45E32F6D">
      <w:pPr>
        <w:adjustRightInd w:val="0"/>
        <w:snapToGrid w:val="0"/>
        <w:spacing w:line="360" w:lineRule="auto"/>
        <w:ind w:firstLine="480" w:firstLineChars="200"/>
        <w:rPr>
          <w:rFonts w:hint="eastAsia" w:ascii="宋体" w:hAnsi="宋体" w:cs="宋体"/>
          <w:color w:val="auto"/>
          <w:sz w:val="24"/>
          <w:lang w:val="en-US" w:eastAsia="zh-CN"/>
        </w:rPr>
      </w:pPr>
      <w:r>
        <w:rPr>
          <w:rFonts w:hint="eastAsia" w:ascii="宋体" w:hAnsi="宋体" w:eastAsia="宋体" w:cs="宋体"/>
          <w:color w:val="auto"/>
          <w:sz w:val="24"/>
          <w:szCs w:val="24"/>
        </w:rPr>
        <w:t>（2）地  址：</w:t>
      </w:r>
      <w:r>
        <w:rPr>
          <w:rFonts w:hint="eastAsia" w:ascii="宋体" w:hAnsi="宋体" w:cs="宋体"/>
          <w:color w:val="auto"/>
          <w:sz w:val="24"/>
          <w:lang w:val="en-US" w:eastAsia="zh-CN"/>
        </w:rPr>
        <w:t>吉首市吉凤街道州行政中心政务服务大楼四楼</w:t>
      </w:r>
    </w:p>
    <w:p w14:paraId="4CDBDAFF">
      <w:pPr>
        <w:adjustRightInd w:val="0"/>
        <w:snapToGrid w:val="0"/>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（3）联系人：</w:t>
      </w:r>
      <w:r>
        <w:rPr>
          <w:rFonts w:hint="eastAsia" w:ascii="宋体" w:hAnsi="宋体" w:cs="宋体"/>
          <w:color w:val="auto"/>
          <w:sz w:val="24"/>
          <w:szCs w:val="24"/>
          <w:lang w:val="en-US" w:eastAsia="zh-CN"/>
        </w:rPr>
        <w:t>韩肖</w:t>
      </w:r>
    </w:p>
    <w:p w14:paraId="510ADD24">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（4）邮  编：</w:t>
      </w:r>
      <w:r>
        <w:rPr>
          <w:rFonts w:hint="eastAsia" w:ascii="宋体" w:hAnsi="宋体" w:cs="宋体"/>
          <w:color w:val="auto"/>
          <w:sz w:val="24"/>
        </w:rPr>
        <w:t>416000</w:t>
      </w:r>
    </w:p>
    <w:p w14:paraId="01AC74D2">
      <w:pPr>
        <w:adjustRightInd w:val="0"/>
        <w:snapToGri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szCs w:val="24"/>
        </w:rPr>
        <w:t>（5）电  话：</w:t>
      </w:r>
      <w:r>
        <w:rPr>
          <w:rFonts w:hint="eastAsia" w:ascii="宋体" w:hAnsi="宋体" w:cs="宋体"/>
          <w:color w:val="auto"/>
          <w:sz w:val="24"/>
        </w:rPr>
        <w:t>0743-85</w:t>
      </w:r>
      <w:r>
        <w:rPr>
          <w:rFonts w:hint="eastAsia" w:ascii="宋体" w:hAnsi="宋体" w:cs="宋体"/>
          <w:color w:val="auto"/>
          <w:sz w:val="24"/>
          <w:lang w:val="en-US" w:eastAsia="zh-CN"/>
        </w:rPr>
        <w:t>23690</w:t>
      </w:r>
      <w:r>
        <w:rPr>
          <w:rFonts w:hint="eastAsia" w:ascii="宋体" w:hAnsi="宋体" w:eastAsia="宋体" w:cs="宋体"/>
          <w:b/>
          <w:color w:val="auto"/>
          <w:sz w:val="24"/>
          <w:szCs w:val="24"/>
        </w:rPr>
        <w:br w:type="page"/>
      </w:r>
    </w:p>
    <w:p w14:paraId="10182ACC">
      <w:pPr>
        <w:pStyle w:val="2"/>
        <w:bidi w:val="0"/>
        <w:rPr>
          <w:rFonts w:hint="eastAsia" w:ascii="宋体" w:hAnsi="宋体" w:eastAsia="宋体" w:cs="宋体"/>
          <w:color w:val="auto"/>
        </w:rPr>
      </w:pPr>
      <w:bookmarkStart w:id="10" w:name="_Toc31898"/>
      <w:bookmarkStart w:id="11" w:name="_Toc13663"/>
      <w:bookmarkStart w:id="12" w:name="_Toc6569"/>
      <w:bookmarkStart w:id="13" w:name="_Toc16166"/>
      <w:bookmarkStart w:id="14" w:name="_Toc28053"/>
      <w:bookmarkStart w:id="15" w:name="_Toc14969"/>
      <w:r>
        <w:rPr>
          <w:rFonts w:hint="eastAsia" w:ascii="宋体" w:hAnsi="宋体" w:eastAsia="宋体" w:cs="宋体"/>
          <w:color w:val="auto"/>
        </w:rPr>
        <w:t>第二章 投标须知</w:t>
      </w:r>
      <w:bookmarkEnd w:id="0"/>
      <w:bookmarkEnd w:id="1"/>
      <w:bookmarkEnd w:id="2"/>
      <w:bookmarkEnd w:id="3"/>
      <w:bookmarkEnd w:id="4"/>
      <w:bookmarkEnd w:id="5"/>
      <w:bookmarkEnd w:id="6"/>
      <w:bookmarkEnd w:id="7"/>
      <w:bookmarkEnd w:id="10"/>
      <w:bookmarkEnd w:id="11"/>
      <w:bookmarkEnd w:id="12"/>
      <w:bookmarkEnd w:id="13"/>
      <w:bookmarkEnd w:id="14"/>
      <w:bookmarkEnd w:id="15"/>
    </w:p>
    <w:p w14:paraId="197F8BE4">
      <w:pPr>
        <w:pStyle w:val="3"/>
        <w:adjustRightInd w:val="0"/>
        <w:snapToGrid w:val="0"/>
        <w:jc w:val="center"/>
        <w:rPr>
          <w:rFonts w:hint="eastAsia"/>
        </w:rPr>
      </w:pPr>
      <w:bookmarkStart w:id="16" w:name="_Toc20793"/>
      <w:bookmarkStart w:id="17" w:name="_Toc4898"/>
      <w:r>
        <w:rPr>
          <w:rFonts w:hint="eastAsia" w:ascii="宋体" w:hAnsi="宋体" w:eastAsia="宋体" w:cs="宋体"/>
          <w:color w:val="auto"/>
          <w:sz w:val="28"/>
          <w:szCs w:val="28"/>
        </w:rPr>
        <w:t>第一节 投标须知前附表</w:t>
      </w:r>
      <w:bookmarkEnd w:id="16"/>
      <w:bookmarkEnd w:id="17"/>
    </w:p>
    <w:p w14:paraId="41D367C1">
      <w:pPr>
        <w:adjustRightInd w:val="0"/>
        <w:snapToGrid w:val="0"/>
        <w:spacing w:line="360" w:lineRule="auto"/>
        <w:ind w:right="31" w:rightChars="15"/>
        <w:jc w:val="center"/>
        <w:rPr>
          <w:rFonts w:hint="eastAsia" w:ascii="宋体" w:hAnsi="宋体" w:eastAsia="宋体" w:cs="宋体"/>
        </w:rPr>
      </w:pPr>
      <w:bookmarkStart w:id="18" w:name="_Toc1046"/>
      <w:bookmarkStart w:id="19" w:name="_Toc4285"/>
      <w:bookmarkStart w:id="20" w:name="_Toc27626"/>
      <w:bookmarkStart w:id="21" w:name="_Toc3724"/>
      <w:bookmarkStart w:id="22" w:name="_Toc17883"/>
    </w:p>
    <w:p w14:paraId="05A0C1E3">
      <w:pPr>
        <w:pStyle w:val="3"/>
        <w:bidi w:val="0"/>
        <w:rPr>
          <w:rFonts w:hint="eastAsia" w:ascii="宋体" w:hAnsi="宋体" w:eastAsia="宋体" w:cs="宋体"/>
          <w:lang w:val="en-US" w:eastAsia="zh-CN"/>
        </w:rPr>
      </w:pPr>
      <w:bookmarkStart w:id="23" w:name="_Toc4918"/>
      <w:bookmarkStart w:id="24" w:name="_Toc11572"/>
      <w:r>
        <w:rPr>
          <w:rFonts w:hint="eastAsia" w:ascii="宋体" w:hAnsi="宋体" w:eastAsia="宋体" w:cs="宋体"/>
        </w:rPr>
        <w:t>投标须知前附表</w:t>
      </w:r>
      <w:bookmarkEnd w:id="18"/>
      <w:bookmarkEnd w:id="19"/>
      <w:bookmarkEnd w:id="20"/>
      <w:bookmarkEnd w:id="21"/>
      <w:bookmarkEnd w:id="22"/>
      <w:r>
        <w:rPr>
          <w:rFonts w:hint="eastAsia" w:ascii="宋体" w:hAnsi="宋体" w:cs="宋体"/>
          <w:lang w:val="en-US" w:eastAsia="zh-CN"/>
        </w:rPr>
        <w:t xml:space="preserve">                        </w:t>
      </w:r>
      <w:r>
        <w:rPr>
          <w:rFonts w:hint="eastAsia" w:ascii="宋体" w:hAnsi="宋体" w:eastAsia="宋体" w:cs="宋体"/>
          <w:i w:val="0"/>
          <w:iCs/>
          <w:color w:val="auto"/>
          <w:szCs w:val="21"/>
        </w:rPr>
        <w:t>注：本项目启用的条款在“编列内容规定”栏内以“</w:t>
      </w:r>
      <w:r>
        <w:rPr>
          <w:rFonts w:hint="eastAsia" w:ascii="宋体" w:hAnsi="宋体" w:eastAsia="宋体" w:cs="宋体"/>
          <w:color w:val="auto"/>
          <w:sz w:val="24"/>
          <w:szCs w:val="24"/>
          <w:highlight w:val="none"/>
        </w:rPr>
        <w:sym w:font="Wingdings" w:char="00FE"/>
      </w:r>
      <w:r>
        <w:rPr>
          <w:rFonts w:hint="eastAsia" w:ascii="宋体" w:hAnsi="宋体" w:eastAsia="宋体" w:cs="宋体"/>
          <w:i w:val="0"/>
          <w:iCs/>
          <w:color w:val="auto"/>
          <w:szCs w:val="21"/>
        </w:rPr>
        <w:t>”标注。</w:t>
      </w:r>
      <w:bookmarkEnd w:id="23"/>
      <w:bookmarkEnd w:id="24"/>
    </w:p>
    <w:tbl>
      <w:tblPr>
        <w:tblStyle w:val="44"/>
        <w:tblW w:w="4963"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322"/>
        <w:gridCol w:w="2212"/>
        <w:gridCol w:w="6529"/>
      </w:tblGrid>
      <w:tr w14:paraId="7D6AF1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657" w:type="pct"/>
            <w:vAlign w:val="center"/>
          </w:tcPr>
          <w:p w14:paraId="462CF10E">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条款号</w:t>
            </w:r>
          </w:p>
        </w:tc>
        <w:tc>
          <w:tcPr>
            <w:tcW w:w="1099" w:type="pct"/>
            <w:vAlign w:val="center"/>
          </w:tcPr>
          <w:p w14:paraId="00E16A97">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条款名称</w:t>
            </w:r>
          </w:p>
        </w:tc>
        <w:tc>
          <w:tcPr>
            <w:tcW w:w="3243" w:type="pct"/>
            <w:vAlign w:val="center"/>
          </w:tcPr>
          <w:p w14:paraId="09724C71">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编列内容规定</w:t>
            </w:r>
          </w:p>
        </w:tc>
      </w:tr>
      <w:tr w14:paraId="786EBF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5000" w:type="pct"/>
            <w:gridSpan w:val="3"/>
            <w:vAlign w:val="center"/>
          </w:tcPr>
          <w:p w14:paraId="11A59E97">
            <w:pPr>
              <w:spacing w:line="360" w:lineRule="auto"/>
              <w:rPr>
                <w:rFonts w:hint="eastAsia" w:ascii="宋体" w:hAnsi="宋体" w:eastAsia="宋体" w:cs="宋体"/>
                <w:color w:val="auto"/>
                <w:sz w:val="24"/>
              </w:rPr>
            </w:pPr>
            <w:r>
              <w:rPr>
                <w:rFonts w:hint="eastAsia" w:ascii="宋体" w:hAnsi="宋体" w:eastAsia="宋体" w:cs="宋体"/>
                <w:color w:val="auto"/>
                <w:sz w:val="24"/>
              </w:rPr>
              <w:t>一、说明</w:t>
            </w:r>
          </w:p>
        </w:tc>
      </w:tr>
      <w:tr w14:paraId="48688F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57" w:type="pct"/>
            <w:vAlign w:val="center"/>
          </w:tcPr>
          <w:p w14:paraId="3C41E8C2">
            <w:pPr>
              <w:spacing w:line="360" w:lineRule="auto"/>
              <w:rPr>
                <w:rFonts w:hint="eastAsia" w:ascii="宋体" w:hAnsi="宋体" w:eastAsia="宋体" w:cs="宋体"/>
                <w:color w:val="auto"/>
                <w:sz w:val="24"/>
              </w:rPr>
            </w:pPr>
            <w:r>
              <w:rPr>
                <w:rFonts w:hint="eastAsia" w:ascii="宋体" w:hAnsi="宋体" w:eastAsia="宋体" w:cs="宋体"/>
                <w:color w:val="auto"/>
                <w:sz w:val="24"/>
              </w:rPr>
              <w:t>第1.1款</w:t>
            </w:r>
          </w:p>
        </w:tc>
        <w:tc>
          <w:tcPr>
            <w:tcW w:w="1099" w:type="pct"/>
            <w:vAlign w:val="center"/>
          </w:tcPr>
          <w:p w14:paraId="7D7FAE77">
            <w:pPr>
              <w:spacing w:line="360" w:lineRule="auto"/>
              <w:rPr>
                <w:rFonts w:hint="eastAsia" w:ascii="宋体" w:hAnsi="宋体" w:eastAsia="宋体" w:cs="宋体"/>
                <w:color w:val="auto"/>
                <w:sz w:val="24"/>
              </w:rPr>
            </w:pPr>
            <w:r>
              <w:rPr>
                <w:rFonts w:hint="eastAsia" w:ascii="宋体" w:hAnsi="宋体" w:eastAsia="宋体" w:cs="宋体"/>
                <w:color w:val="auto"/>
                <w:sz w:val="24"/>
              </w:rPr>
              <w:t>采购项目</w:t>
            </w:r>
          </w:p>
        </w:tc>
        <w:tc>
          <w:tcPr>
            <w:tcW w:w="3243" w:type="pct"/>
            <w:vAlign w:val="center"/>
          </w:tcPr>
          <w:p w14:paraId="29603A76">
            <w:pPr>
              <w:spacing w:line="360" w:lineRule="auto"/>
              <w:ind w:left="1680" w:hanging="1680" w:hangingChars="700"/>
              <w:rPr>
                <w:rFonts w:hint="eastAsia" w:ascii="宋体" w:hAnsi="宋体" w:eastAsia="宋体" w:cs="宋体"/>
                <w:color w:val="auto"/>
                <w:sz w:val="24"/>
                <w:lang w:eastAsia="zh-CN"/>
              </w:rPr>
            </w:pPr>
            <w:r>
              <w:rPr>
                <w:rFonts w:hint="eastAsia" w:ascii="宋体" w:hAnsi="宋体" w:eastAsia="宋体" w:cs="宋体"/>
                <w:color w:val="auto"/>
                <w:sz w:val="24"/>
              </w:rPr>
              <w:t>采购项目名称：</w:t>
            </w:r>
            <w:r>
              <w:rPr>
                <w:rFonts w:hint="eastAsia" w:ascii="宋体" w:hAnsi="宋体" w:cs="宋体"/>
                <w:color w:val="auto"/>
                <w:sz w:val="24"/>
                <w:u w:val="single"/>
                <w:lang w:val="en-US" w:eastAsia="zh-CN"/>
              </w:rPr>
              <w:t>吉首市第一中学学生宿舍楼建设项目-床、桌椅及柜子采购（第二次）</w:t>
            </w:r>
          </w:p>
          <w:p w14:paraId="126583AD">
            <w:pPr>
              <w:adjustRightInd w:val="0"/>
              <w:snapToGrid w:val="0"/>
              <w:spacing w:line="360" w:lineRule="auto"/>
              <w:ind w:firstLine="480" w:firstLineChars="200"/>
              <w:rPr>
                <w:rFonts w:hint="default" w:ascii="宋体" w:hAnsi="宋体" w:cs="宋体"/>
                <w:color w:val="auto"/>
                <w:sz w:val="24"/>
                <w:lang w:val="en-US" w:eastAsia="zh-CN"/>
              </w:rPr>
            </w:pPr>
            <w:r>
              <w:rPr>
                <w:rFonts w:hint="eastAsia" w:ascii="宋体" w:hAnsi="宋体" w:cs="宋体"/>
                <w:color w:val="auto"/>
                <w:sz w:val="24"/>
                <w:lang w:val="en-US" w:eastAsia="zh-CN"/>
              </w:rPr>
              <w:t>政府采购编号：XXZCJC[2026]0049</w:t>
            </w:r>
          </w:p>
          <w:p w14:paraId="198750AF">
            <w:pPr>
              <w:adjustRightInd w:val="0"/>
              <w:snapToGrid w:val="0"/>
              <w:spacing w:line="360" w:lineRule="auto"/>
              <w:ind w:firstLine="480" w:firstLineChars="200"/>
              <w:rPr>
                <w:rFonts w:hint="default" w:ascii="宋体" w:hAnsi="宋体" w:cs="宋体"/>
                <w:color w:val="auto"/>
                <w:sz w:val="24"/>
                <w:lang w:val="en-US" w:eastAsia="zh-CN"/>
              </w:rPr>
            </w:pPr>
            <w:r>
              <w:rPr>
                <w:rFonts w:hint="eastAsia" w:ascii="宋体" w:hAnsi="宋体" w:cs="宋体"/>
                <w:color w:val="auto"/>
                <w:sz w:val="24"/>
                <w:lang w:val="en-US" w:eastAsia="zh-CN"/>
              </w:rPr>
              <w:t xml:space="preserve"> </w:t>
            </w:r>
          </w:p>
          <w:p w14:paraId="3C463C21">
            <w:pPr>
              <w:adjustRightInd w:val="0"/>
              <w:snapToGrid w:val="0"/>
              <w:spacing w:line="360" w:lineRule="auto"/>
              <w:ind w:firstLine="480" w:firstLineChars="200"/>
              <w:rPr>
                <w:rFonts w:hint="default" w:ascii="宋体" w:hAnsi="宋体" w:eastAsia="宋体" w:cs="宋体"/>
                <w:color w:val="auto"/>
                <w:sz w:val="24"/>
                <w:lang w:val="en-US" w:eastAsia="zh-CN"/>
              </w:rPr>
            </w:pPr>
            <w:r>
              <w:rPr>
                <w:rFonts w:hint="eastAsia" w:ascii="宋体" w:hAnsi="宋体" w:cs="宋体"/>
                <w:color w:val="auto"/>
                <w:sz w:val="24"/>
                <w:lang w:val="en-US" w:eastAsia="zh-CN"/>
              </w:rPr>
              <w:t>采购计划编号：(2026)433101000002-1</w:t>
            </w:r>
          </w:p>
        </w:tc>
      </w:tr>
      <w:tr w14:paraId="4D267E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57" w:type="pct"/>
            <w:vAlign w:val="center"/>
          </w:tcPr>
          <w:p w14:paraId="353AE157">
            <w:pPr>
              <w:adjustRightInd w:val="0"/>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第1.2款</w:t>
            </w:r>
          </w:p>
        </w:tc>
        <w:tc>
          <w:tcPr>
            <w:tcW w:w="1099" w:type="pct"/>
            <w:vAlign w:val="center"/>
          </w:tcPr>
          <w:p w14:paraId="1CB23B9E">
            <w:pPr>
              <w:adjustRightInd w:val="0"/>
              <w:snapToGrid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是否预留采购份额</w:t>
            </w:r>
          </w:p>
        </w:tc>
        <w:tc>
          <w:tcPr>
            <w:tcW w:w="3243" w:type="pct"/>
            <w:vAlign w:val="center"/>
          </w:tcPr>
          <w:p w14:paraId="3EE8CADE">
            <w:pPr>
              <w:adjustRightInd w:val="0"/>
              <w:snapToGrid w:val="0"/>
              <w:spacing w:line="42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否</w:t>
            </w:r>
          </w:p>
        </w:tc>
      </w:tr>
      <w:tr w14:paraId="029AEC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57" w:type="pct"/>
            <w:vAlign w:val="center"/>
          </w:tcPr>
          <w:p w14:paraId="0708D6E9">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第2.1</w:t>
            </w:r>
            <w:r>
              <w:rPr>
                <w:rFonts w:hint="eastAsia" w:ascii="宋体" w:hAnsi="宋体" w:eastAsia="宋体" w:cs="宋体"/>
                <w:color w:val="auto"/>
                <w:kern w:val="0"/>
                <w:sz w:val="24"/>
                <w:szCs w:val="24"/>
                <w:lang w:val="zh-CN"/>
              </w:rPr>
              <w:t>款</w:t>
            </w:r>
          </w:p>
        </w:tc>
        <w:tc>
          <w:tcPr>
            <w:tcW w:w="1099" w:type="pct"/>
            <w:vAlign w:val="top"/>
          </w:tcPr>
          <w:p w14:paraId="11B2E6CF">
            <w:pPr>
              <w:adjustRightInd w:val="0"/>
              <w:snapToGrid w:val="0"/>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采购项目联系人姓名和电话</w:t>
            </w:r>
          </w:p>
        </w:tc>
        <w:tc>
          <w:tcPr>
            <w:tcW w:w="3243" w:type="pct"/>
            <w:vAlign w:val="center"/>
          </w:tcPr>
          <w:p w14:paraId="1F149452">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联系人：</w:t>
            </w:r>
            <w:r>
              <w:rPr>
                <w:rFonts w:hint="eastAsia" w:ascii="宋体" w:hAnsi="宋体" w:cs="宋体"/>
                <w:color w:val="auto"/>
                <w:sz w:val="24"/>
                <w:szCs w:val="24"/>
                <w:lang w:val="en-US" w:eastAsia="zh-CN"/>
              </w:rPr>
              <w:t>韩肖</w:t>
            </w:r>
          </w:p>
          <w:p w14:paraId="3E3BF420">
            <w:pPr>
              <w:spacing w:line="360" w:lineRule="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电</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话：</w:t>
            </w:r>
            <w:r>
              <w:rPr>
                <w:rFonts w:hint="eastAsia" w:ascii="宋体" w:hAnsi="宋体" w:cs="宋体"/>
                <w:color w:val="auto"/>
                <w:sz w:val="24"/>
                <w:szCs w:val="24"/>
              </w:rPr>
              <w:t>0743-852</w:t>
            </w:r>
            <w:r>
              <w:rPr>
                <w:rFonts w:hint="eastAsia" w:ascii="宋体" w:hAnsi="宋体" w:cs="宋体"/>
                <w:color w:val="auto"/>
                <w:sz w:val="24"/>
                <w:szCs w:val="24"/>
                <w:lang w:val="en-US" w:eastAsia="zh-CN"/>
              </w:rPr>
              <w:t>3690</w:t>
            </w:r>
          </w:p>
        </w:tc>
      </w:tr>
      <w:tr w14:paraId="1AFCA6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57" w:type="pct"/>
            <w:vAlign w:val="center"/>
          </w:tcPr>
          <w:p w14:paraId="1BDA8816">
            <w:pPr>
              <w:spacing w:line="360" w:lineRule="auto"/>
              <w:rPr>
                <w:rFonts w:hint="eastAsia" w:ascii="宋体" w:hAnsi="宋体" w:eastAsia="宋体" w:cs="宋体"/>
                <w:color w:val="auto"/>
                <w:sz w:val="24"/>
              </w:rPr>
            </w:pPr>
            <w:r>
              <w:rPr>
                <w:rFonts w:hint="eastAsia" w:ascii="宋体" w:hAnsi="宋体" w:eastAsia="宋体" w:cs="宋体"/>
                <w:color w:val="auto"/>
                <w:sz w:val="24"/>
              </w:rPr>
              <w:t>第2.</w:t>
            </w:r>
            <w:r>
              <w:rPr>
                <w:rFonts w:hint="eastAsia" w:ascii="宋体" w:hAnsi="宋体" w:cs="宋体"/>
                <w:color w:val="auto"/>
                <w:sz w:val="24"/>
                <w:lang w:val="en-US" w:eastAsia="zh-CN"/>
              </w:rPr>
              <w:t>2</w:t>
            </w:r>
            <w:r>
              <w:rPr>
                <w:rFonts w:hint="eastAsia" w:ascii="宋体" w:hAnsi="宋体" w:eastAsia="宋体" w:cs="宋体"/>
                <w:color w:val="auto"/>
                <w:sz w:val="24"/>
              </w:rPr>
              <w:t>款</w:t>
            </w:r>
          </w:p>
        </w:tc>
        <w:tc>
          <w:tcPr>
            <w:tcW w:w="1099" w:type="pct"/>
            <w:vAlign w:val="center"/>
          </w:tcPr>
          <w:p w14:paraId="1F79181E">
            <w:pPr>
              <w:spacing w:line="360" w:lineRule="auto"/>
              <w:rPr>
                <w:rFonts w:hint="eastAsia" w:ascii="宋体" w:hAnsi="宋体" w:eastAsia="宋体" w:cs="宋体"/>
                <w:color w:val="auto"/>
                <w:sz w:val="24"/>
              </w:rPr>
            </w:pPr>
            <w:r>
              <w:rPr>
                <w:rFonts w:hint="eastAsia" w:ascii="宋体" w:hAnsi="宋体" w:eastAsia="宋体" w:cs="宋体"/>
                <w:color w:val="auto"/>
                <w:sz w:val="24"/>
                <w:szCs w:val="24"/>
              </w:rPr>
              <w:t>采购人名称、地址、电话、联系人</w:t>
            </w:r>
          </w:p>
        </w:tc>
        <w:tc>
          <w:tcPr>
            <w:tcW w:w="3243" w:type="pct"/>
            <w:vAlign w:val="center"/>
          </w:tcPr>
          <w:p w14:paraId="46BF8226">
            <w:pPr>
              <w:numPr>
                <w:ilvl w:val="0"/>
                <w:numId w:val="2"/>
              </w:numPr>
              <w:spacing w:line="360" w:lineRule="auto"/>
              <w:ind w:left="1680" w:hanging="1680" w:hangingChars="700"/>
              <w:rPr>
                <w:rFonts w:hint="eastAsia" w:ascii="宋体" w:hAnsi="宋体" w:eastAsia="宋体" w:cs="宋体"/>
                <w:color w:val="auto"/>
                <w:sz w:val="24"/>
              </w:rPr>
            </w:pPr>
            <w:r>
              <w:rPr>
                <w:rFonts w:hint="eastAsia" w:ascii="宋体" w:hAnsi="宋体" w:eastAsia="宋体" w:cs="宋体"/>
                <w:color w:val="auto"/>
                <w:sz w:val="24"/>
              </w:rPr>
              <w:t>名  称：</w:t>
            </w:r>
            <w:r>
              <w:rPr>
                <w:rFonts w:hint="eastAsia" w:ascii="宋体" w:hAnsi="宋体" w:cs="宋体"/>
                <w:color w:val="auto"/>
                <w:sz w:val="24"/>
                <w:u w:val="single"/>
                <w:lang w:val="en-US" w:eastAsia="zh-CN"/>
              </w:rPr>
              <w:t>吉首市第一中学</w:t>
            </w:r>
          </w:p>
          <w:p w14:paraId="2572AFB9">
            <w:pPr>
              <w:numPr>
                <w:ilvl w:val="0"/>
                <w:numId w:val="2"/>
              </w:numPr>
              <w:spacing w:line="360" w:lineRule="auto"/>
              <w:ind w:left="1680" w:hanging="1680" w:hangingChars="700"/>
              <w:rPr>
                <w:rFonts w:hint="eastAsia" w:ascii="宋体" w:hAnsi="宋体" w:eastAsia="宋体" w:cs="宋体"/>
                <w:color w:val="auto"/>
                <w:sz w:val="24"/>
              </w:rPr>
            </w:pPr>
            <w:r>
              <w:rPr>
                <w:rFonts w:hint="eastAsia" w:ascii="宋体" w:hAnsi="宋体" w:eastAsia="宋体" w:cs="宋体"/>
                <w:color w:val="auto"/>
                <w:sz w:val="24"/>
              </w:rPr>
              <w:t>地  址：</w:t>
            </w:r>
            <w:r>
              <w:rPr>
                <w:rFonts w:hint="eastAsia" w:ascii="宋体" w:hAnsi="宋体" w:cs="宋体"/>
                <w:color w:val="auto"/>
                <w:sz w:val="24"/>
                <w:lang w:val="en-US" w:eastAsia="zh-CN"/>
              </w:rPr>
              <w:t>吉首市双塘街道新田村</w:t>
            </w:r>
            <w:r>
              <w:rPr>
                <w:rFonts w:hint="eastAsia" w:ascii="宋体" w:hAnsi="宋体" w:eastAsia="宋体" w:cs="宋体"/>
                <w:color w:val="auto"/>
                <w:sz w:val="24"/>
                <w:lang w:val="en-US" w:eastAsia="zh-CN"/>
              </w:rPr>
              <w:t xml:space="preserve"> </w:t>
            </w:r>
            <w:r>
              <w:rPr>
                <w:rFonts w:hint="eastAsia" w:ascii="宋体" w:hAnsi="宋体" w:eastAsia="宋体" w:cs="宋体"/>
                <w:bCs/>
                <w:color w:val="auto"/>
                <w:sz w:val="24"/>
                <w:szCs w:val="24"/>
                <w:lang w:val="en-US" w:eastAsia="zh-CN"/>
              </w:rPr>
              <w:t xml:space="preserve"> </w:t>
            </w:r>
          </w:p>
          <w:p w14:paraId="584A3D39">
            <w:pPr>
              <w:spacing w:line="360" w:lineRule="auto"/>
              <w:ind w:left="1680" w:hanging="1680" w:hangingChars="700"/>
              <w:rPr>
                <w:rFonts w:hint="eastAsia" w:ascii="宋体" w:hAnsi="宋体" w:eastAsia="宋体" w:cs="宋体"/>
                <w:color w:val="auto"/>
                <w:sz w:val="24"/>
              </w:rPr>
            </w:pPr>
            <w:r>
              <w:rPr>
                <w:rFonts w:hint="eastAsia" w:ascii="宋体" w:hAnsi="宋体" w:eastAsia="宋体" w:cs="宋体"/>
                <w:color w:val="auto"/>
                <w:sz w:val="24"/>
              </w:rPr>
              <w:t>（3）联系人：</w:t>
            </w:r>
            <w:r>
              <w:rPr>
                <w:rFonts w:hint="eastAsia" w:ascii="宋体" w:hAnsi="宋体" w:cs="宋体"/>
                <w:color w:val="auto"/>
                <w:sz w:val="24"/>
                <w:szCs w:val="24"/>
                <w:lang w:val="en-US" w:eastAsia="zh-CN"/>
              </w:rPr>
              <w:t>彭忠</w:t>
            </w:r>
            <w:r>
              <w:rPr>
                <w:rFonts w:hint="eastAsia" w:ascii="宋体" w:hAnsi="宋体" w:eastAsia="宋体" w:cs="宋体"/>
                <w:bCs/>
                <w:color w:val="auto"/>
                <w:sz w:val="24"/>
                <w:szCs w:val="24"/>
                <w:lang w:val="en-US" w:eastAsia="zh-CN"/>
              </w:rPr>
              <w:t xml:space="preserve"> </w:t>
            </w:r>
          </w:p>
          <w:p w14:paraId="21B8E11A">
            <w:pPr>
              <w:spacing w:line="360" w:lineRule="auto"/>
              <w:ind w:left="1680" w:hanging="1680" w:hangingChars="700"/>
              <w:rPr>
                <w:rFonts w:hint="eastAsia" w:ascii="宋体" w:hAnsi="宋体" w:eastAsia="宋体" w:cs="宋体"/>
                <w:color w:val="auto"/>
                <w:sz w:val="24"/>
                <w:lang w:eastAsia="zh-CN"/>
              </w:rPr>
            </w:pPr>
            <w:r>
              <w:rPr>
                <w:rFonts w:hint="eastAsia" w:ascii="宋体" w:hAnsi="宋体" w:eastAsia="宋体" w:cs="宋体"/>
                <w:color w:val="auto"/>
                <w:sz w:val="24"/>
              </w:rPr>
              <w:t>（4）</w:t>
            </w:r>
            <w:r>
              <w:rPr>
                <w:rFonts w:hint="eastAsia" w:ascii="宋体" w:hAnsi="宋体" w:eastAsia="宋体" w:cs="宋体"/>
                <w:color w:val="auto"/>
                <w:sz w:val="24"/>
                <w:lang w:val="en-US" w:eastAsia="zh-CN"/>
              </w:rPr>
              <w:t>电  话：</w:t>
            </w:r>
            <w:r>
              <w:rPr>
                <w:rFonts w:hint="eastAsia" w:ascii="宋体" w:hAnsi="宋体" w:cs="宋体"/>
                <w:color w:val="auto"/>
                <w:sz w:val="24"/>
                <w:lang w:val="en-US" w:eastAsia="zh-CN"/>
              </w:rPr>
              <w:t>13365831868</w:t>
            </w:r>
          </w:p>
        </w:tc>
      </w:tr>
      <w:tr w14:paraId="22E876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57" w:type="pct"/>
            <w:vAlign w:val="center"/>
          </w:tcPr>
          <w:p w14:paraId="67E5F115">
            <w:pPr>
              <w:spacing w:line="360" w:lineRule="auto"/>
              <w:rPr>
                <w:rFonts w:hint="eastAsia" w:ascii="宋体" w:hAnsi="宋体" w:eastAsia="宋体" w:cs="宋体"/>
                <w:color w:val="auto"/>
                <w:sz w:val="24"/>
              </w:rPr>
            </w:pPr>
            <w:r>
              <w:rPr>
                <w:rFonts w:hint="eastAsia" w:ascii="宋体" w:hAnsi="宋体" w:eastAsia="宋体" w:cs="宋体"/>
                <w:color w:val="auto"/>
                <w:sz w:val="24"/>
              </w:rPr>
              <w:t>第2.</w:t>
            </w:r>
            <w:r>
              <w:rPr>
                <w:rFonts w:hint="eastAsia" w:ascii="宋体" w:hAnsi="宋体" w:cs="宋体"/>
                <w:color w:val="auto"/>
                <w:sz w:val="24"/>
                <w:lang w:val="en-US" w:eastAsia="zh-CN"/>
              </w:rPr>
              <w:t>3</w:t>
            </w:r>
            <w:r>
              <w:rPr>
                <w:rFonts w:hint="eastAsia" w:ascii="宋体" w:hAnsi="宋体" w:eastAsia="宋体" w:cs="宋体"/>
                <w:color w:val="auto"/>
                <w:sz w:val="24"/>
              </w:rPr>
              <w:t>款</w:t>
            </w:r>
          </w:p>
        </w:tc>
        <w:tc>
          <w:tcPr>
            <w:tcW w:w="1099" w:type="pct"/>
            <w:vAlign w:val="center"/>
          </w:tcPr>
          <w:p w14:paraId="35BDBE31">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szCs w:val="24"/>
              </w:rPr>
              <w:t>采购代理机构名称、地址、电话、联系人</w:t>
            </w:r>
          </w:p>
        </w:tc>
        <w:tc>
          <w:tcPr>
            <w:tcW w:w="3243" w:type="pct"/>
            <w:vAlign w:val="center"/>
          </w:tcPr>
          <w:p w14:paraId="2ED4E48F">
            <w:pPr>
              <w:adjustRightInd w:val="0"/>
              <w:snapToGrid w:val="0"/>
              <w:spacing w:line="360" w:lineRule="auto"/>
              <w:jc w:val="left"/>
              <w:rPr>
                <w:rFonts w:hint="default" w:ascii="宋体" w:hAnsi="宋体" w:eastAsia="宋体" w:cs="宋体"/>
                <w:color w:val="auto"/>
                <w:sz w:val="24"/>
                <w:szCs w:val="24"/>
                <w:lang w:val="en-US" w:eastAsia="zh-CN"/>
              </w:rPr>
            </w:pPr>
            <w:r>
              <w:rPr>
                <w:rFonts w:hint="eastAsia" w:ascii="宋体" w:hAnsi="宋体" w:eastAsia="宋体" w:cs="宋体"/>
                <w:bCs/>
                <w:color w:val="auto"/>
                <w:sz w:val="24"/>
                <w:szCs w:val="24"/>
              </w:rPr>
              <w:t>名  称：</w:t>
            </w:r>
            <w:r>
              <w:rPr>
                <w:rFonts w:hint="eastAsia" w:ascii="宋体" w:hAnsi="宋体" w:cs="宋体"/>
                <w:color w:val="auto"/>
                <w:sz w:val="24"/>
                <w:lang w:val="en-US" w:eastAsia="zh-CN"/>
              </w:rPr>
              <w:t>湘西州政府采购中心</w:t>
            </w:r>
          </w:p>
          <w:p w14:paraId="6A156A37">
            <w:pPr>
              <w:adjustRightInd w:val="0"/>
              <w:snapToGrid w:val="0"/>
              <w:spacing w:line="360" w:lineRule="auto"/>
              <w:jc w:val="left"/>
              <w:rPr>
                <w:rFonts w:hint="eastAsia" w:ascii="宋体" w:hAnsi="宋体" w:cs="宋体"/>
                <w:color w:val="auto"/>
                <w:sz w:val="24"/>
                <w:lang w:val="en-US" w:eastAsia="zh-CN"/>
              </w:rPr>
            </w:pPr>
            <w:r>
              <w:rPr>
                <w:rFonts w:hint="eastAsia" w:ascii="宋体" w:hAnsi="宋体" w:eastAsia="宋体" w:cs="宋体"/>
                <w:color w:val="auto"/>
                <w:sz w:val="24"/>
                <w:szCs w:val="24"/>
              </w:rPr>
              <w:t>地  址：</w:t>
            </w:r>
            <w:r>
              <w:rPr>
                <w:rFonts w:hint="eastAsia" w:ascii="宋体" w:hAnsi="宋体" w:cs="宋体"/>
                <w:color w:val="auto"/>
                <w:sz w:val="24"/>
                <w:lang w:val="en-US" w:eastAsia="zh-CN"/>
              </w:rPr>
              <w:t>吉首市吉凤街道州行政中心政务服务大楼四楼</w:t>
            </w:r>
          </w:p>
          <w:p w14:paraId="1E2D8C33">
            <w:pPr>
              <w:adjustRightInd w:val="0"/>
              <w:snapToGrid w:val="0"/>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联系人：</w:t>
            </w:r>
            <w:r>
              <w:rPr>
                <w:rFonts w:hint="eastAsia" w:ascii="宋体" w:hAnsi="宋体" w:cs="宋体"/>
                <w:color w:val="auto"/>
                <w:sz w:val="24"/>
                <w:szCs w:val="24"/>
                <w:lang w:val="en-US" w:eastAsia="zh-CN"/>
              </w:rPr>
              <w:t>韩肖</w:t>
            </w:r>
          </w:p>
          <w:p w14:paraId="4E8351ED">
            <w:pPr>
              <w:adjustRightInd w:val="0"/>
              <w:snapToGrid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邮  编：</w:t>
            </w:r>
            <w:r>
              <w:rPr>
                <w:rFonts w:hint="eastAsia" w:ascii="宋体" w:hAnsi="宋体" w:cs="宋体"/>
                <w:color w:val="auto"/>
                <w:sz w:val="24"/>
              </w:rPr>
              <w:t>416000</w:t>
            </w:r>
          </w:p>
          <w:p w14:paraId="5B250310">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szCs w:val="24"/>
              </w:rPr>
              <w:t>电  话：</w:t>
            </w:r>
            <w:r>
              <w:rPr>
                <w:rFonts w:hint="eastAsia" w:ascii="宋体" w:hAnsi="宋体" w:cs="宋体"/>
                <w:color w:val="auto"/>
                <w:sz w:val="24"/>
              </w:rPr>
              <w:t>0743-85</w:t>
            </w:r>
            <w:r>
              <w:rPr>
                <w:rFonts w:hint="eastAsia" w:ascii="宋体" w:hAnsi="宋体" w:cs="宋体"/>
                <w:color w:val="auto"/>
                <w:sz w:val="24"/>
                <w:lang w:val="en-US" w:eastAsia="zh-CN"/>
              </w:rPr>
              <w:t>23690</w:t>
            </w:r>
          </w:p>
        </w:tc>
      </w:tr>
      <w:tr w14:paraId="25DBC6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57" w:type="pct"/>
            <w:vAlign w:val="center"/>
          </w:tcPr>
          <w:p w14:paraId="7239B89C">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第3.1</w:t>
            </w:r>
            <w:r>
              <w:rPr>
                <w:rFonts w:hint="eastAsia" w:ascii="宋体" w:hAnsi="宋体" w:eastAsia="宋体" w:cs="宋体"/>
                <w:color w:val="auto"/>
                <w:kern w:val="0"/>
                <w:sz w:val="24"/>
                <w:szCs w:val="24"/>
                <w:lang w:val="zh-CN"/>
              </w:rPr>
              <w:t>款</w:t>
            </w:r>
          </w:p>
        </w:tc>
        <w:tc>
          <w:tcPr>
            <w:tcW w:w="1099" w:type="pct"/>
            <w:vAlign w:val="center"/>
          </w:tcPr>
          <w:p w14:paraId="370AF8FD">
            <w:pPr>
              <w:adjustRightInd w:val="0"/>
              <w:snapToGrid w:val="0"/>
              <w:spacing w:line="360" w:lineRule="auto"/>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投标人资格条件</w:t>
            </w:r>
          </w:p>
        </w:tc>
        <w:tc>
          <w:tcPr>
            <w:tcW w:w="3243" w:type="pct"/>
            <w:vAlign w:val="center"/>
          </w:tcPr>
          <w:p w14:paraId="6AB1F9AE">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1、投标人的基本资格条件：投标人必须是在中华人民共和国境内注册登记的法人、其他组织或者自然人，且应当符合《政府采购法》第二十二条的规定。</w:t>
            </w:r>
          </w:p>
          <w:p w14:paraId="1AEC9EBF">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（1）具有独立承担民事责任的能力；</w:t>
            </w:r>
          </w:p>
          <w:p w14:paraId="17A888CF">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（2）具有良好的商业信誉和健全的财务会计制度；</w:t>
            </w:r>
          </w:p>
          <w:p w14:paraId="581EA782">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（3）具有履行合同所必需的设备和专业技术能力；</w:t>
            </w:r>
          </w:p>
          <w:p w14:paraId="7EADACA3">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（4）有依法缴纳税收和社会保障资金的良好记录；</w:t>
            </w:r>
          </w:p>
          <w:p w14:paraId="12BC75A8">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（5）参加政府采购活动前三年内，在经营活动中没有重大违法记录；</w:t>
            </w:r>
          </w:p>
          <w:p w14:paraId="585359B4">
            <w:pPr>
              <w:adjustRightInd w:val="0"/>
              <w:snapToGrid w:val="0"/>
              <w:spacing w:line="360" w:lineRule="auto"/>
              <w:rPr>
                <w:rFonts w:hint="eastAsia" w:ascii="宋体" w:hAnsi="宋体" w:eastAsia="宋体" w:cs="宋体"/>
                <w:sz w:val="24"/>
                <w:szCs w:val="24"/>
              </w:rPr>
            </w:pPr>
            <w:r>
              <w:rPr>
                <w:rFonts w:hint="eastAsia" w:ascii="宋体" w:hAnsi="宋体" w:eastAsia="宋体" w:cs="宋体"/>
                <w:color w:val="auto"/>
                <w:sz w:val="24"/>
                <w:szCs w:val="24"/>
              </w:rPr>
              <w:t>（6）法律、行政法规规定的其他条件。</w:t>
            </w:r>
          </w:p>
          <w:p w14:paraId="7D35793A">
            <w:pPr>
              <w:adjustRightInd w:val="0"/>
              <w:snapToGrid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cs="宋体"/>
                <w:b/>
                <w:bCs/>
                <w:iCs/>
                <w:color w:val="auto"/>
                <w:sz w:val="24"/>
                <w:highlight w:val="none"/>
                <w:u w:val="none"/>
                <w:lang w:val="en-US" w:eastAsia="zh-CN"/>
              </w:rPr>
              <w:t>采购项目的特定资格条件：</w:t>
            </w:r>
            <w:r>
              <w:rPr>
                <w:rFonts w:hint="eastAsia" w:ascii="宋体" w:hAnsi="宋体" w:cs="宋体"/>
                <w:b w:val="0"/>
                <w:bCs w:val="0"/>
                <w:iCs/>
                <w:color w:val="auto"/>
                <w:sz w:val="24"/>
                <w:highlight w:val="none"/>
                <w:u w:val="single"/>
                <w:lang w:val="en-US" w:eastAsia="zh-CN"/>
              </w:rPr>
              <w:t>无</w:t>
            </w:r>
            <w:r>
              <w:rPr>
                <w:rFonts w:hint="eastAsia" w:ascii="宋体" w:hAnsi="宋体" w:cs="宋体"/>
                <w:b w:val="0"/>
                <w:bCs w:val="0"/>
                <w:iCs/>
                <w:color w:val="auto"/>
                <w:sz w:val="24"/>
                <w:highlight w:val="none"/>
                <w:u w:val="none"/>
                <w:lang w:val="en-US" w:eastAsia="zh-CN"/>
              </w:rPr>
              <w:t>。</w:t>
            </w:r>
          </w:p>
          <w:p w14:paraId="51F99AA3">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、单位负责人为同一人或者存在直接控股、管理关系的不同投标人，不得参加同一合同项下的政府采购活动。</w:t>
            </w:r>
          </w:p>
          <w:p w14:paraId="72B04C6C">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、为本采购项目提供整体设计、规范编制或者项目管理、监理、检测等服务的，不得再参加此项目</w:t>
            </w:r>
            <w:r>
              <w:rPr>
                <w:rFonts w:hint="eastAsia" w:ascii="宋体" w:hAnsi="宋体" w:eastAsia="宋体" w:cs="宋体"/>
                <w:color w:val="auto"/>
                <w:sz w:val="24"/>
                <w:szCs w:val="24"/>
                <w:highlight w:val="none"/>
              </w:rPr>
              <w:t>的其他采购活动。</w:t>
            </w:r>
          </w:p>
          <w:p w14:paraId="0EB686D8">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、列入失信被执行人、重大税收违法失信主体名单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政府采购严重违法失信行为记录名单的，拒绝其参与政府采购活动。</w:t>
            </w:r>
          </w:p>
          <w:p w14:paraId="6F07FF20">
            <w:pPr>
              <w:adjustRightInd w:val="0"/>
              <w:snapToGrid w:val="0"/>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、联合体投标。本次招标</w:t>
            </w:r>
            <w:r>
              <w:rPr>
                <w:rFonts w:hint="eastAsia" w:ascii="宋体" w:hAnsi="宋体" w:eastAsia="宋体" w:cs="宋体"/>
                <w:color w:val="auto"/>
                <w:sz w:val="24"/>
                <w:szCs w:val="24"/>
                <w:highlight w:val="none"/>
                <w:u w:val="single"/>
              </w:rPr>
              <w:t xml:space="preserve">  不接受</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(接受或不接受)联合体投标。接受联合体投标的，联合体应当具备下列条件：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tc>
      </w:tr>
      <w:tr w14:paraId="4B119B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3" w:hRule="atLeast"/>
        </w:trPr>
        <w:tc>
          <w:tcPr>
            <w:tcW w:w="657" w:type="pct"/>
            <w:vAlign w:val="center"/>
          </w:tcPr>
          <w:p w14:paraId="3FF62955">
            <w:pPr>
              <w:spacing w:line="360" w:lineRule="auto"/>
              <w:rPr>
                <w:rFonts w:hint="eastAsia" w:ascii="宋体" w:hAnsi="宋体" w:eastAsia="宋体" w:cs="宋体"/>
                <w:color w:val="auto"/>
                <w:sz w:val="24"/>
              </w:rPr>
            </w:pPr>
            <w:r>
              <w:rPr>
                <w:rFonts w:hint="eastAsia" w:ascii="宋体" w:hAnsi="宋体" w:eastAsia="宋体" w:cs="宋体"/>
                <w:color w:val="auto"/>
                <w:sz w:val="24"/>
              </w:rPr>
              <w:t>第3.2款</w:t>
            </w:r>
          </w:p>
        </w:tc>
        <w:tc>
          <w:tcPr>
            <w:tcW w:w="1099" w:type="pct"/>
            <w:vAlign w:val="center"/>
          </w:tcPr>
          <w:p w14:paraId="5FCE1C47">
            <w:pPr>
              <w:spacing w:line="360" w:lineRule="auto"/>
              <w:rPr>
                <w:rFonts w:hint="eastAsia" w:ascii="宋体" w:hAnsi="宋体" w:eastAsia="宋体" w:cs="宋体"/>
                <w:color w:val="auto"/>
                <w:sz w:val="24"/>
              </w:rPr>
            </w:pPr>
            <w:r>
              <w:rPr>
                <w:rFonts w:hint="eastAsia" w:ascii="宋体" w:hAnsi="宋体" w:eastAsia="宋体" w:cs="宋体"/>
                <w:color w:val="auto"/>
                <w:sz w:val="24"/>
              </w:rPr>
              <w:t>联合体投标</w:t>
            </w:r>
          </w:p>
        </w:tc>
        <w:tc>
          <w:tcPr>
            <w:tcW w:w="3243" w:type="pct"/>
            <w:vAlign w:val="center"/>
          </w:tcPr>
          <w:p w14:paraId="27D3A1AC">
            <w:pPr>
              <w:spacing w:line="360" w:lineRule="auto"/>
              <w:rPr>
                <w:rFonts w:hint="eastAsia" w:ascii="宋体" w:hAnsi="宋体" w:eastAsia="宋体" w:cs="宋体"/>
                <w:color w:val="auto"/>
                <w:sz w:val="24"/>
              </w:rPr>
            </w:pPr>
            <w:r>
              <w:rPr>
                <w:rFonts w:hint="eastAsia" w:ascii="宋体" w:hAnsi="宋体" w:eastAsia="宋体" w:cs="宋体"/>
                <w:bCs/>
                <w:color w:val="auto"/>
                <w:sz w:val="24"/>
                <w:szCs w:val="24"/>
                <w:highlight w:val="none"/>
              </w:rPr>
              <w:t>本项目不接受联合体参加投标。</w:t>
            </w:r>
          </w:p>
        </w:tc>
      </w:tr>
      <w:tr w14:paraId="251704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3" w:hRule="atLeast"/>
        </w:trPr>
        <w:tc>
          <w:tcPr>
            <w:tcW w:w="657" w:type="pct"/>
            <w:vAlign w:val="center"/>
          </w:tcPr>
          <w:p w14:paraId="4B96A974">
            <w:pPr>
              <w:adjustRightInd w:val="0"/>
              <w:snapToGrid w:val="0"/>
              <w:spacing w:line="360" w:lineRule="auto"/>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第5.1</w:t>
            </w:r>
            <w:r>
              <w:rPr>
                <w:rFonts w:hint="eastAsia" w:ascii="宋体" w:hAnsi="宋体" w:eastAsia="宋体" w:cs="宋体"/>
                <w:color w:val="auto"/>
                <w:kern w:val="0"/>
                <w:sz w:val="24"/>
                <w:szCs w:val="24"/>
                <w:lang w:val="zh-CN"/>
              </w:rPr>
              <w:t>款</w:t>
            </w:r>
          </w:p>
        </w:tc>
        <w:tc>
          <w:tcPr>
            <w:tcW w:w="1099" w:type="pct"/>
            <w:vAlign w:val="center"/>
          </w:tcPr>
          <w:p w14:paraId="35038D9B">
            <w:pPr>
              <w:adjustRightInd w:val="0"/>
              <w:snapToGrid w:val="0"/>
              <w:spacing w:line="360" w:lineRule="auto"/>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招标文件提供期限</w:t>
            </w:r>
          </w:p>
        </w:tc>
        <w:tc>
          <w:tcPr>
            <w:tcW w:w="3243" w:type="pct"/>
            <w:vAlign w:val="center"/>
          </w:tcPr>
          <w:p w14:paraId="6D01D891">
            <w:pPr>
              <w:adjustRightInd w:val="0"/>
              <w:snapToGrid w:val="0"/>
              <w:spacing w:line="420" w:lineRule="exact"/>
              <w:rPr>
                <w:rFonts w:hint="eastAsia" w:ascii="宋体" w:hAnsi="宋体" w:eastAsia="宋体" w:cs="宋体"/>
                <w:color w:val="auto"/>
                <w:kern w:val="2"/>
                <w:sz w:val="24"/>
                <w:szCs w:val="24"/>
                <w:lang w:val="en-US" w:eastAsia="zh-CN" w:bidi="ar-SA"/>
              </w:rPr>
            </w:pPr>
            <w:r>
              <w:rPr>
                <w:rFonts w:hint="eastAsia" w:ascii="宋体" w:hAnsi="宋体" w:cs="宋体"/>
                <w:b/>
                <w:bCs/>
                <w:color w:val="auto"/>
                <w:kern w:val="0"/>
                <w:sz w:val="24"/>
                <w:szCs w:val="24"/>
                <w:u w:val="single"/>
                <w:lang w:val="en-US" w:eastAsia="zh-CN"/>
              </w:rPr>
              <w:t>2026</w:t>
            </w:r>
            <w:r>
              <w:rPr>
                <w:rFonts w:hint="eastAsia" w:ascii="宋体" w:hAnsi="宋体" w:eastAsia="宋体" w:cs="宋体"/>
                <w:b/>
                <w:bCs/>
                <w:color w:val="auto"/>
                <w:kern w:val="0"/>
                <w:sz w:val="24"/>
                <w:szCs w:val="24"/>
                <w:u w:val="none"/>
              </w:rPr>
              <w:t>年</w:t>
            </w:r>
            <w:r>
              <w:rPr>
                <w:rFonts w:hint="eastAsia" w:ascii="宋体" w:hAnsi="宋体" w:cs="宋体"/>
                <w:b/>
                <w:bCs/>
                <w:color w:val="auto"/>
                <w:kern w:val="0"/>
                <w:sz w:val="24"/>
                <w:szCs w:val="24"/>
                <w:u w:val="single"/>
                <w:lang w:val="en-US" w:eastAsia="zh-CN"/>
              </w:rPr>
              <w:t xml:space="preserve"> 8 </w:t>
            </w:r>
            <w:r>
              <w:rPr>
                <w:rFonts w:hint="eastAsia" w:ascii="宋体" w:hAnsi="宋体" w:eastAsia="宋体" w:cs="宋体"/>
                <w:b/>
                <w:bCs/>
                <w:color w:val="auto"/>
                <w:spacing w:val="-2"/>
                <w:kern w:val="0"/>
                <w:sz w:val="24"/>
                <w:szCs w:val="24"/>
                <w:u w:val="none"/>
              </w:rPr>
              <w:t>月</w:t>
            </w:r>
            <w:r>
              <w:rPr>
                <w:rFonts w:hint="eastAsia" w:ascii="宋体" w:hAnsi="宋体" w:cs="宋体"/>
                <w:b/>
                <w:bCs/>
                <w:color w:val="auto"/>
                <w:spacing w:val="-2"/>
                <w:kern w:val="0"/>
                <w:sz w:val="24"/>
                <w:szCs w:val="24"/>
                <w:u w:val="single"/>
                <w:lang w:val="en-US" w:eastAsia="zh-CN"/>
              </w:rPr>
              <w:t xml:space="preserve"> 12 </w:t>
            </w:r>
            <w:r>
              <w:rPr>
                <w:rFonts w:hint="eastAsia" w:ascii="宋体" w:hAnsi="宋体" w:eastAsia="宋体" w:cs="宋体"/>
                <w:b/>
                <w:bCs/>
                <w:color w:val="auto"/>
                <w:spacing w:val="-2"/>
                <w:kern w:val="0"/>
                <w:sz w:val="24"/>
                <w:szCs w:val="24"/>
                <w:u w:val="none"/>
              </w:rPr>
              <w:t>日</w:t>
            </w:r>
            <w:r>
              <w:rPr>
                <w:rFonts w:hint="eastAsia" w:ascii="宋体" w:hAnsi="宋体" w:eastAsia="宋体" w:cs="宋体"/>
                <w:b/>
                <w:bCs/>
                <w:color w:val="auto"/>
                <w:kern w:val="0"/>
                <w:sz w:val="24"/>
                <w:szCs w:val="24"/>
                <w:u w:val="none"/>
              </w:rPr>
              <w:t>至</w:t>
            </w:r>
            <w:r>
              <w:rPr>
                <w:rFonts w:hint="eastAsia" w:ascii="宋体" w:hAnsi="宋体" w:cs="宋体"/>
                <w:b/>
                <w:bCs/>
                <w:color w:val="auto"/>
                <w:kern w:val="0"/>
                <w:sz w:val="24"/>
                <w:szCs w:val="24"/>
                <w:u w:val="single"/>
                <w:lang w:val="en-US" w:eastAsia="zh-CN"/>
              </w:rPr>
              <w:t xml:space="preserve"> </w:t>
            </w:r>
            <w:r>
              <w:rPr>
                <w:rFonts w:hint="eastAsia" w:ascii="宋体" w:hAnsi="宋体" w:eastAsia="宋体" w:cs="宋体"/>
                <w:b/>
                <w:bCs/>
                <w:color w:val="auto"/>
                <w:kern w:val="0"/>
                <w:sz w:val="24"/>
                <w:szCs w:val="24"/>
                <w:u w:val="single"/>
              </w:rPr>
              <w:t>202</w:t>
            </w:r>
            <w:r>
              <w:rPr>
                <w:rFonts w:hint="eastAsia" w:ascii="宋体" w:hAnsi="宋体" w:cs="宋体"/>
                <w:b/>
                <w:bCs/>
                <w:color w:val="auto"/>
                <w:kern w:val="0"/>
                <w:sz w:val="24"/>
                <w:szCs w:val="24"/>
                <w:u w:val="single"/>
                <w:lang w:val="en-US" w:eastAsia="zh-CN"/>
              </w:rPr>
              <w:t xml:space="preserve">6 </w:t>
            </w:r>
            <w:r>
              <w:rPr>
                <w:rFonts w:hint="eastAsia" w:ascii="宋体" w:hAnsi="宋体" w:eastAsia="宋体" w:cs="宋体"/>
                <w:b/>
                <w:bCs/>
                <w:color w:val="auto"/>
                <w:kern w:val="0"/>
                <w:sz w:val="24"/>
                <w:szCs w:val="24"/>
                <w:u w:val="none"/>
                <w:lang w:val="en-US" w:eastAsia="zh-CN"/>
              </w:rPr>
              <w:t>年</w:t>
            </w:r>
            <w:r>
              <w:rPr>
                <w:rFonts w:hint="eastAsia" w:ascii="宋体" w:hAnsi="宋体" w:cs="宋体"/>
                <w:b/>
                <w:bCs/>
                <w:color w:val="auto"/>
                <w:kern w:val="0"/>
                <w:sz w:val="24"/>
                <w:szCs w:val="24"/>
                <w:u w:val="single"/>
                <w:lang w:val="en-US" w:eastAsia="zh-CN"/>
              </w:rPr>
              <w:t xml:space="preserve"> 9 </w:t>
            </w:r>
            <w:r>
              <w:rPr>
                <w:rFonts w:hint="eastAsia" w:ascii="宋体" w:hAnsi="宋体" w:eastAsia="宋体" w:cs="宋体"/>
                <w:b/>
                <w:bCs/>
                <w:color w:val="auto"/>
                <w:kern w:val="0"/>
                <w:sz w:val="24"/>
                <w:szCs w:val="24"/>
                <w:u w:val="none"/>
                <w:lang w:val="en-US" w:eastAsia="zh-CN"/>
              </w:rPr>
              <w:t>月</w:t>
            </w:r>
            <w:r>
              <w:rPr>
                <w:rFonts w:hint="eastAsia" w:ascii="宋体" w:hAnsi="宋体" w:cs="宋体"/>
                <w:b/>
                <w:bCs/>
                <w:color w:val="auto"/>
                <w:kern w:val="0"/>
                <w:sz w:val="24"/>
                <w:szCs w:val="24"/>
                <w:u w:val="single"/>
                <w:lang w:val="en-US" w:eastAsia="zh-CN"/>
              </w:rPr>
              <w:t xml:space="preserve"> 1 </w:t>
            </w:r>
            <w:r>
              <w:rPr>
                <w:rFonts w:hint="eastAsia" w:ascii="宋体" w:hAnsi="宋体" w:eastAsia="宋体" w:cs="宋体"/>
                <w:b/>
                <w:bCs/>
                <w:iCs/>
                <w:color w:val="auto"/>
                <w:sz w:val="24"/>
                <w:szCs w:val="24"/>
                <w:u w:val="none"/>
              </w:rPr>
              <w:t>日</w:t>
            </w:r>
            <w:r>
              <w:rPr>
                <w:rFonts w:hint="eastAsia" w:ascii="宋体" w:hAnsi="宋体" w:cs="宋体"/>
                <w:color w:val="auto"/>
                <w:spacing w:val="-2"/>
                <w:kern w:val="0"/>
                <w:sz w:val="24"/>
                <w:szCs w:val="24"/>
              </w:rPr>
              <w:t>（北京时间，法定节假日除外）。</w:t>
            </w:r>
          </w:p>
        </w:tc>
      </w:tr>
      <w:tr w14:paraId="47B8E6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57" w:type="pct"/>
            <w:vAlign w:val="center"/>
          </w:tcPr>
          <w:p w14:paraId="21834A10">
            <w:pPr>
              <w:spacing w:line="360" w:lineRule="auto"/>
              <w:rPr>
                <w:rFonts w:hint="eastAsia" w:ascii="宋体" w:hAnsi="宋体" w:eastAsia="宋体" w:cs="宋体"/>
                <w:color w:val="auto"/>
                <w:sz w:val="24"/>
              </w:rPr>
            </w:pPr>
            <w:r>
              <w:rPr>
                <w:rFonts w:hint="eastAsia" w:ascii="宋体" w:hAnsi="宋体" w:eastAsia="宋体" w:cs="宋体"/>
                <w:color w:val="auto"/>
                <w:sz w:val="24"/>
              </w:rPr>
              <w:t>第</w:t>
            </w:r>
            <w:r>
              <w:rPr>
                <w:rFonts w:hint="eastAsia" w:ascii="宋体" w:hAnsi="宋体" w:cs="宋体"/>
                <w:color w:val="auto"/>
                <w:sz w:val="24"/>
                <w:lang w:val="en-US" w:eastAsia="zh-CN"/>
              </w:rPr>
              <w:t>5</w:t>
            </w:r>
            <w:r>
              <w:rPr>
                <w:rFonts w:hint="eastAsia" w:ascii="宋体" w:hAnsi="宋体" w:eastAsia="宋体" w:cs="宋体"/>
                <w:color w:val="auto"/>
                <w:sz w:val="24"/>
              </w:rPr>
              <w:t>.2</w:t>
            </w:r>
            <w:r>
              <w:rPr>
                <w:rFonts w:hint="eastAsia" w:ascii="宋体" w:hAnsi="宋体" w:eastAsia="宋体" w:cs="宋体"/>
                <w:color w:val="auto"/>
                <w:sz w:val="24"/>
                <w:lang w:val="zh-CN"/>
              </w:rPr>
              <w:t>款</w:t>
            </w:r>
          </w:p>
        </w:tc>
        <w:tc>
          <w:tcPr>
            <w:tcW w:w="1099" w:type="pct"/>
            <w:vAlign w:val="center"/>
          </w:tcPr>
          <w:p w14:paraId="227A609E">
            <w:pPr>
              <w:spacing w:line="360" w:lineRule="auto"/>
              <w:rPr>
                <w:rFonts w:hint="eastAsia" w:ascii="宋体" w:hAnsi="宋体" w:eastAsia="宋体" w:cs="宋体"/>
                <w:color w:val="auto"/>
                <w:sz w:val="24"/>
              </w:rPr>
            </w:pPr>
            <w:r>
              <w:rPr>
                <w:rFonts w:hint="eastAsia" w:ascii="宋体" w:hAnsi="宋体" w:eastAsia="宋体" w:cs="宋体"/>
                <w:color w:val="auto"/>
                <w:sz w:val="24"/>
              </w:rPr>
              <w:t>组织现场考察或者召开答疑会</w:t>
            </w:r>
          </w:p>
        </w:tc>
        <w:tc>
          <w:tcPr>
            <w:tcW w:w="3243" w:type="pct"/>
            <w:vAlign w:val="center"/>
          </w:tcPr>
          <w:p w14:paraId="512E02A6">
            <w:pPr>
              <w:spacing w:line="360" w:lineRule="auto"/>
              <w:rPr>
                <w:rFonts w:hint="eastAsia" w:ascii="宋体" w:hAnsi="宋体" w:eastAsia="宋体" w:cs="宋体"/>
                <w:color w:val="auto"/>
                <w:sz w:val="24"/>
                <w:lang w:val="en-US" w:eastAsia="zh-CN"/>
              </w:rPr>
            </w:pPr>
            <w:r>
              <w:rPr>
                <w:rFonts w:hint="eastAsia" w:ascii="宋体" w:hAnsi="宋体" w:eastAsia="宋体" w:cs="宋体"/>
                <w:color w:val="auto"/>
                <w:sz w:val="24"/>
              </w:rPr>
              <w:t>无</w:t>
            </w:r>
          </w:p>
        </w:tc>
      </w:tr>
      <w:tr w14:paraId="089D92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5000" w:type="pct"/>
            <w:gridSpan w:val="3"/>
            <w:vAlign w:val="center"/>
          </w:tcPr>
          <w:p w14:paraId="06204E9D">
            <w:pPr>
              <w:spacing w:line="360" w:lineRule="auto"/>
              <w:rPr>
                <w:rFonts w:hint="eastAsia" w:ascii="宋体" w:hAnsi="宋体" w:eastAsia="宋体" w:cs="宋体"/>
                <w:color w:val="auto"/>
                <w:sz w:val="24"/>
              </w:rPr>
            </w:pPr>
            <w:r>
              <w:rPr>
                <w:rFonts w:hint="eastAsia" w:ascii="宋体" w:hAnsi="宋体" w:eastAsia="宋体" w:cs="宋体"/>
                <w:color w:val="auto"/>
                <w:sz w:val="24"/>
              </w:rPr>
              <w:t>二、招标文件</w:t>
            </w:r>
          </w:p>
        </w:tc>
      </w:tr>
      <w:tr w14:paraId="629B11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3" w:hRule="atLeast"/>
        </w:trPr>
        <w:tc>
          <w:tcPr>
            <w:tcW w:w="657" w:type="pct"/>
            <w:vAlign w:val="center"/>
          </w:tcPr>
          <w:p w14:paraId="31C6FC73">
            <w:pPr>
              <w:spacing w:line="360" w:lineRule="auto"/>
              <w:rPr>
                <w:rFonts w:hint="eastAsia" w:ascii="宋体" w:hAnsi="宋体" w:eastAsia="宋体" w:cs="宋体"/>
                <w:color w:val="auto"/>
                <w:sz w:val="24"/>
              </w:rPr>
            </w:pPr>
            <w:r>
              <w:rPr>
                <w:rFonts w:hint="eastAsia" w:ascii="宋体" w:hAnsi="宋体" w:eastAsia="宋体" w:cs="宋体"/>
                <w:color w:val="auto"/>
                <w:sz w:val="24"/>
              </w:rPr>
              <w:t>第7.</w:t>
            </w:r>
            <w:r>
              <w:rPr>
                <w:rFonts w:hint="eastAsia" w:ascii="宋体" w:hAnsi="宋体" w:cs="宋体"/>
                <w:color w:val="auto"/>
                <w:sz w:val="24"/>
                <w:lang w:val="en-US" w:eastAsia="zh-CN"/>
              </w:rPr>
              <w:t>4</w:t>
            </w:r>
            <w:r>
              <w:rPr>
                <w:rFonts w:hint="eastAsia" w:ascii="宋体" w:hAnsi="宋体" w:eastAsia="宋体" w:cs="宋体"/>
                <w:color w:val="auto"/>
                <w:sz w:val="24"/>
              </w:rPr>
              <w:t>款</w:t>
            </w:r>
          </w:p>
        </w:tc>
        <w:tc>
          <w:tcPr>
            <w:tcW w:w="1099" w:type="pct"/>
            <w:vAlign w:val="center"/>
          </w:tcPr>
          <w:p w14:paraId="4CEC64B7">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szCs w:val="24"/>
              </w:rPr>
              <w:t>非实质性偏离的范围和幅度</w:t>
            </w:r>
          </w:p>
        </w:tc>
        <w:tc>
          <w:tcPr>
            <w:tcW w:w="3243" w:type="pct"/>
            <w:vAlign w:val="center"/>
          </w:tcPr>
          <w:p w14:paraId="6101B519">
            <w:pPr>
              <w:adjustRightInd w:val="0"/>
              <w:snapToGrid w:val="0"/>
              <w:spacing w:line="360" w:lineRule="auto"/>
              <w:ind w:left="120" w:leftChars="0" w:hanging="120" w:hangingChars="50"/>
              <w:jc w:val="left"/>
              <w:rPr>
                <w:rFonts w:hint="default" w:ascii="宋体" w:hAnsi="宋体" w:eastAsia="宋体" w:cs="宋体"/>
                <w:color w:val="auto"/>
                <w:sz w:val="24"/>
                <w:lang w:val="en-US" w:eastAsia="zh-CN"/>
              </w:rPr>
            </w:pPr>
            <w:r>
              <w:rPr>
                <w:rFonts w:hint="default" w:ascii="宋体" w:hAnsi="宋体" w:eastAsia="宋体" w:cs="宋体"/>
                <w:color w:val="auto"/>
                <w:sz w:val="24"/>
                <w:lang w:val="en-US" w:eastAsia="zh-CN"/>
              </w:rPr>
              <w:t>非实质性要求条款允许偏离的最多项数≥</w:t>
            </w:r>
            <w:r>
              <w:rPr>
                <w:rFonts w:hint="eastAsia" w:ascii="宋体" w:hAnsi="宋体" w:cs="宋体"/>
                <w:color w:val="auto"/>
                <w:sz w:val="24"/>
                <w:lang w:val="en-US" w:eastAsia="zh-CN"/>
              </w:rPr>
              <w:t>40</w:t>
            </w:r>
            <w:r>
              <w:rPr>
                <w:rFonts w:hint="default" w:ascii="宋体" w:hAnsi="宋体" w:eastAsia="宋体" w:cs="宋体"/>
                <w:color w:val="auto"/>
                <w:sz w:val="24"/>
                <w:lang w:val="en-US" w:eastAsia="zh-CN"/>
              </w:rPr>
              <w:t>项将导致投标无效。</w:t>
            </w:r>
          </w:p>
          <w:p w14:paraId="51E581C0">
            <w:pPr>
              <w:adjustRightInd w:val="0"/>
              <w:snapToGrid w:val="0"/>
              <w:spacing w:line="360" w:lineRule="auto"/>
              <w:ind w:left="120" w:leftChars="0" w:hanging="120" w:hangingChars="50"/>
              <w:jc w:val="left"/>
              <w:rPr>
                <w:rFonts w:hint="default" w:ascii="宋体" w:hAnsi="宋体" w:eastAsia="宋体" w:cs="宋体"/>
                <w:color w:val="auto"/>
                <w:sz w:val="24"/>
                <w:lang w:val="en-US" w:eastAsia="zh-CN"/>
              </w:rPr>
            </w:pPr>
            <w:r>
              <w:rPr>
                <w:rFonts w:hint="default" w:ascii="宋体" w:hAnsi="宋体" w:eastAsia="宋体" w:cs="宋体"/>
                <w:color w:val="auto"/>
                <w:sz w:val="24"/>
                <w:lang w:val="en-US" w:eastAsia="zh-CN"/>
              </w:rPr>
              <w:t>条款数（最高项数）的统计方法：同一项内容的条款不重复计算项数。</w:t>
            </w:r>
          </w:p>
        </w:tc>
      </w:tr>
      <w:tr w14:paraId="3972F4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3" w:hRule="atLeast"/>
        </w:trPr>
        <w:tc>
          <w:tcPr>
            <w:tcW w:w="657" w:type="pct"/>
            <w:vAlign w:val="center"/>
          </w:tcPr>
          <w:p w14:paraId="4F48E88D">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第9.1</w:t>
            </w:r>
            <w:r>
              <w:rPr>
                <w:rFonts w:hint="eastAsia" w:ascii="宋体" w:hAnsi="宋体" w:eastAsia="宋体" w:cs="宋体"/>
                <w:color w:val="auto"/>
                <w:kern w:val="0"/>
                <w:sz w:val="24"/>
                <w:szCs w:val="24"/>
                <w:lang w:val="zh-CN"/>
              </w:rPr>
              <w:t>款</w:t>
            </w:r>
          </w:p>
        </w:tc>
        <w:tc>
          <w:tcPr>
            <w:tcW w:w="1099" w:type="pct"/>
            <w:vAlign w:val="center"/>
          </w:tcPr>
          <w:p w14:paraId="74C9143D">
            <w:pPr>
              <w:adjustRightInd w:val="0"/>
              <w:snapToGrid w:val="0"/>
              <w:spacing w:line="360" w:lineRule="auto"/>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招标公告指定媒体</w:t>
            </w:r>
          </w:p>
        </w:tc>
        <w:tc>
          <w:tcPr>
            <w:tcW w:w="3243" w:type="pct"/>
            <w:vAlign w:val="center"/>
          </w:tcPr>
          <w:p w14:paraId="19903547">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湖南省政府采购网www.ccgp-hunan.gov.cn</w:t>
            </w:r>
          </w:p>
          <w:p w14:paraId="64668D5C">
            <w:pPr>
              <w:adjustRightInd w:val="0"/>
              <w:snapToGrid w:val="0"/>
              <w:spacing w:line="360" w:lineRule="auto"/>
              <w:ind w:left="120" w:leftChars="0" w:hanging="120" w:hangingChars="50"/>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湘西公共资源交易网</w:t>
            </w:r>
            <w:r>
              <w:rPr>
                <w:rFonts w:hint="eastAsia" w:ascii="宋体" w:hAnsi="宋体" w:cs="宋体"/>
                <w:color w:val="auto"/>
                <w:sz w:val="24"/>
                <w:szCs w:val="24"/>
                <w:lang w:eastAsia="zh-CN"/>
              </w:rPr>
              <w:t>http://xxzggzyjy.cn/</w:t>
            </w:r>
          </w:p>
        </w:tc>
      </w:tr>
      <w:tr w14:paraId="3633D3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3" w:hRule="atLeast"/>
        </w:trPr>
        <w:tc>
          <w:tcPr>
            <w:tcW w:w="5000" w:type="pct"/>
            <w:gridSpan w:val="3"/>
            <w:vAlign w:val="center"/>
          </w:tcPr>
          <w:p w14:paraId="2373E346">
            <w:pPr>
              <w:adjustRightInd w:val="0"/>
              <w:snapToGrid w:val="0"/>
              <w:spacing w:line="360" w:lineRule="auto"/>
              <w:ind w:left="120" w:leftChars="0" w:hanging="120" w:hangingChars="50"/>
              <w:jc w:val="left"/>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rPr>
              <w:t>三、投标文件</w:t>
            </w:r>
          </w:p>
        </w:tc>
      </w:tr>
      <w:tr w14:paraId="42C1A9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3" w:hRule="atLeast"/>
        </w:trPr>
        <w:tc>
          <w:tcPr>
            <w:tcW w:w="657" w:type="pct"/>
            <w:vAlign w:val="center"/>
          </w:tcPr>
          <w:p w14:paraId="584EAD77">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第13.2</w:t>
            </w:r>
            <w:r>
              <w:rPr>
                <w:rFonts w:hint="eastAsia" w:ascii="宋体" w:hAnsi="宋体" w:eastAsia="宋体" w:cs="宋体"/>
                <w:color w:val="auto"/>
                <w:kern w:val="0"/>
                <w:sz w:val="24"/>
                <w:szCs w:val="24"/>
                <w:lang w:val="zh-CN"/>
              </w:rPr>
              <w:t>款</w:t>
            </w:r>
          </w:p>
        </w:tc>
        <w:tc>
          <w:tcPr>
            <w:tcW w:w="1099" w:type="pct"/>
            <w:vAlign w:val="center"/>
          </w:tcPr>
          <w:p w14:paraId="08090BD8">
            <w:pPr>
              <w:adjustRightInd w:val="0"/>
              <w:snapToGrid w:val="0"/>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采购</w:t>
            </w:r>
            <w:r>
              <w:rPr>
                <w:rFonts w:hint="eastAsia" w:ascii="宋体" w:hAnsi="宋体" w:eastAsia="宋体" w:cs="宋体"/>
                <w:color w:val="auto"/>
                <w:sz w:val="24"/>
                <w:szCs w:val="24"/>
                <w:lang w:val="en-US" w:eastAsia="zh-CN"/>
              </w:rPr>
              <w:t>项目</w:t>
            </w:r>
            <w:r>
              <w:rPr>
                <w:rFonts w:hint="eastAsia" w:ascii="宋体" w:hAnsi="宋体" w:eastAsia="宋体" w:cs="宋体"/>
                <w:color w:val="auto"/>
                <w:sz w:val="24"/>
                <w:szCs w:val="24"/>
              </w:rPr>
              <w:t>预算、最高限价</w:t>
            </w:r>
          </w:p>
        </w:tc>
        <w:tc>
          <w:tcPr>
            <w:tcW w:w="3243" w:type="pct"/>
            <w:vAlign w:val="center"/>
          </w:tcPr>
          <w:p w14:paraId="0933E4E7">
            <w:pPr>
              <w:adjustRightInd w:val="0"/>
              <w:snapToGrid w:val="0"/>
              <w:spacing w:beforeLines="50" w:line="360" w:lineRule="auto"/>
              <w:jc w:val="left"/>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采购预算：</w:t>
            </w:r>
            <w:r>
              <w:rPr>
                <w:rFonts w:hint="eastAsia" w:ascii="宋体" w:hAnsi="宋体" w:cs="宋体"/>
                <w:color w:val="auto"/>
                <w:sz w:val="24"/>
                <w:u w:val="single"/>
                <w:lang w:val="en-US" w:eastAsia="zh-CN"/>
              </w:rPr>
              <w:t>209.799</w:t>
            </w:r>
            <w:r>
              <w:rPr>
                <w:rFonts w:hint="eastAsia" w:ascii="宋体" w:hAnsi="宋体" w:eastAsia="宋体" w:cs="宋体"/>
                <w:color w:val="auto"/>
                <w:sz w:val="24"/>
                <w:u w:val="single"/>
                <w:lang w:val="en-US" w:eastAsia="zh-CN"/>
              </w:rPr>
              <w:t>万元</w:t>
            </w:r>
            <w:r>
              <w:rPr>
                <w:rFonts w:hint="eastAsia" w:ascii="宋体" w:hAnsi="宋体" w:cs="宋体"/>
                <w:b/>
                <w:bCs/>
                <w:color w:val="auto"/>
                <w:sz w:val="24"/>
                <w:szCs w:val="24"/>
                <w:lang w:val="en-US" w:eastAsia="zh-CN"/>
              </w:rPr>
              <w:t xml:space="preserve">    </w:t>
            </w:r>
          </w:p>
          <w:p w14:paraId="449E7D99">
            <w:pPr>
              <w:adjustRightInd w:val="0"/>
              <w:snapToGrid w:val="0"/>
              <w:spacing w:line="360" w:lineRule="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最高限价：/</w:t>
            </w:r>
          </w:p>
          <w:p w14:paraId="70524D1B">
            <w:pPr>
              <w:adjustRightInd w:val="0"/>
              <w:snapToGrid w:val="0"/>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本项目投标报价不得超过总预算和最高限价（如有设定），否则将视为无效投标</w:t>
            </w:r>
            <w:r>
              <w:rPr>
                <w:rFonts w:hint="eastAsia" w:ascii="宋体" w:hAnsi="宋体" w:eastAsia="宋体" w:cs="宋体"/>
                <w:color w:val="auto"/>
                <w:sz w:val="24"/>
                <w:szCs w:val="24"/>
                <w:lang w:eastAsia="zh-CN"/>
              </w:rPr>
              <w:t>。</w:t>
            </w:r>
          </w:p>
        </w:tc>
      </w:tr>
      <w:tr w14:paraId="255034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3" w:hRule="atLeast"/>
        </w:trPr>
        <w:tc>
          <w:tcPr>
            <w:tcW w:w="657" w:type="pct"/>
            <w:vAlign w:val="center"/>
          </w:tcPr>
          <w:p w14:paraId="043CE8DC">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第13.8款</w:t>
            </w:r>
          </w:p>
        </w:tc>
        <w:tc>
          <w:tcPr>
            <w:tcW w:w="1099" w:type="pct"/>
            <w:vAlign w:val="center"/>
          </w:tcPr>
          <w:p w14:paraId="75B37DEB">
            <w:pPr>
              <w:adjustRightInd w:val="0"/>
              <w:snapToGrid w:val="0"/>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投标报价的其他要求</w:t>
            </w:r>
          </w:p>
        </w:tc>
        <w:tc>
          <w:tcPr>
            <w:tcW w:w="3243" w:type="pct"/>
            <w:vAlign w:val="center"/>
          </w:tcPr>
          <w:p w14:paraId="51562EE7">
            <w:pPr>
              <w:adjustRightInd w:val="0"/>
              <w:snapToGrid w:val="0"/>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无要求。</w:t>
            </w:r>
          </w:p>
        </w:tc>
      </w:tr>
      <w:tr w14:paraId="5CE7CA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3" w:hRule="atLeast"/>
        </w:trPr>
        <w:tc>
          <w:tcPr>
            <w:tcW w:w="657" w:type="pct"/>
            <w:vAlign w:val="center"/>
          </w:tcPr>
          <w:p w14:paraId="545AE7A7">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第14.1款</w:t>
            </w:r>
          </w:p>
        </w:tc>
        <w:tc>
          <w:tcPr>
            <w:tcW w:w="1099" w:type="pct"/>
            <w:vAlign w:val="center"/>
          </w:tcPr>
          <w:p w14:paraId="3C400768">
            <w:pPr>
              <w:adjustRightInd w:val="0"/>
              <w:snapToGrid w:val="0"/>
              <w:spacing w:line="360" w:lineRule="auto"/>
              <w:rPr>
                <w:rFonts w:hint="eastAsia" w:ascii="宋体" w:hAnsi="宋体" w:eastAsia="宋体" w:cs="宋体"/>
                <w:bCs/>
                <w:color w:val="auto"/>
                <w:kern w:val="2"/>
                <w:sz w:val="24"/>
                <w:szCs w:val="24"/>
                <w:lang w:val="en-US" w:eastAsia="zh-CN" w:bidi="ar-SA"/>
              </w:rPr>
            </w:pPr>
            <w:r>
              <w:rPr>
                <w:rFonts w:hint="eastAsia" w:ascii="宋体" w:hAnsi="宋体" w:eastAsia="宋体" w:cs="宋体"/>
                <w:color w:val="auto"/>
                <w:sz w:val="24"/>
                <w:szCs w:val="24"/>
              </w:rPr>
              <w:t>投标人应提供资格审查资料</w:t>
            </w:r>
          </w:p>
        </w:tc>
        <w:tc>
          <w:tcPr>
            <w:tcW w:w="3243" w:type="pct"/>
            <w:vAlign w:val="center"/>
          </w:tcPr>
          <w:p w14:paraId="6E337140">
            <w:pPr>
              <w:adjustRightInd w:val="0"/>
              <w:snapToGrid w:val="0"/>
              <w:spacing w:before="156" w:beforeLines="50" w:line="360" w:lineRule="auto"/>
              <w:rPr>
                <w:rFonts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法人或者其他组织的营业执照等主体资格证明文件，自然人的身份证明：供应商为法人的，应提交营业执照或法人登记证书的复印件</w:t>
            </w:r>
            <w:r>
              <w:rPr>
                <w:rFonts w:hint="eastAsia" w:ascii="宋体" w:hAnsi="宋体"/>
                <w:color w:val="auto"/>
                <w:sz w:val="24"/>
                <w:szCs w:val="24"/>
                <w:lang w:eastAsia="zh-CN"/>
              </w:rPr>
              <w:t>（或扫描件）</w:t>
            </w:r>
            <w:r>
              <w:rPr>
                <w:rFonts w:hint="eastAsia" w:ascii="宋体" w:hAnsi="宋体"/>
                <w:color w:val="auto"/>
                <w:sz w:val="24"/>
                <w:szCs w:val="24"/>
              </w:rPr>
              <w:t>；供应商为非法人组织的，应提交依法登记证书复印件</w:t>
            </w:r>
            <w:r>
              <w:rPr>
                <w:rFonts w:hint="eastAsia" w:ascii="宋体" w:hAnsi="宋体"/>
                <w:color w:val="auto"/>
                <w:sz w:val="24"/>
                <w:szCs w:val="24"/>
                <w:lang w:eastAsia="zh-CN"/>
              </w:rPr>
              <w:t>（或扫描件）</w:t>
            </w:r>
            <w:r>
              <w:rPr>
                <w:rFonts w:hint="eastAsia" w:ascii="宋体" w:hAnsi="宋体"/>
                <w:color w:val="auto"/>
                <w:sz w:val="24"/>
                <w:szCs w:val="24"/>
              </w:rPr>
              <w:t>；供应商为个体工商户的，应提交个体工商户营业执照复印件</w:t>
            </w:r>
            <w:r>
              <w:rPr>
                <w:rFonts w:hint="eastAsia" w:ascii="宋体" w:hAnsi="宋体"/>
                <w:color w:val="auto"/>
                <w:sz w:val="24"/>
                <w:szCs w:val="24"/>
                <w:lang w:eastAsia="zh-CN"/>
              </w:rPr>
              <w:t>（或扫描件）</w:t>
            </w:r>
            <w:r>
              <w:rPr>
                <w:rFonts w:hint="eastAsia" w:ascii="宋体" w:hAnsi="宋体"/>
                <w:color w:val="auto"/>
                <w:sz w:val="24"/>
                <w:szCs w:val="24"/>
              </w:rPr>
              <w:t>；供应商为自然人的，应提交自然人的身份证明复印件</w:t>
            </w:r>
            <w:r>
              <w:rPr>
                <w:rFonts w:hint="eastAsia" w:ascii="宋体" w:hAnsi="宋体"/>
                <w:color w:val="auto"/>
                <w:sz w:val="24"/>
                <w:szCs w:val="24"/>
                <w:lang w:eastAsia="zh-CN"/>
              </w:rPr>
              <w:t>（或扫描件）</w:t>
            </w:r>
            <w:r>
              <w:rPr>
                <w:rFonts w:hint="eastAsia" w:ascii="宋体" w:hAnsi="宋体"/>
                <w:color w:val="auto"/>
                <w:sz w:val="24"/>
                <w:szCs w:val="24"/>
              </w:rPr>
              <w:t>；</w:t>
            </w:r>
          </w:p>
          <w:p w14:paraId="0F1C0DF8">
            <w:pPr>
              <w:adjustRightInd w:val="0"/>
              <w:snapToGrid w:val="0"/>
              <w:spacing w:before="156" w:beforeLines="50" w:line="360" w:lineRule="auto"/>
              <w:rPr>
                <w:rFonts w:ascii="宋体" w:hAnsi="宋体"/>
                <w:color w:val="auto"/>
                <w:sz w:val="24"/>
                <w:szCs w:val="24"/>
              </w:rPr>
            </w:pPr>
            <w:r>
              <w:rPr>
                <w:rFonts w:hint="eastAsia" w:ascii="宋体" w:hAnsi="宋体"/>
                <w:color w:val="auto"/>
                <w:sz w:val="24"/>
                <w:szCs w:val="24"/>
                <w:lang w:val="en-US" w:eastAsia="zh-CN"/>
              </w:rPr>
              <w:t>2、资格声明</w:t>
            </w:r>
            <w:r>
              <w:rPr>
                <w:rFonts w:hint="eastAsia" w:ascii="宋体" w:hAnsi="宋体" w:eastAsia="宋体"/>
                <w:color w:val="auto"/>
                <w:sz w:val="24"/>
                <w:szCs w:val="24"/>
              </w:rPr>
              <w:t>；</w:t>
            </w:r>
          </w:p>
          <w:p w14:paraId="6C93D586">
            <w:pPr>
              <w:adjustRightInd w:val="0"/>
              <w:snapToGrid w:val="0"/>
              <w:spacing w:before="156" w:beforeLines="50" w:line="360" w:lineRule="auto"/>
              <w:rPr>
                <w:rFonts w:hint="eastAsia" w:ascii="宋体" w:hAnsi="宋体" w:eastAsia="宋体"/>
                <w:color w:val="auto"/>
                <w:sz w:val="24"/>
                <w:szCs w:val="24"/>
                <w:lang w:val="en-US" w:eastAsia="zh-CN"/>
              </w:rPr>
            </w:pPr>
            <w:r>
              <w:rPr>
                <w:rFonts w:hint="eastAsia" w:ascii="宋体" w:hAnsi="宋体" w:eastAsia="宋体" w:cs="Times New Roman"/>
                <w:color w:val="auto"/>
                <w:sz w:val="22"/>
                <w:szCs w:val="22"/>
                <w:highlight w:val="none"/>
                <w:u w:val="none"/>
                <w:lang w:val="en-US" w:eastAsia="zh-CN"/>
              </w:rPr>
              <w:t>3、</w:t>
            </w:r>
            <w:r>
              <w:rPr>
                <w:rFonts w:hint="eastAsia" w:ascii="宋体" w:hAnsi="宋体" w:eastAsia="宋体"/>
                <w:color w:val="auto"/>
                <w:sz w:val="24"/>
                <w:szCs w:val="24"/>
                <w:lang w:val="en-US" w:eastAsia="zh-CN"/>
              </w:rPr>
              <w:t>投标人是法人代表，提供法定代表人身份证明；投标人不是法人，提供附有法定代表人身份证明</w:t>
            </w:r>
            <w:r>
              <w:rPr>
                <w:rFonts w:hint="eastAsia" w:ascii="宋体" w:hAnsi="宋体"/>
                <w:color w:val="auto"/>
                <w:sz w:val="24"/>
                <w:szCs w:val="24"/>
                <w:lang w:val="en-US" w:eastAsia="zh-CN"/>
              </w:rPr>
              <w:t>并附</w:t>
            </w:r>
            <w:r>
              <w:rPr>
                <w:rFonts w:hint="eastAsia" w:ascii="宋体" w:hAnsi="宋体" w:eastAsia="宋体"/>
                <w:color w:val="auto"/>
                <w:sz w:val="24"/>
                <w:szCs w:val="24"/>
                <w:lang w:val="en-US" w:eastAsia="zh-CN"/>
              </w:rPr>
              <w:t>授权委托书；</w:t>
            </w:r>
          </w:p>
          <w:p w14:paraId="34B952E8">
            <w:pPr>
              <w:adjustRightInd w:val="0"/>
              <w:snapToGrid w:val="0"/>
              <w:spacing w:before="156" w:beforeLines="50"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kern w:val="2"/>
                <w:sz w:val="24"/>
                <w:szCs w:val="24"/>
              </w:rPr>
              <w:t>备注：资格证明文件复印件</w:t>
            </w:r>
            <w:r>
              <w:rPr>
                <w:rFonts w:hint="eastAsia" w:ascii="宋体" w:hAnsi="宋体" w:eastAsia="宋体" w:cs="宋体"/>
                <w:b/>
                <w:bCs/>
                <w:color w:val="auto"/>
                <w:kern w:val="2"/>
                <w:sz w:val="24"/>
                <w:szCs w:val="24"/>
                <w:lang w:eastAsia="zh-CN"/>
              </w:rPr>
              <w:t>（或扫描件）</w:t>
            </w:r>
            <w:r>
              <w:rPr>
                <w:rFonts w:hint="eastAsia" w:ascii="宋体" w:hAnsi="宋体" w:eastAsia="宋体" w:cs="宋体"/>
                <w:b/>
                <w:bCs/>
                <w:color w:val="auto"/>
                <w:kern w:val="2"/>
                <w:sz w:val="24"/>
                <w:szCs w:val="24"/>
              </w:rPr>
              <w:t>须加盖</w:t>
            </w:r>
            <w:r>
              <w:rPr>
                <w:rFonts w:hint="eastAsia" w:ascii="宋体" w:hAnsi="宋体" w:eastAsia="宋体" w:cs="宋体"/>
                <w:b/>
                <w:bCs/>
                <w:color w:val="auto"/>
                <w:kern w:val="2"/>
                <w:sz w:val="24"/>
                <w:szCs w:val="24"/>
                <w:lang w:eastAsia="zh-CN"/>
              </w:rPr>
              <w:t>投标人</w:t>
            </w:r>
            <w:r>
              <w:rPr>
                <w:rFonts w:hint="eastAsia" w:ascii="宋体" w:hAnsi="宋体" w:eastAsia="宋体" w:cs="宋体"/>
                <w:b/>
                <w:bCs/>
                <w:color w:val="auto"/>
                <w:kern w:val="2"/>
                <w:sz w:val="24"/>
                <w:szCs w:val="24"/>
              </w:rPr>
              <w:t>公章。</w:t>
            </w:r>
          </w:p>
        </w:tc>
      </w:tr>
      <w:tr w14:paraId="5E8ED7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3" w:hRule="atLeast"/>
        </w:trPr>
        <w:tc>
          <w:tcPr>
            <w:tcW w:w="657" w:type="pct"/>
            <w:vAlign w:val="center"/>
          </w:tcPr>
          <w:p w14:paraId="2ADA6B3E">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第16.1</w:t>
            </w:r>
            <w:r>
              <w:rPr>
                <w:rFonts w:hint="eastAsia" w:ascii="宋体" w:hAnsi="宋体" w:eastAsia="宋体" w:cs="宋体"/>
                <w:color w:val="auto"/>
                <w:kern w:val="0"/>
                <w:sz w:val="24"/>
                <w:szCs w:val="24"/>
                <w:lang w:val="zh-CN"/>
              </w:rPr>
              <w:t>款</w:t>
            </w:r>
          </w:p>
        </w:tc>
        <w:tc>
          <w:tcPr>
            <w:tcW w:w="1099" w:type="pct"/>
            <w:vAlign w:val="center"/>
          </w:tcPr>
          <w:p w14:paraId="19F3C9CF">
            <w:pPr>
              <w:adjustRightInd w:val="0"/>
              <w:snapToGrid w:val="0"/>
              <w:spacing w:line="360" w:lineRule="auto"/>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sz w:val="24"/>
                <w:szCs w:val="24"/>
              </w:rPr>
              <w:t>投标有效期</w:t>
            </w:r>
          </w:p>
        </w:tc>
        <w:tc>
          <w:tcPr>
            <w:tcW w:w="3243" w:type="pct"/>
            <w:vAlign w:val="center"/>
          </w:tcPr>
          <w:p w14:paraId="64872763">
            <w:pPr>
              <w:adjustRightInd w:val="0"/>
              <w:snapToGrid w:val="0"/>
              <w:spacing w:line="360" w:lineRule="auto"/>
              <w:rPr>
                <w:rFonts w:hint="eastAsia" w:ascii="宋体" w:hAnsi="宋体" w:eastAsia="宋体" w:cs="宋体"/>
                <w:bCs/>
                <w:color w:val="auto"/>
                <w:kern w:val="2"/>
                <w:sz w:val="24"/>
                <w:szCs w:val="24"/>
                <w:lang w:val="en-US" w:eastAsia="zh-CN" w:bidi="ar-SA"/>
              </w:rPr>
            </w:pPr>
            <w:r>
              <w:rPr>
                <w:rFonts w:hint="eastAsia" w:ascii="宋体" w:hAnsi="宋体" w:eastAsia="宋体" w:cs="宋体"/>
                <w:color w:val="auto"/>
                <w:sz w:val="24"/>
                <w:szCs w:val="24"/>
              </w:rPr>
              <w:t>90日（日历日）</w:t>
            </w:r>
          </w:p>
        </w:tc>
      </w:tr>
      <w:tr w14:paraId="754895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3" w:hRule="atLeast"/>
        </w:trPr>
        <w:tc>
          <w:tcPr>
            <w:tcW w:w="657" w:type="pct"/>
            <w:vAlign w:val="center"/>
          </w:tcPr>
          <w:p w14:paraId="1CB20FCB">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第17.1</w:t>
            </w:r>
            <w:r>
              <w:rPr>
                <w:rFonts w:hint="eastAsia" w:ascii="宋体" w:hAnsi="宋体" w:eastAsia="宋体" w:cs="宋体"/>
                <w:color w:val="auto"/>
                <w:kern w:val="0"/>
                <w:sz w:val="24"/>
                <w:szCs w:val="24"/>
                <w:lang w:val="zh-CN"/>
              </w:rPr>
              <w:t>款</w:t>
            </w:r>
          </w:p>
        </w:tc>
        <w:tc>
          <w:tcPr>
            <w:tcW w:w="1099" w:type="pct"/>
            <w:vAlign w:val="center"/>
          </w:tcPr>
          <w:p w14:paraId="48786A0C">
            <w:pPr>
              <w:adjustRightInd w:val="0"/>
              <w:snapToGrid w:val="0"/>
              <w:spacing w:line="360" w:lineRule="auto"/>
              <w:ind w:left="-533" w:leftChars="-254" w:firstLine="609" w:firstLineChars="254"/>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投标保证金</w:t>
            </w:r>
          </w:p>
        </w:tc>
        <w:tc>
          <w:tcPr>
            <w:tcW w:w="3243" w:type="pct"/>
            <w:vAlign w:val="center"/>
          </w:tcPr>
          <w:p w14:paraId="721C0A20">
            <w:pPr>
              <w:adjustRightInd w:val="0"/>
              <w:snapToGrid w:val="0"/>
              <w:spacing w:line="420" w:lineRule="exact"/>
              <w:rPr>
                <w:rFonts w:hint="eastAsia" w:ascii="宋体" w:hAnsi="宋体" w:eastAsia="宋体" w:cs="宋体"/>
                <w:color w:val="auto"/>
                <w:kern w:val="2"/>
                <w:sz w:val="24"/>
                <w:szCs w:val="24"/>
                <w:lang w:val="en-US" w:eastAsia="zh-CN" w:bidi="ar-SA"/>
              </w:rPr>
            </w:pPr>
            <w:r>
              <w:rPr>
                <w:rFonts w:hint="eastAsia" w:ascii="宋体" w:hAnsi="宋体" w:cs="宋体"/>
                <w:b/>
                <w:bCs/>
                <w:color w:val="auto"/>
                <w:sz w:val="24"/>
                <w:szCs w:val="24"/>
                <w:lang w:val="en-US" w:eastAsia="zh-CN"/>
              </w:rPr>
              <w:t>/</w:t>
            </w:r>
          </w:p>
        </w:tc>
      </w:tr>
      <w:tr w14:paraId="2CC83A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3" w:hRule="atLeast"/>
        </w:trPr>
        <w:tc>
          <w:tcPr>
            <w:tcW w:w="657" w:type="pct"/>
            <w:vAlign w:val="center"/>
          </w:tcPr>
          <w:p w14:paraId="67B7A0F5">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第18.1</w:t>
            </w:r>
            <w:r>
              <w:rPr>
                <w:rFonts w:hint="eastAsia" w:ascii="宋体" w:hAnsi="宋体" w:eastAsia="宋体" w:cs="宋体"/>
                <w:color w:val="auto"/>
                <w:kern w:val="0"/>
                <w:sz w:val="24"/>
                <w:szCs w:val="24"/>
                <w:lang w:val="zh-CN"/>
              </w:rPr>
              <w:t>款</w:t>
            </w:r>
          </w:p>
        </w:tc>
        <w:tc>
          <w:tcPr>
            <w:tcW w:w="1099" w:type="pct"/>
            <w:vAlign w:val="center"/>
          </w:tcPr>
          <w:p w14:paraId="6480B624">
            <w:pPr>
              <w:adjustRightInd w:val="0"/>
              <w:snapToGrid w:val="0"/>
              <w:spacing w:line="360" w:lineRule="auto"/>
              <w:jc w:val="left"/>
              <w:rPr>
                <w:rFonts w:hint="eastAsia" w:ascii="宋体" w:hAnsi="宋体" w:eastAsia="宋体" w:cs="宋体"/>
                <w:color w:val="auto"/>
                <w:kern w:val="2"/>
                <w:sz w:val="24"/>
                <w:szCs w:val="24"/>
                <w:lang w:val="en-US" w:eastAsia="zh-CN" w:bidi="ar-SA"/>
              </w:rPr>
            </w:pPr>
            <w:r>
              <w:rPr>
                <w:rFonts w:hint="eastAsia" w:ascii="宋体" w:hAnsi="宋体" w:eastAsia="宋体" w:cs="宋体"/>
                <w:bCs/>
                <w:color w:val="auto"/>
                <w:sz w:val="24"/>
                <w:szCs w:val="24"/>
              </w:rPr>
              <w:t>分包</w:t>
            </w:r>
          </w:p>
        </w:tc>
        <w:tc>
          <w:tcPr>
            <w:tcW w:w="3243" w:type="pct"/>
            <w:vAlign w:val="center"/>
          </w:tcPr>
          <w:p w14:paraId="02D95C00">
            <w:pPr>
              <w:adjustRightInd w:val="0"/>
              <w:snapToGrid w:val="0"/>
              <w:spacing w:line="360" w:lineRule="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sz w:val="24"/>
                <w:szCs w:val="24"/>
                <w:lang w:eastAsia="zh-CN"/>
              </w:rPr>
              <w:t>无</w:t>
            </w:r>
          </w:p>
        </w:tc>
      </w:tr>
      <w:tr w14:paraId="724F53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3" w:hRule="atLeast"/>
        </w:trPr>
        <w:tc>
          <w:tcPr>
            <w:tcW w:w="657" w:type="pct"/>
            <w:vAlign w:val="center"/>
          </w:tcPr>
          <w:p w14:paraId="7ED91B9A">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第19.1</w:t>
            </w:r>
            <w:r>
              <w:rPr>
                <w:rFonts w:hint="eastAsia" w:ascii="宋体" w:hAnsi="宋体" w:eastAsia="宋体" w:cs="宋体"/>
                <w:color w:val="auto"/>
                <w:kern w:val="0"/>
                <w:sz w:val="24"/>
                <w:szCs w:val="24"/>
                <w:lang w:val="zh-CN"/>
              </w:rPr>
              <w:t>款</w:t>
            </w:r>
          </w:p>
        </w:tc>
        <w:tc>
          <w:tcPr>
            <w:tcW w:w="1099" w:type="pct"/>
            <w:vAlign w:val="center"/>
          </w:tcPr>
          <w:p w14:paraId="2B8F7E9D">
            <w:pPr>
              <w:adjustRightInd w:val="0"/>
              <w:snapToGrid w:val="0"/>
              <w:spacing w:line="360" w:lineRule="auto"/>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sz w:val="24"/>
                <w:szCs w:val="24"/>
              </w:rPr>
              <w:t>投标文件</w:t>
            </w:r>
            <w:r>
              <w:rPr>
                <w:rFonts w:hint="eastAsia" w:ascii="宋体" w:hAnsi="宋体" w:eastAsia="宋体" w:cs="宋体"/>
                <w:bCs/>
                <w:color w:val="auto"/>
                <w:sz w:val="24"/>
                <w:szCs w:val="24"/>
                <w:lang w:eastAsia="zh-CN"/>
              </w:rPr>
              <w:t>份数</w:t>
            </w:r>
          </w:p>
        </w:tc>
        <w:tc>
          <w:tcPr>
            <w:tcW w:w="3243" w:type="pct"/>
            <w:vAlign w:val="center"/>
          </w:tcPr>
          <w:p w14:paraId="7181D2BE">
            <w:pPr>
              <w:adjustRightInd w:val="0"/>
              <w:snapToGrid w:val="0"/>
              <w:spacing w:line="360" w:lineRule="auto"/>
              <w:rPr>
                <w:rFonts w:hint="eastAsia" w:ascii="宋体" w:hAnsi="宋体" w:eastAsia="宋体" w:cs="宋体"/>
                <w:b/>
                <w:bCs/>
                <w:color w:val="auto"/>
                <w:kern w:val="2"/>
                <w:sz w:val="24"/>
                <w:szCs w:val="24"/>
                <w:lang w:val="en-US" w:eastAsia="zh-CN" w:bidi="ar-SA"/>
              </w:rPr>
            </w:pPr>
            <w:r>
              <w:rPr>
                <w:rFonts w:hint="eastAsia" w:ascii="宋体" w:hAnsi="宋体" w:eastAsia="宋体" w:cs="宋体"/>
                <w:color w:val="auto"/>
                <w:sz w:val="24"/>
                <w:szCs w:val="24"/>
              </w:rPr>
              <w:t>在交易中心系统提交电子投标文件一份。</w:t>
            </w:r>
          </w:p>
        </w:tc>
      </w:tr>
      <w:tr w14:paraId="028F97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8" w:hRule="atLeast"/>
        </w:trPr>
        <w:tc>
          <w:tcPr>
            <w:tcW w:w="5000" w:type="pct"/>
            <w:gridSpan w:val="3"/>
            <w:vAlign w:val="center"/>
          </w:tcPr>
          <w:p w14:paraId="2EF50329">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b/>
                <w:color w:val="auto"/>
                <w:sz w:val="24"/>
                <w:szCs w:val="24"/>
              </w:rPr>
              <w:t>四、投标</w:t>
            </w:r>
          </w:p>
        </w:tc>
      </w:tr>
      <w:tr w14:paraId="700F02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3" w:hRule="atLeast"/>
        </w:trPr>
        <w:tc>
          <w:tcPr>
            <w:tcW w:w="657" w:type="pct"/>
            <w:vAlign w:val="center"/>
          </w:tcPr>
          <w:p w14:paraId="1C423704">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第21</w:t>
            </w:r>
            <w:r>
              <w:rPr>
                <w:rFonts w:hint="eastAsia" w:ascii="宋体" w:hAnsi="宋体" w:eastAsia="宋体" w:cs="宋体"/>
                <w:color w:val="auto"/>
                <w:kern w:val="0"/>
                <w:sz w:val="24"/>
                <w:szCs w:val="24"/>
                <w:lang w:val="zh-CN"/>
              </w:rPr>
              <w:t>款</w:t>
            </w:r>
          </w:p>
        </w:tc>
        <w:tc>
          <w:tcPr>
            <w:tcW w:w="1099" w:type="pct"/>
            <w:vAlign w:val="center"/>
          </w:tcPr>
          <w:p w14:paraId="01AA181C">
            <w:pPr>
              <w:adjustRightInd w:val="0"/>
              <w:snapToGrid w:val="0"/>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电子投标文件的</w:t>
            </w:r>
            <w:r>
              <w:rPr>
                <w:rFonts w:hint="eastAsia" w:ascii="宋体" w:hAnsi="宋体" w:eastAsia="宋体" w:cs="宋体"/>
                <w:color w:val="auto"/>
                <w:sz w:val="24"/>
                <w:szCs w:val="24"/>
                <w:lang w:eastAsia="zh-CN"/>
              </w:rPr>
              <w:t>提</w:t>
            </w:r>
            <w:r>
              <w:rPr>
                <w:rFonts w:hint="eastAsia" w:ascii="宋体" w:hAnsi="宋体" w:eastAsia="宋体" w:cs="宋体"/>
                <w:color w:val="auto"/>
                <w:sz w:val="24"/>
                <w:szCs w:val="24"/>
              </w:rPr>
              <w:t>交</w:t>
            </w:r>
          </w:p>
        </w:tc>
        <w:tc>
          <w:tcPr>
            <w:tcW w:w="3243" w:type="pct"/>
            <w:vAlign w:val="center"/>
          </w:tcPr>
          <w:p w14:paraId="6901C32A">
            <w:pPr>
              <w:adjustRightInd w:val="0"/>
              <w:snapToGrid w:val="0"/>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1.电子投标文件通过数字证书进行加密并签章。未按要求加密和数字证书认证的投标文件，电子开标软件将无法接受, 采购代理机构不予受理。 </w:t>
            </w:r>
          </w:p>
          <w:p w14:paraId="3E16D00A">
            <w:pPr>
              <w:adjustRightInd w:val="0"/>
              <w:snapToGrid w:val="0"/>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2.投标人应在招标文件规定的投标截止时间前将电子投标文件上传到湘西公共资源交易网的指定栏目（投标文件上传具体操作可查看操作手册《政府集中采购投标文件制作操作指南》，有疑问请联系 0743-8523902）。逾期通过网络传输递交至到湘西公共资源交易网的投标文件，系统将自动拒收,视为放弃投标。说明：本项目为电子交易系统运行项目，参与投标均需使用 CA 数字证书登录进行操作。投标人参与本项目的投标事宜，</w:t>
            </w:r>
            <w:r>
              <w:rPr>
                <w:rFonts w:hint="eastAsia" w:ascii="宋体" w:hAnsi="宋体" w:cs="宋体"/>
                <w:color w:val="auto"/>
                <w:sz w:val="24"/>
                <w:szCs w:val="24"/>
                <w:lang w:val="en-US" w:eastAsia="zh-CN"/>
              </w:rPr>
              <w:t>应</w:t>
            </w:r>
            <w:r>
              <w:rPr>
                <w:rFonts w:hint="eastAsia" w:ascii="宋体" w:hAnsi="宋体" w:eastAsia="宋体" w:cs="宋体"/>
                <w:color w:val="auto"/>
                <w:sz w:val="24"/>
                <w:szCs w:val="24"/>
                <w:lang w:val="en-US" w:eastAsia="zh-CN"/>
              </w:rPr>
              <w:t>办理以下数字证书：①办理投标单位数字证书（含电子签章）；②被授权委托人数字证书（法人代表投标须办理法人代表数字证书）。投标时，必须使用对应投标单位的 CA 数字证书进行投标参与及投标文件制作。</w:t>
            </w:r>
          </w:p>
          <w:p w14:paraId="02821E20">
            <w:pPr>
              <w:pStyle w:val="62"/>
              <w:ind w:left="0" w:leftChars="0" w:firstLine="0" w:firstLineChars="0"/>
              <w:rPr>
                <w:rFonts w:hint="eastAsia"/>
                <w:lang w:val="en-US" w:eastAsia="zh-CN"/>
              </w:rPr>
            </w:pPr>
            <w:r>
              <w:rPr>
                <w:rFonts w:hint="eastAsia" w:ascii="宋体" w:hAnsi="宋体" w:cs="宋体"/>
                <w:color w:val="auto"/>
                <w:sz w:val="24"/>
                <w:szCs w:val="24"/>
                <w:lang w:val="en-US" w:eastAsia="zh-CN"/>
              </w:rPr>
              <w:t>3.“因投标人提交的投标文件等资料含有计算机病毒，导致无法参与开标、评标等交易活动，后果由投标人承担”</w:t>
            </w:r>
          </w:p>
        </w:tc>
      </w:tr>
      <w:tr w14:paraId="2670AB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3" w:hRule="atLeast"/>
        </w:trPr>
        <w:tc>
          <w:tcPr>
            <w:tcW w:w="657" w:type="pct"/>
            <w:vAlign w:val="center"/>
          </w:tcPr>
          <w:p w14:paraId="71DCCBB2">
            <w:pPr>
              <w:adjustRightInd w:val="0"/>
              <w:snapToGrid w:val="0"/>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第21款</w:t>
            </w:r>
          </w:p>
        </w:tc>
        <w:tc>
          <w:tcPr>
            <w:tcW w:w="1099" w:type="pct"/>
            <w:vAlign w:val="center"/>
          </w:tcPr>
          <w:p w14:paraId="46A9815B">
            <w:pPr>
              <w:adjustRightInd w:val="0"/>
              <w:snapToGrid w:val="0"/>
              <w:spacing w:line="360" w:lineRule="auto"/>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投标文件</w:t>
            </w:r>
          </w:p>
          <w:p w14:paraId="5A029A42">
            <w:pPr>
              <w:adjustRightInd w:val="0"/>
              <w:snapToGrid w:val="0"/>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递交截止时间</w:t>
            </w:r>
          </w:p>
        </w:tc>
        <w:tc>
          <w:tcPr>
            <w:tcW w:w="3243" w:type="pct"/>
            <w:vAlign w:val="center"/>
          </w:tcPr>
          <w:p w14:paraId="2201AEF2">
            <w:pPr>
              <w:adjustRightInd w:val="0"/>
              <w:snapToGrid w:val="0"/>
              <w:spacing w:line="360" w:lineRule="auto"/>
              <w:rPr>
                <w:rFonts w:hint="default" w:ascii="宋体" w:hAnsi="宋体" w:eastAsia="宋体" w:cs="宋体"/>
                <w:color w:val="auto"/>
                <w:sz w:val="24"/>
                <w:szCs w:val="24"/>
                <w:lang w:val="en-US" w:eastAsia="zh-CN"/>
              </w:rPr>
            </w:pPr>
            <w:r>
              <w:rPr>
                <w:rFonts w:hint="eastAsia" w:ascii="宋体" w:hAnsi="宋体" w:cs="宋体"/>
                <w:b/>
                <w:bCs/>
                <w:color w:val="auto"/>
                <w:kern w:val="0"/>
                <w:sz w:val="24"/>
                <w:szCs w:val="24"/>
                <w:u w:val="single"/>
                <w:lang w:val="en-US" w:eastAsia="zh-CN"/>
              </w:rPr>
              <w:t xml:space="preserve"> </w:t>
            </w:r>
            <w:r>
              <w:rPr>
                <w:rFonts w:hint="eastAsia" w:ascii="宋体" w:hAnsi="宋体" w:eastAsia="宋体" w:cs="宋体"/>
                <w:b/>
                <w:bCs/>
                <w:color w:val="auto"/>
                <w:kern w:val="0"/>
                <w:sz w:val="24"/>
                <w:szCs w:val="24"/>
                <w:u w:val="single"/>
              </w:rPr>
              <w:t>202</w:t>
            </w:r>
            <w:r>
              <w:rPr>
                <w:rFonts w:hint="eastAsia" w:ascii="宋体" w:hAnsi="宋体" w:cs="宋体"/>
                <w:b/>
                <w:bCs/>
                <w:color w:val="auto"/>
                <w:kern w:val="0"/>
                <w:sz w:val="24"/>
                <w:szCs w:val="24"/>
                <w:u w:val="single"/>
                <w:lang w:val="en-US" w:eastAsia="zh-CN"/>
              </w:rPr>
              <w:t xml:space="preserve">6 </w:t>
            </w:r>
            <w:r>
              <w:rPr>
                <w:rFonts w:hint="eastAsia" w:ascii="宋体" w:hAnsi="宋体" w:eastAsia="宋体" w:cs="宋体"/>
                <w:b/>
                <w:bCs/>
                <w:color w:val="auto"/>
                <w:kern w:val="0"/>
                <w:sz w:val="24"/>
                <w:szCs w:val="24"/>
                <w:u w:val="none"/>
                <w:lang w:val="en-US" w:eastAsia="zh-CN"/>
              </w:rPr>
              <w:t>年</w:t>
            </w:r>
            <w:r>
              <w:rPr>
                <w:rFonts w:hint="eastAsia" w:ascii="宋体" w:hAnsi="宋体" w:cs="宋体"/>
                <w:b/>
                <w:bCs/>
                <w:color w:val="auto"/>
                <w:kern w:val="0"/>
                <w:sz w:val="24"/>
                <w:szCs w:val="24"/>
                <w:u w:val="single"/>
                <w:lang w:val="en-US" w:eastAsia="zh-CN"/>
              </w:rPr>
              <w:t xml:space="preserve"> 9 </w:t>
            </w:r>
            <w:r>
              <w:rPr>
                <w:rFonts w:hint="eastAsia" w:ascii="宋体" w:hAnsi="宋体" w:eastAsia="宋体" w:cs="宋体"/>
                <w:b/>
                <w:bCs/>
                <w:color w:val="auto"/>
                <w:kern w:val="0"/>
                <w:sz w:val="24"/>
                <w:szCs w:val="24"/>
                <w:u w:val="none"/>
                <w:lang w:val="en-US" w:eastAsia="zh-CN"/>
              </w:rPr>
              <w:t>月</w:t>
            </w:r>
            <w:r>
              <w:rPr>
                <w:rFonts w:hint="eastAsia" w:ascii="宋体" w:hAnsi="宋体" w:cs="宋体"/>
                <w:b/>
                <w:bCs/>
                <w:color w:val="auto"/>
                <w:kern w:val="0"/>
                <w:sz w:val="24"/>
                <w:szCs w:val="24"/>
                <w:u w:val="single"/>
                <w:lang w:val="en-US" w:eastAsia="zh-CN"/>
              </w:rPr>
              <w:t xml:space="preserve"> 2 </w:t>
            </w:r>
            <w:r>
              <w:rPr>
                <w:rFonts w:hint="eastAsia" w:ascii="宋体" w:hAnsi="宋体" w:eastAsia="宋体" w:cs="宋体"/>
                <w:b/>
                <w:bCs/>
                <w:iCs/>
                <w:color w:val="auto"/>
                <w:sz w:val="24"/>
                <w:szCs w:val="24"/>
                <w:u w:val="none"/>
              </w:rPr>
              <w:t>日</w:t>
            </w:r>
            <w:r>
              <w:rPr>
                <w:rFonts w:hint="eastAsia" w:ascii="宋体" w:hAnsi="宋体" w:cs="宋体"/>
                <w:b/>
                <w:bCs/>
                <w:iCs/>
                <w:color w:val="auto"/>
                <w:sz w:val="24"/>
                <w:szCs w:val="24"/>
                <w:u w:val="single"/>
                <w:lang w:val="en-US" w:eastAsia="zh-CN"/>
              </w:rPr>
              <w:t xml:space="preserve"> 9</w:t>
            </w:r>
            <w:r>
              <w:rPr>
                <w:rFonts w:hint="eastAsia" w:ascii="宋体" w:hAnsi="宋体" w:cs="宋体"/>
                <w:b/>
                <w:bCs/>
                <w:iCs/>
                <w:color w:val="auto"/>
                <w:sz w:val="24"/>
                <w:szCs w:val="24"/>
                <w:u w:val="none"/>
                <w:lang w:val="en-US" w:eastAsia="zh-CN"/>
              </w:rPr>
              <w:t>时</w:t>
            </w:r>
            <w:r>
              <w:rPr>
                <w:rFonts w:hint="eastAsia" w:ascii="宋体" w:hAnsi="宋体" w:cs="宋体"/>
                <w:b/>
                <w:bCs/>
                <w:iCs/>
                <w:color w:val="auto"/>
                <w:sz w:val="24"/>
                <w:szCs w:val="24"/>
                <w:u w:val="single"/>
                <w:lang w:val="en-US" w:eastAsia="zh-CN"/>
              </w:rPr>
              <w:t>00</w:t>
            </w:r>
            <w:r>
              <w:rPr>
                <w:rFonts w:hint="eastAsia" w:ascii="宋体" w:hAnsi="宋体" w:cs="宋体"/>
                <w:b/>
                <w:bCs/>
                <w:iCs/>
                <w:color w:val="auto"/>
                <w:sz w:val="24"/>
                <w:szCs w:val="24"/>
                <w:u w:val="none"/>
                <w:lang w:val="en-US" w:eastAsia="zh-CN"/>
              </w:rPr>
              <w:t>分</w:t>
            </w:r>
            <w:r>
              <w:rPr>
                <w:rFonts w:hint="eastAsia" w:ascii="宋体" w:hAnsi="宋体" w:cs="宋体"/>
                <w:color w:val="auto"/>
                <w:spacing w:val="-2"/>
                <w:kern w:val="0"/>
                <w:sz w:val="24"/>
                <w:szCs w:val="24"/>
              </w:rPr>
              <w:t>（北京时间）</w:t>
            </w:r>
          </w:p>
        </w:tc>
      </w:tr>
      <w:tr w14:paraId="1DB6DE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5000" w:type="pct"/>
            <w:gridSpan w:val="3"/>
            <w:vAlign w:val="center"/>
          </w:tcPr>
          <w:p w14:paraId="0F63A9D4">
            <w:pPr>
              <w:spacing w:line="360" w:lineRule="auto"/>
              <w:rPr>
                <w:rFonts w:hint="eastAsia" w:ascii="宋体" w:hAnsi="宋体" w:eastAsia="宋体" w:cs="宋体"/>
                <w:color w:val="auto"/>
                <w:sz w:val="24"/>
              </w:rPr>
            </w:pPr>
            <w:r>
              <w:rPr>
                <w:rFonts w:hint="eastAsia" w:ascii="宋体" w:hAnsi="宋体" w:eastAsia="宋体" w:cs="宋体"/>
                <w:b/>
                <w:bCs/>
                <w:color w:val="auto"/>
                <w:sz w:val="24"/>
                <w:szCs w:val="24"/>
              </w:rPr>
              <w:t>五、开标、资格审查和评标</w:t>
            </w:r>
          </w:p>
        </w:tc>
      </w:tr>
      <w:tr w14:paraId="1E6B20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657" w:type="pct"/>
            <w:vMerge w:val="restart"/>
            <w:vAlign w:val="center"/>
          </w:tcPr>
          <w:p w14:paraId="4D88377D">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第</w:t>
            </w:r>
            <w:r>
              <w:rPr>
                <w:rFonts w:hint="eastAsia" w:ascii="宋体" w:hAnsi="宋体" w:cs="宋体"/>
                <w:color w:val="auto"/>
                <w:sz w:val="24"/>
                <w:szCs w:val="24"/>
                <w:lang w:val="en-US" w:eastAsia="zh-CN"/>
              </w:rPr>
              <w:t>25</w:t>
            </w:r>
            <w:r>
              <w:rPr>
                <w:rFonts w:hint="eastAsia" w:ascii="宋体" w:hAnsi="宋体" w:eastAsia="宋体" w:cs="宋体"/>
                <w:color w:val="auto"/>
                <w:kern w:val="0"/>
                <w:sz w:val="24"/>
                <w:szCs w:val="24"/>
                <w:lang w:val="zh-CN"/>
              </w:rPr>
              <w:t>款</w:t>
            </w:r>
          </w:p>
          <w:p w14:paraId="51693256">
            <w:pPr>
              <w:adjustRightInd w:val="0"/>
              <w:snapToGrid w:val="0"/>
              <w:spacing w:line="360" w:lineRule="auto"/>
              <w:jc w:val="center"/>
              <w:rPr>
                <w:rFonts w:hint="eastAsia" w:ascii="宋体" w:hAnsi="宋体" w:eastAsia="宋体" w:cs="宋体"/>
                <w:color w:val="auto"/>
                <w:kern w:val="2"/>
                <w:sz w:val="24"/>
                <w:szCs w:val="24"/>
                <w:lang w:val="en-US" w:eastAsia="zh-CN" w:bidi="ar-SA"/>
              </w:rPr>
            </w:pPr>
          </w:p>
        </w:tc>
        <w:tc>
          <w:tcPr>
            <w:tcW w:w="1099" w:type="pct"/>
            <w:vAlign w:val="center"/>
          </w:tcPr>
          <w:p w14:paraId="5084081C">
            <w:pPr>
              <w:adjustRightInd w:val="0"/>
              <w:snapToGrid w:val="0"/>
              <w:spacing w:line="360" w:lineRule="auto"/>
              <w:jc w:val="left"/>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投标人电子投标文件解密方式</w:t>
            </w:r>
          </w:p>
        </w:tc>
        <w:tc>
          <w:tcPr>
            <w:tcW w:w="3243" w:type="pct"/>
            <w:vAlign w:val="center"/>
          </w:tcPr>
          <w:p w14:paraId="392F4E7C">
            <w:pPr>
              <w:adjustRightInd w:val="0"/>
              <w:snapToGrid w:val="0"/>
              <w:spacing w:line="360" w:lineRule="auto"/>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 xml:space="preserve">投标人使用生成投标文件的CA数字证书进行解密。 </w:t>
            </w:r>
          </w:p>
        </w:tc>
      </w:tr>
      <w:tr w14:paraId="7AAA00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6" w:hRule="atLeast"/>
        </w:trPr>
        <w:tc>
          <w:tcPr>
            <w:tcW w:w="657" w:type="pct"/>
            <w:vMerge w:val="continue"/>
            <w:vAlign w:val="center"/>
          </w:tcPr>
          <w:p w14:paraId="34A3F540">
            <w:pPr>
              <w:adjustRightInd w:val="0"/>
              <w:snapToGrid w:val="0"/>
              <w:spacing w:line="360" w:lineRule="auto"/>
              <w:jc w:val="center"/>
              <w:rPr>
                <w:rFonts w:hint="eastAsia" w:ascii="宋体" w:hAnsi="宋体" w:eastAsia="宋体" w:cs="宋体"/>
                <w:color w:val="auto"/>
                <w:kern w:val="2"/>
                <w:sz w:val="24"/>
                <w:szCs w:val="24"/>
                <w:lang w:val="en-US" w:eastAsia="zh-CN" w:bidi="ar-SA"/>
              </w:rPr>
            </w:pPr>
          </w:p>
        </w:tc>
        <w:tc>
          <w:tcPr>
            <w:tcW w:w="1099" w:type="pct"/>
            <w:vAlign w:val="center"/>
          </w:tcPr>
          <w:p w14:paraId="0DC229D6">
            <w:pPr>
              <w:adjustRightInd w:val="0"/>
              <w:snapToGrid w:val="0"/>
              <w:spacing w:line="360" w:lineRule="auto"/>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投标人解密电子投标文件时限</w:t>
            </w:r>
          </w:p>
        </w:tc>
        <w:tc>
          <w:tcPr>
            <w:tcW w:w="3243" w:type="pct"/>
            <w:vAlign w:val="center"/>
          </w:tcPr>
          <w:p w14:paraId="5071234B">
            <w:pPr>
              <w:adjustRightInd w:val="0"/>
              <w:snapToGrid w:val="0"/>
              <w:spacing w:line="360" w:lineRule="auto"/>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 xml:space="preserve">解密时限：从投标截止时间起 30 分钟内完成，投标文件在解密时限内未解密或解密失败，视为撤销其投标文件，开标继续进行。 </w:t>
            </w:r>
          </w:p>
        </w:tc>
      </w:tr>
      <w:tr w14:paraId="129C0D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657" w:type="pct"/>
            <w:vMerge w:val="continue"/>
            <w:vAlign w:val="center"/>
          </w:tcPr>
          <w:p w14:paraId="2D92403F">
            <w:pPr>
              <w:adjustRightInd w:val="0"/>
              <w:snapToGrid w:val="0"/>
              <w:spacing w:line="360" w:lineRule="auto"/>
              <w:jc w:val="center"/>
              <w:rPr>
                <w:rFonts w:hint="eastAsia" w:ascii="宋体" w:hAnsi="宋体" w:eastAsia="宋体" w:cs="宋体"/>
                <w:color w:val="auto"/>
                <w:kern w:val="2"/>
                <w:sz w:val="24"/>
                <w:szCs w:val="24"/>
                <w:lang w:val="en-US" w:eastAsia="zh-CN" w:bidi="ar-SA"/>
              </w:rPr>
            </w:pPr>
          </w:p>
        </w:tc>
        <w:tc>
          <w:tcPr>
            <w:tcW w:w="1099" w:type="pct"/>
            <w:vAlign w:val="center"/>
          </w:tcPr>
          <w:p w14:paraId="0E706B6D">
            <w:pPr>
              <w:adjustRightInd w:val="0"/>
              <w:snapToGrid w:val="0"/>
              <w:spacing w:line="360" w:lineRule="auto"/>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电子唱标</w:t>
            </w:r>
          </w:p>
        </w:tc>
        <w:tc>
          <w:tcPr>
            <w:tcW w:w="3243" w:type="pct"/>
            <w:vAlign w:val="center"/>
          </w:tcPr>
          <w:p w14:paraId="714164B5">
            <w:pPr>
              <w:adjustRightInd w:val="0"/>
              <w:snapToGrid w:val="0"/>
              <w:spacing w:line="360" w:lineRule="auto"/>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 xml:space="preserve">请提供填写完整的《开标一览表》 </w:t>
            </w:r>
          </w:p>
        </w:tc>
      </w:tr>
      <w:tr w14:paraId="61CEA2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5000" w:type="pct"/>
            <w:gridSpan w:val="3"/>
            <w:vAlign w:val="center"/>
          </w:tcPr>
          <w:p w14:paraId="461A3476">
            <w:pPr>
              <w:adjustRightInd w:val="0"/>
              <w:snapToGrid w:val="0"/>
              <w:spacing w:line="360" w:lineRule="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sz w:val="24"/>
                <w:szCs w:val="24"/>
              </w:rPr>
              <w:t>六、中标信息公布</w:t>
            </w:r>
          </w:p>
        </w:tc>
      </w:tr>
      <w:tr w14:paraId="2E894D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657" w:type="pct"/>
            <w:vAlign w:val="center"/>
          </w:tcPr>
          <w:p w14:paraId="09F941C0">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第28.2</w:t>
            </w:r>
            <w:r>
              <w:rPr>
                <w:rFonts w:hint="eastAsia" w:ascii="宋体" w:hAnsi="宋体" w:eastAsia="宋体" w:cs="宋体"/>
                <w:color w:val="auto"/>
                <w:kern w:val="0"/>
                <w:sz w:val="24"/>
                <w:szCs w:val="24"/>
                <w:lang w:val="zh-CN"/>
              </w:rPr>
              <w:t>款</w:t>
            </w:r>
          </w:p>
        </w:tc>
        <w:tc>
          <w:tcPr>
            <w:tcW w:w="1099" w:type="pct"/>
            <w:vAlign w:val="center"/>
          </w:tcPr>
          <w:p w14:paraId="20462B55">
            <w:pPr>
              <w:adjustRightInd w:val="0"/>
              <w:snapToGrid w:val="0"/>
              <w:spacing w:line="360" w:lineRule="auto"/>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中标候选人并列时确定中标人的方式</w:t>
            </w:r>
          </w:p>
        </w:tc>
        <w:tc>
          <w:tcPr>
            <w:tcW w:w="3243" w:type="pct"/>
            <w:vAlign w:val="center"/>
          </w:tcPr>
          <w:p w14:paraId="71158ED6">
            <w:pPr>
              <w:numPr>
                <w:ilvl w:val="0"/>
                <w:numId w:val="3"/>
              </w:numPr>
              <w:adjustRightInd w:val="0"/>
              <w:snapToGrid w:val="0"/>
              <w:spacing w:line="360" w:lineRule="auto"/>
              <w:rPr>
                <w:rFonts w:hint="eastAsia"/>
                <w:sz w:val="24"/>
                <w:szCs w:val="24"/>
              </w:rPr>
            </w:pPr>
            <w:r>
              <w:rPr>
                <w:rFonts w:hint="eastAsia"/>
                <w:sz w:val="24"/>
                <w:szCs w:val="24"/>
              </w:rPr>
              <w:t>评标结果按评审后得分由高到低顺序排列。得分相同的，按投标报价由低到高顺序排列。得分且投标报价相同的并列</w:t>
            </w:r>
            <w:r>
              <w:rPr>
                <w:rFonts w:hint="eastAsia"/>
                <w:sz w:val="24"/>
                <w:szCs w:val="24"/>
                <w:lang w:eastAsia="zh-CN"/>
              </w:rPr>
              <w:t>，</w:t>
            </w:r>
            <w:r>
              <w:rPr>
                <w:rFonts w:hint="eastAsia"/>
                <w:sz w:val="24"/>
                <w:szCs w:val="24"/>
              </w:rPr>
              <w:t>投标文件满足招标文件全部实质性要求，且按照评审因素的量化指标评审得分最高的投标人为排名第一的中标候选人。</w:t>
            </w:r>
          </w:p>
          <w:p w14:paraId="1C3C0C58">
            <w:pPr>
              <w:pStyle w:val="43"/>
              <w:numPr>
                <w:ilvl w:val="0"/>
                <w:numId w:val="0"/>
              </w:numPr>
              <w:spacing w:line="360" w:lineRule="auto"/>
              <w:ind w:left="0" w:leftChars="0" w:firstLine="0" w:firstLineChars="0"/>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highlight w:val="none"/>
                <w:lang w:val="en-US" w:eastAsia="zh-CN" w:bidi="ar-SA"/>
              </w:rPr>
              <w:t>2、得分且投标报价相同的并列排名第一的中标候选人，由采购人或者采购人委托评标委员会按照随机抽取方式确定一个投标人获得中标投标人推荐资格。</w:t>
            </w:r>
          </w:p>
        </w:tc>
      </w:tr>
      <w:tr w14:paraId="207E53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42" w:hRule="atLeast"/>
        </w:trPr>
        <w:tc>
          <w:tcPr>
            <w:tcW w:w="657" w:type="pct"/>
            <w:vAlign w:val="center"/>
          </w:tcPr>
          <w:p w14:paraId="74A4F3E1">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第29.3</w:t>
            </w:r>
            <w:r>
              <w:rPr>
                <w:rFonts w:hint="eastAsia" w:ascii="宋体" w:hAnsi="宋体" w:eastAsia="宋体" w:cs="宋体"/>
                <w:color w:val="auto"/>
                <w:kern w:val="0"/>
                <w:sz w:val="24"/>
                <w:szCs w:val="24"/>
                <w:lang w:val="zh-CN"/>
              </w:rPr>
              <w:t>款</w:t>
            </w:r>
          </w:p>
        </w:tc>
        <w:tc>
          <w:tcPr>
            <w:tcW w:w="1099" w:type="pct"/>
            <w:vAlign w:val="center"/>
          </w:tcPr>
          <w:p w14:paraId="2928F239">
            <w:pPr>
              <w:adjustRightInd w:val="0"/>
              <w:snapToGrid w:val="0"/>
              <w:spacing w:line="360" w:lineRule="auto"/>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接收质疑函的联系部门、联系电话和通讯地址</w:t>
            </w:r>
          </w:p>
        </w:tc>
        <w:tc>
          <w:tcPr>
            <w:tcW w:w="3243" w:type="pct"/>
            <w:vAlign w:val="center"/>
          </w:tcPr>
          <w:p w14:paraId="796A8078">
            <w:pPr>
              <w:spacing w:line="360" w:lineRule="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名称：</w:t>
            </w:r>
            <w:r>
              <w:rPr>
                <w:rFonts w:hint="eastAsia" w:ascii="宋体" w:hAnsi="宋体" w:cs="宋体"/>
                <w:color w:val="auto"/>
                <w:sz w:val="24"/>
                <w:szCs w:val="24"/>
                <w:lang w:val="en-US" w:eastAsia="zh-CN"/>
              </w:rPr>
              <w:t>湘西州政府采购中心</w:t>
            </w:r>
          </w:p>
          <w:p w14:paraId="3B319318">
            <w:pPr>
              <w:spacing w:line="360" w:lineRule="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电话：0743-85</w:t>
            </w:r>
            <w:r>
              <w:rPr>
                <w:rFonts w:hint="eastAsia" w:ascii="宋体" w:hAnsi="宋体" w:cs="宋体"/>
                <w:color w:val="auto"/>
                <w:sz w:val="24"/>
                <w:szCs w:val="24"/>
                <w:lang w:val="en-US" w:eastAsia="zh-CN"/>
              </w:rPr>
              <w:t>23690</w:t>
            </w:r>
          </w:p>
          <w:p w14:paraId="1C57F2F2">
            <w:pPr>
              <w:adjustRightInd w:val="0"/>
              <w:snapToGrid w:val="0"/>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地址</w:t>
            </w:r>
            <w:r>
              <w:rPr>
                <w:rFonts w:hint="eastAsia" w:ascii="宋体" w:hAnsi="宋体" w:eastAsia="宋体" w:cs="宋体"/>
                <w:b/>
                <w:bCs/>
                <w:color w:val="auto"/>
                <w:sz w:val="24"/>
                <w:szCs w:val="24"/>
              </w:rPr>
              <w:t>:</w:t>
            </w:r>
            <w:r>
              <w:rPr>
                <w:rFonts w:hint="eastAsia" w:ascii="宋体" w:hAnsi="宋体" w:cs="宋体"/>
                <w:color w:val="auto"/>
                <w:sz w:val="24"/>
                <w:szCs w:val="24"/>
                <w:lang w:val="en-US" w:eastAsia="zh-CN"/>
              </w:rPr>
              <w:t>吉首市吉凤街道州行政中心政务服务大楼四楼</w:t>
            </w:r>
          </w:p>
        </w:tc>
      </w:tr>
      <w:tr w14:paraId="1F4880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8" w:hRule="atLeast"/>
        </w:trPr>
        <w:tc>
          <w:tcPr>
            <w:tcW w:w="5000" w:type="pct"/>
            <w:gridSpan w:val="3"/>
            <w:vAlign w:val="center"/>
          </w:tcPr>
          <w:p w14:paraId="2CBBC972">
            <w:pPr>
              <w:adjustRightInd w:val="0"/>
              <w:snapToGrid w:val="0"/>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b/>
                <w:color w:val="auto"/>
                <w:sz w:val="24"/>
                <w:szCs w:val="24"/>
              </w:rPr>
              <w:t>七、合同签订</w:t>
            </w:r>
          </w:p>
        </w:tc>
      </w:tr>
      <w:tr w14:paraId="67878E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57" w:type="pct"/>
            <w:vAlign w:val="center"/>
          </w:tcPr>
          <w:p w14:paraId="232C3A40">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第31.1</w:t>
            </w:r>
            <w:r>
              <w:rPr>
                <w:rFonts w:hint="eastAsia" w:ascii="宋体" w:hAnsi="宋体" w:eastAsia="宋体" w:cs="宋体"/>
                <w:color w:val="auto"/>
                <w:kern w:val="0"/>
                <w:sz w:val="24"/>
                <w:szCs w:val="24"/>
                <w:lang w:val="zh-CN"/>
              </w:rPr>
              <w:t>款</w:t>
            </w:r>
          </w:p>
        </w:tc>
        <w:tc>
          <w:tcPr>
            <w:tcW w:w="1099" w:type="pct"/>
            <w:vAlign w:val="center"/>
          </w:tcPr>
          <w:p w14:paraId="1262F695">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履约担保</w:t>
            </w:r>
          </w:p>
        </w:tc>
        <w:tc>
          <w:tcPr>
            <w:tcW w:w="3243" w:type="pct"/>
            <w:vAlign w:val="center"/>
          </w:tcPr>
          <w:p w14:paraId="6DA57016">
            <w:pPr>
              <w:adjustRightInd w:val="0"/>
              <w:snapToGrid w:val="0"/>
              <w:spacing w:line="360" w:lineRule="auto"/>
              <w:rPr>
                <w:rFonts w:hint="default" w:ascii="宋体" w:hAnsi="宋体" w:eastAsia="宋体" w:cs="宋体"/>
                <w:strike/>
                <w:color w:val="auto"/>
                <w:kern w:val="2"/>
                <w:sz w:val="24"/>
                <w:szCs w:val="24"/>
                <w:u w:val="none"/>
                <w:lang w:val="en-US" w:eastAsia="zh-CN" w:bidi="ar-SA"/>
              </w:rPr>
            </w:pPr>
            <w:r>
              <w:rPr>
                <w:rFonts w:hint="eastAsia" w:ascii="宋体" w:hAnsi="宋体" w:cs="宋体"/>
                <w:strike w:val="0"/>
                <w:color w:val="auto"/>
                <w:kern w:val="2"/>
                <w:sz w:val="24"/>
                <w:szCs w:val="24"/>
                <w:lang w:val="en-US" w:eastAsia="zh-CN" w:bidi="ar-SA"/>
              </w:rPr>
              <w:t>3%履约保证金</w:t>
            </w:r>
          </w:p>
        </w:tc>
      </w:tr>
      <w:tr w14:paraId="27E652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trPr>
        <w:tc>
          <w:tcPr>
            <w:tcW w:w="5000" w:type="pct"/>
            <w:gridSpan w:val="3"/>
            <w:vAlign w:val="center"/>
          </w:tcPr>
          <w:p w14:paraId="4D1DF9E7">
            <w:pPr>
              <w:spacing w:line="360" w:lineRule="auto"/>
              <w:rPr>
                <w:rFonts w:hint="eastAsia"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bCs/>
                <w:color w:val="auto"/>
                <w:sz w:val="24"/>
                <w:szCs w:val="24"/>
                <w:lang w:val="en-US" w:eastAsia="zh-CN"/>
              </w:rPr>
              <w:t>八、政府采购政策</w:t>
            </w:r>
          </w:p>
        </w:tc>
      </w:tr>
      <w:tr w14:paraId="6BA1CD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8" w:hRule="atLeast"/>
        </w:trPr>
        <w:tc>
          <w:tcPr>
            <w:tcW w:w="657" w:type="pct"/>
            <w:vAlign w:val="center"/>
          </w:tcPr>
          <w:p w14:paraId="3360C404">
            <w:pPr>
              <w:adjustRightInd w:val="0"/>
              <w:snapToGri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第33.</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款</w:t>
            </w:r>
          </w:p>
        </w:tc>
        <w:tc>
          <w:tcPr>
            <w:tcW w:w="1099" w:type="pct"/>
            <w:vAlign w:val="center"/>
          </w:tcPr>
          <w:p w14:paraId="2A94216E">
            <w:pPr>
              <w:adjustRightInd w:val="0"/>
              <w:snapToGrid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优先采购</w:t>
            </w:r>
          </w:p>
        </w:tc>
        <w:tc>
          <w:tcPr>
            <w:tcW w:w="3243" w:type="pct"/>
            <w:vAlign w:val="center"/>
          </w:tcPr>
          <w:p w14:paraId="0072E082">
            <w:pPr>
              <w:adjustRightInd w:val="0"/>
              <w:snapToGrid w:val="0"/>
              <w:spacing w:line="360" w:lineRule="auto"/>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lang w:val="en-US" w:eastAsia="zh-CN"/>
              </w:rPr>
              <w:t>非强制采购的</w:t>
            </w:r>
            <w:r>
              <w:rPr>
                <w:rFonts w:hint="eastAsia" w:ascii="宋体" w:hAnsi="宋体" w:eastAsia="宋体" w:cs="宋体"/>
                <w:b/>
                <w:color w:val="auto"/>
                <w:kern w:val="0"/>
                <w:sz w:val="24"/>
                <w:szCs w:val="24"/>
                <w:highlight w:val="none"/>
              </w:rPr>
              <w:t>节能产品、环境标志产品评审时按招标文件第四章第一节有关规定对该部分产品给予一定比例的价格折扣或者加分</w:t>
            </w:r>
            <w:r>
              <w:rPr>
                <w:rFonts w:hint="eastAsia" w:ascii="宋体" w:hAnsi="宋体" w:cs="宋体"/>
                <w:b/>
                <w:color w:val="auto"/>
                <w:kern w:val="0"/>
                <w:sz w:val="24"/>
                <w:szCs w:val="24"/>
                <w:highlight w:val="none"/>
                <w:lang w:eastAsia="zh-CN"/>
              </w:rPr>
              <w:t>。</w:t>
            </w:r>
          </w:p>
        </w:tc>
      </w:tr>
      <w:tr w14:paraId="5252C1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8" w:hRule="atLeast"/>
        </w:trPr>
        <w:tc>
          <w:tcPr>
            <w:tcW w:w="657" w:type="pct"/>
            <w:vAlign w:val="center"/>
          </w:tcPr>
          <w:p w14:paraId="43BBDB0F">
            <w:pPr>
              <w:adjustRightInd w:val="0"/>
              <w:snapToGri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第33.</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款</w:t>
            </w:r>
          </w:p>
        </w:tc>
        <w:tc>
          <w:tcPr>
            <w:tcW w:w="1099" w:type="pct"/>
            <w:vAlign w:val="center"/>
          </w:tcPr>
          <w:p w14:paraId="1CD8C39A">
            <w:pPr>
              <w:adjustRightInd w:val="0"/>
              <w:snapToGrid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强制采购</w:t>
            </w:r>
          </w:p>
        </w:tc>
        <w:tc>
          <w:tcPr>
            <w:tcW w:w="3243" w:type="pct"/>
            <w:vAlign w:val="center"/>
          </w:tcPr>
          <w:p w14:paraId="783B73D9">
            <w:pPr>
              <w:adjustRightInd w:val="0"/>
              <w:snapToGrid w:val="0"/>
              <w:spacing w:line="360" w:lineRule="auto"/>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rPr>
              <w:t>纳入财政部会同国务院有关部门发布的节能产品政府采购品目清单，实施政府强制采购的（品目清单标注</w:t>
            </w:r>
            <w:r>
              <w:rPr>
                <w:rFonts w:hint="eastAsia" w:ascii="宋体" w:hAnsi="宋体" w:eastAsia="宋体" w:cs="宋体"/>
                <w:b/>
                <w:color w:val="auto"/>
                <w:kern w:val="0"/>
                <w:sz w:val="24"/>
                <w:szCs w:val="24"/>
                <w:highlight w:val="none"/>
              </w:rPr>
              <w:sym w:font="Wingdings" w:char="F0AB"/>
            </w:r>
            <w:r>
              <w:rPr>
                <w:rFonts w:hint="eastAsia" w:ascii="宋体" w:hAnsi="宋体" w:eastAsia="宋体" w:cs="宋体"/>
                <w:b/>
                <w:color w:val="auto"/>
                <w:kern w:val="0"/>
                <w:sz w:val="24"/>
                <w:szCs w:val="24"/>
                <w:highlight w:val="none"/>
              </w:rPr>
              <w:t>符号产品），投标人投标产品应当取得国家确定的认证机构出具的、处于有效期之内的节能产品认证证书，否则其投标无效</w:t>
            </w:r>
          </w:p>
        </w:tc>
      </w:tr>
      <w:tr w14:paraId="1A7006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8" w:hRule="atLeast"/>
        </w:trPr>
        <w:tc>
          <w:tcPr>
            <w:tcW w:w="657" w:type="pct"/>
            <w:vAlign w:val="center"/>
          </w:tcPr>
          <w:p w14:paraId="6B321956">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第33.8款</w:t>
            </w:r>
          </w:p>
        </w:tc>
        <w:tc>
          <w:tcPr>
            <w:tcW w:w="1099" w:type="pct"/>
            <w:vAlign w:val="center"/>
          </w:tcPr>
          <w:p w14:paraId="7352A63B">
            <w:pPr>
              <w:adjustRightInd w:val="0"/>
              <w:snapToGrid w:val="0"/>
              <w:spacing w:line="360" w:lineRule="auto"/>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采购进口产品</w:t>
            </w:r>
          </w:p>
        </w:tc>
        <w:tc>
          <w:tcPr>
            <w:tcW w:w="3243" w:type="pct"/>
            <w:vAlign w:val="center"/>
          </w:tcPr>
          <w:p w14:paraId="35AB50DF">
            <w:pPr>
              <w:adjustRightInd w:val="0"/>
              <w:snapToGrid w:val="0"/>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b/>
                <w:color w:val="auto"/>
                <w:kern w:val="0"/>
                <w:sz w:val="24"/>
                <w:szCs w:val="24"/>
              </w:rPr>
              <w:t>拒绝进口产品参加投标</w:t>
            </w:r>
          </w:p>
        </w:tc>
      </w:tr>
      <w:tr w14:paraId="28380D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5000" w:type="pct"/>
            <w:gridSpan w:val="3"/>
            <w:vAlign w:val="center"/>
          </w:tcPr>
          <w:p w14:paraId="4C903580">
            <w:pPr>
              <w:adjustRightInd w:val="0"/>
              <w:snapToGrid w:val="0"/>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b/>
                <w:color w:val="auto"/>
                <w:sz w:val="24"/>
                <w:szCs w:val="24"/>
              </w:rPr>
              <w:t>九、其他规定</w:t>
            </w:r>
          </w:p>
        </w:tc>
      </w:tr>
      <w:tr w14:paraId="1A4466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6" w:hRule="atLeast"/>
        </w:trPr>
        <w:tc>
          <w:tcPr>
            <w:tcW w:w="657" w:type="pct"/>
            <w:vAlign w:val="center"/>
          </w:tcPr>
          <w:p w14:paraId="3F5C957B">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第3</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.1</w:t>
            </w:r>
            <w:r>
              <w:rPr>
                <w:rFonts w:hint="eastAsia" w:ascii="宋体" w:hAnsi="宋体" w:eastAsia="宋体" w:cs="宋体"/>
                <w:color w:val="auto"/>
                <w:kern w:val="0"/>
                <w:sz w:val="24"/>
                <w:szCs w:val="24"/>
                <w:lang w:val="zh-CN"/>
              </w:rPr>
              <w:t>（</w:t>
            </w:r>
            <w:r>
              <w:rPr>
                <w:rFonts w:hint="eastAsia" w:ascii="宋体" w:hAnsi="宋体" w:eastAsia="宋体" w:cs="宋体"/>
                <w:color w:val="auto"/>
                <w:kern w:val="0"/>
                <w:sz w:val="24"/>
                <w:szCs w:val="24"/>
              </w:rPr>
              <w:t>1</w:t>
            </w:r>
            <w:r>
              <w:rPr>
                <w:rFonts w:hint="eastAsia" w:ascii="宋体" w:hAnsi="宋体" w:eastAsia="宋体" w:cs="宋体"/>
                <w:color w:val="auto"/>
                <w:kern w:val="0"/>
                <w:sz w:val="24"/>
                <w:szCs w:val="24"/>
                <w:lang w:val="zh-CN"/>
              </w:rPr>
              <w:t>）</w:t>
            </w:r>
            <w:r>
              <w:rPr>
                <w:rFonts w:hint="eastAsia" w:ascii="宋体" w:hAnsi="宋体" w:eastAsia="宋体" w:cs="宋体"/>
                <w:color w:val="auto"/>
                <w:kern w:val="0"/>
                <w:sz w:val="24"/>
                <w:szCs w:val="24"/>
                <w:lang w:val="en-US" w:eastAsia="zh-CN"/>
              </w:rPr>
              <w:t>项</w:t>
            </w:r>
          </w:p>
        </w:tc>
        <w:tc>
          <w:tcPr>
            <w:tcW w:w="1099" w:type="pct"/>
            <w:vAlign w:val="center"/>
          </w:tcPr>
          <w:p w14:paraId="4467D285">
            <w:pPr>
              <w:adjustRightInd w:val="0"/>
              <w:snapToGrid w:val="0"/>
              <w:spacing w:line="360" w:lineRule="auto"/>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合同预付款的支付比例和支付条件</w:t>
            </w:r>
          </w:p>
        </w:tc>
        <w:tc>
          <w:tcPr>
            <w:tcW w:w="3243" w:type="pct"/>
            <w:vAlign w:val="center"/>
          </w:tcPr>
          <w:p w14:paraId="4EDB7433">
            <w:pPr>
              <w:adjustRightInd w:val="0"/>
              <w:snapToGrid w:val="0"/>
              <w:spacing w:line="360" w:lineRule="auto"/>
              <w:rPr>
                <w:rFonts w:hint="eastAsia" w:ascii="宋体" w:hAnsi="宋体" w:eastAsia="宋体" w:cs="宋体"/>
                <w:color w:val="auto"/>
                <w:kern w:val="2"/>
                <w:sz w:val="24"/>
                <w:szCs w:val="24"/>
                <w:lang w:val="en-US" w:eastAsia="zh-CN" w:bidi="ar-SA"/>
              </w:rPr>
            </w:pPr>
            <w:r>
              <w:rPr>
                <w:rFonts w:hint="eastAsia" w:ascii="宋体" w:hAnsi="宋体"/>
                <w:color w:val="auto"/>
                <w:sz w:val="24"/>
                <w:szCs w:val="24"/>
                <w:highlight w:val="none"/>
                <w:lang w:eastAsia="zh-CN"/>
              </w:rPr>
              <w:t>不支持预付款</w:t>
            </w:r>
          </w:p>
        </w:tc>
      </w:tr>
      <w:tr w14:paraId="1D7A55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8" w:hRule="atLeast"/>
        </w:trPr>
        <w:tc>
          <w:tcPr>
            <w:tcW w:w="657" w:type="pct"/>
            <w:vAlign w:val="center"/>
          </w:tcPr>
          <w:p w14:paraId="4035927F">
            <w:pPr>
              <w:adjustRightInd w:val="0"/>
              <w:snapToGrid w:val="0"/>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第3</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.1</w:t>
            </w:r>
            <w:r>
              <w:rPr>
                <w:rFonts w:hint="eastAsia" w:ascii="宋体" w:hAnsi="宋体" w:eastAsia="宋体" w:cs="宋体"/>
                <w:color w:val="auto"/>
                <w:kern w:val="0"/>
                <w:sz w:val="24"/>
                <w:szCs w:val="24"/>
                <w:lang w:val="zh-CN"/>
              </w:rPr>
              <w:t>（</w:t>
            </w: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val="zh-CN"/>
              </w:rPr>
              <w:t>）</w:t>
            </w:r>
            <w:r>
              <w:rPr>
                <w:rFonts w:hint="eastAsia" w:ascii="宋体" w:hAnsi="宋体" w:eastAsia="宋体" w:cs="宋体"/>
                <w:color w:val="auto"/>
                <w:kern w:val="0"/>
                <w:sz w:val="24"/>
                <w:szCs w:val="24"/>
                <w:lang w:val="en-US" w:eastAsia="zh-CN"/>
              </w:rPr>
              <w:t>项</w:t>
            </w:r>
          </w:p>
        </w:tc>
        <w:tc>
          <w:tcPr>
            <w:tcW w:w="1099" w:type="pct"/>
            <w:vAlign w:val="center"/>
          </w:tcPr>
          <w:p w14:paraId="249536D1">
            <w:pPr>
              <w:adjustRightInd w:val="0"/>
              <w:snapToGrid w:val="0"/>
              <w:spacing w:line="360" w:lineRule="auto"/>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质量保证金</w:t>
            </w:r>
          </w:p>
        </w:tc>
        <w:tc>
          <w:tcPr>
            <w:tcW w:w="3243" w:type="pct"/>
            <w:vAlign w:val="center"/>
          </w:tcPr>
          <w:p w14:paraId="1FF20678">
            <w:pPr>
              <w:adjustRightInd w:val="0"/>
              <w:snapToGrid w:val="0"/>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无</w:t>
            </w:r>
          </w:p>
        </w:tc>
      </w:tr>
      <w:tr w14:paraId="338663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91" w:hRule="atLeast"/>
        </w:trPr>
        <w:tc>
          <w:tcPr>
            <w:tcW w:w="657" w:type="pct"/>
            <w:vMerge w:val="restart"/>
            <w:vAlign w:val="center"/>
          </w:tcPr>
          <w:p w14:paraId="74C94EB6">
            <w:pPr>
              <w:spacing w:line="360" w:lineRule="auto"/>
              <w:rPr>
                <w:rFonts w:hint="eastAsia" w:ascii="宋体" w:hAnsi="宋体" w:eastAsia="宋体" w:cs="宋体"/>
                <w:color w:val="auto"/>
                <w:sz w:val="24"/>
              </w:rPr>
            </w:pPr>
            <w:r>
              <w:rPr>
                <w:rFonts w:hint="eastAsia" w:ascii="宋体" w:hAnsi="宋体" w:eastAsia="宋体" w:cs="宋体"/>
                <w:color w:val="auto"/>
                <w:sz w:val="24"/>
              </w:rPr>
              <w:t>第3</w:t>
            </w:r>
            <w:r>
              <w:rPr>
                <w:rFonts w:hint="eastAsia" w:ascii="宋体" w:hAnsi="宋体" w:cs="宋体"/>
                <w:color w:val="auto"/>
                <w:sz w:val="24"/>
                <w:lang w:val="en-US" w:eastAsia="zh-CN"/>
              </w:rPr>
              <w:t>5</w:t>
            </w:r>
            <w:r>
              <w:rPr>
                <w:rFonts w:hint="eastAsia" w:ascii="宋体" w:hAnsi="宋体" w:eastAsia="宋体" w:cs="宋体"/>
                <w:color w:val="auto"/>
                <w:sz w:val="24"/>
              </w:rPr>
              <w:t>.</w:t>
            </w:r>
            <w:r>
              <w:rPr>
                <w:rFonts w:hint="eastAsia" w:ascii="宋体" w:hAnsi="宋体" w:cs="宋体"/>
                <w:color w:val="auto"/>
                <w:sz w:val="24"/>
                <w:lang w:val="en-US" w:eastAsia="zh-CN"/>
              </w:rPr>
              <w:t>2</w:t>
            </w:r>
            <w:r>
              <w:rPr>
                <w:rFonts w:hint="eastAsia" w:ascii="宋体" w:hAnsi="宋体" w:eastAsia="宋体" w:cs="宋体"/>
                <w:color w:val="auto"/>
                <w:sz w:val="24"/>
                <w:lang w:val="zh-CN"/>
              </w:rPr>
              <w:t>款</w:t>
            </w:r>
          </w:p>
        </w:tc>
        <w:tc>
          <w:tcPr>
            <w:tcW w:w="1099" w:type="pct"/>
            <w:vMerge w:val="restart"/>
            <w:vAlign w:val="center"/>
          </w:tcPr>
          <w:p w14:paraId="1B2D75D0">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其他规定</w:t>
            </w:r>
          </w:p>
        </w:tc>
        <w:tc>
          <w:tcPr>
            <w:tcW w:w="3243" w:type="pct"/>
            <w:tcBorders>
              <w:bottom w:val="single" w:color="auto" w:sz="4" w:space="0"/>
            </w:tcBorders>
            <w:vAlign w:val="center"/>
          </w:tcPr>
          <w:p w14:paraId="4D4BEC3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1.样品：</w:t>
            </w:r>
            <w:r>
              <w:rPr>
                <w:rFonts w:hint="eastAsia" w:ascii="宋体" w:hAnsi="宋体" w:eastAsia="宋体" w:cs="宋体"/>
                <w:color w:val="auto"/>
                <w:sz w:val="24"/>
                <w:szCs w:val="24"/>
                <w:highlight w:val="none"/>
              </w:rPr>
              <w:t>投标样品递交：</w:t>
            </w:r>
          </w:p>
          <w:p w14:paraId="226A663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不需要</w:t>
            </w:r>
          </w:p>
          <w:p w14:paraId="1368C6A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需要，具体要求如下：</w:t>
            </w:r>
          </w:p>
          <w:p w14:paraId="2153EF2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（1）样品制作的标准和要求：</w:t>
            </w:r>
            <w:r>
              <w:rPr>
                <w:rFonts w:hint="eastAsia" w:ascii="宋体" w:hAnsi="宋体" w:eastAsia="宋体" w:cs="宋体"/>
                <w:color w:val="auto"/>
                <w:sz w:val="24"/>
                <w:szCs w:val="24"/>
                <w:highlight w:val="none"/>
                <w:lang w:val="en-US" w:eastAsia="zh-CN"/>
              </w:rPr>
              <w:t>按招标文件参数要求</w:t>
            </w:r>
            <w:r>
              <w:rPr>
                <w:rFonts w:hint="eastAsia" w:ascii="宋体" w:hAnsi="宋体" w:eastAsia="宋体" w:cs="宋体"/>
                <w:color w:val="auto"/>
                <w:sz w:val="24"/>
                <w:szCs w:val="24"/>
                <w:highlight w:val="none"/>
              </w:rPr>
              <w:t>；</w:t>
            </w:r>
          </w:p>
          <w:p w14:paraId="55AB7BE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（2）是否需要随样品提交相关检测报告：</w:t>
            </w:r>
          </w:p>
          <w:p w14:paraId="2927692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不需要</w:t>
            </w:r>
          </w:p>
          <w:p w14:paraId="576D6F5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需要</w:t>
            </w:r>
          </w:p>
          <w:p w14:paraId="2E52723D">
            <w:pPr>
              <w:spacing w:line="360" w:lineRule="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（3）样品递交</w:t>
            </w:r>
            <w:r>
              <w:rPr>
                <w:rFonts w:hint="eastAsia" w:ascii="宋体" w:hAnsi="宋体" w:eastAsia="宋体" w:cs="宋体"/>
                <w:color w:val="auto"/>
                <w:sz w:val="24"/>
                <w:szCs w:val="24"/>
                <w:highlight w:val="none"/>
                <w:lang w:val="en-US" w:eastAsia="zh-CN"/>
              </w:rPr>
              <w:t>时间、地点</w:t>
            </w:r>
            <w:r>
              <w:rPr>
                <w:rFonts w:hint="eastAsia" w:ascii="宋体" w:hAnsi="宋体" w:eastAsia="宋体" w:cs="宋体"/>
                <w:color w:val="auto"/>
                <w:sz w:val="24"/>
                <w:szCs w:val="24"/>
                <w:highlight w:val="none"/>
              </w:rPr>
              <w:t>要求：</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①</w:t>
            </w:r>
            <w:r>
              <w:rPr>
                <w:rFonts w:hint="eastAsia" w:ascii="宋体" w:hAnsi="宋体" w:eastAsia="宋体" w:cs="宋体"/>
                <w:color w:val="auto"/>
                <w:sz w:val="24"/>
                <w:szCs w:val="24"/>
                <w:highlight w:val="none"/>
                <w:u w:val="single"/>
                <w:lang w:val="en-US" w:eastAsia="zh-CN"/>
              </w:rPr>
              <w:t>样品的相关要求</w:t>
            </w:r>
          </w:p>
          <w:p w14:paraId="6E979BF0">
            <w:pPr>
              <w:spacing w:line="360" w:lineRule="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8.1.投标人提供样品供评委现场评审，样品的递交时间为2026年</w:t>
            </w:r>
            <w:r>
              <w:rPr>
                <w:rFonts w:hint="eastAsia" w:ascii="宋体" w:hAnsi="宋体" w:cs="宋体"/>
                <w:color w:val="auto"/>
                <w:sz w:val="24"/>
                <w:szCs w:val="24"/>
                <w:highlight w:val="none"/>
                <w:u w:val="single"/>
                <w:lang w:val="en-US" w:eastAsia="zh-CN"/>
              </w:rPr>
              <w:t>9</w:t>
            </w:r>
            <w:r>
              <w:rPr>
                <w:rFonts w:hint="eastAsia" w:ascii="宋体" w:hAnsi="宋体" w:eastAsia="宋体" w:cs="宋体"/>
                <w:color w:val="auto"/>
                <w:sz w:val="24"/>
                <w:szCs w:val="24"/>
                <w:highlight w:val="none"/>
                <w:u w:val="single"/>
                <w:lang w:val="en-US" w:eastAsia="zh-CN"/>
              </w:rPr>
              <w:t>月</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lang w:val="en-US" w:eastAsia="zh-CN"/>
              </w:rPr>
              <w:t>日8时 30 分至9时00分（北京时间），提交样品的截止时间为2026年</w:t>
            </w:r>
            <w:r>
              <w:rPr>
                <w:rFonts w:hint="eastAsia" w:ascii="宋体" w:hAnsi="宋体" w:cs="宋体"/>
                <w:color w:val="auto"/>
                <w:sz w:val="24"/>
                <w:szCs w:val="24"/>
                <w:highlight w:val="none"/>
                <w:u w:val="single"/>
                <w:lang w:val="en-US" w:eastAsia="zh-CN"/>
              </w:rPr>
              <w:t>9</w:t>
            </w:r>
            <w:r>
              <w:rPr>
                <w:rFonts w:hint="eastAsia" w:ascii="宋体" w:hAnsi="宋体" w:eastAsia="宋体" w:cs="宋体"/>
                <w:color w:val="auto"/>
                <w:sz w:val="24"/>
                <w:szCs w:val="24"/>
                <w:highlight w:val="none"/>
                <w:u w:val="single"/>
                <w:lang w:val="en-US" w:eastAsia="zh-CN"/>
              </w:rPr>
              <w:t>月</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lang w:val="en-US" w:eastAsia="zh-CN"/>
              </w:rPr>
              <w:t>日9时00分(北京时间)，送至湘西自治州公共资源交易中心五楼样品室。评标结束后，所有样品由投标人自行撤离现场，未撤离的，采购人及代理机构对样品的保管和丢失不负责任。第一中标候选人的样品由采购人和第一中标候选人共同保管至本项目验收合格后，退还给第一中标候选人或双方另行协商。</w:t>
            </w:r>
          </w:p>
          <w:p w14:paraId="21F74BEB">
            <w:pPr>
              <w:spacing w:line="360" w:lineRule="auto"/>
              <w:rPr>
                <w:rFonts w:hint="eastAsia" w:ascii="宋体" w:hAnsi="宋体" w:eastAsia="宋体" w:cs="宋体"/>
                <w:color w:val="auto"/>
                <w:sz w:val="24"/>
                <w:szCs w:val="24"/>
                <w:highlight w:val="none"/>
                <w:u w:val="single"/>
                <w:lang w:val="en-US" w:eastAsia="zh-CN"/>
              </w:rPr>
            </w:pPr>
            <w:r>
              <w:rPr>
                <w:rFonts w:hint="eastAsia" w:ascii="宋体" w:hAnsi="宋体" w:cs="宋体"/>
                <w:color w:val="auto"/>
                <w:sz w:val="24"/>
                <w:szCs w:val="24"/>
                <w:highlight w:val="none"/>
                <w:u w:val="single"/>
                <w:lang w:val="en-US" w:eastAsia="zh-CN"/>
              </w:rPr>
              <w:t>②</w:t>
            </w:r>
            <w:r>
              <w:rPr>
                <w:rFonts w:hint="eastAsia" w:ascii="宋体" w:hAnsi="宋体" w:eastAsia="宋体" w:cs="宋体"/>
                <w:color w:val="auto"/>
                <w:sz w:val="24"/>
                <w:szCs w:val="24"/>
                <w:highlight w:val="none"/>
                <w:u w:val="single"/>
                <w:lang w:val="en-US" w:eastAsia="zh-CN"/>
              </w:rPr>
              <w:t>样品的制作及要求：两联四人位公寓床一组，宿管椅子一把</w:t>
            </w:r>
          </w:p>
          <w:p w14:paraId="086ABF49">
            <w:pPr>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u w:val="single"/>
                <w:lang w:val="en-US" w:eastAsia="zh-CN"/>
              </w:rPr>
              <w:t>③</w:t>
            </w:r>
            <w:r>
              <w:rPr>
                <w:rFonts w:hint="eastAsia" w:ascii="宋体" w:hAnsi="宋体" w:eastAsia="宋体" w:cs="宋体"/>
                <w:color w:val="auto"/>
                <w:sz w:val="24"/>
                <w:szCs w:val="24"/>
                <w:highlight w:val="none"/>
                <w:u w:val="single"/>
                <w:lang w:val="en-US" w:eastAsia="zh-CN"/>
              </w:rPr>
              <w:t>投标人提供的样品技术参数须完全满足招标文件规定的技术要求。若样品技术 参数未能实质性响应或不符合招标文件要求，否则样品分为0分</w:t>
            </w:r>
            <w:r>
              <w:rPr>
                <w:rFonts w:hint="eastAsia" w:ascii="宋体" w:hAnsi="宋体" w:eastAsia="宋体" w:cs="宋体"/>
                <w:color w:val="auto"/>
                <w:sz w:val="24"/>
                <w:szCs w:val="24"/>
                <w:highlight w:val="none"/>
              </w:rPr>
              <w:t>；</w:t>
            </w:r>
          </w:p>
          <w:p w14:paraId="66919B8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（4）未中标人样品退还：</w:t>
            </w:r>
            <w:r>
              <w:rPr>
                <w:rFonts w:hint="eastAsia" w:ascii="宋体" w:hAnsi="宋体" w:eastAsia="宋体" w:cs="宋体"/>
                <w:color w:val="auto"/>
                <w:sz w:val="24"/>
                <w:szCs w:val="24"/>
                <w:highlight w:val="none"/>
                <w:u w:val="single"/>
                <w:lang w:val="en-US" w:eastAsia="zh-CN"/>
              </w:rPr>
              <w:t>评审结束后未中标人自行取回样品，样品保管由投标人自行负责</w:t>
            </w:r>
            <w:r>
              <w:rPr>
                <w:rFonts w:hint="eastAsia" w:ascii="宋体" w:hAnsi="宋体" w:eastAsia="宋体" w:cs="宋体"/>
                <w:color w:val="auto"/>
                <w:sz w:val="24"/>
                <w:szCs w:val="24"/>
                <w:highlight w:val="none"/>
                <w:u w:val="none"/>
              </w:rPr>
              <w:t>；</w:t>
            </w:r>
          </w:p>
          <w:p w14:paraId="457E5F30">
            <w:pPr>
              <w:spacing w:line="360" w:lineRule="auto"/>
              <w:rPr>
                <w:rFonts w:hint="eastAsia" w:ascii="宋体" w:hAnsi="宋体" w:eastAsia="宋体" w:cs="宋体"/>
                <w:lang w:val="en-US" w:eastAsia="zh-CN"/>
              </w:rPr>
            </w:pPr>
            <w:r>
              <w:rPr>
                <w:rFonts w:hint="eastAsia" w:ascii="宋体" w:hAnsi="宋体" w:eastAsia="宋体" w:cs="宋体"/>
                <w:color w:val="auto"/>
                <w:sz w:val="24"/>
                <w:szCs w:val="24"/>
                <w:highlight w:val="none"/>
              </w:rPr>
              <w:t>（5）中标人样品封存及退还：</w:t>
            </w:r>
            <w:r>
              <w:rPr>
                <w:rFonts w:hint="eastAsia" w:ascii="宋体" w:hAnsi="宋体" w:eastAsia="宋体" w:cs="宋体"/>
                <w:color w:val="auto"/>
                <w:sz w:val="24"/>
                <w:szCs w:val="24"/>
                <w:highlight w:val="none"/>
                <w:u w:val="single"/>
                <w:lang w:val="en-US" w:eastAsia="zh-CN"/>
              </w:rPr>
              <w:t>评审结束后按采购单位要求封存样品，待项目验收完成后中标人至采购单位办理样品退还相关事宜。</w:t>
            </w:r>
          </w:p>
        </w:tc>
      </w:tr>
      <w:tr w14:paraId="476F5D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3" w:hRule="atLeast"/>
        </w:trPr>
        <w:tc>
          <w:tcPr>
            <w:tcW w:w="657" w:type="pct"/>
            <w:vMerge w:val="continue"/>
            <w:vAlign w:val="center"/>
          </w:tcPr>
          <w:p w14:paraId="2FF5060A">
            <w:pPr>
              <w:spacing w:line="360" w:lineRule="auto"/>
              <w:rPr>
                <w:rFonts w:hint="eastAsia" w:ascii="宋体" w:hAnsi="宋体" w:eastAsia="宋体" w:cs="宋体"/>
                <w:color w:val="auto"/>
                <w:sz w:val="24"/>
              </w:rPr>
            </w:pPr>
          </w:p>
        </w:tc>
        <w:tc>
          <w:tcPr>
            <w:tcW w:w="1099" w:type="pct"/>
            <w:vMerge w:val="continue"/>
            <w:vAlign w:val="center"/>
          </w:tcPr>
          <w:p w14:paraId="5C6441A9">
            <w:pPr>
              <w:jc w:val="center"/>
              <w:rPr>
                <w:rFonts w:hint="eastAsia" w:ascii="宋体" w:hAnsi="宋体" w:eastAsia="宋体" w:cs="宋体"/>
                <w:color w:val="auto"/>
                <w:sz w:val="24"/>
                <w:szCs w:val="24"/>
              </w:rPr>
            </w:pPr>
          </w:p>
        </w:tc>
        <w:tc>
          <w:tcPr>
            <w:tcW w:w="3243" w:type="pct"/>
            <w:tcBorders>
              <w:top w:val="single" w:color="auto" w:sz="4" w:space="0"/>
            </w:tcBorders>
            <w:vAlign w:val="center"/>
          </w:tcPr>
          <w:p w14:paraId="0D9BD01B">
            <w:pPr>
              <w:spacing w:line="360" w:lineRule="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val="en-US" w:eastAsia="zh-CN"/>
              </w:rPr>
              <w:t>、招标代理服务费</w:t>
            </w:r>
            <w:r>
              <w:rPr>
                <w:rFonts w:hint="eastAsia" w:ascii="宋体" w:hAnsi="宋体" w:cs="宋体"/>
                <w:b/>
                <w:bCs/>
                <w:color w:val="auto"/>
                <w:sz w:val="24"/>
                <w:szCs w:val="24"/>
                <w:highlight w:val="none"/>
                <w:lang w:val="en-US" w:eastAsia="zh-CN"/>
              </w:rPr>
              <w:t>：不收取</w:t>
            </w:r>
            <w:r>
              <w:rPr>
                <w:rFonts w:hint="eastAsia" w:ascii="宋体" w:hAnsi="宋体" w:eastAsia="宋体" w:cs="宋体"/>
                <w:b/>
                <w:bCs/>
                <w:color w:val="auto"/>
                <w:sz w:val="24"/>
                <w:szCs w:val="24"/>
                <w:highlight w:val="none"/>
                <w:lang w:val="en-US" w:eastAsia="zh-CN"/>
              </w:rPr>
              <w:t>。</w:t>
            </w:r>
          </w:p>
        </w:tc>
      </w:tr>
    </w:tbl>
    <w:p w14:paraId="025DE709">
      <w:pPr>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注：招标文件有前后不一致的地方，以招标文件前附表为准。</w:t>
      </w:r>
    </w:p>
    <w:p w14:paraId="3584D674">
      <w:pPr>
        <w:pStyle w:val="3"/>
        <w:adjustRightInd w:val="0"/>
        <w:snapToGrid w:val="0"/>
        <w:spacing w:before="156" w:beforeLines="50"/>
        <w:jc w:val="center"/>
        <w:rPr>
          <w:rFonts w:hint="eastAsia" w:ascii="宋体" w:hAnsi="宋体" w:eastAsia="宋体" w:cs="宋体"/>
          <w:color w:val="auto"/>
          <w:sz w:val="28"/>
          <w:szCs w:val="28"/>
        </w:rPr>
      </w:pPr>
      <w:bookmarkStart w:id="25" w:name="_Toc13223"/>
      <w:bookmarkStart w:id="26" w:name="_Toc17427"/>
    </w:p>
    <w:p w14:paraId="562B9A7B">
      <w:pPr>
        <w:rPr>
          <w:rFonts w:hint="eastAsia" w:ascii="宋体" w:hAnsi="宋体" w:eastAsia="宋体" w:cs="宋体"/>
          <w:color w:val="auto"/>
          <w:sz w:val="28"/>
          <w:szCs w:val="28"/>
        </w:rPr>
      </w:pPr>
    </w:p>
    <w:p w14:paraId="1299F4D5">
      <w:pPr>
        <w:pStyle w:val="62"/>
        <w:rPr>
          <w:rFonts w:hint="eastAsia" w:ascii="宋体" w:hAnsi="宋体" w:eastAsia="宋体" w:cs="宋体"/>
          <w:color w:val="auto"/>
          <w:sz w:val="28"/>
          <w:szCs w:val="28"/>
        </w:rPr>
      </w:pPr>
    </w:p>
    <w:p w14:paraId="27DF8441">
      <w:pPr>
        <w:pStyle w:val="62"/>
        <w:rPr>
          <w:rFonts w:hint="eastAsia" w:ascii="宋体" w:hAnsi="宋体" w:eastAsia="宋体" w:cs="宋体"/>
          <w:color w:val="auto"/>
          <w:sz w:val="28"/>
          <w:szCs w:val="28"/>
        </w:rPr>
      </w:pPr>
    </w:p>
    <w:p w14:paraId="75247549">
      <w:pPr>
        <w:pStyle w:val="62"/>
        <w:rPr>
          <w:rFonts w:hint="eastAsia" w:ascii="宋体" w:hAnsi="宋体" w:eastAsia="宋体" w:cs="宋体"/>
          <w:color w:val="auto"/>
          <w:sz w:val="28"/>
          <w:szCs w:val="28"/>
        </w:rPr>
      </w:pPr>
    </w:p>
    <w:p w14:paraId="5173F13F">
      <w:pPr>
        <w:pStyle w:val="62"/>
        <w:rPr>
          <w:rFonts w:hint="eastAsia" w:ascii="宋体" w:hAnsi="宋体" w:eastAsia="宋体" w:cs="宋体"/>
          <w:color w:val="auto"/>
          <w:sz w:val="28"/>
          <w:szCs w:val="28"/>
        </w:rPr>
      </w:pPr>
    </w:p>
    <w:p w14:paraId="0C9F427D">
      <w:pPr>
        <w:pStyle w:val="62"/>
        <w:rPr>
          <w:rFonts w:hint="eastAsia" w:ascii="宋体" w:hAnsi="宋体" w:eastAsia="宋体" w:cs="宋体"/>
          <w:color w:val="auto"/>
          <w:sz w:val="28"/>
          <w:szCs w:val="28"/>
        </w:rPr>
      </w:pPr>
    </w:p>
    <w:p w14:paraId="45746EA4">
      <w:pPr>
        <w:pStyle w:val="3"/>
        <w:adjustRightInd w:val="0"/>
        <w:snapToGrid w:val="0"/>
        <w:spacing w:before="156" w:beforeLines="50"/>
        <w:jc w:val="center"/>
        <w:rPr>
          <w:rFonts w:hint="eastAsia" w:ascii="宋体" w:hAnsi="宋体" w:eastAsia="宋体" w:cs="宋体"/>
          <w:color w:val="auto"/>
          <w:sz w:val="28"/>
          <w:szCs w:val="28"/>
        </w:rPr>
      </w:pPr>
      <w:r>
        <w:rPr>
          <w:rFonts w:hint="eastAsia" w:ascii="宋体" w:hAnsi="宋体" w:eastAsia="宋体" w:cs="宋体"/>
          <w:color w:val="auto"/>
          <w:sz w:val="28"/>
          <w:szCs w:val="28"/>
        </w:rPr>
        <w:t>第二节 投标须知</w:t>
      </w:r>
      <w:bookmarkEnd w:id="25"/>
      <w:bookmarkEnd w:id="26"/>
    </w:p>
    <w:p w14:paraId="0CD21159">
      <w:pPr>
        <w:pStyle w:val="4"/>
        <w:adjustRightInd w:val="0"/>
        <w:snapToGrid w:val="0"/>
        <w:spacing w:before="156" w:beforeLines="50" w:after="0" w:line="360" w:lineRule="auto"/>
        <w:jc w:val="center"/>
        <w:rPr>
          <w:rFonts w:hint="eastAsia" w:ascii="宋体" w:hAnsi="宋体" w:eastAsia="宋体" w:cs="宋体"/>
          <w:b w:val="0"/>
          <w:color w:val="auto"/>
          <w:sz w:val="24"/>
          <w:szCs w:val="24"/>
        </w:rPr>
      </w:pPr>
      <w:bookmarkStart w:id="27" w:name="_Toc29574"/>
      <w:bookmarkStart w:id="28" w:name="_Toc32202"/>
      <w:r>
        <w:rPr>
          <w:rFonts w:hint="eastAsia" w:ascii="宋体" w:hAnsi="宋体" w:eastAsia="宋体" w:cs="宋体"/>
          <w:color w:val="auto"/>
          <w:sz w:val="24"/>
          <w:szCs w:val="24"/>
        </w:rPr>
        <w:t>一、总则</w:t>
      </w:r>
      <w:bookmarkEnd w:id="27"/>
      <w:bookmarkEnd w:id="28"/>
    </w:p>
    <w:p w14:paraId="212EC24F">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1. 适用范围</w:t>
      </w:r>
    </w:p>
    <w:p w14:paraId="1239039B">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1.1本招标文件仅适用于本章第一节</w:t>
      </w:r>
      <w:r>
        <w:rPr>
          <w:rFonts w:hint="eastAsia" w:ascii="宋体" w:hAnsi="宋体" w:eastAsia="宋体" w:cs="宋体"/>
          <w:b/>
          <w:bCs/>
          <w:color w:val="auto"/>
          <w:sz w:val="24"/>
          <w:szCs w:val="24"/>
        </w:rPr>
        <w:t>【投标须知前附表】</w:t>
      </w:r>
      <w:r>
        <w:rPr>
          <w:rFonts w:hint="eastAsia" w:ascii="宋体" w:hAnsi="宋体" w:eastAsia="宋体" w:cs="宋体"/>
          <w:color w:val="auto"/>
          <w:sz w:val="24"/>
          <w:szCs w:val="24"/>
        </w:rPr>
        <w:t>中所叙述的采购项目。</w:t>
      </w:r>
    </w:p>
    <w:p w14:paraId="4779DD43">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1.2</w:t>
      </w:r>
      <w:r>
        <w:rPr>
          <w:rFonts w:hint="eastAsia" w:ascii="宋体" w:hAnsi="宋体" w:eastAsia="宋体" w:cs="宋体"/>
          <w:b/>
          <w:color w:val="auto"/>
          <w:sz w:val="24"/>
          <w:szCs w:val="24"/>
        </w:rPr>
        <w:t>【投标须知前附表】</w:t>
      </w:r>
      <w:r>
        <w:rPr>
          <w:rFonts w:hint="eastAsia" w:ascii="宋体" w:hAnsi="宋体" w:eastAsia="宋体" w:cs="宋体"/>
          <w:color w:val="auto"/>
          <w:sz w:val="24"/>
          <w:szCs w:val="24"/>
        </w:rPr>
        <w:t>规定采购项目或者采购包属于“预留采购份额”的，</w:t>
      </w: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应当符合本章第33.7款规定，否则，其</w:t>
      </w:r>
      <w:r>
        <w:rPr>
          <w:rFonts w:hint="eastAsia" w:ascii="宋体" w:hAnsi="宋体" w:eastAsia="宋体" w:cs="宋体"/>
          <w:b/>
          <w:color w:val="auto"/>
          <w:sz w:val="24"/>
          <w:szCs w:val="24"/>
        </w:rPr>
        <w:t>投标无效</w:t>
      </w:r>
      <w:r>
        <w:rPr>
          <w:rFonts w:hint="eastAsia" w:ascii="宋体" w:hAnsi="宋体" w:eastAsia="宋体" w:cs="宋体"/>
          <w:color w:val="auto"/>
          <w:sz w:val="24"/>
          <w:szCs w:val="24"/>
        </w:rPr>
        <w:t>。</w:t>
      </w:r>
    </w:p>
    <w:p w14:paraId="5F1A83F5">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2. 定义</w:t>
      </w:r>
    </w:p>
    <w:p w14:paraId="3C4F88F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2.1采购项目联系人姓名和电话见</w:t>
      </w:r>
      <w:r>
        <w:rPr>
          <w:rFonts w:hint="eastAsia" w:ascii="宋体" w:hAnsi="宋体" w:eastAsia="宋体" w:cs="宋体"/>
          <w:b/>
          <w:color w:val="auto"/>
          <w:sz w:val="24"/>
          <w:szCs w:val="24"/>
        </w:rPr>
        <w:t>【投标须知前附表】</w:t>
      </w:r>
      <w:r>
        <w:rPr>
          <w:rFonts w:hint="eastAsia" w:ascii="宋体" w:hAnsi="宋体" w:eastAsia="宋体" w:cs="宋体"/>
          <w:color w:val="auto"/>
          <w:sz w:val="24"/>
          <w:szCs w:val="24"/>
        </w:rPr>
        <w:t>。</w:t>
      </w:r>
    </w:p>
    <w:p w14:paraId="3484274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2.2采购人名称、地址、电话、联系人见</w:t>
      </w:r>
      <w:r>
        <w:rPr>
          <w:rFonts w:hint="eastAsia" w:ascii="宋体" w:hAnsi="宋体" w:eastAsia="宋体" w:cs="宋体"/>
          <w:b/>
          <w:color w:val="auto"/>
          <w:sz w:val="24"/>
          <w:szCs w:val="24"/>
        </w:rPr>
        <w:t>【投标须知前附表】</w:t>
      </w:r>
      <w:r>
        <w:rPr>
          <w:rFonts w:hint="eastAsia" w:ascii="宋体" w:hAnsi="宋体" w:eastAsia="宋体" w:cs="宋体"/>
          <w:color w:val="auto"/>
          <w:sz w:val="24"/>
          <w:szCs w:val="24"/>
        </w:rPr>
        <w:t>。</w:t>
      </w:r>
    </w:p>
    <w:p w14:paraId="50F0C4A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2.3采购代理机构名称、地址、电话、联系人见</w:t>
      </w:r>
      <w:r>
        <w:rPr>
          <w:rFonts w:hint="eastAsia" w:ascii="宋体" w:hAnsi="宋体" w:eastAsia="宋体" w:cs="宋体"/>
          <w:b/>
          <w:color w:val="auto"/>
          <w:sz w:val="24"/>
          <w:szCs w:val="24"/>
        </w:rPr>
        <w:t>【投标须知前附表】。</w:t>
      </w:r>
    </w:p>
    <w:p w14:paraId="05AF9048">
      <w:pPr>
        <w:adjustRightInd w:val="0"/>
        <w:snapToGrid w:val="0"/>
        <w:spacing w:before="156" w:beforeLines="50" w:line="360" w:lineRule="auto"/>
        <w:ind w:firstLine="480" w:firstLineChars="200"/>
        <w:jc w:val="left"/>
        <w:rPr>
          <w:rFonts w:hint="eastAsia" w:ascii="宋体" w:hAnsi="宋体" w:eastAsia="宋体" w:cs="宋体"/>
          <w:b/>
          <w:color w:val="auto"/>
          <w:sz w:val="24"/>
          <w:szCs w:val="24"/>
        </w:rPr>
      </w:pPr>
      <w:r>
        <w:rPr>
          <w:rFonts w:hint="eastAsia" w:ascii="宋体" w:hAnsi="宋体" w:eastAsia="宋体" w:cs="宋体"/>
          <w:color w:val="auto"/>
          <w:sz w:val="24"/>
          <w:szCs w:val="24"/>
        </w:rPr>
        <w:t>2.4投标人系指响应招标、参加投标竞争的法人、其他组织或自然人。</w:t>
      </w:r>
    </w:p>
    <w:p w14:paraId="6603EB4D">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3. 投标人的资格要求</w:t>
      </w:r>
    </w:p>
    <w:p w14:paraId="22E2585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3.1投标人应当符合</w:t>
      </w:r>
      <w:r>
        <w:rPr>
          <w:rFonts w:hint="eastAsia" w:ascii="宋体" w:hAnsi="宋体" w:eastAsia="宋体" w:cs="宋体"/>
          <w:b/>
          <w:color w:val="auto"/>
          <w:sz w:val="24"/>
          <w:szCs w:val="24"/>
        </w:rPr>
        <w:t>【投标须知前附表】</w:t>
      </w:r>
      <w:r>
        <w:rPr>
          <w:rFonts w:hint="eastAsia" w:ascii="宋体" w:hAnsi="宋体" w:eastAsia="宋体" w:cs="宋体"/>
          <w:color w:val="auto"/>
          <w:sz w:val="24"/>
          <w:szCs w:val="24"/>
        </w:rPr>
        <w:t>规定的投标人资格条件。</w:t>
      </w:r>
    </w:p>
    <w:p w14:paraId="40936072">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3.2</w:t>
      </w:r>
      <w:r>
        <w:rPr>
          <w:rFonts w:hint="eastAsia" w:ascii="宋体" w:hAnsi="宋体" w:eastAsia="宋体" w:cs="宋体"/>
          <w:b/>
          <w:color w:val="auto"/>
          <w:sz w:val="24"/>
          <w:szCs w:val="24"/>
        </w:rPr>
        <w:t>【投标须知前附表】</w:t>
      </w:r>
      <w:r>
        <w:rPr>
          <w:rFonts w:hint="eastAsia" w:ascii="宋体" w:hAnsi="宋体" w:eastAsia="宋体" w:cs="宋体"/>
          <w:color w:val="auto"/>
          <w:sz w:val="24"/>
          <w:szCs w:val="24"/>
        </w:rPr>
        <w:t>规定接受联合体形式投标的，投标人除应符合本章第3.1</w:t>
      </w:r>
      <w:r>
        <w:rPr>
          <w:rFonts w:hint="eastAsia" w:ascii="宋体" w:hAnsi="宋体" w:eastAsia="宋体" w:cs="宋体"/>
          <w:color w:val="auto"/>
          <w:kern w:val="0"/>
          <w:sz w:val="24"/>
          <w:szCs w:val="24"/>
          <w:lang w:val="zh-CN"/>
        </w:rPr>
        <w:t>款</w:t>
      </w:r>
      <w:r>
        <w:rPr>
          <w:rFonts w:hint="eastAsia" w:ascii="宋体" w:hAnsi="宋体" w:eastAsia="宋体" w:cs="宋体"/>
          <w:color w:val="auto"/>
          <w:sz w:val="24"/>
          <w:szCs w:val="24"/>
        </w:rPr>
        <w:t xml:space="preserve">规定的资格条件外，还应遵守以下规定： </w:t>
      </w:r>
    </w:p>
    <w:p w14:paraId="3C3D90C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（l）联合体中有同类资质的供应商按照联合体分工承担相同工作的，应当按照资质等级较低的供应商确定资质等级。</w:t>
      </w:r>
    </w:p>
    <w:p w14:paraId="42AC3AC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（2）联合体各方应按招标文件提供的格式签订联合体协议书，明确联合体牵头人和各方的权利义务、合同工作量比例；</w:t>
      </w:r>
    </w:p>
    <w:p w14:paraId="737E72BE">
      <w:pPr>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lang w:val="zh-CN"/>
        </w:rPr>
      </w:pPr>
      <w:r>
        <w:rPr>
          <w:rFonts w:hint="eastAsia" w:ascii="宋体" w:hAnsi="宋体" w:eastAsia="宋体" w:cs="宋体"/>
          <w:color w:val="auto"/>
          <w:sz w:val="24"/>
          <w:szCs w:val="24"/>
        </w:rPr>
        <w:t>（3）联合体各方签订联合体协议书后，</w:t>
      </w:r>
      <w:r>
        <w:rPr>
          <w:rFonts w:hint="eastAsia" w:ascii="宋体" w:hAnsi="宋体" w:eastAsia="宋体" w:cs="宋体"/>
          <w:color w:val="auto"/>
          <w:kern w:val="0"/>
          <w:sz w:val="24"/>
          <w:szCs w:val="24"/>
          <w:lang w:val="zh-CN"/>
        </w:rPr>
        <w:t>不得再单独参加或者与其他投标人组成新的联合体参加同一合同项下的采购活动。</w:t>
      </w:r>
    </w:p>
    <w:p w14:paraId="5D1A228E">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 xml:space="preserve">4. 投标费用 </w:t>
      </w:r>
    </w:p>
    <w:p w14:paraId="17F3B1E3">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4.1投标人应自行承担所有参与投标的相关费用，不论投标的结果如何，采购人、采购代理机构均无义务和责任承担这些费用。</w:t>
      </w:r>
    </w:p>
    <w:p w14:paraId="60B91F37">
      <w:pPr>
        <w:adjustRightInd w:val="0"/>
        <w:snapToGrid w:val="0"/>
        <w:spacing w:before="156" w:beforeLines="50"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5．组织现场考察或者召开答疑会</w:t>
      </w:r>
    </w:p>
    <w:p w14:paraId="69761FFE">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5.1采购人、采购代理机构可以在</w:t>
      </w:r>
      <w:r>
        <w:rPr>
          <w:rFonts w:hint="eastAsia" w:ascii="宋体" w:hAnsi="宋体" w:eastAsia="宋体" w:cs="宋体"/>
          <w:b/>
          <w:color w:val="auto"/>
          <w:sz w:val="24"/>
          <w:szCs w:val="24"/>
        </w:rPr>
        <w:t>【投标须知前附表】</w:t>
      </w:r>
      <w:r>
        <w:rPr>
          <w:rFonts w:hint="eastAsia" w:ascii="宋体" w:hAnsi="宋体" w:eastAsia="宋体" w:cs="宋体"/>
          <w:color w:val="auto"/>
          <w:sz w:val="24"/>
          <w:szCs w:val="24"/>
        </w:rPr>
        <w:t>规定的招标文件提供期限截止后，组织已获取招标文件的潜在投标人现场考察或者召开开标前答疑会。</w:t>
      </w:r>
    </w:p>
    <w:p w14:paraId="501A2983">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5.2获取招标文件的潜在投标人应按</w:t>
      </w:r>
      <w:r>
        <w:rPr>
          <w:rFonts w:hint="eastAsia" w:ascii="宋体" w:hAnsi="宋体" w:eastAsia="宋体" w:cs="宋体"/>
          <w:b/>
          <w:color w:val="auto"/>
          <w:sz w:val="24"/>
          <w:szCs w:val="24"/>
        </w:rPr>
        <w:t>【投标须知前附表】</w:t>
      </w:r>
      <w:r>
        <w:rPr>
          <w:rFonts w:hint="eastAsia" w:ascii="宋体" w:hAnsi="宋体" w:eastAsia="宋体" w:cs="宋体"/>
          <w:color w:val="auto"/>
          <w:sz w:val="24"/>
          <w:szCs w:val="24"/>
        </w:rPr>
        <w:t>规定参加现场考察或者答疑会；如不参加，其风险由其自行承担。</w:t>
      </w:r>
    </w:p>
    <w:p w14:paraId="62FA9D5E">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5.3潜在投标人现场考察或者参加答疑会的费用由自己承担，现场考察期间所发生的人身伤害及财产损失由自己负责。</w:t>
      </w:r>
    </w:p>
    <w:p w14:paraId="14F94C7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5.4采购人、采购代理机构不对投标人据此而做出的推论、理解和结论负责。投标人一旦中标，不得以任何借口，提出额外补偿，或延长合同期限的要求。</w:t>
      </w:r>
    </w:p>
    <w:p w14:paraId="34985A5A">
      <w:pPr>
        <w:pStyle w:val="4"/>
        <w:adjustRightInd w:val="0"/>
        <w:snapToGrid w:val="0"/>
        <w:spacing w:before="156" w:beforeLines="50" w:after="0" w:line="360" w:lineRule="auto"/>
        <w:jc w:val="center"/>
        <w:rPr>
          <w:rFonts w:hint="eastAsia" w:ascii="宋体" w:hAnsi="宋体" w:eastAsia="宋体" w:cs="宋体"/>
          <w:color w:val="auto"/>
          <w:sz w:val="24"/>
          <w:szCs w:val="24"/>
        </w:rPr>
      </w:pPr>
      <w:bookmarkStart w:id="29" w:name="_Toc16616"/>
      <w:bookmarkStart w:id="30" w:name="_Toc9226"/>
      <w:r>
        <w:rPr>
          <w:rFonts w:hint="eastAsia" w:ascii="宋体" w:hAnsi="宋体" w:eastAsia="宋体" w:cs="宋体"/>
          <w:color w:val="auto"/>
          <w:sz w:val="24"/>
          <w:szCs w:val="24"/>
        </w:rPr>
        <w:t>二、招标文件</w:t>
      </w:r>
      <w:bookmarkEnd w:id="29"/>
      <w:bookmarkEnd w:id="30"/>
    </w:p>
    <w:p w14:paraId="0C332037">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6. 招标文件的构成</w:t>
      </w:r>
    </w:p>
    <w:p w14:paraId="5E0278B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6.1 招标文件共七章，各章内容如下：</w:t>
      </w:r>
    </w:p>
    <w:p w14:paraId="534532F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第一章 投标邀请</w:t>
      </w:r>
    </w:p>
    <w:p w14:paraId="106C75F3">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第二章 投标须知</w:t>
      </w:r>
    </w:p>
    <w:p w14:paraId="23526A1B">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第三章 资格审查</w:t>
      </w:r>
    </w:p>
    <w:p w14:paraId="72CA5B13">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第四章 评标方法及标准</w:t>
      </w:r>
    </w:p>
    <w:p w14:paraId="71E39533">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第五章 采购需求</w:t>
      </w:r>
    </w:p>
    <w:p w14:paraId="58347C7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第六章 政府采购合同</w:t>
      </w:r>
    </w:p>
    <w:p w14:paraId="5D56F6FF">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第七章 投标文件的组成</w:t>
      </w:r>
    </w:p>
    <w:p w14:paraId="1A875BF7">
      <w:pPr>
        <w:adjustRightInd w:val="0"/>
        <w:snapToGrid w:val="0"/>
        <w:spacing w:before="156" w:beforeLines="50" w:line="360" w:lineRule="auto"/>
        <w:ind w:firstLine="480" w:firstLineChars="200"/>
        <w:jc w:val="left"/>
        <w:rPr>
          <w:rFonts w:hint="eastAsia" w:ascii="宋体" w:hAnsi="宋体" w:eastAsia="宋体" w:cs="宋体"/>
          <w:b/>
          <w:color w:val="auto"/>
          <w:sz w:val="24"/>
          <w:szCs w:val="24"/>
        </w:rPr>
      </w:pPr>
      <w:r>
        <w:rPr>
          <w:rFonts w:hint="eastAsia" w:ascii="宋体" w:hAnsi="宋体" w:eastAsia="宋体" w:cs="宋体"/>
          <w:color w:val="auto"/>
          <w:sz w:val="24"/>
          <w:szCs w:val="24"/>
        </w:rPr>
        <w:t>6.2采购人、采购代理机构在提交投标文件截止时间前对招标文件所作的澄清或者修改，构成招标文件的组成部分。</w:t>
      </w:r>
    </w:p>
    <w:p w14:paraId="6DB0FC49">
      <w:pPr>
        <w:adjustRightInd w:val="0"/>
        <w:snapToGrid w:val="0"/>
        <w:spacing w:before="156" w:beforeLines="50"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7．偏离与实质性响应</w:t>
      </w:r>
    </w:p>
    <w:p w14:paraId="5D24A081">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7.1投标人应当按照招标文件的要求编制投标文件。投标文件应当对招标文件提出的要求和条件作出明确响应。</w:t>
      </w:r>
    </w:p>
    <w:p w14:paraId="6209A5E3">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7.2偏离是指投标文件不响应或者不满足招标文件提出的要求和条件，分为实质性偏离和非实质性偏离。</w:t>
      </w:r>
    </w:p>
    <w:p w14:paraId="6583F3B7">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7.3除法律、法规和招标文件规定的其他投标无效情形外，招标文件中用“★”符号标明的条款为实质性要求和条件，对其中任何一条的偏离，为实质性偏离，</w:t>
      </w:r>
      <w:r>
        <w:rPr>
          <w:rFonts w:hint="eastAsia" w:ascii="宋体" w:hAnsi="宋体" w:eastAsia="宋体" w:cs="宋体"/>
          <w:b/>
          <w:color w:val="auto"/>
          <w:sz w:val="24"/>
          <w:szCs w:val="24"/>
        </w:rPr>
        <w:t>其投标无效</w:t>
      </w:r>
      <w:r>
        <w:rPr>
          <w:rFonts w:hint="eastAsia" w:ascii="宋体" w:hAnsi="宋体" w:eastAsia="宋体" w:cs="宋体"/>
          <w:color w:val="auto"/>
          <w:sz w:val="24"/>
          <w:szCs w:val="24"/>
        </w:rPr>
        <w:t>。</w:t>
      </w:r>
    </w:p>
    <w:p w14:paraId="304083D0">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7.4投标文件偏离招标文件的非实质性要求和条件，对其中任何一条的偏离，为非实质性偏离。非实质性偏离的范围和幅度应当符合</w:t>
      </w:r>
      <w:r>
        <w:rPr>
          <w:rFonts w:hint="eastAsia" w:ascii="宋体" w:hAnsi="宋体" w:eastAsia="宋体" w:cs="宋体"/>
          <w:b/>
          <w:color w:val="auto"/>
          <w:sz w:val="24"/>
          <w:szCs w:val="24"/>
        </w:rPr>
        <w:t>【投标须知前附表】</w:t>
      </w:r>
      <w:r>
        <w:rPr>
          <w:rFonts w:hint="eastAsia" w:ascii="宋体" w:hAnsi="宋体" w:eastAsia="宋体" w:cs="宋体"/>
          <w:color w:val="auto"/>
          <w:sz w:val="24"/>
          <w:szCs w:val="24"/>
        </w:rPr>
        <w:t>的规定，</w:t>
      </w:r>
      <w:r>
        <w:rPr>
          <w:rFonts w:hint="eastAsia" w:ascii="宋体" w:hAnsi="宋体" w:eastAsia="宋体" w:cs="宋体"/>
          <w:b/>
          <w:color w:val="auto"/>
          <w:sz w:val="24"/>
          <w:szCs w:val="24"/>
        </w:rPr>
        <w:t>否则投标无效</w:t>
      </w:r>
      <w:r>
        <w:rPr>
          <w:rFonts w:hint="eastAsia" w:ascii="宋体" w:hAnsi="宋体" w:eastAsia="宋体" w:cs="宋体"/>
          <w:color w:val="auto"/>
          <w:sz w:val="24"/>
          <w:szCs w:val="24"/>
        </w:rPr>
        <w:t>。</w:t>
      </w:r>
    </w:p>
    <w:p w14:paraId="44E1C366">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color w:val="auto"/>
          <w:sz w:val="24"/>
          <w:szCs w:val="24"/>
        </w:rPr>
        <w:t>8. 询问</w:t>
      </w:r>
    </w:p>
    <w:p w14:paraId="6E29FC62">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8.1潜在投标人应仔细阅读和检查招标文件的全部内容。如有疑问，可以向采购人或者采购代理机构提出询问。</w:t>
      </w:r>
    </w:p>
    <w:p w14:paraId="7AA3F907">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9. 招标文件的澄清或者修改</w:t>
      </w:r>
    </w:p>
    <w:p w14:paraId="44E4560B">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9.1采购人、采购代理机构对已发出的招标文件进行必要澄清或者修改的，将在</w:t>
      </w:r>
      <w:r>
        <w:rPr>
          <w:rFonts w:hint="eastAsia" w:ascii="宋体" w:hAnsi="宋体" w:eastAsia="宋体" w:cs="宋体"/>
          <w:b/>
          <w:color w:val="auto"/>
          <w:sz w:val="24"/>
          <w:szCs w:val="24"/>
        </w:rPr>
        <w:t>【投标须知前附表】</w:t>
      </w:r>
      <w:r>
        <w:rPr>
          <w:rFonts w:hint="eastAsia" w:ascii="宋体" w:hAnsi="宋体" w:eastAsia="宋体" w:cs="宋体"/>
          <w:color w:val="auto"/>
          <w:sz w:val="24"/>
          <w:szCs w:val="24"/>
        </w:rPr>
        <w:t>规定的招标公告指定媒体上发布澄清或者修改公告。</w:t>
      </w:r>
    </w:p>
    <w:p w14:paraId="485883B0">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kern w:val="0"/>
          <w:sz w:val="24"/>
          <w:szCs w:val="24"/>
        </w:rPr>
        <w:t>9.2澄清或者修改</w:t>
      </w:r>
      <w:r>
        <w:rPr>
          <w:rFonts w:hint="eastAsia" w:ascii="宋体" w:hAnsi="宋体" w:eastAsia="宋体" w:cs="宋体"/>
          <w:color w:val="auto"/>
          <w:sz w:val="24"/>
          <w:szCs w:val="24"/>
        </w:rPr>
        <w:t>的</w:t>
      </w:r>
      <w:r>
        <w:rPr>
          <w:rFonts w:hint="eastAsia" w:ascii="宋体" w:hAnsi="宋体" w:eastAsia="宋体" w:cs="宋体"/>
          <w:color w:val="auto"/>
          <w:kern w:val="0"/>
          <w:sz w:val="24"/>
          <w:szCs w:val="24"/>
        </w:rPr>
        <w:t>内容可能影响投标文件编制的，采购人、采购代理机构</w:t>
      </w:r>
      <w:r>
        <w:rPr>
          <w:rFonts w:hint="eastAsia" w:ascii="宋体" w:hAnsi="宋体" w:eastAsia="宋体" w:cs="宋体"/>
          <w:color w:val="auto"/>
          <w:sz w:val="24"/>
          <w:szCs w:val="24"/>
        </w:rPr>
        <w:t>将</w:t>
      </w:r>
      <w:r>
        <w:rPr>
          <w:rFonts w:hint="eastAsia" w:ascii="宋体" w:hAnsi="宋体" w:eastAsia="宋体" w:cs="宋体"/>
          <w:color w:val="auto"/>
          <w:kern w:val="0"/>
          <w:sz w:val="24"/>
          <w:szCs w:val="24"/>
        </w:rPr>
        <w:t>在提交投标文件截止时间15日前，</w:t>
      </w:r>
      <w:r>
        <w:rPr>
          <w:rFonts w:hint="eastAsia" w:ascii="宋体" w:hAnsi="宋体" w:eastAsia="宋体" w:cs="宋体"/>
          <w:color w:val="auto"/>
          <w:sz w:val="24"/>
          <w:szCs w:val="24"/>
        </w:rPr>
        <w:t>以书面形式通知所有获取招标文件的潜在投标人；不足15日的，将相应延长提交投标文件的截止时间。</w:t>
      </w:r>
    </w:p>
    <w:p w14:paraId="40339C2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9.3招标文件的提供期限届满后，获取招标文件的潜在投标人不足3家的，可以顺延提供期限，并在指定媒体上发布修改公告。</w:t>
      </w:r>
    </w:p>
    <w:p w14:paraId="51DB15DB">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9.4 通过电子招标投标交易平台下载招标文件的，请获取招标文件的潜在投标人及时关注招标公告指定媒体发布的澄清或者修改公告，采购人、采购代理机构不再书面通知。</w:t>
      </w:r>
    </w:p>
    <w:p w14:paraId="71A0C3D3">
      <w:pPr>
        <w:pStyle w:val="4"/>
        <w:adjustRightInd w:val="0"/>
        <w:snapToGrid w:val="0"/>
        <w:spacing w:before="156" w:beforeLines="50" w:after="0" w:line="360" w:lineRule="auto"/>
        <w:jc w:val="center"/>
        <w:rPr>
          <w:rFonts w:hint="eastAsia" w:ascii="宋体" w:hAnsi="宋体" w:eastAsia="宋体" w:cs="宋体"/>
          <w:color w:val="auto"/>
          <w:sz w:val="24"/>
          <w:szCs w:val="24"/>
        </w:rPr>
      </w:pPr>
      <w:bookmarkStart w:id="31" w:name="_Toc26409"/>
      <w:bookmarkStart w:id="32" w:name="_Toc1234"/>
      <w:r>
        <w:rPr>
          <w:rFonts w:hint="eastAsia" w:ascii="宋体" w:hAnsi="宋体" w:eastAsia="宋体" w:cs="宋体"/>
          <w:color w:val="auto"/>
          <w:sz w:val="24"/>
          <w:szCs w:val="24"/>
        </w:rPr>
        <w:t>三、投标文件</w:t>
      </w:r>
      <w:bookmarkEnd w:id="31"/>
      <w:bookmarkEnd w:id="32"/>
    </w:p>
    <w:p w14:paraId="5823A230">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10. 投标语言</w:t>
      </w:r>
    </w:p>
    <w:p w14:paraId="7249FE1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10.1除专用术语外，投标人提交的投标文件及投标人与采购人、采购代理机构就有关投标的所有来往函电均使用中文。投标人可以提交</w:t>
      </w:r>
      <w:r>
        <w:rPr>
          <w:rFonts w:hint="eastAsia" w:ascii="宋体" w:hAnsi="宋体" w:cs="宋体"/>
          <w:color w:val="auto"/>
          <w:sz w:val="24"/>
          <w:szCs w:val="24"/>
          <w:lang w:eastAsia="zh-CN"/>
        </w:rPr>
        <w:t>其他语言</w:t>
      </w:r>
      <w:r>
        <w:rPr>
          <w:rFonts w:hint="eastAsia" w:ascii="宋体" w:hAnsi="宋体" w:eastAsia="宋体" w:cs="宋体"/>
          <w:color w:val="auto"/>
          <w:sz w:val="24"/>
          <w:szCs w:val="24"/>
        </w:rPr>
        <w:t>的资料，但应附有中文注释，有差异时以中文为准。</w:t>
      </w:r>
    </w:p>
    <w:p w14:paraId="01045F85">
      <w:pPr>
        <w:adjustRightInd w:val="0"/>
        <w:snapToGrid w:val="0"/>
        <w:spacing w:before="156" w:beforeLines="50" w:line="360" w:lineRule="auto"/>
        <w:jc w:val="left"/>
        <w:rPr>
          <w:rFonts w:hint="eastAsia" w:ascii="宋体" w:hAnsi="宋体" w:eastAsia="宋体" w:cs="宋体"/>
          <w:b/>
          <w:color w:val="auto"/>
          <w:sz w:val="24"/>
          <w:szCs w:val="24"/>
        </w:rPr>
      </w:pPr>
      <w:r>
        <w:rPr>
          <w:rFonts w:hint="eastAsia" w:ascii="宋体" w:hAnsi="宋体" w:eastAsia="宋体" w:cs="宋体"/>
          <w:b/>
          <w:bCs/>
          <w:color w:val="auto"/>
          <w:sz w:val="24"/>
          <w:szCs w:val="24"/>
        </w:rPr>
        <w:t xml:space="preserve">11. </w:t>
      </w:r>
      <w:r>
        <w:rPr>
          <w:rFonts w:hint="eastAsia" w:ascii="宋体" w:hAnsi="宋体" w:eastAsia="宋体" w:cs="宋体"/>
          <w:b/>
          <w:color w:val="auto"/>
          <w:sz w:val="24"/>
          <w:szCs w:val="24"/>
        </w:rPr>
        <w:t>计量单位</w:t>
      </w:r>
    </w:p>
    <w:p w14:paraId="70C0D5B2">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11.1所有计量均采用中华人民共和国法定计量单位。</w:t>
      </w:r>
    </w:p>
    <w:p w14:paraId="561288C9">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color w:val="auto"/>
          <w:sz w:val="24"/>
          <w:szCs w:val="24"/>
        </w:rPr>
        <w:t xml:space="preserve">12. </w:t>
      </w:r>
      <w:r>
        <w:rPr>
          <w:rFonts w:hint="eastAsia" w:ascii="宋体" w:hAnsi="宋体" w:eastAsia="宋体" w:cs="宋体"/>
          <w:b/>
          <w:bCs/>
          <w:color w:val="auto"/>
          <w:sz w:val="24"/>
          <w:szCs w:val="24"/>
        </w:rPr>
        <w:t>投标文件的组成</w:t>
      </w:r>
    </w:p>
    <w:p w14:paraId="3D37E88C">
      <w:pPr>
        <w:adjustRightInd w:val="0"/>
        <w:snapToGrid w:val="0"/>
        <w:spacing w:before="156" w:beforeLines="50" w:line="360" w:lineRule="auto"/>
        <w:ind w:firstLine="480" w:firstLineChars="200"/>
        <w:jc w:val="left"/>
        <w:rPr>
          <w:rFonts w:hint="eastAsia" w:ascii="宋体" w:hAnsi="宋体" w:eastAsia="宋体" w:cs="宋体"/>
          <w:b/>
          <w:color w:val="auto"/>
          <w:sz w:val="24"/>
          <w:szCs w:val="24"/>
        </w:rPr>
      </w:pPr>
      <w:r>
        <w:rPr>
          <w:rFonts w:hint="eastAsia" w:ascii="宋体" w:hAnsi="宋体" w:eastAsia="宋体" w:cs="宋体"/>
          <w:color w:val="auto"/>
          <w:sz w:val="24"/>
          <w:szCs w:val="24"/>
        </w:rPr>
        <w:t>12.1投标文件由如下内容组成：</w:t>
      </w:r>
    </w:p>
    <w:p w14:paraId="03791E73">
      <w:pPr>
        <w:adjustRightInd w:val="0"/>
        <w:snapToGrid w:val="0"/>
        <w:spacing w:before="156" w:beforeLines="50" w:line="360" w:lineRule="auto"/>
        <w:ind w:firstLine="482" w:firstLineChars="20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第一部分 资格证明文件</w:t>
      </w:r>
    </w:p>
    <w:p w14:paraId="041184DC">
      <w:pPr>
        <w:adjustRightInd w:val="0"/>
        <w:snapToGrid w:val="0"/>
        <w:spacing w:before="156" w:beforeLines="5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（1）授权委托书</w:t>
      </w:r>
    </w:p>
    <w:p w14:paraId="115882B5">
      <w:pPr>
        <w:adjustRightInd w:val="0"/>
        <w:snapToGrid w:val="0"/>
        <w:spacing w:before="156" w:beforeLines="5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）投标人提供的资格证明文件</w:t>
      </w:r>
    </w:p>
    <w:p w14:paraId="4665F307">
      <w:pPr>
        <w:adjustRightInd w:val="0"/>
        <w:snapToGrid w:val="0"/>
        <w:spacing w:before="156" w:beforeLines="50" w:line="360" w:lineRule="auto"/>
        <w:ind w:firstLine="482" w:firstLineChars="20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第二部分 商务和技术文件</w:t>
      </w:r>
    </w:p>
    <w:p w14:paraId="47867C51">
      <w:pPr>
        <w:adjustRightInd w:val="0"/>
        <w:snapToGrid w:val="0"/>
        <w:spacing w:beforeLines="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rPr>
        <w:t>投标函</w:t>
      </w:r>
    </w:p>
    <w:p w14:paraId="5DBAC768">
      <w:pPr>
        <w:pStyle w:val="3"/>
        <w:rPr>
          <w:rFonts w:hint="default" w:eastAsia="宋体"/>
          <w:lang w:val="en-US" w:eastAsia="zh-CN"/>
        </w:rPr>
      </w:pPr>
      <w:r>
        <w:rPr>
          <w:rFonts w:hint="eastAsia" w:ascii="宋体" w:hAnsi="宋体" w:cs="宋体"/>
          <w:color w:val="auto"/>
          <w:sz w:val="24"/>
          <w:lang w:val="en-US" w:eastAsia="zh-CN"/>
        </w:rPr>
        <w:t xml:space="preserve">    </w:t>
      </w:r>
      <w:r>
        <w:rPr>
          <w:rFonts w:hint="eastAsia" w:ascii="宋体" w:hAnsi="宋体" w:eastAsia="宋体" w:cs="宋体"/>
          <w:b w:val="0"/>
          <w:bCs w:val="0"/>
          <w:color w:val="auto"/>
          <w:kern w:val="2"/>
          <w:sz w:val="24"/>
          <w:szCs w:val="24"/>
          <w:highlight w:val="none"/>
          <w:lang w:val="en-US" w:eastAsia="zh-CN" w:bidi="ar-SA"/>
        </w:rPr>
        <w:t>（5）开标一览表</w:t>
      </w:r>
    </w:p>
    <w:p w14:paraId="57A6C553">
      <w:pPr>
        <w:adjustRightInd w:val="0"/>
        <w:snapToGrid w:val="0"/>
        <w:spacing w:beforeLines="50" w:line="360" w:lineRule="auto"/>
        <w:ind w:firstLine="480" w:firstLineChars="200"/>
        <w:jc w:val="left"/>
        <w:rPr>
          <w:rFonts w:hint="default" w:ascii="宋体" w:hAnsi="宋体" w:cs="宋体"/>
          <w:color w:val="auto"/>
          <w:sz w:val="24"/>
          <w:lang w:val="en-US" w:eastAsia="zh-CN"/>
        </w:rPr>
      </w:pPr>
      <w:r>
        <w:rPr>
          <w:rFonts w:hint="eastAsia" w:ascii="宋体" w:hAnsi="宋体" w:cs="宋体"/>
          <w:color w:val="auto"/>
          <w:sz w:val="24"/>
          <w:lang w:val="en-US" w:eastAsia="zh-CN"/>
        </w:rPr>
        <w:t>（6）分项报价</w:t>
      </w:r>
    </w:p>
    <w:p w14:paraId="14F1BCE5">
      <w:pPr>
        <w:adjustRightInd w:val="0"/>
        <w:snapToGrid w:val="0"/>
        <w:spacing w:beforeLines="50" w:line="360" w:lineRule="auto"/>
        <w:ind w:firstLine="480" w:firstLineChars="200"/>
        <w:jc w:val="left"/>
        <w:rPr>
          <w:rFonts w:hint="eastAsia" w:ascii="宋体" w:hAnsi="宋体" w:cs="宋体"/>
          <w:color w:val="auto"/>
          <w:sz w:val="24"/>
          <w:lang w:val="en-US" w:eastAsia="zh-CN"/>
        </w:rPr>
      </w:pPr>
      <w:r>
        <w:rPr>
          <w:rFonts w:hint="eastAsia" w:ascii="宋体" w:hAnsi="宋体" w:cs="宋体"/>
          <w:color w:val="auto"/>
          <w:sz w:val="24"/>
          <w:lang w:val="en-US" w:eastAsia="zh-CN"/>
        </w:rPr>
        <w:t>（7）采购需求响应表</w:t>
      </w:r>
    </w:p>
    <w:p w14:paraId="181A7080">
      <w:pPr>
        <w:adjustRightInd w:val="0"/>
        <w:snapToGrid w:val="0"/>
        <w:spacing w:beforeLines="50" w:line="360" w:lineRule="auto"/>
        <w:ind w:firstLine="480" w:firstLineChars="200"/>
        <w:jc w:val="left"/>
        <w:rPr>
          <w:rFonts w:hint="eastAsia" w:ascii="宋体" w:hAnsi="宋体" w:eastAsia="宋体" w:cs="宋体"/>
          <w:color w:val="auto"/>
          <w:sz w:val="24"/>
        </w:rPr>
      </w:pPr>
      <w:r>
        <w:rPr>
          <w:rFonts w:hint="eastAsia" w:ascii="宋体" w:hAnsi="宋体" w:cs="宋体"/>
          <w:color w:val="auto"/>
          <w:sz w:val="24"/>
          <w:lang w:eastAsia="zh-CN"/>
        </w:rPr>
        <w:t>（</w:t>
      </w:r>
      <w:r>
        <w:rPr>
          <w:rFonts w:hint="eastAsia" w:ascii="宋体" w:hAnsi="宋体" w:cs="宋体"/>
          <w:color w:val="auto"/>
          <w:sz w:val="24"/>
          <w:lang w:val="en-US" w:eastAsia="zh-CN"/>
        </w:rPr>
        <w:t>8</w:t>
      </w:r>
      <w:r>
        <w:rPr>
          <w:rFonts w:hint="eastAsia" w:ascii="宋体" w:hAnsi="宋体" w:cs="宋体"/>
          <w:color w:val="auto"/>
          <w:sz w:val="24"/>
          <w:lang w:eastAsia="zh-CN"/>
        </w:rPr>
        <w:t>）</w:t>
      </w:r>
      <w:r>
        <w:rPr>
          <w:rFonts w:hint="eastAsia" w:ascii="宋体" w:hAnsi="宋体" w:eastAsia="宋体" w:cs="宋体"/>
          <w:color w:val="auto"/>
          <w:sz w:val="24"/>
        </w:rPr>
        <w:t>商务、合同条款偏离表</w:t>
      </w:r>
    </w:p>
    <w:p w14:paraId="512620EF">
      <w:pPr>
        <w:adjustRightInd w:val="0"/>
        <w:snapToGrid w:val="0"/>
        <w:spacing w:beforeLines="50" w:line="360" w:lineRule="auto"/>
        <w:ind w:firstLine="480" w:firstLineChars="200"/>
        <w:jc w:val="left"/>
        <w:rPr>
          <w:rFonts w:hint="eastAsia" w:ascii="宋体" w:hAnsi="宋体" w:eastAsia="宋体" w:cs="宋体"/>
          <w:color w:val="auto"/>
          <w:sz w:val="24"/>
        </w:rPr>
      </w:pPr>
      <w:r>
        <w:rPr>
          <w:rFonts w:hint="eastAsia" w:ascii="宋体" w:hAnsi="宋体" w:cs="宋体"/>
          <w:color w:val="auto"/>
          <w:sz w:val="24"/>
          <w:lang w:val="en-US" w:eastAsia="zh-CN"/>
        </w:rPr>
        <w:t>（9）</w:t>
      </w:r>
      <w:r>
        <w:rPr>
          <w:rFonts w:hint="eastAsia" w:ascii="宋体" w:hAnsi="宋体" w:eastAsia="宋体" w:cs="宋体"/>
          <w:color w:val="auto"/>
          <w:sz w:val="24"/>
        </w:rPr>
        <w:t>采购需求偏离表</w:t>
      </w:r>
    </w:p>
    <w:p w14:paraId="0C4CB1BD">
      <w:pPr>
        <w:adjustRightInd w:val="0"/>
        <w:snapToGrid w:val="0"/>
        <w:spacing w:beforeLines="50" w:line="360" w:lineRule="auto"/>
        <w:ind w:firstLine="480" w:firstLineChars="200"/>
        <w:jc w:val="left"/>
        <w:rPr>
          <w:rFonts w:hint="eastAsia" w:ascii="宋体" w:hAnsi="宋体" w:eastAsia="宋体" w:cs="宋体"/>
          <w:color w:val="auto"/>
          <w:sz w:val="24"/>
        </w:rPr>
      </w:pPr>
      <w:r>
        <w:rPr>
          <w:rFonts w:hint="eastAsia" w:ascii="宋体" w:hAnsi="宋体" w:cs="宋体"/>
          <w:color w:val="auto"/>
          <w:sz w:val="24"/>
          <w:lang w:val="en-US" w:eastAsia="zh-CN"/>
        </w:rPr>
        <w:t>（10）</w:t>
      </w:r>
      <w:r>
        <w:rPr>
          <w:rFonts w:hint="eastAsia" w:ascii="宋体" w:hAnsi="宋体" w:eastAsia="宋体" w:cs="宋体"/>
          <w:color w:val="auto"/>
          <w:sz w:val="24"/>
        </w:rPr>
        <w:t>享受政府采购政策优惠的证明资料</w:t>
      </w:r>
    </w:p>
    <w:p w14:paraId="3246FF96">
      <w:pPr>
        <w:adjustRightInd w:val="0"/>
        <w:snapToGrid w:val="0"/>
        <w:spacing w:beforeLines="50" w:line="360" w:lineRule="auto"/>
        <w:ind w:firstLine="480" w:firstLineChars="200"/>
        <w:jc w:val="left"/>
        <w:rPr>
          <w:rFonts w:hint="eastAsia" w:ascii="宋体" w:hAnsi="宋体" w:cs="宋体"/>
          <w:color w:val="auto"/>
          <w:sz w:val="24"/>
          <w:lang w:val="en-US" w:eastAsia="zh-CN"/>
        </w:rPr>
      </w:pPr>
      <w:r>
        <w:rPr>
          <w:rFonts w:hint="eastAsia" w:ascii="宋体" w:hAnsi="宋体" w:cs="宋体"/>
          <w:color w:val="auto"/>
          <w:sz w:val="24"/>
          <w:lang w:val="en-US" w:eastAsia="zh-CN"/>
        </w:rPr>
        <w:t>（11）投标货物符合招标文件规定的证明文件</w:t>
      </w:r>
    </w:p>
    <w:p w14:paraId="00487A9F">
      <w:pPr>
        <w:adjustRightInd w:val="0"/>
        <w:snapToGrid w:val="0"/>
        <w:spacing w:beforeLines="50" w:line="360" w:lineRule="auto"/>
        <w:ind w:firstLine="480" w:firstLineChars="200"/>
        <w:jc w:val="left"/>
        <w:rPr>
          <w:rFonts w:hint="default"/>
          <w:lang w:val="en-US" w:eastAsia="zh-CN"/>
        </w:rPr>
      </w:pPr>
      <w:r>
        <w:rPr>
          <w:rFonts w:hint="eastAsia" w:ascii="宋体" w:hAnsi="宋体" w:cs="宋体"/>
          <w:color w:val="auto"/>
          <w:sz w:val="24"/>
          <w:lang w:val="en-US" w:eastAsia="zh-CN"/>
        </w:rPr>
        <w:t>（12）投标人认为需提供的其他资料</w:t>
      </w:r>
    </w:p>
    <w:p w14:paraId="25A4C720">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12.2投标人可以编制资格审查索引表、符合性审查索引表、评审索引表，以方便采购人、采购代理机构、评标委员会在资格审查及评审时查阅。</w:t>
      </w:r>
    </w:p>
    <w:p w14:paraId="20AA58EA">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12.3根据《政府采购法》第四十二条的规定，投标人无论中标与否，其投标文件不予退还。</w:t>
      </w:r>
    </w:p>
    <w:p w14:paraId="6E840CE2">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13. 投标报价</w:t>
      </w:r>
    </w:p>
    <w:p w14:paraId="5CFD399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4C38563F">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13.2投标人的投标报价不得超过采购</w:t>
      </w:r>
      <w:r>
        <w:rPr>
          <w:rFonts w:hint="eastAsia" w:ascii="宋体" w:hAnsi="宋体" w:eastAsia="宋体" w:cs="宋体"/>
          <w:color w:val="auto"/>
          <w:sz w:val="24"/>
          <w:szCs w:val="24"/>
          <w:lang w:val="en-US" w:eastAsia="zh-CN"/>
        </w:rPr>
        <w:t>项目</w:t>
      </w:r>
      <w:r>
        <w:rPr>
          <w:rFonts w:hint="eastAsia" w:ascii="宋体" w:hAnsi="宋体" w:eastAsia="宋体" w:cs="宋体"/>
          <w:color w:val="auto"/>
          <w:sz w:val="24"/>
          <w:szCs w:val="24"/>
        </w:rPr>
        <w:t>预算，也不得超过最高限价(如果设定)，否则其</w:t>
      </w:r>
      <w:r>
        <w:rPr>
          <w:rFonts w:hint="eastAsia" w:ascii="宋体" w:hAnsi="宋体" w:eastAsia="宋体" w:cs="宋体"/>
          <w:b/>
          <w:color w:val="auto"/>
          <w:sz w:val="24"/>
          <w:szCs w:val="24"/>
        </w:rPr>
        <w:t>投标无效</w:t>
      </w:r>
      <w:r>
        <w:rPr>
          <w:rFonts w:hint="eastAsia" w:ascii="宋体" w:hAnsi="宋体" w:eastAsia="宋体" w:cs="宋体"/>
          <w:color w:val="auto"/>
          <w:sz w:val="24"/>
          <w:szCs w:val="24"/>
        </w:rPr>
        <w:t>。采购项目预算、最高限价见</w:t>
      </w:r>
      <w:r>
        <w:rPr>
          <w:rFonts w:hint="eastAsia" w:ascii="宋体" w:hAnsi="宋体" w:eastAsia="宋体" w:cs="宋体"/>
          <w:b/>
          <w:color w:val="auto"/>
          <w:sz w:val="24"/>
          <w:szCs w:val="24"/>
        </w:rPr>
        <w:t>【投标须知前附表】</w:t>
      </w:r>
      <w:r>
        <w:rPr>
          <w:rFonts w:hint="eastAsia" w:ascii="宋体" w:hAnsi="宋体" w:eastAsia="宋体" w:cs="宋体"/>
          <w:color w:val="auto"/>
          <w:sz w:val="24"/>
          <w:szCs w:val="24"/>
        </w:rPr>
        <w:t>。</w:t>
      </w:r>
    </w:p>
    <w:p w14:paraId="4950933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13.3 投标人应在分项报价明细表中对每项内容给予详细分项报价。</w:t>
      </w:r>
    </w:p>
    <w:p w14:paraId="7AE5406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13.4投标人对采购项目内容只允许有一个投标报价，</w:t>
      </w:r>
      <w:r>
        <w:rPr>
          <w:rFonts w:hint="eastAsia" w:ascii="宋体" w:hAnsi="宋体" w:cs="宋体"/>
          <w:color w:val="auto"/>
          <w:sz w:val="24"/>
          <w:szCs w:val="24"/>
          <w:lang w:val="en-US" w:eastAsia="zh-CN"/>
        </w:rPr>
        <w:t>投标人提供两个及以上投标报价不同的开标一览表，</w:t>
      </w:r>
      <w:r>
        <w:rPr>
          <w:rFonts w:hint="eastAsia" w:ascii="宋体" w:hAnsi="宋体" w:eastAsia="宋体" w:cs="宋体"/>
          <w:color w:val="auto"/>
          <w:sz w:val="24"/>
          <w:szCs w:val="24"/>
        </w:rPr>
        <w:t>其</w:t>
      </w:r>
      <w:r>
        <w:rPr>
          <w:rFonts w:hint="eastAsia" w:ascii="宋体" w:hAnsi="宋体" w:eastAsia="宋体" w:cs="宋体"/>
          <w:b/>
          <w:color w:val="auto"/>
          <w:sz w:val="24"/>
          <w:szCs w:val="24"/>
        </w:rPr>
        <w:t>投标无效</w:t>
      </w:r>
      <w:r>
        <w:rPr>
          <w:rFonts w:hint="eastAsia" w:ascii="宋体" w:hAnsi="宋体" w:eastAsia="宋体" w:cs="宋体"/>
          <w:color w:val="auto"/>
          <w:sz w:val="24"/>
          <w:szCs w:val="24"/>
        </w:rPr>
        <w:t>。</w:t>
      </w:r>
    </w:p>
    <w:p w14:paraId="1F7839EB">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13.5采购人不接受投标人给予的赠品、回扣或者与采购无关的其他商品、服务。如有赠与行为，其</w:t>
      </w:r>
      <w:r>
        <w:rPr>
          <w:rFonts w:hint="eastAsia" w:ascii="宋体" w:hAnsi="宋体" w:eastAsia="宋体" w:cs="宋体"/>
          <w:b/>
          <w:color w:val="auto"/>
          <w:sz w:val="24"/>
          <w:szCs w:val="24"/>
        </w:rPr>
        <w:t>投标无效</w:t>
      </w:r>
      <w:r>
        <w:rPr>
          <w:rFonts w:hint="eastAsia" w:ascii="宋体" w:hAnsi="宋体" w:eastAsia="宋体" w:cs="宋体"/>
          <w:color w:val="auto"/>
          <w:sz w:val="24"/>
          <w:szCs w:val="24"/>
        </w:rPr>
        <w:t>。</w:t>
      </w:r>
    </w:p>
    <w:p w14:paraId="233F6A9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13.6</w:t>
      </w:r>
      <w:r>
        <w:rPr>
          <w:rFonts w:hint="eastAsia" w:ascii="宋体" w:hAnsi="宋体" w:eastAsia="宋体" w:cs="宋体"/>
          <w:color w:val="auto"/>
          <w:sz w:val="24"/>
          <w:szCs w:val="24"/>
          <w:lang w:val="en-US" w:eastAsia="zh-CN"/>
        </w:rPr>
        <w:t>采用固定价格定价方式的采购项目，</w:t>
      </w:r>
      <w:r>
        <w:rPr>
          <w:rFonts w:hint="eastAsia" w:ascii="宋体" w:hAnsi="宋体" w:eastAsia="宋体" w:cs="宋体"/>
          <w:color w:val="auto"/>
          <w:sz w:val="24"/>
          <w:szCs w:val="24"/>
        </w:rPr>
        <w:t>投标文件中标明的价格在合同执行过程中是固定不变的，不得以任何理由予以变更。任何包含价格调整要求和条件的投标，其</w:t>
      </w:r>
      <w:r>
        <w:rPr>
          <w:rFonts w:hint="eastAsia" w:ascii="宋体" w:hAnsi="宋体" w:eastAsia="宋体" w:cs="宋体"/>
          <w:b/>
          <w:color w:val="auto"/>
          <w:sz w:val="24"/>
          <w:szCs w:val="24"/>
        </w:rPr>
        <w:t>投标无效</w:t>
      </w:r>
      <w:r>
        <w:rPr>
          <w:rFonts w:hint="eastAsia" w:ascii="宋体" w:hAnsi="宋体" w:eastAsia="宋体" w:cs="宋体"/>
          <w:color w:val="auto"/>
          <w:sz w:val="24"/>
          <w:szCs w:val="24"/>
        </w:rPr>
        <w:t>。</w:t>
      </w:r>
    </w:p>
    <w:p w14:paraId="1857E4A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13.7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6E554A3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13.8投标报价的其他要求见【投标须知前附表】。 </w:t>
      </w:r>
    </w:p>
    <w:p w14:paraId="389FA039">
      <w:pPr>
        <w:adjustRightInd w:val="0"/>
        <w:snapToGrid w:val="0"/>
        <w:spacing w:before="156" w:beforeLines="50" w:line="360" w:lineRule="auto"/>
        <w:ind w:firstLine="482" w:firstLineChars="20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13.9 投标人的价格折扣应当直接在开标一览表的投标报价中给出，即投标报价（包括价格折扣），为折后价格。</w:t>
      </w:r>
    </w:p>
    <w:p w14:paraId="267B7A7B">
      <w:pPr>
        <w:adjustRightInd w:val="0"/>
        <w:snapToGrid w:val="0"/>
        <w:spacing w:before="156" w:beforeLines="50" w:line="360" w:lineRule="auto"/>
        <w:ind w:firstLine="482" w:firstLineChars="200"/>
        <w:jc w:val="left"/>
        <w:rPr>
          <w:rFonts w:hint="default" w:ascii="宋体" w:hAnsi="宋体" w:eastAsia="宋体" w:cs="宋体"/>
          <w:color w:val="auto"/>
          <w:sz w:val="24"/>
          <w:szCs w:val="24"/>
        </w:rPr>
      </w:pPr>
      <w:r>
        <w:rPr>
          <w:rFonts w:hint="eastAsia" w:ascii="宋体" w:hAnsi="宋体" w:cs="宋体"/>
          <w:b/>
          <w:bCs/>
          <w:color w:val="auto"/>
          <w:sz w:val="24"/>
          <w:szCs w:val="24"/>
          <w:lang w:val="en-US" w:eastAsia="zh-CN"/>
        </w:rPr>
        <w:t>13.10</w:t>
      </w:r>
      <w:r>
        <w:rPr>
          <w:rFonts w:hint="eastAsia" w:ascii="宋体" w:hAnsi="宋体" w:eastAsia="宋体" w:cs="宋体"/>
          <w:color w:val="FF0000"/>
          <w:sz w:val="24"/>
          <w:szCs w:val="24"/>
          <w:lang w:val="en-US" w:eastAsia="zh-CN"/>
        </w:rPr>
        <w:t xml:space="preserve"> </w:t>
      </w:r>
      <w:r>
        <w:rPr>
          <w:rFonts w:hint="eastAsia" w:ascii="宋体" w:hAnsi="宋体" w:eastAsia="宋体" w:cs="宋体"/>
          <w:color w:val="auto"/>
          <w:sz w:val="24"/>
          <w:szCs w:val="24"/>
          <w:lang w:val="en-US" w:eastAsia="zh-CN"/>
        </w:rPr>
        <w:t>根据《关于推动解决政府采购异常低价问题的通知》财库(2026)2号的规定，</w:t>
      </w:r>
      <w:r>
        <w:rPr>
          <w:rFonts w:hint="eastAsia" w:ascii="宋体" w:hAnsi="宋体" w:eastAsia="宋体" w:cs="宋体"/>
          <w:color w:val="auto"/>
          <w:sz w:val="24"/>
          <w:szCs w:val="24"/>
        </w:rPr>
        <w:t>政府采购评审中出现下列情形之一的，评审委员会应当启动异常低价投标（响应）审查程序：</w:t>
      </w:r>
    </w:p>
    <w:p w14:paraId="365F98F6">
      <w:pPr>
        <w:adjustRightInd w:val="0"/>
        <w:snapToGrid w:val="0"/>
        <w:spacing w:before="156" w:beforeLines="50" w:line="360" w:lineRule="auto"/>
        <w:ind w:firstLine="480" w:firstLineChars="200"/>
        <w:jc w:val="left"/>
        <w:rPr>
          <w:rFonts w:hint="default" w:ascii="宋体" w:hAnsi="宋体" w:eastAsia="宋体" w:cs="宋体"/>
          <w:color w:val="auto"/>
          <w:sz w:val="24"/>
          <w:szCs w:val="24"/>
        </w:rPr>
      </w:pPr>
      <w:r>
        <w:rPr>
          <w:rFonts w:hint="eastAsia" w:ascii="宋体" w:hAnsi="宋体" w:eastAsia="宋体" w:cs="宋体"/>
          <w:color w:val="auto"/>
          <w:sz w:val="24"/>
          <w:szCs w:val="24"/>
        </w:rPr>
        <w:t>1.投标（响应）报价低于全部通过符合性审查供应商投标（响应）报价平均值50%的，即投标（响应）报价&lt;全部通过符合性审查供应商投标（响应）报价平均值×50%；</w:t>
      </w:r>
    </w:p>
    <w:p w14:paraId="272C413F">
      <w:pPr>
        <w:adjustRightInd w:val="0"/>
        <w:snapToGrid w:val="0"/>
        <w:spacing w:before="156" w:beforeLines="50" w:line="360" w:lineRule="auto"/>
        <w:ind w:firstLine="480" w:firstLineChars="200"/>
        <w:jc w:val="left"/>
        <w:rPr>
          <w:rFonts w:hint="default" w:ascii="宋体" w:hAnsi="宋体" w:eastAsia="宋体" w:cs="宋体"/>
          <w:color w:val="auto"/>
          <w:sz w:val="24"/>
          <w:szCs w:val="24"/>
        </w:rPr>
      </w:pPr>
      <w:r>
        <w:rPr>
          <w:rFonts w:hint="eastAsia" w:ascii="宋体" w:hAnsi="宋体" w:eastAsia="宋体" w:cs="宋体"/>
          <w:color w:val="auto"/>
          <w:sz w:val="24"/>
          <w:szCs w:val="24"/>
        </w:rPr>
        <w:t>2.投标（响应）报价低于通过符合性审查的次低报价供应商投标（响应）报价50%的，即投标（响应）报价&lt;通过符合性审查的次低报价供应商投标（响应）报价×50%；</w:t>
      </w:r>
    </w:p>
    <w:p w14:paraId="06DCDD5A">
      <w:pPr>
        <w:adjustRightInd w:val="0"/>
        <w:snapToGrid w:val="0"/>
        <w:spacing w:before="156" w:beforeLines="50" w:line="360" w:lineRule="auto"/>
        <w:ind w:firstLine="480" w:firstLineChars="200"/>
        <w:jc w:val="left"/>
        <w:rPr>
          <w:rFonts w:hint="default" w:ascii="宋体" w:hAnsi="宋体" w:eastAsia="宋体" w:cs="宋体"/>
          <w:color w:val="auto"/>
          <w:sz w:val="24"/>
          <w:szCs w:val="24"/>
        </w:rPr>
      </w:pPr>
      <w:r>
        <w:rPr>
          <w:rFonts w:hint="eastAsia" w:ascii="宋体" w:hAnsi="宋体" w:eastAsia="宋体" w:cs="宋体"/>
          <w:color w:val="auto"/>
          <w:sz w:val="24"/>
          <w:szCs w:val="24"/>
        </w:rPr>
        <w:t>3.投标（响应）报价低于采购项目最高限价45%的，即投标（响应）报价&lt;采购项目最高限价×45%；</w:t>
      </w:r>
    </w:p>
    <w:p w14:paraId="026FC601">
      <w:pPr>
        <w:adjustRightInd w:val="0"/>
        <w:snapToGrid w:val="0"/>
        <w:spacing w:before="156" w:beforeLines="50" w:line="360" w:lineRule="auto"/>
        <w:ind w:firstLine="480" w:firstLineChars="200"/>
        <w:jc w:val="left"/>
        <w:rPr>
          <w:rFonts w:hint="default"/>
          <w:lang w:val="en-US" w:eastAsia="zh-CN"/>
        </w:rPr>
      </w:pPr>
      <w:r>
        <w:rPr>
          <w:rFonts w:hint="eastAsia" w:ascii="宋体" w:hAnsi="宋体" w:eastAsia="宋体" w:cs="宋体"/>
          <w:color w:val="auto"/>
          <w:sz w:val="24"/>
          <w:szCs w:val="24"/>
        </w:rPr>
        <w:t>4.评审委员会基于专业判断，认为供应商报价过低，有可能影响产品质量或者不能诚信履约的其他情形。</w:t>
      </w:r>
    </w:p>
    <w:p w14:paraId="1B8A4EBC">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color w:val="auto"/>
          <w:sz w:val="24"/>
          <w:szCs w:val="24"/>
        </w:rPr>
        <w:t xml:space="preserve">14. </w:t>
      </w:r>
      <w:r>
        <w:rPr>
          <w:rFonts w:hint="eastAsia" w:ascii="宋体" w:hAnsi="宋体" w:eastAsia="宋体" w:cs="宋体"/>
          <w:b/>
          <w:bCs/>
          <w:color w:val="auto"/>
          <w:sz w:val="24"/>
          <w:szCs w:val="24"/>
        </w:rPr>
        <w:t>投标人的资格证明文件（未进行资格预审的）</w:t>
      </w:r>
    </w:p>
    <w:p w14:paraId="61197A95">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14.1除</w:t>
      </w:r>
      <w:r>
        <w:rPr>
          <w:rFonts w:hint="eastAsia" w:ascii="宋体" w:hAnsi="宋体" w:eastAsia="宋体" w:cs="宋体"/>
          <w:b/>
          <w:color w:val="auto"/>
          <w:sz w:val="24"/>
          <w:szCs w:val="24"/>
        </w:rPr>
        <w:t>【投标须知前附表】</w:t>
      </w:r>
      <w:r>
        <w:rPr>
          <w:rFonts w:hint="eastAsia" w:ascii="宋体" w:hAnsi="宋体" w:eastAsia="宋体" w:cs="宋体"/>
          <w:color w:val="auto"/>
          <w:sz w:val="24"/>
          <w:szCs w:val="24"/>
        </w:rPr>
        <w:t>另有规定外，投标人应按下列规定提供资格证明文件。</w:t>
      </w:r>
    </w:p>
    <w:p w14:paraId="2138AB4C">
      <w:pPr>
        <w:numPr>
          <w:ilvl w:val="0"/>
          <w:numId w:val="4"/>
        </w:numPr>
        <w:adjustRightInd w:val="0"/>
        <w:snapToGrid w:val="0"/>
        <w:spacing w:before="156" w:beforeLines="50" w:line="360" w:lineRule="auto"/>
        <w:ind w:firstLine="482" w:firstLineChars="200"/>
        <w:rPr>
          <w:rFonts w:hint="eastAsia" w:ascii="宋体" w:hAnsi="宋体" w:eastAsia="宋体" w:cs="宋体"/>
          <w:color w:val="auto"/>
          <w:sz w:val="24"/>
          <w:szCs w:val="24"/>
        </w:rPr>
      </w:pPr>
      <w:r>
        <w:rPr>
          <w:rFonts w:hint="eastAsia" w:ascii="宋体" w:hAnsi="宋体" w:eastAsia="宋体" w:cs="宋体"/>
          <w:b/>
          <w:color w:val="auto"/>
          <w:sz w:val="24"/>
          <w:szCs w:val="24"/>
        </w:rPr>
        <w:t>法人或者其他组织的营业执照等主体资格证明文件，自然人的身份证明</w:t>
      </w:r>
      <w:r>
        <w:rPr>
          <w:rFonts w:hint="eastAsia" w:ascii="宋体" w:hAnsi="宋体" w:eastAsia="宋体" w:cs="宋体"/>
          <w:color w:val="auto"/>
          <w:sz w:val="24"/>
          <w:szCs w:val="24"/>
        </w:rPr>
        <w:t>：投标人为法人的，应提交营业执照或法人登记证书的复印件</w:t>
      </w:r>
      <w:r>
        <w:rPr>
          <w:rFonts w:hint="eastAsia" w:ascii="宋体" w:hAnsi="宋体"/>
          <w:color w:val="auto"/>
          <w:sz w:val="24"/>
          <w:szCs w:val="24"/>
          <w:lang w:eastAsia="zh-CN"/>
        </w:rPr>
        <w:t>（或扫描件）</w:t>
      </w:r>
      <w:r>
        <w:rPr>
          <w:rFonts w:hint="eastAsia" w:ascii="宋体" w:hAnsi="宋体" w:eastAsia="宋体" w:cs="宋体"/>
          <w:color w:val="auto"/>
          <w:sz w:val="24"/>
          <w:szCs w:val="24"/>
        </w:rPr>
        <w:t>；投标人为非法人组织的</w:t>
      </w:r>
      <w:r>
        <w:rPr>
          <w:rFonts w:hint="eastAsia" w:ascii="宋体" w:hAnsi="宋体" w:cs="宋体"/>
          <w:color w:val="auto"/>
          <w:sz w:val="24"/>
          <w:szCs w:val="24"/>
          <w:lang w:eastAsia="zh-CN"/>
        </w:rPr>
        <w:t>，</w:t>
      </w:r>
      <w:r>
        <w:rPr>
          <w:rFonts w:hint="eastAsia" w:ascii="宋体" w:hAnsi="宋体" w:eastAsia="宋体" w:cs="宋体"/>
          <w:color w:val="auto"/>
          <w:sz w:val="24"/>
          <w:szCs w:val="24"/>
        </w:rPr>
        <w:t>应提交依法登记证书复印件</w:t>
      </w:r>
      <w:r>
        <w:rPr>
          <w:rFonts w:hint="eastAsia" w:ascii="宋体" w:hAnsi="宋体"/>
          <w:color w:val="auto"/>
          <w:sz w:val="24"/>
          <w:szCs w:val="24"/>
          <w:lang w:eastAsia="zh-CN"/>
        </w:rPr>
        <w:t>（或扫描件）</w:t>
      </w:r>
      <w:r>
        <w:rPr>
          <w:rFonts w:hint="eastAsia" w:ascii="宋体" w:hAnsi="宋体" w:eastAsia="宋体" w:cs="宋体"/>
          <w:color w:val="auto"/>
          <w:sz w:val="24"/>
          <w:szCs w:val="24"/>
        </w:rPr>
        <w:t>；投标人为个体工商户的，应提交个体工商户营业执照复印件</w:t>
      </w:r>
      <w:r>
        <w:rPr>
          <w:rFonts w:hint="eastAsia" w:ascii="宋体" w:hAnsi="宋体"/>
          <w:color w:val="auto"/>
          <w:sz w:val="24"/>
          <w:szCs w:val="24"/>
          <w:lang w:eastAsia="zh-CN"/>
        </w:rPr>
        <w:t>（或扫描件）</w:t>
      </w:r>
      <w:r>
        <w:rPr>
          <w:rFonts w:hint="eastAsia" w:ascii="宋体" w:hAnsi="宋体" w:eastAsia="宋体" w:cs="宋体"/>
          <w:color w:val="auto"/>
          <w:sz w:val="24"/>
          <w:szCs w:val="24"/>
        </w:rPr>
        <w:t>；投标人为自然人的，应提交自然人的身份证明复印件</w:t>
      </w:r>
      <w:r>
        <w:rPr>
          <w:rFonts w:hint="eastAsia" w:ascii="宋体" w:hAnsi="宋体"/>
          <w:color w:val="auto"/>
          <w:sz w:val="24"/>
          <w:szCs w:val="24"/>
          <w:lang w:eastAsia="zh-CN"/>
        </w:rPr>
        <w:t>（或扫描件）</w:t>
      </w:r>
      <w:r>
        <w:rPr>
          <w:rFonts w:hint="eastAsia" w:ascii="宋体" w:hAnsi="宋体" w:eastAsia="宋体" w:cs="宋体"/>
          <w:color w:val="auto"/>
          <w:sz w:val="24"/>
          <w:szCs w:val="24"/>
        </w:rPr>
        <w:t>。</w:t>
      </w:r>
    </w:p>
    <w:p w14:paraId="0F890E35">
      <w:pPr>
        <w:pStyle w:val="3"/>
        <w:numPr>
          <w:ilvl w:val="0"/>
          <w:numId w:val="0"/>
        </w:numPr>
        <w:rPr>
          <w:rFonts w:hint="default" w:ascii="宋体" w:hAnsi="宋体" w:eastAsia="宋体" w:cs="宋体"/>
          <w:b/>
          <w:bCs w:val="0"/>
          <w:color w:val="auto"/>
          <w:kern w:val="2"/>
          <w:sz w:val="24"/>
          <w:szCs w:val="24"/>
          <w:lang w:val="en-US" w:eastAsia="zh-CN" w:bidi="ar-SA"/>
        </w:rPr>
      </w:pPr>
      <w:r>
        <w:rPr>
          <w:rFonts w:hint="eastAsia"/>
          <w:lang w:val="en-US" w:eastAsia="zh-CN"/>
        </w:rPr>
        <w:t xml:space="preserve">     （2）</w:t>
      </w:r>
      <w:r>
        <w:rPr>
          <w:rFonts w:hint="eastAsia" w:ascii="宋体" w:hAnsi="宋体" w:eastAsia="宋体"/>
          <w:color w:val="auto"/>
          <w:sz w:val="24"/>
          <w:szCs w:val="24"/>
          <w:lang w:val="en-US" w:eastAsia="zh-CN"/>
        </w:rPr>
        <w:t>投标人是法人代表，提供法定代表人身份证明；投标人不是法人，提供法定代表人身份证明</w:t>
      </w:r>
      <w:r>
        <w:rPr>
          <w:rFonts w:hint="eastAsia" w:ascii="宋体" w:hAnsi="宋体"/>
          <w:color w:val="auto"/>
          <w:sz w:val="24"/>
          <w:szCs w:val="24"/>
          <w:lang w:val="en-US" w:eastAsia="zh-CN"/>
        </w:rPr>
        <w:t>并附</w:t>
      </w:r>
      <w:r>
        <w:rPr>
          <w:rFonts w:hint="eastAsia" w:ascii="宋体" w:hAnsi="宋体" w:eastAsia="宋体"/>
          <w:color w:val="auto"/>
          <w:sz w:val="24"/>
          <w:szCs w:val="24"/>
          <w:lang w:val="en-US" w:eastAsia="zh-CN"/>
        </w:rPr>
        <w:t>授权委托书；</w:t>
      </w:r>
    </w:p>
    <w:p w14:paraId="2F28914E">
      <w:pPr>
        <w:adjustRightInd w:val="0"/>
        <w:snapToGrid w:val="0"/>
        <w:spacing w:before="156" w:beforeLines="50"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w:t>
      </w:r>
      <w:r>
        <w:rPr>
          <w:rFonts w:hint="eastAsia" w:ascii="宋体" w:hAnsi="宋体" w:cs="宋体"/>
          <w:b/>
          <w:color w:val="auto"/>
          <w:sz w:val="24"/>
          <w:szCs w:val="24"/>
          <w:lang w:val="en-US" w:eastAsia="zh-CN"/>
        </w:rPr>
        <w:t>3</w:t>
      </w:r>
      <w:r>
        <w:rPr>
          <w:rFonts w:hint="eastAsia" w:ascii="宋体" w:hAnsi="宋体" w:eastAsia="宋体" w:cs="宋体"/>
          <w:b/>
          <w:color w:val="auto"/>
          <w:sz w:val="24"/>
          <w:szCs w:val="24"/>
        </w:rPr>
        <w:t>）</w:t>
      </w:r>
      <w:r>
        <w:rPr>
          <w:rFonts w:hint="eastAsia" w:ascii="宋体" w:hAnsi="宋体" w:cs="宋体"/>
          <w:b/>
          <w:color w:val="auto"/>
          <w:sz w:val="24"/>
          <w:szCs w:val="24"/>
          <w:lang w:val="en-US" w:eastAsia="zh-CN"/>
        </w:rPr>
        <w:t>资格声明</w:t>
      </w:r>
      <w:r>
        <w:rPr>
          <w:rFonts w:hint="eastAsia" w:ascii="宋体" w:hAnsi="宋体" w:eastAsia="宋体" w:cs="宋体"/>
          <w:b/>
          <w:color w:val="auto"/>
          <w:sz w:val="24"/>
          <w:szCs w:val="24"/>
        </w:rPr>
        <w:t>(格式)</w:t>
      </w:r>
    </w:p>
    <w:p w14:paraId="46869FCF">
      <w:pPr>
        <w:adjustRightInd w:val="0"/>
        <w:snapToGrid w:val="0"/>
        <w:spacing w:before="156" w:beforeLines="50"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w:t>
      </w:r>
      <w:r>
        <w:rPr>
          <w:rFonts w:hint="eastAsia" w:ascii="宋体" w:hAnsi="宋体" w:cs="宋体"/>
          <w:b/>
          <w:color w:val="auto"/>
          <w:sz w:val="24"/>
          <w:szCs w:val="24"/>
          <w:lang w:val="en-US" w:eastAsia="zh-CN"/>
        </w:rPr>
        <w:t>4</w:t>
      </w:r>
      <w:r>
        <w:rPr>
          <w:rFonts w:hint="eastAsia" w:ascii="宋体" w:hAnsi="宋体" w:eastAsia="宋体" w:cs="宋体"/>
          <w:b/>
          <w:color w:val="auto"/>
          <w:sz w:val="24"/>
          <w:szCs w:val="24"/>
        </w:rPr>
        <w:t>）符合特定资格条件证明材料或者情况说明。</w:t>
      </w:r>
    </w:p>
    <w:p w14:paraId="06474B42">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14.2投标人以联合体形式投标的，除应提交联合协议(格式)外，参加联合体的各方均应提交上款资格证明材料。</w:t>
      </w:r>
    </w:p>
    <w:p w14:paraId="34F4B48E">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14.3投标人的资格证明文件均应为有效文件并加盖投标人单位章，并按招标文件规定签署。</w:t>
      </w:r>
    </w:p>
    <w:p w14:paraId="33ADF2A9">
      <w:pPr>
        <w:adjustRightInd w:val="0"/>
        <w:snapToGrid w:val="0"/>
        <w:spacing w:before="156" w:beforeLines="50" w:line="360" w:lineRule="auto"/>
        <w:jc w:val="left"/>
        <w:rPr>
          <w:rFonts w:hint="eastAsia" w:ascii="宋体" w:hAnsi="宋体" w:eastAsia="宋体" w:cs="宋体"/>
          <w:b/>
          <w:bCs/>
          <w:color w:val="auto"/>
          <w:sz w:val="24"/>
          <w:szCs w:val="24"/>
        </w:rPr>
      </w:pPr>
      <w:bookmarkStart w:id="33" w:name="_Toc62206130"/>
      <w:bookmarkStart w:id="34" w:name="_Toc38786717"/>
      <w:bookmarkStart w:id="35" w:name="_Toc82155360"/>
      <w:r>
        <w:rPr>
          <w:rFonts w:hint="eastAsia" w:ascii="宋体" w:hAnsi="宋体" w:eastAsia="宋体" w:cs="宋体"/>
          <w:b/>
          <w:bCs/>
          <w:color w:val="auto"/>
          <w:sz w:val="24"/>
          <w:szCs w:val="24"/>
        </w:rPr>
        <w:t>14.供应商的资格证明文件（已进行资格预审的）</w:t>
      </w:r>
      <w:bookmarkEnd w:id="33"/>
      <w:bookmarkEnd w:id="34"/>
      <w:bookmarkEnd w:id="35"/>
    </w:p>
    <w:p w14:paraId="58CA9C89">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14.1被邀请的供应商在提交投标文件前，其资格条件发生变化，影响或者可能影响资格条件的，应随投标文件提供更新或者补充的资格证明资料，以证实其各项条件仍能继续满足本章第3.1款规定的供应商资格条件要求。</w:t>
      </w:r>
    </w:p>
    <w:p w14:paraId="708BF48E">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15. 投标货物及服务符合招标文件规定的证明文件</w:t>
      </w:r>
    </w:p>
    <w:p w14:paraId="137E0AB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15.1投标人应当提交其拟供的合同项下货物及其服务符合招标文件规定的证明文件,该证明文件作为投标文件的一部分。</w:t>
      </w:r>
    </w:p>
    <w:p w14:paraId="4724A58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15.2上述证明文件可以是文字资料、图表、数据、证书等资料，包括但不限于：</w:t>
      </w:r>
    </w:p>
    <w:p w14:paraId="0984B997">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（1）货物主要技术指标和性能的详细说明。对有具体参数要求的指标，投标人应提供具体参数值；</w:t>
      </w:r>
    </w:p>
    <w:p w14:paraId="2820AA83">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（2）货物的品牌型号、制造商及原产地等说明；</w:t>
      </w:r>
    </w:p>
    <w:p w14:paraId="36F5B18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（3）招标文件第五章“采购需求”</w:t>
      </w:r>
      <w:r>
        <w:rPr>
          <w:rFonts w:hint="eastAsia" w:ascii="宋体" w:hAnsi="宋体" w:cs="宋体"/>
          <w:color w:val="auto"/>
          <w:sz w:val="24"/>
          <w:szCs w:val="24"/>
          <w:lang w:eastAsia="zh-CN"/>
        </w:rPr>
        <w:t>要求的其他文件</w:t>
      </w:r>
      <w:r>
        <w:rPr>
          <w:rFonts w:hint="eastAsia" w:ascii="宋体" w:hAnsi="宋体" w:eastAsia="宋体" w:cs="宋体"/>
          <w:color w:val="auto"/>
          <w:sz w:val="24"/>
          <w:szCs w:val="24"/>
        </w:rPr>
        <w:t>。</w:t>
      </w:r>
    </w:p>
    <w:p w14:paraId="4CBA9BDD">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16. 投标有效期</w:t>
      </w:r>
    </w:p>
    <w:p w14:paraId="7F64CDEA">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16.1投标有效期从提交投标文件的截止之日起算。投标文件中承诺的投标有效期应当不少于</w:t>
      </w:r>
      <w:r>
        <w:rPr>
          <w:rFonts w:hint="eastAsia" w:ascii="宋体" w:hAnsi="宋体" w:eastAsia="宋体" w:cs="宋体"/>
          <w:b/>
          <w:color w:val="auto"/>
          <w:sz w:val="24"/>
          <w:szCs w:val="24"/>
        </w:rPr>
        <w:t>【投标须知前附表】</w:t>
      </w:r>
      <w:r>
        <w:rPr>
          <w:rFonts w:hint="eastAsia" w:ascii="宋体" w:hAnsi="宋体" w:eastAsia="宋体" w:cs="宋体"/>
          <w:color w:val="auto"/>
          <w:sz w:val="24"/>
          <w:szCs w:val="24"/>
        </w:rPr>
        <w:t>中载明的投标有效期。投标有效期不满足要求的，其</w:t>
      </w:r>
      <w:r>
        <w:rPr>
          <w:rFonts w:hint="eastAsia" w:ascii="宋体" w:hAnsi="宋体" w:eastAsia="宋体" w:cs="宋体"/>
          <w:b/>
          <w:color w:val="auto"/>
          <w:sz w:val="24"/>
          <w:szCs w:val="24"/>
        </w:rPr>
        <w:t>投标无效</w:t>
      </w:r>
      <w:r>
        <w:rPr>
          <w:rFonts w:hint="eastAsia" w:ascii="宋体" w:hAnsi="宋体" w:eastAsia="宋体" w:cs="宋体"/>
          <w:color w:val="auto"/>
          <w:sz w:val="24"/>
          <w:szCs w:val="24"/>
        </w:rPr>
        <w:t>。</w:t>
      </w:r>
    </w:p>
    <w:p w14:paraId="4F0A9C2B">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16.2投标有效期内投标人撤销投标文件的，投标人应承担招标文件和法律规定的责任。</w:t>
      </w:r>
    </w:p>
    <w:p w14:paraId="7E237C09">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17. 投标保证金</w:t>
      </w:r>
    </w:p>
    <w:p w14:paraId="249BCFDA">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17.1招标文件要求投标人提交投标保证金的，</w:t>
      </w:r>
      <w:r>
        <w:rPr>
          <w:rFonts w:hint="eastAsia" w:ascii="宋体" w:hAnsi="宋体" w:eastAsia="宋体" w:cs="宋体"/>
          <w:bCs/>
          <w:color w:val="auto"/>
          <w:sz w:val="24"/>
          <w:szCs w:val="24"/>
        </w:rPr>
        <w:t>投标人</w:t>
      </w:r>
      <w:r>
        <w:rPr>
          <w:rFonts w:hint="eastAsia" w:ascii="宋体" w:hAnsi="宋体" w:eastAsia="宋体" w:cs="宋体"/>
          <w:color w:val="auto"/>
          <w:sz w:val="24"/>
          <w:szCs w:val="24"/>
        </w:rPr>
        <w:t>应按</w:t>
      </w:r>
      <w:r>
        <w:rPr>
          <w:rFonts w:hint="eastAsia" w:ascii="宋体" w:hAnsi="宋体" w:eastAsia="宋体" w:cs="宋体"/>
          <w:b/>
          <w:color w:val="auto"/>
          <w:sz w:val="24"/>
          <w:szCs w:val="24"/>
        </w:rPr>
        <w:t>【投标须知前附表】</w:t>
      </w:r>
      <w:r>
        <w:rPr>
          <w:rFonts w:hint="eastAsia" w:ascii="宋体" w:hAnsi="宋体" w:eastAsia="宋体" w:cs="宋体"/>
          <w:color w:val="auto"/>
          <w:sz w:val="24"/>
          <w:szCs w:val="24"/>
        </w:rPr>
        <w:t>规定，</w:t>
      </w:r>
      <w:r>
        <w:rPr>
          <w:rFonts w:hint="eastAsia" w:ascii="宋体" w:hAnsi="宋体" w:eastAsia="宋体" w:cs="宋体"/>
          <w:bCs/>
          <w:color w:val="auto"/>
          <w:sz w:val="24"/>
          <w:szCs w:val="24"/>
        </w:rPr>
        <w:t>在</w:t>
      </w:r>
      <w:r>
        <w:rPr>
          <w:rFonts w:hint="eastAsia" w:ascii="宋体" w:hAnsi="宋体" w:eastAsia="宋体" w:cs="宋体"/>
          <w:color w:val="auto"/>
          <w:sz w:val="24"/>
          <w:szCs w:val="24"/>
        </w:rPr>
        <w:t>提交投标文件的截止时间</w:t>
      </w:r>
      <w:r>
        <w:rPr>
          <w:rFonts w:hint="eastAsia" w:ascii="宋体" w:hAnsi="宋体" w:eastAsia="宋体" w:cs="宋体"/>
          <w:bCs/>
          <w:color w:val="auto"/>
          <w:sz w:val="24"/>
          <w:szCs w:val="24"/>
        </w:rPr>
        <w:t>前提交投标保证金</w:t>
      </w:r>
      <w:r>
        <w:rPr>
          <w:rFonts w:hint="eastAsia" w:ascii="宋体" w:hAnsi="宋体" w:eastAsia="宋体" w:cs="宋体"/>
          <w:color w:val="auto"/>
          <w:sz w:val="24"/>
          <w:szCs w:val="24"/>
        </w:rPr>
        <w:t>。</w:t>
      </w:r>
      <w:r>
        <w:rPr>
          <w:rFonts w:hint="eastAsia" w:ascii="宋体" w:hAnsi="宋体" w:eastAsia="宋体" w:cs="宋体"/>
          <w:bCs/>
          <w:color w:val="auto"/>
          <w:sz w:val="24"/>
          <w:szCs w:val="24"/>
        </w:rPr>
        <w:t>投标人可以保函、电子增信替代投标保证金。</w:t>
      </w:r>
    </w:p>
    <w:p w14:paraId="790705B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17.2联合体投标的，可以由联合体中的一方或者共同提交投标保证金。以一方名义提交投标保证金的，对联合体各方均具有约束力。</w:t>
      </w:r>
    </w:p>
    <w:p w14:paraId="682F5EAE">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17.3投标保证金的退还按以下规定办理：</w:t>
      </w:r>
    </w:p>
    <w:p w14:paraId="7674C750">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（1）中标投标人的投标保证金，将在政府采购合同签订后5个工作日内退还。</w:t>
      </w:r>
    </w:p>
    <w:p w14:paraId="21C8214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（2）未中标的投标人的投标保证金，将在中标通知书发出后5个工作日内退还。</w:t>
      </w:r>
    </w:p>
    <w:p w14:paraId="63769AA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（3）终止招标的。对于已递交投标保证金的，采购人、采购代理机构在终止招标公告发布后5个工作日内退还。</w:t>
      </w:r>
    </w:p>
    <w:p w14:paraId="5D240179">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（4）在投标截止日前撤回投标的，对于已递交投标保证金的，采购人、采购代理机构在收到投标人书面撤回投标通知之日起5个工作日内退还。</w:t>
      </w:r>
    </w:p>
    <w:p w14:paraId="73BF9F6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17.4有以下情形之一的，投标保证金将不予退还，上</w:t>
      </w:r>
      <w:r>
        <w:rPr>
          <w:rFonts w:hint="eastAsia" w:ascii="宋体" w:hAnsi="宋体" w:eastAsia="宋体" w:cs="宋体"/>
          <w:color w:val="auto"/>
          <w:sz w:val="24"/>
          <w:szCs w:val="24"/>
          <w:lang w:eastAsia="zh-CN"/>
        </w:rPr>
        <w:t>缴</w:t>
      </w:r>
      <w:r>
        <w:rPr>
          <w:rFonts w:hint="eastAsia" w:ascii="宋体" w:hAnsi="宋体" w:eastAsia="宋体" w:cs="宋体"/>
          <w:color w:val="auto"/>
          <w:sz w:val="24"/>
          <w:szCs w:val="24"/>
        </w:rPr>
        <w:t xml:space="preserve">国库： </w:t>
      </w:r>
    </w:p>
    <w:p w14:paraId="4B88D15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（1）投标人在招标文件中规定的投标有效期内撤销其投标；</w:t>
      </w:r>
    </w:p>
    <w:p w14:paraId="045A10FF">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（2）中标人无正当理由不与</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订立合同，在签订合同时向</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提出附加条件，或者不按照招标文件要求提交履约保证金。</w:t>
      </w:r>
    </w:p>
    <w:p w14:paraId="06652471">
      <w:pPr>
        <w:adjustRightInd w:val="0"/>
        <w:snapToGrid w:val="0"/>
        <w:spacing w:before="156" w:beforeLines="50"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18.分包</w:t>
      </w:r>
    </w:p>
    <w:p w14:paraId="3C92F7E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18.1</w:t>
      </w:r>
      <w:r>
        <w:rPr>
          <w:rFonts w:hint="eastAsia" w:ascii="宋体" w:hAnsi="宋体" w:eastAsia="宋体" w:cs="宋体"/>
          <w:b/>
          <w:bCs/>
          <w:color w:val="auto"/>
          <w:sz w:val="24"/>
          <w:szCs w:val="24"/>
        </w:rPr>
        <w:t>【投标须知前附表】</w:t>
      </w:r>
      <w:r>
        <w:rPr>
          <w:rFonts w:hint="eastAsia" w:ascii="宋体" w:hAnsi="宋体" w:eastAsia="宋体" w:cs="宋体"/>
          <w:color w:val="auto"/>
          <w:sz w:val="24"/>
          <w:szCs w:val="24"/>
        </w:rPr>
        <w:t>规定投标人分包的，投标人分包承诺不符合招标文件中有关分包规定的，其</w:t>
      </w:r>
      <w:r>
        <w:rPr>
          <w:rFonts w:hint="eastAsia" w:ascii="宋体" w:hAnsi="宋体" w:eastAsia="宋体" w:cs="宋体"/>
          <w:b/>
          <w:bCs/>
          <w:color w:val="auto"/>
          <w:sz w:val="24"/>
          <w:szCs w:val="24"/>
        </w:rPr>
        <w:t>投标无效</w:t>
      </w:r>
      <w:r>
        <w:rPr>
          <w:rFonts w:hint="eastAsia" w:ascii="宋体" w:hAnsi="宋体" w:eastAsia="宋体" w:cs="宋体"/>
          <w:color w:val="auto"/>
          <w:sz w:val="24"/>
          <w:szCs w:val="24"/>
        </w:rPr>
        <w:t>。</w:t>
      </w:r>
    </w:p>
    <w:p w14:paraId="28053C19">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18.2投标人应在签订政府采购合同前向采购人提供分包合同，否则，采购人有权拒绝签订采购合同。</w:t>
      </w:r>
    </w:p>
    <w:p w14:paraId="4940B40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18.3享受中小企业扶持政策获得政府采购合同的，小微企业不得将合同分包给大中型企业，中型企业不得将合同分包给大型企业。</w:t>
      </w:r>
    </w:p>
    <w:p w14:paraId="63443590">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18.4分包供应商不得再次分包。</w:t>
      </w:r>
    </w:p>
    <w:p w14:paraId="205571C8">
      <w:pPr>
        <w:adjustRightInd w:val="0"/>
        <w:snapToGrid w:val="0"/>
        <w:spacing w:before="156" w:beforeLines="50" w:line="360" w:lineRule="auto"/>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rPr>
        <w:t>19. 投标文件的</w:t>
      </w:r>
      <w:r>
        <w:rPr>
          <w:rFonts w:hint="eastAsia" w:ascii="宋体" w:hAnsi="宋体" w:cs="宋体"/>
          <w:b/>
          <w:bCs/>
          <w:color w:val="auto"/>
          <w:sz w:val="24"/>
          <w:szCs w:val="24"/>
          <w:lang w:val="en-US" w:eastAsia="zh-CN"/>
        </w:rPr>
        <w:t>编制和签署</w:t>
      </w:r>
    </w:p>
    <w:p w14:paraId="06BC338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19.1</w:t>
      </w:r>
      <w:r>
        <w:rPr>
          <w:rFonts w:hint="eastAsia" w:ascii="宋体" w:hAnsi="宋体" w:cs="宋体"/>
          <w:color w:val="auto"/>
          <w:sz w:val="24"/>
          <w:szCs w:val="24"/>
          <w:lang w:val="en-US" w:eastAsia="zh-CN"/>
        </w:rPr>
        <w:t>电子</w:t>
      </w:r>
      <w:r>
        <w:rPr>
          <w:rFonts w:hint="eastAsia" w:ascii="宋体" w:hAnsi="宋体" w:eastAsia="宋体" w:cs="宋体"/>
          <w:color w:val="auto"/>
          <w:sz w:val="24"/>
          <w:szCs w:val="24"/>
        </w:rPr>
        <w:t>投标文件数见</w:t>
      </w:r>
      <w:r>
        <w:rPr>
          <w:rFonts w:hint="eastAsia" w:ascii="宋体" w:hAnsi="宋体" w:eastAsia="宋体" w:cs="宋体"/>
          <w:b/>
          <w:color w:val="auto"/>
          <w:sz w:val="24"/>
          <w:szCs w:val="24"/>
        </w:rPr>
        <w:t>【投标须知前附表】</w:t>
      </w:r>
      <w:r>
        <w:rPr>
          <w:rFonts w:hint="eastAsia" w:ascii="宋体" w:hAnsi="宋体" w:eastAsia="宋体" w:cs="宋体"/>
          <w:color w:val="auto"/>
          <w:sz w:val="24"/>
          <w:szCs w:val="24"/>
        </w:rPr>
        <w:t>；</w:t>
      </w:r>
      <w:bookmarkStart w:id="36" w:name="_Toc16048"/>
      <w:bookmarkStart w:id="37" w:name="_Toc26887"/>
    </w:p>
    <w:p w14:paraId="6A042189">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19.2 </w:t>
      </w:r>
      <w:r>
        <w:rPr>
          <w:rFonts w:hint="eastAsia" w:ascii="宋体" w:hAnsi="宋体" w:eastAsia="宋体" w:cs="宋体"/>
          <w:color w:val="auto"/>
          <w:sz w:val="24"/>
          <w:szCs w:val="24"/>
        </w:rPr>
        <w:t>电子投标文件：投标人应按照电子招标文件要求制作投标文件，并</w:t>
      </w:r>
      <w:r>
        <w:rPr>
          <w:rFonts w:hint="eastAsia" w:ascii="宋体" w:hAnsi="宋体" w:cs="宋体"/>
          <w:color w:val="auto"/>
          <w:sz w:val="24"/>
          <w:szCs w:val="24"/>
          <w:lang w:eastAsia="zh-CN"/>
        </w:rPr>
        <w:t>按相关要求</w:t>
      </w:r>
      <w:r>
        <w:rPr>
          <w:rFonts w:hint="eastAsia" w:ascii="宋体" w:hAnsi="宋体" w:eastAsia="宋体" w:cs="宋体"/>
          <w:color w:val="auto"/>
          <w:sz w:val="24"/>
          <w:szCs w:val="24"/>
        </w:rPr>
        <w:t xml:space="preserve">进行签名和盖章。 </w:t>
      </w:r>
    </w:p>
    <w:p w14:paraId="48D032B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19.3</w:t>
      </w:r>
      <w:r>
        <w:rPr>
          <w:rFonts w:hint="eastAsia" w:ascii="宋体" w:hAnsi="宋体" w:eastAsia="宋体" w:cs="宋体"/>
          <w:color w:val="auto"/>
          <w:sz w:val="24"/>
          <w:szCs w:val="24"/>
        </w:rPr>
        <w:t xml:space="preserve">供应商确认投标后，应从交易平台上下载“电子招标文件制作工具”，并使用此工具编制电子投标文件，否则将可能影响电子投标文件的上传而导致投标无效。 </w:t>
      </w:r>
    </w:p>
    <w:p w14:paraId="1D39D2FA">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19.4</w:t>
      </w:r>
      <w:r>
        <w:rPr>
          <w:rFonts w:hint="eastAsia" w:ascii="宋体" w:hAnsi="宋体" w:eastAsia="宋体" w:cs="宋体"/>
          <w:color w:val="auto"/>
          <w:sz w:val="24"/>
          <w:szCs w:val="24"/>
        </w:rPr>
        <w:t xml:space="preserve">投标人因自身原因导致电子投标文件无法导入电子评标系统的，该投标文件视为无效投标文件。 </w:t>
      </w:r>
    </w:p>
    <w:p w14:paraId="3CC40259">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19.5 </w:t>
      </w:r>
      <w:r>
        <w:rPr>
          <w:rFonts w:hint="eastAsia" w:ascii="宋体" w:hAnsi="宋体" w:eastAsia="宋体" w:cs="宋体"/>
          <w:color w:val="auto"/>
          <w:sz w:val="24"/>
          <w:szCs w:val="24"/>
        </w:rPr>
        <w:t>电子招投标文件具有法律效力，若投标文件与招标文件要求不一致，其内容影响中标结果时，责任由投标人自行承担。</w:t>
      </w:r>
    </w:p>
    <w:p w14:paraId="015E6022">
      <w:pPr>
        <w:adjustRightInd w:val="0"/>
        <w:snapToGrid w:val="0"/>
        <w:spacing w:before="156" w:beforeLines="50" w:line="360" w:lineRule="auto"/>
        <w:ind w:firstLine="482" w:firstLineChars="200"/>
        <w:jc w:val="center"/>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四、投标</w:t>
      </w:r>
      <w:bookmarkEnd w:id="36"/>
      <w:bookmarkEnd w:id="37"/>
    </w:p>
    <w:p w14:paraId="70113D17">
      <w:pPr>
        <w:adjustRightInd w:val="0"/>
        <w:snapToGrid w:val="0"/>
        <w:spacing w:before="156" w:beforeLines="50" w:line="360" w:lineRule="auto"/>
        <w:jc w:val="left"/>
        <w:rPr>
          <w:rFonts w:hint="eastAsia" w:ascii="宋体" w:hAnsi="宋体" w:eastAsia="宋体" w:cs="宋体"/>
          <w:b/>
          <w:bCs/>
          <w:color w:val="auto"/>
          <w:sz w:val="24"/>
          <w:szCs w:val="24"/>
          <w:lang w:val="en-US" w:eastAsia="zh-CN"/>
        </w:rPr>
      </w:pPr>
      <w:r>
        <w:rPr>
          <w:rFonts w:hint="eastAsia" w:ascii="宋体" w:hAnsi="宋体" w:eastAsia="宋体" w:cs="宋体"/>
          <w:b/>
          <w:color w:val="auto"/>
          <w:sz w:val="24"/>
          <w:szCs w:val="24"/>
        </w:rPr>
        <w:t>20.</w:t>
      </w:r>
      <w:r>
        <w:rPr>
          <w:rFonts w:hint="eastAsia" w:ascii="宋体" w:hAnsi="宋体" w:eastAsia="宋体" w:cs="宋体"/>
          <w:b/>
          <w:bCs/>
          <w:color w:val="auto"/>
          <w:sz w:val="24"/>
          <w:szCs w:val="24"/>
        </w:rPr>
        <w:t xml:space="preserve"> 投标文件的</w:t>
      </w:r>
      <w:r>
        <w:rPr>
          <w:rFonts w:hint="eastAsia" w:ascii="宋体" w:hAnsi="宋体" w:cs="宋体"/>
          <w:b/>
          <w:bCs/>
          <w:color w:val="auto"/>
          <w:sz w:val="24"/>
          <w:szCs w:val="24"/>
          <w:lang w:val="en-US" w:eastAsia="zh-CN"/>
        </w:rPr>
        <w:t>递交</w:t>
      </w:r>
    </w:p>
    <w:p w14:paraId="1BA11D8E">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20.1</w:t>
      </w:r>
      <w:r>
        <w:rPr>
          <w:rFonts w:hint="eastAsia" w:ascii="宋体" w:hAnsi="宋体" w:eastAsia="宋体" w:cs="宋体"/>
          <w:color w:val="auto"/>
          <w:sz w:val="24"/>
          <w:szCs w:val="24"/>
        </w:rPr>
        <w:t>电子投标文件的密封和标记</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 </w:t>
      </w:r>
    </w:p>
    <w:p w14:paraId="6B8F476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电子投标文件通过数字证书进行加密并签章。未按要求加密和数字证书认证的投标文件，电子开标软件将无法接受, 采购代理机构不予受理。 </w:t>
      </w:r>
    </w:p>
    <w:p w14:paraId="2D2545F9">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20.2</w:t>
      </w:r>
      <w:r>
        <w:rPr>
          <w:rFonts w:hint="eastAsia" w:ascii="宋体" w:hAnsi="宋体" w:eastAsia="宋体" w:cs="宋体"/>
          <w:color w:val="auto"/>
          <w:sz w:val="24"/>
          <w:szCs w:val="24"/>
        </w:rPr>
        <w:t>电子投标文件的</w:t>
      </w:r>
      <w:r>
        <w:rPr>
          <w:rFonts w:hint="eastAsia" w:ascii="宋体" w:hAnsi="宋体" w:eastAsia="宋体" w:cs="宋体"/>
          <w:color w:val="auto"/>
          <w:sz w:val="24"/>
          <w:szCs w:val="24"/>
          <w:lang w:eastAsia="zh-CN"/>
        </w:rPr>
        <w:t>提</w:t>
      </w:r>
      <w:r>
        <w:rPr>
          <w:rFonts w:hint="eastAsia" w:ascii="宋体" w:hAnsi="宋体" w:eastAsia="宋体" w:cs="宋体"/>
          <w:color w:val="auto"/>
          <w:sz w:val="24"/>
          <w:szCs w:val="24"/>
        </w:rPr>
        <w:t>交</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 </w:t>
      </w:r>
    </w:p>
    <w:p w14:paraId="42500523">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投标人应在招标文件规定的投标截止时间前将电子投标文件上传到指定网站的指定栏目。逾期不予受理。 </w:t>
      </w:r>
    </w:p>
    <w:p w14:paraId="2F226F2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如遇系统提示“上传未成功”，投标人应及时重新修改文件或与系统运维公司联系， 查明原因，确保上传无误，因自身原因导致不能上传的，由投标人自行承担责任。 </w:t>
      </w:r>
    </w:p>
    <w:p w14:paraId="17F38BA0">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20.3</w:t>
      </w:r>
      <w:r>
        <w:rPr>
          <w:rFonts w:hint="eastAsia" w:ascii="宋体" w:hAnsi="宋体" w:eastAsia="宋体" w:cs="宋体"/>
          <w:color w:val="auto"/>
          <w:sz w:val="24"/>
          <w:szCs w:val="24"/>
        </w:rPr>
        <w:t>电子投标文件的修改和撤回</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  </w:t>
      </w:r>
    </w:p>
    <w:p w14:paraId="08330D27">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投标人在招标文件规定的投标截止时间前，可以撤回已上传的投标文件，也可以撤回并修改后再重新上传。在投标截止时间之后，投标人撤回其投标文件的，其投标保证金将不予退还。</w:t>
      </w:r>
    </w:p>
    <w:p w14:paraId="39B9FAB1">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21.投标截止期</w:t>
      </w:r>
    </w:p>
    <w:p w14:paraId="7B8BD9E1">
      <w:pPr>
        <w:adjustRightInd w:val="0"/>
        <w:snapToGrid w:val="0"/>
        <w:spacing w:before="156" w:beforeLines="50" w:line="360" w:lineRule="auto"/>
        <w:ind w:firstLine="480" w:firstLineChars="200"/>
        <w:jc w:val="left"/>
        <w:rPr>
          <w:rFonts w:hint="default" w:ascii="宋体" w:hAnsi="宋体" w:cs="宋体"/>
          <w:color w:val="auto"/>
          <w:sz w:val="24"/>
          <w:szCs w:val="24"/>
          <w:lang w:val="en-US" w:eastAsia="zh-CN"/>
        </w:rPr>
      </w:pPr>
      <w:r>
        <w:rPr>
          <w:rFonts w:hint="eastAsia" w:ascii="宋体" w:hAnsi="宋体" w:eastAsia="宋体" w:cs="宋体"/>
          <w:color w:val="auto"/>
          <w:sz w:val="24"/>
          <w:szCs w:val="24"/>
        </w:rPr>
        <w:t>21.1投标人应在</w:t>
      </w:r>
      <w:r>
        <w:rPr>
          <w:rFonts w:hint="eastAsia" w:ascii="宋体" w:hAnsi="宋体" w:eastAsia="宋体" w:cs="宋体"/>
          <w:b/>
          <w:color w:val="auto"/>
          <w:sz w:val="24"/>
          <w:szCs w:val="24"/>
        </w:rPr>
        <w:t>【投标须知前附表】</w:t>
      </w:r>
      <w:r>
        <w:rPr>
          <w:rFonts w:hint="eastAsia" w:ascii="宋体" w:hAnsi="宋体" w:eastAsia="宋体" w:cs="宋体"/>
          <w:color w:val="auto"/>
          <w:sz w:val="24"/>
          <w:szCs w:val="24"/>
        </w:rPr>
        <w:t>规定的投标截止时间前将</w:t>
      </w:r>
      <w:r>
        <w:rPr>
          <w:rFonts w:hint="eastAsia" w:ascii="宋体" w:hAnsi="宋体" w:cs="宋体"/>
          <w:color w:val="auto"/>
          <w:sz w:val="24"/>
          <w:szCs w:val="24"/>
          <w:lang w:val="en-US" w:eastAsia="zh-CN"/>
        </w:rPr>
        <w:t>电子投标文件上传到指定网站的指定栏目。</w:t>
      </w:r>
    </w:p>
    <w:p w14:paraId="58F6E6DB">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22. 投标文件的修改和撤回</w:t>
      </w:r>
    </w:p>
    <w:p w14:paraId="7C6BEBB2">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2</w:t>
      </w:r>
      <w:r>
        <w:rPr>
          <w:rFonts w:hint="eastAsia" w:ascii="宋体" w:hAnsi="宋体" w:cs="宋体"/>
          <w:bCs/>
          <w:color w:val="auto"/>
          <w:sz w:val="24"/>
          <w:szCs w:val="24"/>
          <w:lang w:val="en-US" w:eastAsia="zh-CN"/>
        </w:rPr>
        <w:t>2</w:t>
      </w:r>
      <w:r>
        <w:rPr>
          <w:rFonts w:hint="eastAsia" w:ascii="宋体" w:hAnsi="宋体" w:eastAsia="宋体" w:cs="宋体"/>
          <w:bCs/>
          <w:color w:val="auto"/>
          <w:sz w:val="24"/>
          <w:szCs w:val="24"/>
        </w:rPr>
        <w:t>.1投标人在招标文件规定的投标截止时间前，可以撤回已上传的投标文件，也可以撤回并修改后再重新上传。在投标截止时间之后，投标人撤回其投标文件的，其投标保证金将不予退还。</w:t>
      </w:r>
    </w:p>
    <w:p w14:paraId="04A395A7">
      <w:pPr>
        <w:adjustRightInd w:val="0"/>
        <w:snapToGrid w:val="0"/>
        <w:spacing w:before="156" w:beforeLines="50" w:line="360" w:lineRule="auto"/>
        <w:jc w:val="left"/>
        <w:rPr>
          <w:rFonts w:hint="eastAsia" w:ascii="宋体" w:hAnsi="宋体" w:eastAsia="宋体" w:cs="宋体"/>
          <w:b/>
          <w:color w:val="auto"/>
          <w:sz w:val="24"/>
          <w:szCs w:val="24"/>
        </w:rPr>
      </w:pPr>
      <w:r>
        <w:rPr>
          <w:rFonts w:hint="eastAsia" w:ascii="宋体" w:hAnsi="宋体" w:eastAsia="宋体" w:cs="宋体"/>
          <w:b/>
          <w:bCs/>
          <w:color w:val="auto"/>
          <w:sz w:val="24"/>
          <w:szCs w:val="24"/>
        </w:rPr>
        <w:t>23.</w:t>
      </w:r>
      <w:r>
        <w:rPr>
          <w:rFonts w:hint="eastAsia" w:ascii="宋体" w:hAnsi="宋体" w:eastAsia="宋体" w:cs="宋体"/>
          <w:b/>
          <w:color w:val="auto"/>
          <w:sz w:val="24"/>
          <w:szCs w:val="24"/>
        </w:rPr>
        <w:t xml:space="preserve"> 串通投标行为</w:t>
      </w:r>
    </w:p>
    <w:p w14:paraId="7915A69C">
      <w:pPr>
        <w:adjustRightInd w:val="0"/>
        <w:snapToGrid w:val="0"/>
        <w:spacing w:before="156" w:beforeLines="50" w:line="360" w:lineRule="auto"/>
        <w:ind w:firstLine="456" w:firstLineChars="200"/>
        <w:jc w:val="left"/>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23.1有下列情形之一的，属于恶意串通，对投标人依照政府采购法第七十七条第一款的规定追究法律责任：</w:t>
      </w:r>
    </w:p>
    <w:p w14:paraId="4C4D8745">
      <w:pPr>
        <w:adjustRightInd w:val="0"/>
        <w:snapToGrid w:val="0"/>
        <w:spacing w:before="156" w:beforeLines="50" w:line="360" w:lineRule="auto"/>
        <w:ind w:firstLine="456" w:firstLineChars="200"/>
        <w:jc w:val="left"/>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（1）投标人直接或者间接从采购人或者采购代理机构处获得其他投标人的相关情况并修改其投标文件；</w:t>
      </w:r>
    </w:p>
    <w:p w14:paraId="5A5CA4B4">
      <w:pPr>
        <w:adjustRightInd w:val="0"/>
        <w:snapToGrid w:val="0"/>
        <w:spacing w:before="156" w:beforeLines="50" w:line="360" w:lineRule="auto"/>
        <w:ind w:firstLine="456" w:firstLineChars="200"/>
        <w:jc w:val="left"/>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（2）投标人按照采购人或者采购代理机构的授意撤换、修改投标文件；</w:t>
      </w:r>
    </w:p>
    <w:p w14:paraId="519E167F">
      <w:pPr>
        <w:adjustRightInd w:val="0"/>
        <w:snapToGrid w:val="0"/>
        <w:spacing w:before="156" w:beforeLines="50" w:line="360" w:lineRule="auto"/>
        <w:ind w:firstLine="456" w:firstLineChars="200"/>
        <w:jc w:val="left"/>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（3）投标人之间协商报价、技术方案等投标文件的实质性内容；</w:t>
      </w:r>
    </w:p>
    <w:p w14:paraId="29C9F598">
      <w:pPr>
        <w:adjustRightInd w:val="0"/>
        <w:snapToGrid w:val="0"/>
        <w:spacing w:before="156" w:beforeLines="50" w:line="360" w:lineRule="auto"/>
        <w:ind w:firstLine="456" w:firstLineChars="200"/>
        <w:jc w:val="left"/>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（4）属于同一集团、协会、商会等组织成员的投标人按照该组织要求协同参加政府采购活动；</w:t>
      </w:r>
    </w:p>
    <w:p w14:paraId="227BD74C">
      <w:pPr>
        <w:adjustRightInd w:val="0"/>
        <w:snapToGrid w:val="0"/>
        <w:spacing w:before="156" w:beforeLines="50" w:line="360" w:lineRule="auto"/>
        <w:ind w:firstLine="456" w:firstLineChars="200"/>
        <w:jc w:val="left"/>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（5）投标人之间事先约定由某一特定投标人中标；</w:t>
      </w:r>
    </w:p>
    <w:p w14:paraId="0CD676F9">
      <w:pPr>
        <w:adjustRightInd w:val="0"/>
        <w:snapToGrid w:val="0"/>
        <w:spacing w:before="156" w:beforeLines="50" w:line="360" w:lineRule="auto"/>
        <w:ind w:firstLine="456" w:firstLineChars="200"/>
        <w:jc w:val="left"/>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（6）投标人之间商定部分投标人放弃参加政府采购活动或者放弃中标；</w:t>
      </w:r>
    </w:p>
    <w:p w14:paraId="38DB3C0F">
      <w:pPr>
        <w:adjustRightInd w:val="0"/>
        <w:snapToGrid w:val="0"/>
        <w:spacing w:before="156" w:beforeLines="50" w:line="360" w:lineRule="auto"/>
        <w:ind w:firstLine="456" w:firstLineChars="200"/>
        <w:jc w:val="left"/>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（7）投标人与采购人或者采购代理机构之间、投标人相互之间，为谋求特定投标人中标或者排斥其他投标人的其他串通行为。</w:t>
      </w:r>
    </w:p>
    <w:p w14:paraId="68541BD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23.2有下列情形之一的，视为投标人串通投标，其</w:t>
      </w:r>
      <w:r>
        <w:rPr>
          <w:rFonts w:hint="eastAsia" w:ascii="宋体" w:hAnsi="宋体" w:eastAsia="宋体" w:cs="宋体"/>
          <w:b/>
          <w:color w:val="auto"/>
          <w:sz w:val="24"/>
          <w:szCs w:val="24"/>
        </w:rPr>
        <w:t>投标无效</w:t>
      </w:r>
      <w:r>
        <w:rPr>
          <w:rFonts w:hint="eastAsia" w:ascii="宋体" w:hAnsi="宋体" w:eastAsia="宋体" w:cs="宋体"/>
          <w:color w:val="auto"/>
          <w:sz w:val="24"/>
          <w:szCs w:val="24"/>
        </w:rPr>
        <w:t>：</w:t>
      </w:r>
    </w:p>
    <w:p w14:paraId="4A39C6F0">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（1）不同投标人的投标文件由同一单位或者个人编制；</w:t>
      </w:r>
    </w:p>
    <w:p w14:paraId="0D461D53">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（2）不同投标人委托同一单位或者个人办理投标事宜；</w:t>
      </w:r>
    </w:p>
    <w:p w14:paraId="40F36AA2">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（3）不同投标人的投标文件载明的项目管理成员或者联系人员为同一人；</w:t>
      </w:r>
    </w:p>
    <w:p w14:paraId="77B21F8A">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（4）不同投标人的投标文件异常一致或者投标报价呈规律性差异；</w:t>
      </w:r>
    </w:p>
    <w:p w14:paraId="43BCB9C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（5）不同投标人的投标文件相互混装；</w:t>
      </w:r>
    </w:p>
    <w:p w14:paraId="7078CBE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（6）不同投标人的投标保证金从同一单位或者个人的账户转出。</w:t>
      </w:r>
    </w:p>
    <w:p w14:paraId="6FFA371D">
      <w:pPr>
        <w:pStyle w:val="4"/>
        <w:adjustRightInd w:val="0"/>
        <w:snapToGrid w:val="0"/>
        <w:spacing w:before="156" w:beforeLines="50" w:after="0" w:line="360" w:lineRule="auto"/>
        <w:jc w:val="center"/>
        <w:rPr>
          <w:rFonts w:hint="eastAsia" w:ascii="宋体" w:hAnsi="宋体" w:eastAsia="宋体" w:cs="宋体"/>
          <w:color w:val="auto"/>
          <w:sz w:val="24"/>
          <w:szCs w:val="24"/>
        </w:rPr>
      </w:pPr>
      <w:bookmarkStart w:id="38" w:name="_Toc8931"/>
      <w:bookmarkStart w:id="39" w:name="_Toc31546"/>
      <w:r>
        <w:rPr>
          <w:rFonts w:hint="eastAsia" w:ascii="宋体" w:hAnsi="宋体" w:eastAsia="宋体" w:cs="宋体"/>
          <w:color w:val="auto"/>
          <w:sz w:val="24"/>
          <w:szCs w:val="24"/>
        </w:rPr>
        <w:t>五、开标，资格审查和评标</w:t>
      </w:r>
      <w:bookmarkEnd w:id="38"/>
      <w:bookmarkEnd w:id="39"/>
    </w:p>
    <w:p w14:paraId="649F7458">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24. 开标</w:t>
      </w:r>
    </w:p>
    <w:p w14:paraId="3152E9C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24.1</w:t>
      </w:r>
      <w:r>
        <w:rPr>
          <w:rFonts w:hint="eastAsia" w:ascii="宋体" w:hAnsi="宋体" w:eastAsia="宋体" w:cs="宋体"/>
          <w:color w:val="auto"/>
          <w:sz w:val="24"/>
          <w:szCs w:val="24"/>
        </w:rPr>
        <w:t>开标程序。采购代理机构在规定的时间内，按下列程序进行开标：</w:t>
      </w:r>
    </w:p>
    <w:p w14:paraId="20FA06B1">
      <w:pPr>
        <w:adjustRightInd w:val="0"/>
        <w:snapToGrid w:val="0"/>
        <w:spacing w:before="156" w:beforeLines="50"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（l）公布在投标截止时间前递交投标文件的投标人名称以及【投标须知前附表】规定需要宣布的其他内容，投标人不足3家的，不得开标； </w:t>
      </w:r>
    </w:p>
    <w:p w14:paraId="24B6F640">
      <w:pPr>
        <w:adjustRightInd w:val="0"/>
        <w:snapToGrid w:val="0"/>
        <w:spacing w:before="156" w:beforeLines="50"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 投标人通过电子招标投标交易平台对已递交的电子投标文件进行解密，投标人解密电子投标文件时限见招标文件【投标须知前附表】，</w:t>
      </w:r>
      <w:r>
        <w:rPr>
          <w:rFonts w:hint="eastAsia" w:ascii="宋体" w:hAnsi="宋体" w:eastAsia="宋体" w:cs="宋体"/>
          <w:color w:val="auto"/>
          <w:sz w:val="24"/>
          <w:szCs w:val="24"/>
        </w:rPr>
        <w:t>采购</w:t>
      </w:r>
      <w:r>
        <w:rPr>
          <w:rFonts w:hint="eastAsia" w:ascii="宋体" w:hAnsi="宋体" w:eastAsia="宋体" w:cs="宋体"/>
          <w:color w:val="auto"/>
          <w:sz w:val="24"/>
          <w:szCs w:val="24"/>
          <w:lang w:val="en-US" w:eastAsia="zh-CN"/>
        </w:rPr>
        <w:t xml:space="preserve">代理机构批量导入投标文件； </w:t>
      </w:r>
    </w:p>
    <w:p w14:paraId="71B056E4">
      <w:pPr>
        <w:adjustRightInd w:val="0"/>
        <w:snapToGrid w:val="0"/>
        <w:spacing w:before="156" w:beforeLines="50"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（3）公布投标人名称、标段名称、保证金、投标报价、开标结果及其他内容；</w:t>
      </w:r>
    </w:p>
    <w:p w14:paraId="000116A5">
      <w:pPr>
        <w:adjustRightInd w:val="0"/>
        <w:snapToGrid w:val="0"/>
        <w:spacing w:before="156" w:beforeLines="50"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（4）投标人确认开标结果；</w:t>
      </w:r>
    </w:p>
    <w:p w14:paraId="51FBB26B">
      <w:pPr>
        <w:adjustRightInd w:val="0"/>
        <w:snapToGrid w:val="0"/>
        <w:spacing w:before="156" w:beforeLines="50"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（5）采购人在开标记录上确认。</w:t>
      </w:r>
    </w:p>
    <w:p w14:paraId="2BDF4DDD">
      <w:pPr>
        <w:pStyle w:val="3"/>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（6）生成开标记录表，开标结束。</w:t>
      </w:r>
    </w:p>
    <w:p w14:paraId="3DE9543C">
      <w:pPr>
        <w:adjustRightInd w:val="0"/>
        <w:snapToGrid w:val="0"/>
        <w:spacing w:before="156" w:beforeLines="50"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24.2开标时，出现下列情形之一的，采购代理机构不予受理，不得进入评标：</w:t>
      </w:r>
    </w:p>
    <w:p w14:paraId="3BDBDF47">
      <w:pPr>
        <w:adjustRightInd w:val="0"/>
        <w:snapToGrid w:val="0"/>
        <w:spacing w:before="156" w:beforeLines="50"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（1）经检查数字证书无效的电子投标文件；</w:t>
      </w:r>
    </w:p>
    <w:p w14:paraId="1878E4C2">
      <w:pPr>
        <w:adjustRightInd w:val="0"/>
        <w:snapToGrid w:val="0"/>
        <w:spacing w:before="156" w:beforeLines="50"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（2）电子投标文件未按招标文件要求上传的；</w:t>
      </w:r>
    </w:p>
    <w:p w14:paraId="4B282A44">
      <w:pPr>
        <w:adjustRightInd w:val="0"/>
        <w:snapToGrid w:val="0"/>
        <w:spacing w:before="156" w:beforeLines="50"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（3）投标人未按照投标人须知前附表规定的时间解密电子投标文件的； </w:t>
      </w:r>
    </w:p>
    <w:p w14:paraId="4C86AC74">
      <w:pPr>
        <w:adjustRightInd w:val="0"/>
        <w:snapToGrid w:val="0"/>
        <w:spacing w:before="156" w:beforeLines="50"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（4）其它违反法律、法规的情形。</w:t>
      </w:r>
    </w:p>
    <w:p w14:paraId="6A797A64">
      <w:pPr>
        <w:adjustRightInd w:val="0"/>
        <w:snapToGrid w:val="0"/>
        <w:spacing w:before="156" w:beforeLines="50"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24.3电子招投标的应急措施 </w:t>
      </w:r>
    </w:p>
    <w:p w14:paraId="7DABB617">
      <w:pPr>
        <w:adjustRightInd w:val="0"/>
        <w:snapToGrid w:val="0"/>
        <w:spacing w:before="156" w:beforeLines="50"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电子开标、评标如出现下列情形，导致系统无法正常运行时，可采取应急措施：  </w:t>
      </w:r>
    </w:p>
    <w:p w14:paraId="525181C7">
      <w:pPr>
        <w:adjustRightInd w:val="0"/>
        <w:snapToGrid w:val="0"/>
        <w:spacing w:before="156" w:beforeLines="50"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（1）系统服务器发生故障，无法访问或无法使用系统；  </w:t>
      </w:r>
    </w:p>
    <w:p w14:paraId="455E9142">
      <w:pPr>
        <w:adjustRightInd w:val="0"/>
        <w:snapToGrid w:val="0"/>
        <w:spacing w:before="156" w:beforeLines="50"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（2）系统的软件或数据库出现错误，不能进行正常操作；  </w:t>
      </w:r>
    </w:p>
    <w:p w14:paraId="71A30E06">
      <w:pPr>
        <w:adjustRightInd w:val="0"/>
        <w:snapToGrid w:val="0"/>
        <w:spacing w:before="156" w:beforeLines="50"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（3）系统发现有安全漏洞，有潜在的泄密危险；  </w:t>
      </w:r>
    </w:p>
    <w:p w14:paraId="11B89C41">
      <w:pPr>
        <w:adjustRightInd w:val="0"/>
        <w:snapToGrid w:val="0"/>
        <w:spacing w:before="156" w:beforeLines="50"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（4）病毒发作或受到外来病毒的攻击；  </w:t>
      </w:r>
    </w:p>
    <w:p w14:paraId="4B6DEA53">
      <w:pPr>
        <w:adjustRightInd w:val="0"/>
        <w:snapToGrid w:val="0"/>
        <w:spacing w:before="156" w:beforeLines="50"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（5）其他特殊情况。出现上述情况之一时，应采取项目延期、延长、暂停投标文件解密时间等相应措施。 </w:t>
      </w:r>
    </w:p>
    <w:p w14:paraId="666074FB">
      <w:pPr>
        <w:adjustRightInd w:val="0"/>
        <w:snapToGrid w:val="0"/>
        <w:spacing w:before="156" w:beforeLines="50" w:line="360" w:lineRule="auto"/>
        <w:jc w:val="left"/>
        <w:rPr>
          <w:rFonts w:hint="eastAsia" w:ascii="宋体" w:hAnsi="宋体" w:eastAsia="宋体" w:cs="宋体"/>
          <w:b/>
          <w:color w:val="auto"/>
          <w:sz w:val="24"/>
          <w:szCs w:val="24"/>
        </w:rPr>
      </w:pPr>
      <w:r>
        <w:rPr>
          <w:rStyle w:val="47"/>
          <w:rFonts w:hint="eastAsia" w:ascii="宋体" w:hAnsi="宋体" w:eastAsia="宋体" w:cs="宋体"/>
          <w:color w:val="auto"/>
          <w:sz w:val="24"/>
          <w:szCs w:val="24"/>
        </w:rPr>
        <w:t>25.</w:t>
      </w:r>
      <w:r>
        <w:rPr>
          <w:rFonts w:hint="eastAsia" w:ascii="宋体" w:hAnsi="宋体" w:eastAsia="宋体" w:cs="宋体"/>
          <w:b/>
          <w:color w:val="auto"/>
          <w:sz w:val="24"/>
          <w:szCs w:val="24"/>
        </w:rPr>
        <w:t xml:space="preserve"> 资格审查</w:t>
      </w:r>
    </w:p>
    <w:p w14:paraId="110A1D3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25.1开标结束后，采购人、采购代理机构依法按照第三章“资格审查”规定组织资格审查。</w:t>
      </w:r>
    </w:p>
    <w:p w14:paraId="10921B6F">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25.2资格审查结束后，采购人、采购代理机构应将资格审查结果告知评标委员会。资格审查不合格投标人不进入评标；资格审查合格投标人少于3家的，不得评标。</w:t>
      </w:r>
    </w:p>
    <w:p w14:paraId="11A90E2A">
      <w:pPr>
        <w:adjustRightInd w:val="0"/>
        <w:snapToGrid w:val="0"/>
        <w:spacing w:before="156" w:beforeLines="50" w:line="360" w:lineRule="auto"/>
        <w:jc w:val="left"/>
        <w:rPr>
          <w:rFonts w:hint="eastAsia" w:ascii="宋体" w:hAnsi="宋体" w:eastAsia="宋体" w:cs="宋体"/>
          <w:b/>
          <w:color w:val="auto"/>
          <w:sz w:val="24"/>
          <w:szCs w:val="24"/>
        </w:rPr>
      </w:pPr>
      <w:r>
        <w:rPr>
          <w:rFonts w:hint="eastAsia" w:ascii="宋体" w:hAnsi="宋体" w:eastAsia="宋体" w:cs="宋体"/>
          <w:b/>
          <w:bCs/>
          <w:color w:val="auto"/>
          <w:sz w:val="24"/>
          <w:szCs w:val="24"/>
        </w:rPr>
        <w:t>26.</w:t>
      </w:r>
      <w:r>
        <w:rPr>
          <w:rFonts w:hint="eastAsia" w:ascii="宋体" w:hAnsi="宋体" w:eastAsia="宋体" w:cs="宋体"/>
          <w:b/>
          <w:color w:val="auto"/>
          <w:sz w:val="24"/>
          <w:szCs w:val="24"/>
        </w:rPr>
        <w:t xml:space="preserve"> 评标委员会</w:t>
      </w:r>
    </w:p>
    <w:p w14:paraId="26063AA2">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26.1评标由依法组建的评标委员会负责，评标委员会由采购人代表和评审专家组成。</w:t>
      </w:r>
    </w:p>
    <w:p w14:paraId="5A506B7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26.2评标委员会成员有下列情形之一的，应当回避：</w:t>
      </w:r>
    </w:p>
    <w:p w14:paraId="392EA54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（1）参加采购活动前三年内,与投标人存在劳动关系,或者担任过投标人的董事、监事,或者是投标人的控股股东或实际控制人；</w:t>
      </w:r>
    </w:p>
    <w:p w14:paraId="2F5AF94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（2）与投标人的法定代表人或者负责人有夫妻、直系血亲、三代以内旁系血亲或者近姻亲关系；</w:t>
      </w:r>
    </w:p>
    <w:p w14:paraId="1A33F2F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（3）与投标人有其他可能影响政府采购活动公平、公正进行的关系。</w:t>
      </w:r>
    </w:p>
    <w:p w14:paraId="6487FCC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26.3评标委员会负责具体评标事务，并独立履行下列职责：</w:t>
      </w:r>
    </w:p>
    <w:p w14:paraId="5B2EDAD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（1）审查、评价投标文件是否符合招标文件的商务、技术等实质性要求；</w:t>
      </w:r>
    </w:p>
    <w:p w14:paraId="7D5B53B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（2）要求投标人对投标文件有关事项作出澄清或者说明；</w:t>
      </w:r>
    </w:p>
    <w:p w14:paraId="58EE507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（3）对投标文件进行比较和评价；</w:t>
      </w:r>
    </w:p>
    <w:p w14:paraId="5CF6721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（4）确定中标候选人名单，以及根据采购人委托直接确定中标人。</w:t>
      </w:r>
    </w:p>
    <w:p w14:paraId="1A3F8F74">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color w:val="auto"/>
          <w:sz w:val="24"/>
          <w:szCs w:val="24"/>
        </w:rPr>
        <w:t>27.</w:t>
      </w:r>
      <w:r>
        <w:rPr>
          <w:rFonts w:hint="eastAsia" w:ascii="宋体" w:hAnsi="宋体" w:eastAsia="宋体" w:cs="宋体"/>
          <w:b/>
          <w:bCs/>
          <w:color w:val="auto"/>
          <w:sz w:val="24"/>
          <w:szCs w:val="24"/>
        </w:rPr>
        <w:t xml:space="preserve"> 评标</w:t>
      </w:r>
    </w:p>
    <w:p w14:paraId="2FC2DBB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27.1评标委员会按照</w:t>
      </w:r>
      <w:r>
        <w:rPr>
          <w:rFonts w:hint="eastAsia" w:ascii="宋体" w:hAnsi="宋体" w:eastAsia="宋体" w:cs="宋体"/>
          <w:bCs/>
          <w:color w:val="auto"/>
          <w:sz w:val="24"/>
          <w:szCs w:val="24"/>
        </w:rPr>
        <w:t>第四章“评标方法及标准”</w:t>
      </w:r>
      <w:r>
        <w:rPr>
          <w:rFonts w:hint="eastAsia" w:ascii="宋体" w:hAnsi="宋体" w:eastAsia="宋体" w:cs="宋体"/>
          <w:color w:val="auto"/>
          <w:sz w:val="24"/>
          <w:szCs w:val="24"/>
        </w:rPr>
        <w:t>规定的评标方法、评审因素、标准和程序以及有关法律、法规及规章对投标文件进行评审。</w:t>
      </w:r>
    </w:p>
    <w:p w14:paraId="4B1F7650">
      <w:pPr>
        <w:pStyle w:val="4"/>
        <w:adjustRightInd w:val="0"/>
        <w:snapToGrid w:val="0"/>
        <w:spacing w:before="156" w:beforeLines="50" w:after="0" w:line="360" w:lineRule="auto"/>
        <w:jc w:val="center"/>
        <w:rPr>
          <w:rFonts w:hint="eastAsia" w:ascii="宋体" w:hAnsi="宋体" w:eastAsia="宋体" w:cs="宋体"/>
          <w:color w:val="auto"/>
          <w:sz w:val="24"/>
          <w:szCs w:val="24"/>
        </w:rPr>
      </w:pPr>
      <w:bookmarkStart w:id="40" w:name="_Toc3478"/>
      <w:bookmarkStart w:id="41" w:name="_Toc23598"/>
      <w:r>
        <w:rPr>
          <w:rFonts w:hint="eastAsia" w:ascii="宋体" w:hAnsi="宋体" w:eastAsia="宋体" w:cs="宋体"/>
          <w:color w:val="auto"/>
          <w:sz w:val="24"/>
          <w:szCs w:val="24"/>
        </w:rPr>
        <w:t>六、中标信息公布</w:t>
      </w:r>
      <w:bookmarkEnd w:id="40"/>
      <w:bookmarkEnd w:id="41"/>
    </w:p>
    <w:p w14:paraId="06FC3C79">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color w:val="auto"/>
          <w:sz w:val="24"/>
          <w:szCs w:val="24"/>
        </w:rPr>
        <w:t>28.</w:t>
      </w:r>
      <w:r>
        <w:rPr>
          <w:rFonts w:hint="eastAsia" w:ascii="宋体" w:hAnsi="宋体" w:eastAsia="宋体" w:cs="宋体"/>
          <w:color w:val="auto"/>
          <w:sz w:val="24"/>
          <w:szCs w:val="24"/>
        </w:rPr>
        <w:t xml:space="preserve"> </w:t>
      </w:r>
      <w:r>
        <w:rPr>
          <w:rFonts w:hint="eastAsia" w:ascii="宋体" w:hAnsi="宋体" w:eastAsia="宋体" w:cs="宋体"/>
          <w:b/>
          <w:bCs/>
          <w:color w:val="auto"/>
          <w:sz w:val="24"/>
          <w:szCs w:val="24"/>
        </w:rPr>
        <w:t>中标通知书与中标信息公布</w:t>
      </w:r>
    </w:p>
    <w:p w14:paraId="24ADF232">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28.1采购代理机构应当在评标结束后2个工作日内将评标报告送采购人。</w:t>
      </w:r>
    </w:p>
    <w:p w14:paraId="0A32FC1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28.2采购人应当自收到评标报告之日起5个工作日内，在评标报告确定的中标候选人名单中按顺序确定中标人。中标候选人并列的，按照</w:t>
      </w:r>
      <w:r>
        <w:rPr>
          <w:rFonts w:hint="eastAsia" w:ascii="宋体" w:hAnsi="宋体" w:eastAsia="宋体" w:cs="宋体"/>
          <w:b/>
          <w:color w:val="auto"/>
          <w:sz w:val="24"/>
          <w:szCs w:val="24"/>
        </w:rPr>
        <w:t>【投标须知前附表】</w:t>
      </w:r>
      <w:r>
        <w:rPr>
          <w:rFonts w:hint="eastAsia" w:ascii="宋体" w:hAnsi="宋体" w:eastAsia="宋体" w:cs="宋体"/>
          <w:color w:val="auto"/>
          <w:sz w:val="24"/>
          <w:szCs w:val="24"/>
        </w:rPr>
        <w:t>规定的方式确定中标人；招标文件未规定的，采取随机抽取的方式确定。</w:t>
      </w:r>
    </w:p>
    <w:p w14:paraId="503F658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28.3采购人、采购代理机构应当自采购人确定中标供应商之日起2个工作日内，发出中标通知书，并在招标公告指定媒体上公告中标结果，招标文件随中标结果同时公告，中标结果公告期限为1个工作日。</w:t>
      </w:r>
    </w:p>
    <w:p w14:paraId="04EE94E4">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29.</w:t>
      </w:r>
      <w:r>
        <w:rPr>
          <w:rFonts w:hint="eastAsia" w:ascii="宋体" w:hAnsi="宋体" w:eastAsia="宋体" w:cs="宋体"/>
          <w:b/>
          <w:color w:val="auto"/>
          <w:sz w:val="24"/>
          <w:szCs w:val="24"/>
        </w:rPr>
        <w:t xml:space="preserve"> 投标人询问及</w:t>
      </w:r>
      <w:r>
        <w:rPr>
          <w:rFonts w:hint="eastAsia" w:ascii="宋体" w:hAnsi="宋体" w:eastAsia="宋体" w:cs="宋体"/>
          <w:b/>
          <w:bCs/>
          <w:color w:val="auto"/>
          <w:sz w:val="24"/>
          <w:szCs w:val="24"/>
        </w:rPr>
        <w:t>质疑</w:t>
      </w:r>
    </w:p>
    <w:p w14:paraId="572207E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29.1投标人对政府采购活动事项有疑问的，可以向采购人、采购代理机构提出询问。采购人或采购代理机构将在3个工作日内作出答复。</w:t>
      </w:r>
    </w:p>
    <w:p w14:paraId="29201D58">
      <w:pPr>
        <w:adjustRightInd w:val="0"/>
        <w:snapToGrid w:val="0"/>
        <w:spacing w:before="156" w:beforeLines="50"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29.2投标人认为招标文件、采购过程和中标结果使自己的权益受到损害的，可以在知道或者应知其权益受到损害之日起7个工作日内，按照《湖南省财政厅关于印发＜政府采购质疑答复和投诉处理操作规程＞的通知》(湘财购〔2019〕20号)规定，以纸质书面形式向采购人、采购代理机构提出质疑。</w:t>
      </w:r>
      <w:r>
        <w:rPr>
          <w:rFonts w:hint="eastAsia" w:ascii="宋体" w:hAnsi="宋体" w:eastAsia="宋体" w:cs="宋体"/>
          <w:color w:val="auto"/>
          <w:sz w:val="24"/>
          <w:szCs w:val="24"/>
          <w:lang w:val="en-US" w:eastAsia="zh-CN"/>
        </w:rPr>
        <w:t>投标人应当在法定质疑期内一次性提出针对同一采购程序环节的质疑。</w:t>
      </w:r>
    </w:p>
    <w:p w14:paraId="432F9F7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29.3投标人提出质疑的，应按照《湖南省财政厅关于印发＜政府采购质疑答复和投诉处理操作规程＞的通知》规定制作、签署、送达。采购人、采购代理机构接收质疑函的联系部门、联系电话和通讯地址见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投标</w:t>
      </w:r>
      <w:r>
        <w:rPr>
          <w:rFonts w:hint="eastAsia" w:ascii="宋体" w:hAnsi="宋体" w:eastAsia="宋体" w:cs="宋体"/>
          <w:b/>
          <w:color w:val="auto"/>
          <w:sz w:val="24"/>
          <w:szCs w:val="24"/>
        </w:rPr>
        <w:t>须知前附表】</w:t>
      </w:r>
      <w:r>
        <w:rPr>
          <w:rFonts w:hint="eastAsia" w:ascii="宋体" w:hAnsi="宋体" w:eastAsia="宋体" w:cs="宋体"/>
          <w:color w:val="auto"/>
          <w:sz w:val="24"/>
          <w:szCs w:val="24"/>
        </w:rPr>
        <w:t xml:space="preserve">。  </w:t>
      </w:r>
    </w:p>
    <w:p w14:paraId="7DB0790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29.4采购人、采购代理机构按照《湖南省财政厅关于印发＜政府采购质疑答复和投诉处理操作规程＞的通知》规定进行质疑答复。</w:t>
      </w:r>
    </w:p>
    <w:p w14:paraId="26DF4169">
      <w:pPr>
        <w:adjustRightInd w:val="0"/>
        <w:snapToGrid w:val="0"/>
        <w:spacing w:before="156" w:beforeLines="50" w:line="360" w:lineRule="auto"/>
        <w:ind w:firstLine="480" w:firstLineChars="200"/>
        <w:jc w:val="left"/>
        <w:rPr>
          <w:rFonts w:hint="eastAsia" w:ascii="宋体" w:hAnsi="宋体" w:eastAsia="宋体" w:cs="宋体"/>
          <w:b/>
          <w:bCs/>
          <w:color w:val="auto"/>
          <w:sz w:val="24"/>
          <w:szCs w:val="24"/>
        </w:rPr>
      </w:pPr>
      <w:r>
        <w:rPr>
          <w:rFonts w:hint="eastAsia" w:ascii="宋体" w:hAnsi="宋体" w:eastAsia="宋体" w:cs="宋体"/>
          <w:color w:val="auto"/>
          <w:sz w:val="24"/>
          <w:szCs w:val="24"/>
        </w:rPr>
        <w:t>29.5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7E5D7E98">
      <w:pPr>
        <w:pStyle w:val="4"/>
        <w:adjustRightInd w:val="0"/>
        <w:snapToGrid w:val="0"/>
        <w:spacing w:before="156" w:beforeLines="50" w:after="0" w:line="360" w:lineRule="auto"/>
        <w:jc w:val="center"/>
        <w:rPr>
          <w:rFonts w:hint="eastAsia" w:ascii="宋体" w:hAnsi="宋体" w:eastAsia="宋体" w:cs="宋体"/>
          <w:color w:val="auto"/>
          <w:sz w:val="24"/>
          <w:szCs w:val="24"/>
        </w:rPr>
      </w:pPr>
      <w:bookmarkStart w:id="42" w:name="_Toc5589"/>
      <w:bookmarkStart w:id="43" w:name="_Toc24964"/>
      <w:r>
        <w:rPr>
          <w:rFonts w:hint="eastAsia" w:ascii="宋体" w:hAnsi="宋体" w:eastAsia="宋体" w:cs="宋体"/>
          <w:color w:val="auto"/>
          <w:sz w:val="24"/>
          <w:szCs w:val="24"/>
        </w:rPr>
        <w:t>七、合同签订</w:t>
      </w:r>
      <w:bookmarkEnd w:id="42"/>
      <w:bookmarkEnd w:id="43"/>
    </w:p>
    <w:p w14:paraId="0D81B36F">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30. 签订合同</w:t>
      </w:r>
    </w:p>
    <w:p w14:paraId="40EF529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30.1采购人应自中标通知书发出之日起30日内，按中标通知书指定的时间、地点与中标人签订政府采购合同。所签订的合同不得对招标文件确定的事项和中标人投标文件作实质性修改。</w:t>
      </w:r>
    </w:p>
    <w:p w14:paraId="48DC3C8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30.2招标文件、中标人的投标文件均为签订合同的依据。</w:t>
      </w:r>
    </w:p>
    <w:p w14:paraId="7C2CF6A4">
      <w:pPr>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30.3联</w:t>
      </w:r>
      <w:r>
        <w:rPr>
          <w:rFonts w:hint="eastAsia" w:ascii="宋体" w:hAnsi="宋体" w:eastAsia="宋体" w:cs="宋体"/>
          <w:color w:val="auto"/>
          <w:spacing w:val="-2"/>
          <w:kern w:val="0"/>
          <w:sz w:val="24"/>
          <w:szCs w:val="24"/>
        </w:rPr>
        <w:t>合</w:t>
      </w:r>
      <w:r>
        <w:rPr>
          <w:rFonts w:hint="eastAsia" w:ascii="宋体" w:hAnsi="宋体" w:eastAsia="宋体" w:cs="宋体"/>
          <w:color w:val="auto"/>
          <w:kern w:val="0"/>
          <w:sz w:val="24"/>
          <w:szCs w:val="24"/>
        </w:rPr>
        <w:t>体</w:t>
      </w:r>
      <w:r>
        <w:rPr>
          <w:rFonts w:hint="eastAsia" w:ascii="宋体" w:hAnsi="宋体" w:eastAsia="宋体" w:cs="宋体"/>
          <w:color w:val="auto"/>
          <w:spacing w:val="-2"/>
          <w:kern w:val="0"/>
          <w:sz w:val="24"/>
          <w:szCs w:val="24"/>
        </w:rPr>
        <w:t>中</w:t>
      </w:r>
      <w:r>
        <w:rPr>
          <w:rFonts w:hint="eastAsia" w:ascii="宋体" w:hAnsi="宋体" w:eastAsia="宋体" w:cs="宋体"/>
          <w:color w:val="auto"/>
          <w:kern w:val="0"/>
          <w:sz w:val="24"/>
          <w:szCs w:val="24"/>
        </w:rPr>
        <w:t>标的</w:t>
      </w:r>
      <w:r>
        <w:rPr>
          <w:rFonts w:hint="eastAsia" w:ascii="宋体" w:hAnsi="宋体" w:eastAsia="宋体" w:cs="宋体"/>
          <w:color w:val="auto"/>
          <w:spacing w:val="-14"/>
          <w:kern w:val="0"/>
          <w:sz w:val="24"/>
          <w:szCs w:val="24"/>
        </w:rPr>
        <w:t>，</w:t>
      </w:r>
      <w:r>
        <w:rPr>
          <w:rFonts w:hint="eastAsia" w:ascii="宋体" w:hAnsi="宋体" w:eastAsia="宋体" w:cs="宋体"/>
          <w:color w:val="auto"/>
          <w:kern w:val="0"/>
          <w:sz w:val="24"/>
          <w:szCs w:val="24"/>
        </w:rPr>
        <w:t>联</w:t>
      </w:r>
      <w:r>
        <w:rPr>
          <w:rFonts w:hint="eastAsia" w:ascii="宋体" w:hAnsi="宋体" w:eastAsia="宋体" w:cs="宋体"/>
          <w:color w:val="auto"/>
          <w:spacing w:val="-2"/>
          <w:kern w:val="0"/>
          <w:sz w:val="24"/>
          <w:szCs w:val="24"/>
        </w:rPr>
        <w:t>合</w:t>
      </w:r>
      <w:r>
        <w:rPr>
          <w:rFonts w:hint="eastAsia" w:ascii="宋体" w:hAnsi="宋体" w:eastAsia="宋体" w:cs="宋体"/>
          <w:color w:val="auto"/>
          <w:kern w:val="0"/>
          <w:sz w:val="24"/>
          <w:szCs w:val="24"/>
        </w:rPr>
        <w:t>体各</w:t>
      </w:r>
      <w:r>
        <w:rPr>
          <w:rFonts w:hint="eastAsia" w:ascii="宋体" w:hAnsi="宋体" w:eastAsia="宋体" w:cs="宋体"/>
          <w:color w:val="auto"/>
          <w:spacing w:val="-2"/>
          <w:kern w:val="0"/>
          <w:sz w:val="24"/>
          <w:szCs w:val="24"/>
        </w:rPr>
        <w:t>方</w:t>
      </w:r>
      <w:r>
        <w:rPr>
          <w:rFonts w:hint="eastAsia" w:ascii="宋体" w:hAnsi="宋体" w:eastAsia="宋体" w:cs="宋体"/>
          <w:color w:val="auto"/>
          <w:kern w:val="0"/>
          <w:sz w:val="24"/>
          <w:szCs w:val="24"/>
        </w:rPr>
        <w:t>应</w:t>
      </w:r>
      <w:r>
        <w:rPr>
          <w:rFonts w:hint="eastAsia" w:ascii="宋体" w:hAnsi="宋体" w:eastAsia="宋体" w:cs="宋体"/>
          <w:color w:val="auto"/>
          <w:spacing w:val="-2"/>
          <w:kern w:val="0"/>
          <w:sz w:val="24"/>
          <w:szCs w:val="24"/>
        </w:rPr>
        <w:t>当</w:t>
      </w:r>
      <w:r>
        <w:rPr>
          <w:rFonts w:hint="eastAsia" w:ascii="宋体" w:hAnsi="宋体" w:eastAsia="宋体" w:cs="宋体"/>
          <w:color w:val="auto"/>
          <w:kern w:val="0"/>
          <w:sz w:val="24"/>
          <w:szCs w:val="24"/>
        </w:rPr>
        <w:t>共</w:t>
      </w:r>
      <w:r>
        <w:rPr>
          <w:rFonts w:hint="eastAsia" w:ascii="宋体" w:hAnsi="宋体" w:eastAsia="宋体" w:cs="宋体"/>
          <w:color w:val="auto"/>
          <w:spacing w:val="-2"/>
          <w:kern w:val="0"/>
          <w:sz w:val="24"/>
          <w:szCs w:val="24"/>
        </w:rPr>
        <w:t>同</w:t>
      </w:r>
      <w:r>
        <w:rPr>
          <w:rFonts w:hint="eastAsia" w:ascii="宋体" w:hAnsi="宋体" w:eastAsia="宋体" w:cs="宋体"/>
          <w:color w:val="auto"/>
          <w:kern w:val="0"/>
          <w:sz w:val="24"/>
          <w:szCs w:val="24"/>
        </w:rPr>
        <w:t>与</w:t>
      </w:r>
      <w:r>
        <w:rPr>
          <w:rFonts w:hint="eastAsia" w:ascii="宋体" w:hAnsi="宋体" w:eastAsia="宋体" w:cs="宋体"/>
          <w:color w:val="auto"/>
          <w:spacing w:val="-2"/>
          <w:kern w:val="0"/>
          <w:sz w:val="24"/>
          <w:szCs w:val="24"/>
        </w:rPr>
        <w:t>采购人</w:t>
      </w:r>
      <w:r>
        <w:rPr>
          <w:rFonts w:hint="eastAsia" w:ascii="宋体" w:hAnsi="宋体" w:eastAsia="宋体" w:cs="宋体"/>
          <w:color w:val="auto"/>
          <w:kern w:val="0"/>
          <w:sz w:val="24"/>
          <w:szCs w:val="24"/>
        </w:rPr>
        <w:t>签订</w:t>
      </w:r>
      <w:r>
        <w:rPr>
          <w:rFonts w:hint="eastAsia" w:ascii="宋体" w:hAnsi="宋体" w:eastAsia="宋体" w:cs="宋体"/>
          <w:color w:val="auto"/>
          <w:spacing w:val="-2"/>
          <w:kern w:val="0"/>
          <w:sz w:val="24"/>
          <w:szCs w:val="24"/>
        </w:rPr>
        <w:t>合</w:t>
      </w:r>
      <w:r>
        <w:rPr>
          <w:rFonts w:hint="eastAsia" w:ascii="宋体" w:hAnsi="宋体" w:eastAsia="宋体" w:cs="宋体"/>
          <w:color w:val="auto"/>
          <w:kern w:val="0"/>
          <w:sz w:val="24"/>
          <w:szCs w:val="24"/>
        </w:rPr>
        <w:t>同</w:t>
      </w:r>
      <w:r>
        <w:rPr>
          <w:rFonts w:hint="eastAsia" w:ascii="宋体" w:hAnsi="宋体" w:eastAsia="宋体" w:cs="宋体"/>
          <w:color w:val="auto"/>
          <w:spacing w:val="-14"/>
          <w:kern w:val="0"/>
          <w:sz w:val="24"/>
          <w:szCs w:val="24"/>
        </w:rPr>
        <w:t>，</w:t>
      </w:r>
      <w:r>
        <w:rPr>
          <w:rFonts w:hint="eastAsia" w:ascii="宋体" w:hAnsi="宋体" w:eastAsia="宋体" w:cs="宋体"/>
          <w:color w:val="auto"/>
          <w:kern w:val="0"/>
          <w:sz w:val="24"/>
          <w:szCs w:val="24"/>
        </w:rPr>
        <w:t>就</w:t>
      </w:r>
      <w:r>
        <w:rPr>
          <w:rFonts w:hint="eastAsia" w:ascii="宋体" w:hAnsi="宋体" w:eastAsia="宋体" w:cs="宋体"/>
          <w:color w:val="auto"/>
          <w:spacing w:val="-2"/>
          <w:kern w:val="0"/>
          <w:sz w:val="24"/>
          <w:szCs w:val="24"/>
        </w:rPr>
        <w:t>中</w:t>
      </w:r>
      <w:r>
        <w:rPr>
          <w:rFonts w:hint="eastAsia" w:ascii="宋体" w:hAnsi="宋体" w:eastAsia="宋体" w:cs="宋体"/>
          <w:color w:val="auto"/>
          <w:kern w:val="0"/>
          <w:sz w:val="24"/>
          <w:szCs w:val="24"/>
        </w:rPr>
        <w:t>标</w:t>
      </w:r>
      <w:r>
        <w:rPr>
          <w:rFonts w:hint="eastAsia" w:ascii="宋体" w:hAnsi="宋体" w:eastAsia="宋体" w:cs="宋体"/>
          <w:color w:val="auto"/>
          <w:spacing w:val="-2"/>
          <w:kern w:val="0"/>
          <w:sz w:val="24"/>
          <w:szCs w:val="24"/>
        </w:rPr>
        <w:t>项</w:t>
      </w:r>
      <w:r>
        <w:rPr>
          <w:rFonts w:hint="eastAsia" w:ascii="宋体" w:hAnsi="宋体" w:eastAsia="宋体" w:cs="宋体"/>
          <w:color w:val="auto"/>
          <w:kern w:val="0"/>
          <w:sz w:val="24"/>
          <w:szCs w:val="24"/>
        </w:rPr>
        <w:t>目</w:t>
      </w:r>
      <w:r>
        <w:rPr>
          <w:rFonts w:hint="eastAsia" w:ascii="宋体" w:hAnsi="宋体" w:eastAsia="宋体" w:cs="宋体"/>
          <w:color w:val="auto"/>
          <w:spacing w:val="-2"/>
          <w:kern w:val="0"/>
          <w:sz w:val="24"/>
          <w:szCs w:val="24"/>
        </w:rPr>
        <w:t>向</w:t>
      </w:r>
      <w:r>
        <w:rPr>
          <w:rFonts w:hint="eastAsia" w:ascii="宋体" w:hAnsi="宋体" w:eastAsia="宋体" w:cs="宋体"/>
          <w:color w:val="auto"/>
          <w:kern w:val="0"/>
          <w:sz w:val="24"/>
          <w:szCs w:val="24"/>
        </w:rPr>
        <w:t>采购人承</w:t>
      </w:r>
      <w:r>
        <w:rPr>
          <w:rFonts w:hint="eastAsia" w:ascii="宋体" w:hAnsi="宋体" w:eastAsia="宋体" w:cs="宋体"/>
          <w:color w:val="auto"/>
          <w:spacing w:val="-2"/>
          <w:kern w:val="0"/>
          <w:sz w:val="24"/>
          <w:szCs w:val="24"/>
        </w:rPr>
        <w:t>担</w:t>
      </w:r>
      <w:r>
        <w:rPr>
          <w:rFonts w:hint="eastAsia" w:ascii="宋体" w:hAnsi="宋体" w:eastAsia="宋体" w:cs="宋体"/>
          <w:color w:val="auto"/>
          <w:kern w:val="0"/>
          <w:sz w:val="24"/>
          <w:szCs w:val="24"/>
        </w:rPr>
        <w:t>连带责</w:t>
      </w:r>
      <w:r>
        <w:rPr>
          <w:rFonts w:hint="eastAsia" w:ascii="宋体" w:hAnsi="宋体" w:eastAsia="宋体" w:cs="宋体"/>
          <w:color w:val="auto"/>
          <w:spacing w:val="-2"/>
          <w:kern w:val="0"/>
          <w:sz w:val="24"/>
          <w:szCs w:val="24"/>
        </w:rPr>
        <w:t>任</w:t>
      </w:r>
      <w:r>
        <w:rPr>
          <w:rFonts w:hint="eastAsia" w:ascii="宋体" w:hAnsi="宋体" w:eastAsia="宋体" w:cs="宋体"/>
          <w:color w:val="auto"/>
          <w:kern w:val="0"/>
          <w:sz w:val="24"/>
          <w:szCs w:val="24"/>
        </w:rPr>
        <w:t>。</w:t>
      </w:r>
    </w:p>
    <w:p w14:paraId="2E258F4B">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30.4中标合同将在招标公告指定媒体上公告，但合同中涉及国家秘密、商业秘密的内容除外。</w:t>
      </w:r>
    </w:p>
    <w:p w14:paraId="362DE1BF">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color w:val="auto"/>
          <w:sz w:val="24"/>
          <w:szCs w:val="24"/>
        </w:rPr>
        <w:t>30.5中标人</w:t>
      </w:r>
      <w:r>
        <w:rPr>
          <w:rFonts w:hint="eastAsia" w:ascii="宋体" w:hAnsi="宋体" w:eastAsia="宋体" w:cs="宋体"/>
          <w:bCs/>
          <w:color w:val="auto"/>
          <w:sz w:val="24"/>
          <w:szCs w:val="24"/>
        </w:rPr>
        <w:t>应当按照合同约定依法履行合同义务。政府采购合同的履行、违约责任和解决争议的方法等适用《中华人民共和国民法典》。</w:t>
      </w:r>
    </w:p>
    <w:p w14:paraId="57E15DCE">
      <w:pPr>
        <w:adjustRightInd w:val="0"/>
        <w:snapToGrid w:val="0"/>
        <w:spacing w:before="156" w:beforeLines="50" w:line="360" w:lineRule="auto"/>
        <w:jc w:val="left"/>
        <w:rPr>
          <w:rFonts w:hint="eastAsia" w:ascii="宋体" w:hAnsi="宋体" w:eastAsia="宋体" w:cs="宋体"/>
          <w:b/>
          <w:color w:val="auto"/>
          <w:kern w:val="0"/>
          <w:sz w:val="24"/>
          <w:szCs w:val="24"/>
        </w:rPr>
      </w:pPr>
      <w:r>
        <w:rPr>
          <w:rFonts w:hint="eastAsia" w:ascii="宋体" w:hAnsi="宋体" w:eastAsia="宋体" w:cs="宋体"/>
          <w:b/>
          <w:bCs/>
          <w:color w:val="auto"/>
          <w:sz w:val="24"/>
          <w:szCs w:val="24"/>
        </w:rPr>
        <w:t>31.</w:t>
      </w:r>
      <w:r>
        <w:rPr>
          <w:rFonts w:hint="eastAsia" w:ascii="宋体" w:hAnsi="宋体" w:eastAsia="宋体" w:cs="宋体"/>
          <w:b/>
          <w:color w:val="auto"/>
          <w:kern w:val="0"/>
          <w:sz w:val="24"/>
          <w:szCs w:val="24"/>
        </w:rPr>
        <w:t xml:space="preserve"> 履约担保</w:t>
      </w:r>
    </w:p>
    <w:p w14:paraId="29B9E86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kern w:val="0"/>
          <w:sz w:val="24"/>
          <w:szCs w:val="24"/>
        </w:rPr>
        <w:t>31.1</w:t>
      </w:r>
      <w:r>
        <w:rPr>
          <w:rFonts w:hint="eastAsia" w:ascii="宋体" w:hAnsi="宋体" w:eastAsia="宋体" w:cs="宋体"/>
          <w:color w:val="auto"/>
          <w:sz w:val="24"/>
          <w:szCs w:val="24"/>
        </w:rPr>
        <w:t>招标文件要求中标人向采购人提交履约担保的，中标人应按照</w:t>
      </w:r>
      <w:r>
        <w:rPr>
          <w:rFonts w:hint="eastAsia" w:ascii="宋体" w:hAnsi="宋体" w:eastAsia="宋体" w:cs="宋体"/>
          <w:b/>
          <w:color w:val="auto"/>
          <w:sz w:val="24"/>
          <w:szCs w:val="24"/>
        </w:rPr>
        <w:t>【投标须知前附表】</w:t>
      </w:r>
      <w:r>
        <w:rPr>
          <w:rFonts w:hint="eastAsia" w:ascii="宋体" w:hAnsi="宋体" w:eastAsia="宋体" w:cs="宋体"/>
          <w:color w:val="auto"/>
          <w:sz w:val="24"/>
          <w:szCs w:val="24"/>
        </w:rPr>
        <w:t>的规定提交，</w:t>
      </w:r>
      <w:r>
        <w:rPr>
          <w:rFonts w:hint="eastAsia" w:ascii="宋体" w:hAnsi="宋体" w:eastAsia="宋体" w:cs="宋体"/>
          <w:bCs/>
          <w:color w:val="auto"/>
          <w:sz w:val="24"/>
          <w:szCs w:val="24"/>
        </w:rPr>
        <w:t>投标人可以保函、电子增信替代履约担保。</w:t>
      </w:r>
      <w:r>
        <w:rPr>
          <w:rFonts w:hint="eastAsia" w:ascii="宋体" w:hAnsi="宋体" w:eastAsia="宋体" w:cs="宋体"/>
          <w:color w:val="auto"/>
          <w:sz w:val="24"/>
          <w:szCs w:val="24"/>
        </w:rPr>
        <w:t>联合体中标的，履约担保由联合体各方或联合体中牵头人的名义提交。</w:t>
      </w:r>
    </w:p>
    <w:p w14:paraId="519133E0">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31.2中标人</w:t>
      </w:r>
      <w:r>
        <w:rPr>
          <w:rFonts w:hint="eastAsia" w:ascii="宋体" w:hAnsi="宋体" w:eastAsia="宋体" w:cs="宋体"/>
          <w:color w:val="auto"/>
          <w:spacing w:val="4"/>
          <w:sz w:val="24"/>
          <w:szCs w:val="24"/>
        </w:rPr>
        <w:t>没有按照本章第31.1</w:t>
      </w:r>
      <w:r>
        <w:rPr>
          <w:rFonts w:hint="eastAsia" w:ascii="宋体" w:hAnsi="宋体" w:eastAsia="宋体" w:cs="宋体"/>
          <w:color w:val="auto"/>
          <w:kern w:val="0"/>
          <w:sz w:val="24"/>
          <w:szCs w:val="24"/>
          <w:lang w:val="zh-CN"/>
        </w:rPr>
        <w:t>款</w:t>
      </w:r>
      <w:r>
        <w:rPr>
          <w:rFonts w:hint="eastAsia" w:ascii="宋体" w:hAnsi="宋体" w:eastAsia="宋体" w:cs="宋体"/>
          <w:color w:val="auto"/>
          <w:spacing w:val="4"/>
          <w:sz w:val="24"/>
          <w:szCs w:val="24"/>
        </w:rPr>
        <w:t>规定</w:t>
      </w:r>
      <w:r>
        <w:rPr>
          <w:rFonts w:hint="eastAsia" w:ascii="宋体" w:hAnsi="宋体" w:eastAsia="宋体" w:cs="宋体"/>
          <w:color w:val="auto"/>
          <w:sz w:val="24"/>
          <w:szCs w:val="24"/>
        </w:rPr>
        <w:t>提交履约担保的</w:t>
      </w:r>
      <w:r>
        <w:rPr>
          <w:rFonts w:hint="eastAsia" w:ascii="宋体" w:hAnsi="宋体" w:eastAsia="宋体" w:cs="宋体"/>
          <w:color w:val="auto"/>
          <w:spacing w:val="4"/>
          <w:sz w:val="24"/>
          <w:szCs w:val="24"/>
        </w:rPr>
        <w:t>，视为</w:t>
      </w:r>
      <w:r>
        <w:rPr>
          <w:rFonts w:hint="eastAsia" w:ascii="宋体" w:hAnsi="宋体" w:eastAsia="宋体" w:cs="宋体"/>
          <w:b/>
          <w:color w:val="auto"/>
          <w:spacing w:val="4"/>
          <w:sz w:val="24"/>
          <w:szCs w:val="24"/>
        </w:rPr>
        <w:t>放弃中标</w:t>
      </w:r>
      <w:r>
        <w:rPr>
          <w:rFonts w:hint="eastAsia" w:ascii="宋体" w:hAnsi="宋体" w:eastAsia="宋体" w:cs="宋体"/>
          <w:color w:val="auto"/>
          <w:spacing w:val="4"/>
          <w:sz w:val="24"/>
          <w:szCs w:val="24"/>
        </w:rPr>
        <w:t>，</w:t>
      </w:r>
      <w:r>
        <w:rPr>
          <w:rFonts w:hint="eastAsia" w:ascii="宋体" w:hAnsi="宋体" w:eastAsia="宋体" w:cs="宋体"/>
          <w:color w:val="auto"/>
          <w:spacing w:val="2"/>
          <w:sz w:val="24"/>
          <w:szCs w:val="24"/>
        </w:rPr>
        <w:t>其投标保证金不予退还。</w:t>
      </w:r>
    </w:p>
    <w:p w14:paraId="2FEE4E04">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32.</w:t>
      </w:r>
      <w:r>
        <w:rPr>
          <w:rFonts w:hint="eastAsia" w:ascii="宋体" w:hAnsi="宋体" w:eastAsia="宋体" w:cs="宋体"/>
          <w:b/>
          <w:color w:val="auto"/>
          <w:sz w:val="24"/>
          <w:szCs w:val="24"/>
        </w:rPr>
        <w:t xml:space="preserve"> 政府采购合同履行中</w:t>
      </w:r>
      <w:r>
        <w:rPr>
          <w:rFonts w:hint="eastAsia" w:ascii="宋体" w:hAnsi="宋体" w:eastAsia="宋体" w:cs="宋体"/>
          <w:b/>
          <w:bCs/>
          <w:color w:val="auto"/>
          <w:sz w:val="24"/>
          <w:szCs w:val="24"/>
        </w:rPr>
        <w:t>数量的变更</w:t>
      </w:r>
    </w:p>
    <w:p w14:paraId="2CE8BB1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32.1政府采购合同履行中，采购人需追加与合同标的相同的货物服务的，在不改变合同其他条款的前提下，可以与中标人协商签订补充合同，但所有补充合同的采购金额不得超过原合同采购金额的百分之十。</w:t>
      </w:r>
    </w:p>
    <w:p w14:paraId="5837D426">
      <w:pPr>
        <w:pStyle w:val="4"/>
        <w:adjustRightInd w:val="0"/>
        <w:snapToGrid w:val="0"/>
        <w:spacing w:before="156" w:beforeLines="50" w:after="0" w:line="360" w:lineRule="auto"/>
        <w:jc w:val="center"/>
        <w:rPr>
          <w:rFonts w:hint="eastAsia" w:ascii="宋体" w:hAnsi="宋体" w:eastAsia="宋体" w:cs="宋体"/>
          <w:color w:val="auto"/>
          <w:sz w:val="24"/>
          <w:szCs w:val="24"/>
        </w:rPr>
      </w:pPr>
      <w:bookmarkStart w:id="44" w:name="_Toc10697"/>
      <w:bookmarkStart w:id="45" w:name="_Toc23509"/>
      <w:r>
        <w:rPr>
          <w:rFonts w:hint="eastAsia" w:ascii="宋体" w:hAnsi="宋体" w:eastAsia="宋体" w:cs="宋体"/>
          <w:color w:val="auto"/>
          <w:sz w:val="24"/>
          <w:szCs w:val="24"/>
        </w:rPr>
        <w:t>八、政府采购政策</w:t>
      </w:r>
      <w:bookmarkEnd w:id="44"/>
      <w:bookmarkEnd w:id="45"/>
    </w:p>
    <w:p w14:paraId="43BA72E1">
      <w:pPr>
        <w:adjustRightInd w:val="0"/>
        <w:snapToGrid w:val="0"/>
        <w:spacing w:before="156" w:beforeLines="50" w:line="360" w:lineRule="auto"/>
        <w:jc w:val="left"/>
        <w:rPr>
          <w:rFonts w:hint="eastAsia" w:ascii="宋体" w:hAnsi="宋体" w:eastAsia="宋体" w:cs="宋体"/>
          <w:b/>
          <w:color w:val="auto"/>
          <w:sz w:val="24"/>
          <w:szCs w:val="24"/>
        </w:rPr>
      </w:pPr>
      <w:r>
        <w:rPr>
          <w:rFonts w:hint="eastAsia" w:ascii="宋体" w:hAnsi="宋体" w:eastAsia="宋体" w:cs="宋体"/>
          <w:b/>
          <w:bCs/>
          <w:color w:val="auto"/>
          <w:sz w:val="24"/>
          <w:szCs w:val="24"/>
        </w:rPr>
        <w:t>33.</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政府采购政策</w:t>
      </w:r>
    </w:p>
    <w:p w14:paraId="2D5B6ED2">
      <w:pPr>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33.1优先采购：</w:t>
      </w:r>
    </w:p>
    <w:p w14:paraId="16E50AA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（1）纳入财政部会同国务院有关部门发布的节能产品、环境标志产品政府采购品目清单，实施政府优先采购的，评审时按招标文件第四章第一节有关规定对该部分产品给予一定比例的价格折扣或者加分； </w:t>
      </w:r>
    </w:p>
    <w:p w14:paraId="069EED6B">
      <w:pPr>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33.2强制采购：</w:t>
      </w:r>
    </w:p>
    <w:p w14:paraId="7632729A">
      <w:pPr>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（1）纳入财政部会同国务院有关部门发布的节能产品政府采购品目清单，实施政府强制采购的（品目清单标注</w:t>
      </w:r>
      <w:r>
        <w:rPr>
          <w:rFonts w:hint="eastAsia" w:ascii="宋体" w:hAnsi="宋体" w:eastAsia="宋体" w:cs="宋体"/>
          <w:color w:val="auto"/>
          <w:kern w:val="0"/>
          <w:sz w:val="24"/>
          <w:szCs w:val="24"/>
        </w:rPr>
        <w:sym w:font="Wingdings" w:char="F0AB"/>
      </w:r>
      <w:r>
        <w:rPr>
          <w:rFonts w:hint="eastAsia" w:ascii="宋体" w:hAnsi="宋体" w:eastAsia="宋体" w:cs="宋体"/>
          <w:color w:val="auto"/>
          <w:kern w:val="0"/>
          <w:sz w:val="24"/>
          <w:szCs w:val="24"/>
        </w:rPr>
        <w:t>符号产品），投标人投标产品应当取得国家确定的认证机构出具的、处于有效期之内的节能产品认证证书，否则其</w:t>
      </w:r>
      <w:r>
        <w:rPr>
          <w:rFonts w:hint="eastAsia" w:ascii="宋体" w:hAnsi="宋体" w:eastAsia="宋体" w:cs="宋体"/>
          <w:b/>
          <w:color w:val="auto"/>
          <w:kern w:val="0"/>
          <w:sz w:val="24"/>
          <w:szCs w:val="24"/>
        </w:rPr>
        <w:t>投标无效</w:t>
      </w:r>
      <w:r>
        <w:rPr>
          <w:rFonts w:hint="eastAsia" w:ascii="宋体" w:hAnsi="宋体" w:eastAsia="宋体" w:cs="宋体"/>
          <w:color w:val="auto"/>
          <w:kern w:val="0"/>
          <w:sz w:val="24"/>
          <w:szCs w:val="24"/>
        </w:rPr>
        <w:t>。</w:t>
      </w:r>
    </w:p>
    <w:p w14:paraId="1ABAECC3">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33.3价格评审优惠：</w:t>
      </w:r>
    </w:p>
    <w:p w14:paraId="4B346A13">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（1）在政府采购活动中，供应商提供的货物、工程或者服务符合下列情形的：</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w:t>
      </w:r>
      <w:r>
        <w:rPr>
          <w:rFonts w:hint="eastAsia" w:ascii="宋体" w:hAnsi="宋体" w:eastAsia="宋体" w:cs="宋体"/>
          <w:color w:val="auto"/>
          <w:sz w:val="24"/>
          <w:szCs w:val="24"/>
          <w:lang w:val="en-US" w:eastAsia="zh-CN"/>
        </w:rPr>
        <w:t>劳动合同法</w:t>
      </w:r>
      <w:r>
        <w:rPr>
          <w:rFonts w:hint="eastAsia" w:ascii="宋体" w:hAnsi="宋体" w:eastAsia="宋体" w:cs="宋体"/>
          <w:color w:val="auto"/>
          <w:sz w:val="24"/>
          <w:szCs w:val="24"/>
        </w:rPr>
        <w:t>》订立劳动合同的从业人员</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给予一定比例的价格折扣，用扣除后的价格参与评审；</w:t>
      </w:r>
    </w:p>
    <w:p w14:paraId="65AB3B69">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057341F0">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接受大中型企业与小微企业组成联合体或者允许大中型企业向一家或者多家小微企业分包的采购项目，对于联合协议或者分包意向协议约定小微企业的合同份额占到合同总金额30%以上的，给予一定比例的价格折扣，用扣除后的价格参与评审。以联合体形式参加政府采购活动，联合体各方均为中小企业的，联合体视同中小企业。其中，联合体各方均为小微企业的，联合体视同小微企业； </w:t>
      </w:r>
    </w:p>
    <w:p w14:paraId="6F8EC30F">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（3）符合中小企业划分标准的个体工商户视同中小企业，享受评审中价格扣除等促进中小企业发展的政府采购政策。</w:t>
      </w:r>
    </w:p>
    <w:p w14:paraId="418C888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（4）监狱企业、残疾人福利性单位视同小型、微型企业，享受评审中价格扣除等促进中小企业发展的政府采购政策。</w:t>
      </w:r>
    </w:p>
    <w:p w14:paraId="3C5105AE">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（5）与大企业的负责人为同一人，或者与大企业存在直接控股、管理关系的中小企业，不享受评审中价格扣除等促进中小企业发展的政府采购政策。 </w:t>
      </w:r>
    </w:p>
    <w:p w14:paraId="2ECF228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（6）本章第1.2款规定采购项目或者采购包属于“预留采购份额”的，预留部分不再享受本款“价格评审优惠”的小微企业扶持政策。</w:t>
      </w:r>
    </w:p>
    <w:p w14:paraId="352803F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33.4政府采购政策交叉与叠加</w:t>
      </w:r>
    </w:p>
    <w:p w14:paraId="22C44DC7">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（1）投标产品取得两个及以上优先采购产品认证的，评审时只有其中一项产品能享受优先采购优惠（投标人自行选择，并在投标文件中并填报相关信息及数据）</w:t>
      </w:r>
    </w:p>
    <w:p w14:paraId="77D019E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（2）投标人同时符合小型、微型企业及监狱企业、残疾人福利性单位要求的，评审时只有一种类型享受价格评审优惠政策；</w:t>
      </w:r>
    </w:p>
    <w:p w14:paraId="76127DCF">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（3）小型和微型企业的价格评审优惠可以与同时属于“节能产品”、“环境标志产品”中的一项优先采购优惠累加计算。</w:t>
      </w:r>
    </w:p>
    <w:p w14:paraId="7550C0E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33.5在货物采购项目中，供应商提供的货物既有中小企业制造货物，也有大型企业制造货物的，不享受政府采购中小企业扶持政策。</w:t>
      </w:r>
    </w:p>
    <w:p w14:paraId="2D170BB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33.6投标人符合本章第33.1款、第33.2款、第33.3款规定的，应提供相关证明资料。</w:t>
      </w:r>
    </w:p>
    <w:p w14:paraId="213E3CA2">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（1）节能产品、环境标志产品：提供国家确定的认证机构出具的、处于有效期之内的节能产品、环境标志产品认证证书。</w:t>
      </w:r>
    </w:p>
    <w:p w14:paraId="762FED4E">
      <w:pPr>
        <w:adjustRightInd w:val="0"/>
        <w:snapToGrid w:val="0"/>
        <w:spacing w:before="156" w:beforeLines="50" w:line="360" w:lineRule="auto"/>
        <w:ind w:firstLine="480" w:firstLineChars="20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）中小企业：按《关于印发＜政府采购促进中小企业发展办法＞的通知》(财库[2020]46号) 和《关于印发中小企业划型标准规定的通知》（工信部联企业〔2011〕300号）文件规定提供中小企业声明函（格式）</w:t>
      </w:r>
      <w:r>
        <w:rPr>
          <w:rFonts w:hint="eastAsia" w:ascii="宋体" w:hAnsi="宋体" w:cs="宋体"/>
          <w:color w:val="auto"/>
          <w:sz w:val="24"/>
          <w:szCs w:val="24"/>
          <w:lang w:eastAsia="zh-CN"/>
        </w:rPr>
        <w:t>。</w:t>
      </w:r>
    </w:p>
    <w:p w14:paraId="50BC8D87">
      <w:pPr>
        <w:pStyle w:val="62"/>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）监狱企业：按《关于政府采购支持监狱企业发展有关问题的通知》(财库〔2014〕68号)文件规定提供证明文件。</w:t>
      </w:r>
    </w:p>
    <w:p w14:paraId="6F2BAC85">
      <w:pPr>
        <w:pStyle w:val="62"/>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）残疾人福利性单位：按《关于促进残疾人就业政府采购政策的通知》(财库〔2017〕141号)文件规定提供《残疾人福利性单位声明函》（格式）。</w:t>
      </w:r>
    </w:p>
    <w:p w14:paraId="7706E63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33.7执行中小企业预留采购份额政策的规定：</w:t>
      </w:r>
    </w:p>
    <w:p w14:paraId="29E14542">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（1）预留份额的采购项目或者采购包，应明确该项目或相关采购包专门面向中小企业采购，并作为供应商资格条件。</w:t>
      </w:r>
    </w:p>
    <w:p w14:paraId="3E820063">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（2）要求以联合体形式参加或者合同分包的，应明确联合协议或者分包意向协议中中小企业合同金额应当达到的比例，并作为供应商资格条件。</w:t>
      </w:r>
    </w:p>
    <w:p w14:paraId="34B0F05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（3）组成联合体或者接受分包合同的中小企业与联合体内其他企业(成员)、分包企业(投标人)之间不得存在直接控股、管理关系。</w:t>
      </w:r>
    </w:p>
    <w:p w14:paraId="6F9C701B">
      <w:pPr>
        <w:adjustRightInd w:val="0"/>
        <w:snapToGrid w:val="0"/>
        <w:spacing w:before="156" w:beforeLines="50"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33.8</w:t>
      </w:r>
      <w:r>
        <w:rPr>
          <w:rFonts w:hint="eastAsia" w:ascii="宋体" w:hAnsi="宋体" w:eastAsia="宋体" w:cs="宋体"/>
          <w:color w:val="auto"/>
          <w:sz w:val="24"/>
          <w:szCs w:val="24"/>
          <w:lang w:val="en-US" w:eastAsia="zh-CN"/>
        </w:rPr>
        <w:t>采购进口产品</w:t>
      </w:r>
    </w:p>
    <w:p w14:paraId="61215E2B">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kern w:val="0"/>
          <w:sz w:val="24"/>
          <w:szCs w:val="24"/>
        </w:rPr>
        <w:t>进口产品是指符合《政府采购进口产品管理办法》（财库〔2007〕119号）和《关于政府采购进口产品管理有关问题的通知》（财办库〔2008〕248号）文件规定的产品。除</w:t>
      </w:r>
      <w:r>
        <w:rPr>
          <w:rFonts w:hint="eastAsia" w:ascii="宋体" w:hAnsi="宋体" w:eastAsia="宋体" w:cs="宋体"/>
          <w:b/>
          <w:color w:val="auto"/>
          <w:sz w:val="24"/>
          <w:szCs w:val="24"/>
        </w:rPr>
        <w:t>【投标须知前附表】</w:t>
      </w:r>
      <w:r>
        <w:rPr>
          <w:rFonts w:hint="eastAsia" w:ascii="宋体" w:hAnsi="宋体" w:eastAsia="宋体" w:cs="宋体"/>
          <w:color w:val="auto"/>
          <w:kern w:val="0"/>
          <w:sz w:val="24"/>
          <w:szCs w:val="24"/>
        </w:rPr>
        <w:t>另有规定外，采购项目</w:t>
      </w:r>
      <w:r>
        <w:rPr>
          <w:rFonts w:hint="eastAsia" w:ascii="宋体" w:hAnsi="宋体" w:eastAsia="宋体" w:cs="宋体"/>
          <w:b/>
          <w:color w:val="auto"/>
          <w:kern w:val="0"/>
          <w:sz w:val="24"/>
          <w:szCs w:val="24"/>
        </w:rPr>
        <w:t>拒绝进口产品参加投标</w:t>
      </w:r>
      <w:r>
        <w:rPr>
          <w:rFonts w:hint="eastAsia" w:ascii="宋体" w:hAnsi="宋体" w:eastAsia="宋体" w:cs="宋体"/>
          <w:color w:val="auto"/>
          <w:kern w:val="0"/>
          <w:sz w:val="24"/>
          <w:szCs w:val="24"/>
        </w:rPr>
        <w:t>。本款规定同意购买进口产品的，不限制满足招标文件要求的国内产品参与投标竞争。</w:t>
      </w:r>
    </w:p>
    <w:p w14:paraId="476D025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33.9</w:t>
      </w:r>
      <w:r>
        <w:rPr>
          <w:rFonts w:hint="eastAsia" w:ascii="宋体" w:hAnsi="宋体" w:eastAsia="宋体" w:cs="宋体"/>
          <w:color w:val="auto"/>
          <w:sz w:val="24"/>
          <w:szCs w:val="24"/>
        </w:rPr>
        <w:t>投标人有融资、担保需求的，</w:t>
      </w:r>
      <w:r>
        <w:rPr>
          <w:rFonts w:hint="eastAsia" w:ascii="宋体" w:hAnsi="宋体" w:cs="宋体"/>
          <w:color w:val="auto"/>
          <w:sz w:val="24"/>
          <w:szCs w:val="24"/>
          <w:lang w:eastAsia="zh-CN"/>
        </w:rPr>
        <w:t>可登录中国</w:t>
      </w:r>
      <w:r>
        <w:rPr>
          <w:rFonts w:hint="eastAsia" w:ascii="宋体" w:hAnsi="宋体" w:eastAsia="宋体" w:cs="宋体"/>
          <w:color w:val="auto"/>
          <w:sz w:val="24"/>
          <w:szCs w:val="24"/>
        </w:rPr>
        <w:t>湖南政府采购网查询相关银行、担保机构业务。</w:t>
      </w:r>
    </w:p>
    <w:p w14:paraId="48731DCA">
      <w:pPr>
        <w:pStyle w:val="4"/>
        <w:adjustRightInd w:val="0"/>
        <w:snapToGrid w:val="0"/>
        <w:spacing w:before="156" w:beforeLines="50" w:after="0" w:line="360" w:lineRule="auto"/>
        <w:jc w:val="center"/>
        <w:rPr>
          <w:rFonts w:hint="eastAsia" w:ascii="宋体" w:hAnsi="宋体" w:eastAsia="宋体" w:cs="宋体"/>
          <w:color w:val="auto"/>
          <w:sz w:val="24"/>
          <w:szCs w:val="24"/>
        </w:rPr>
      </w:pPr>
      <w:bookmarkStart w:id="46" w:name="_Toc26598"/>
      <w:bookmarkStart w:id="47" w:name="_Toc13312"/>
      <w:r>
        <w:rPr>
          <w:rFonts w:hint="eastAsia" w:ascii="宋体" w:hAnsi="宋体" w:eastAsia="宋体" w:cs="宋体"/>
          <w:color w:val="auto"/>
          <w:sz w:val="24"/>
          <w:szCs w:val="24"/>
        </w:rPr>
        <w:t>九、其他规定</w:t>
      </w:r>
      <w:bookmarkEnd w:id="46"/>
      <w:bookmarkEnd w:id="47"/>
    </w:p>
    <w:p w14:paraId="5FE37334">
      <w:pPr>
        <w:adjustRightInd w:val="0"/>
        <w:snapToGrid w:val="0"/>
        <w:spacing w:before="156" w:beforeLines="50" w:line="360" w:lineRule="auto"/>
        <w:jc w:val="left"/>
        <w:rPr>
          <w:rFonts w:hint="eastAsia" w:ascii="宋体" w:hAnsi="宋体" w:eastAsia="宋体" w:cs="宋体"/>
          <w:b/>
          <w:color w:val="auto"/>
          <w:sz w:val="24"/>
          <w:szCs w:val="24"/>
        </w:rPr>
      </w:pPr>
      <w:r>
        <w:rPr>
          <w:rFonts w:hint="eastAsia" w:ascii="宋体" w:hAnsi="宋体" w:eastAsia="宋体" w:cs="宋体"/>
          <w:b/>
          <w:bCs/>
          <w:color w:val="auto"/>
          <w:sz w:val="24"/>
          <w:szCs w:val="24"/>
        </w:rPr>
        <w:t>34.</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招标不足三家处理</w:t>
      </w:r>
    </w:p>
    <w:p w14:paraId="2F6B79F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34.1公开招标数额标准以上的采购项目，投标截止后投标人不足3家或者通过资格审查或符合性审查的投标人不足3家的，除采购任务取消情形外，按照以下方式处理：</w:t>
      </w:r>
    </w:p>
    <w:p w14:paraId="12C73602">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（1）招标文件存在不合理条款或者招标程序不符合规定的，采购人、采购代理机构改正后依法重新招标；</w:t>
      </w:r>
    </w:p>
    <w:p w14:paraId="0D3EF622">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（2）招标文件没有不合理条款、招标程序符合规定，需要采用其他采购方式采购的，采购人应当依法报财政部门批准。</w:t>
      </w:r>
    </w:p>
    <w:p w14:paraId="64D4C293">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34.2属上款第（2）项情形的，评标委员会应出具的招标文件没有不合理条款的论证意见。</w:t>
      </w:r>
    </w:p>
    <w:p w14:paraId="7B1B3991">
      <w:pPr>
        <w:adjustRightInd w:val="0"/>
        <w:snapToGrid w:val="0"/>
        <w:spacing w:before="156" w:beforeLines="50" w:line="360" w:lineRule="auto"/>
        <w:jc w:val="left"/>
        <w:rPr>
          <w:rFonts w:hint="eastAsia" w:ascii="宋体" w:hAnsi="宋体" w:eastAsia="宋体" w:cs="宋体"/>
          <w:b/>
          <w:color w:val="auto"/>
          <w:sz w:val="24"/>
          <w:szCs w:val="24"/>
        </w:rPr>
      </w:pPr>
      <w:r>
        <w:rPr>
          <w:rFonts w:hint="eastAsia" w:ascii="宋体" w:hAnsi="宋体" w:eastAsia="宋体" w:cs="宋体"/>
          <w:b/>
          <w:bCs/>
          <w:color w:val="auto"/>
          <w:sz w:val="24"/>
          <w:szCs w:val="24"/>
        </w:rPr>
        <w:t>3</w:t>
      </w:r>
      <w:r>
        <w:rPr>
          <w:rFonts w:hint="eastAsia" w:ascii="宋体" w:hAnsi="宋体" w:cs="宋体"/>
          <w:b/>
          <w:bCs/>
          <w:color w:val="auto"/>
          <w:sz w:val="24"/>
          <w:szCs w:val="24"/>
          <w:lang w:val="en-US" w:eastAsia="zh-CN"/>
        </w:rPr>
        <w:t>5</w:t>
      </w:r>
      <w:r>
        <w:rPr>
          <w:rFonts w:hint="eastAsia" w:ascii="宋体" w:hAnsi="宋体" w:eastAsia="宋体" w:cs="宋体"/>
          <w:b/>
          <w:bCs/>
          <w:color w:val="auto"/>
          <w:sz w:val="24"/>
          <w:szCs w:val="24"/>
        </w:rPr>
        <w:t>.</w:t>
      </w:r>
      <w:r>
        <w:rPr>
          <w:rFonts w:hint="eastAsia" w:ascii="宋体" w:hAnsi="宋体" w:eastAsia="宋体" w:cs="宋体"/>
          <w:b/>
          <w:color w:val="auto"/>
          <w:sz w:val="24"/>
          <w:szCs w:val="24"/>
        </w:rPr>
        <w:t xml:space="preserve"> 需要补充的其他内容</w:t>
      </w:r>
    </w:p>
    <w:p w14:paraId="64D17052">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.1合同价款支付</w:t>
      </w:r>
    </w:p>
    <w:p w14:paraId="5FDF432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（1）招标文件</w:t>
      </w:r>
      <w:r>
        <w:rPr>
          <w:rFonts w:hint="eastAsia" w:ascii="宋体" w:hAnsi="宋体" w:eastAsia="宋体" w:cs="宋体"/>
          <w:bCs/>
          <w:color w:val="auto"/>
          <w:sz w:val="24"/>
          <w:szCs w:val="24"/>
        </w:rPr>
        <w:t>规定支付合同预付款的，采购人应按</w:t>
      </w:r>
      <w:r>
        <w:rPr>
          <w:rFonts w:hint="eastAsia" w:ascii="宋体" w:hAnsi="宋体" w:eastAsia="宋体" w:cs="宋体"/>
          <w:b/>
          <w:color w:val="auto"/>
          <w:sz w:val="24"/>
          <w:szCs w:val="24"/>
        </w:rPr>
        <w:t>【投标须知前附表】</w:t>
      </w:r>
      <w:r>
        <w:rPr>
          <w:rFonts w:hint="eastAsia" w:ascii="宋体" w:hAnsi="宋体" w:eastAsia="宋体" w:cs="宋体"/>
          <w:bCs/>
          <w:color w:val="auto"/>
          <w:sz w:val="24"/>
          <w:szCs w:val="24"/>
        </w:rPr>
        <w:t>规定的支付比例和支付条件向符合要求的中标供应商及时支付相应款项，并在政府采购合同中进行明确。</w:t>
      </w:r>
    </w:p>
    <w:p w14:paraId="5DD37EB6">
      <w:pPr>
        <w:pStyle w:val="62"/>
        <w:spacing w:line="360" w:lineRule="auto"/>
        <w:rPr>
          <w:rFonts w:hint="eastAsia" w:ascii="宋体" w:hAnsi="宋体" w:eastAsia="宋体" w:cs="宋体"/>
          <w:bCs/>
          <w:color w:val="auto"/>
          <w:sz w:val="24"/>
          <w:szCs w:val="24"/>
        </w:rPr>
      </w:pPr>
      <w:r>
        <w:rPr>
          <w:rFonts w:hint="eastAsia" w:ascii="宋体" w:hAnsi="宋体" w:eastAsia="宋体" w:cs="宋体"/>
          <w:color w:val="auto"/>
          <w:sz w:val="24"/>
          <w:szCs w:val="24"/>
        </w:rPr>
        <w:t>（2）招标文件</w:t>
      </w:r>
      <w:r>
        <w:rPr>
          <w:rFonts w:hint="eastAsia" w:ascii="宋体" w:hAnsi="宋体" w:eastAsia="宋体" w:cs="宋体"/>
          <w:bCs/>
          <w:color w:val="auto"/>
          <w:sz w:val="24"/>
          <w:szCs w:val="24"/>
        </w:rPr>
        <w:t>规定需提交质量保证金的，采购人可以按</w:t>
      </w:r>
      <w:r>
        <w:rPr>
          <w:rFonts w:hint="eastAsia" w:ascii="宋体" w:hAnsi="宋体" w:eastAsia="宋体" w:cs="宋体"/>
          <w:b/>
          <w:color w:val="auto"/>
          <w:sz w:val="24"/>
          <w:szCs w:val="24"/>
        </w:rPr>
        <w:t>【投标须知前附表】</w:t>
      </w:r>
      <w:r>
        <w:rPr>
          <w:rFonts w:hint="eastAsia" w:ascii="宋体" w:hAnsi="宋体" w:eastAsia="宋体" w:cs="宋体"/>
          <w:bCs/>
          <w:color w:val="auto"/>
          <w:sz w:val="24"/>
          <w:szCs w:val="24"/>
        </w:rPr>
        <w:t>规定要求中标供应商提交质量保证金，并在政府采购合同中进行明确。</w:t>
      </w:r>
    </w:p>
    <w:p w14:paraId="4686AAFC">
      <w:pPr>
        <w:pStyle w:val="62"/>
        <w:spacing w:line="36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（3）投标人可以保函、电子增信替代预付款担保、质量保证金。</w:t>
      </w:r>
    </w:p>
    <w:p w14:paraId="7F00EFCA">
      <w:pPr>
        <w:pageBreakBefore w:val="0"/>
        <w:kinsoku/>
        <w:overflowPunct/>
        <w:topLinePunct w:val="0"/>
        <w:autoSpaceDE/>
        <w:autoSpaceDN/>
        <w:bidi w:val="0"/>
        <w:adjustRightInd w:val="0"/>
        <w:snapToGrid w:val="0"/>
        <w:spacing w:beforeLines="50" w:line="360" w:lineRule="auto"/>
        <w:jc w:val="left"/>
        <w:textAlignment w:val="auto"/>
        <w:rPr>
          <w:rFonts w:hint="eastAsia" w:ascii="宋体" w:hAnsi="宋体" w:eastAsia="宋体" w:cs="宋体"/>
          <w:color w:val="auto"/>
          <w:sz w:val="24"/>
        </w:rPr>
      </w:pPr>
      <w:r>
        <w:rPr>
          <w:rFonts w:hint="eastAsia" w:ascii="宋体" w:hAnsi="宋体" w:eastAsia="宋体" w:cs="宋体"/>
          <w:color w:val="auto"/>
          <w:sz w:val="24"/>
          <w:szCs w:val="24"/>
        </w:rPr>
        <w:t>3</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.2招标文件需要补充的其他内容见</w:t>
      </w:r>
      <w:r>
        <w:rPr>
          <w:rFonts w:hint="eastAsia" w:ascii="宋体" w:hAnsi="宋体" w:eastAsia="宋体" w:cs="宋体"/>
          <w:b/>
          <w:color w:val="auto"/>
          <w:sz w:val="24"/>
          <w:szCs w:val="24"/>
        </w:rPr>
        <w:t>【投标须知前附表】</w:t>
      </w:r>
      <w:r>
        <w:rPr>
          <w:rFonts w:hint="eastAsia" w:ascii="宋体" w:hAnsi="宋体" w:eastAsia="宋体" w:cs="宋体"/>
          <w:color w:val="auto"/>
          <w:sz w:val="24"/>
          <w:szCs w:val="24"/>
        </w:rPr>
        <w:t>。</w:t>
      </w:r>
    </w:p>
    <w:p w14:paraId="548A8CEB">
      <w:pPr>
        <w:pStyle w:val="24"/>
        <w:adjustRightInd w:val="0"/>
        <w:snapToGrid w:val="0"/>
        <w:spacing w:line="360" w:lineRule="auto"/>
        <w:jc w:val="both"/>
        <w:rPr>
          <w:rFonts w:hint="eastAsia" w:ascii="宋体" w:hAnsi="宋体" w:eastAsia="宋体" w:cs="宋体"/>
          <w:bCs/>
          <w:color w:val="auto"/>
          <w:w w:val="90"/>
          <w:sz w:val="24"/>
          <w:szCs w:val="24"/>
        </w:rPr>
      </w:pPr>
      <w:r>
        <w:rPr>
          <w:rFonts w:hint="eastAsia" w:ascii="宋体" w:hAnsi="宋体" w:eastAsia="宋体" w:cs="宋体"/>
          <w:color w:val="auto"/>
          <w:sz w:val="24"/>
          <w:szCs w:val="24"/>
        </w:rPr>
        <w:br w:type="page"/>
      </w:r>
    </w:p>
    <w:p w14:paraId="6E9B5B1B">
      <w:pPr>
        <w:pStyle w:val="2"/>
        <w:bidi w:val="0"/>
        <w:rPr>
          <w:rFonts w:hint="eastAsia" w:ascii="宋体" w:hAnsi="宋体" w:eastAsia="宋体" w:cs="宋体"/>
        </w:rPr>
      </w:pPr>
      <w:bookmarkStart w:id="48" w:name="_Toc21305"/>
      <w:bookmarkStart w:id="49" w:name="_Toc21845"/>
      <w:bookmarkStart w:id="50" w:name="_Toc8362"/>
      <w:bookmarkStart w:id="51" w:name="_Toc18835"/>
      <w:bookmarkStart w:id="52" w:name="_Toc13255"/>
      <w:bookmarkStart w:id="53" w:name="_Toc20775"/>
      <w:r>
        <w:rPr>
          <w:rFonts w:hint="eastAsia" w:ascii="宋体" w:hAnsi="宋体" w:eastAsia="宋体" w:cs="宋体"/>
        </w:rPr>
        <w:t>第三章 资格审查</w:t>
      </w:r>
      <w:bookmarkEnd w:id="48"/>
      <w:bookmarkEnd w:id="49"/>
      <w:bookmarkEnd w:id="50"/>
      <w:bookmarkEnd w:id="51"/>
      <w:bookmarkEnd w:id="52"/>
      <w:bookmarkEnd w:id="53"/>
    </w:p>
    <w:p w14:paraId="3BF95023">
      <w:pPr>
        <w:pStyle w:val="5"/>
        <w:bidi w:val="0"/>
        <w:rPr>
          <w:rFonts w:hint="eastAsia" w:ascii="宋体" w:hAnsi="宋体" w:eastAsia="宋体" w:cs="宋体"/>
        </w:rPr>
      </w:pPr>
      <w:bookmarkStart w:id="54" w:name="_Toc24861"/>
      <w:bookmarkStart w:id="55" w:name="_Toc15003"/>
      <w:bookmarkStart w:id="56" w:name="_Toc27082"/>
      <w:bookmarkStart w:id="57" w:name="_Toc23392"/>
      <w:bookmarkStart w:id="58" w:name="_Toc17392"/>
      <w:bookmarkStart w:id="59" w:name="_Toc20120"/>
      <w:r>
        <w:rPr>
          <w:rFonts w:hint="eastAsia" w:ascii="宋体" w:hAnsi="宋体" w:eastAsia="宋体" w:cs="宋体"/>
        </w:rPr>
        <w:t>1．资格审查主体</w:t>
      </w:r>
      <w:bookmarkEnd w:id="54"/>
      <w:bookmarkEnd w:id="55"/>
      <w:bookmarkEnd w:id="56"/>
      <w:bookmarkEnd w:id="57"/>
      <w:bookmarkEnd w:id="58"/>
      <w:bookmarkEnd w:id="59"/>
    </w:p>
    <w:p w14:paraId="5D4DF476">
      <w:pPr>
        <w:adjustRightInd w:val="0"/>
        <w:snapToGrid w:val="0"/>
        <w:spacing w:beforeLines="50" w:line="360" w:lineRule="auto"/>
        <w:ind w:firstLine="477" w:firstLineChars="199"/>
        <w:jc w:val="left"/>
        <w:rPr>
          <w:rFonts w:hint="eastAsia" w:ascii="宋体" w:hAnsi="宋体" w:eastAsia="宋体" w:cs="宋体"/>
          <w:color w:val="auto"/>
          <w:sz w:val="24"/>
        </w:rPr>
      </w:pPr>
      <w:r>
        <w:rPr>
          <w:rFonts w:hint="eastAsia" w:ascii="宋体" w:hAnsi="宋体" w:eastAsia="宋体" w:cs="宋体"/>
          <w:color w:val="auto"/>
          <w:sz w:val="24"/>
        </w:rPr>
        <w:t>1.1资格审查主体：采购人</w:t>
      </w:r>
      <w:r>
        <w:rPr>
          <w:rFonts w:hint="eastAsia" w:ascii="宋体" w:hAnsi="宋体" w:cs="宋体"/>
          <w:color w:val="auto"/>
          <w:sz w:val="24"/>
          <w:lang w:val="en-US" w:eastAsia="zh-CN"/>
        </w:rPr>
        <w:t>或委托</w:t>
      </w:r>
      <w:r>
        <w:rPr>
          <w:rFonts w:hint="eastAsia" w:ascii="宋体" w:hAnsi="宋体" w:eastAsia="宋体" w:cs="宋体"/>
          <w:color w:val="auto"/>
          <w:sz w:val="24"/>
        </w:rPr>
        <w:t>采购代理机构负责资格审查。</w:t>
      </w:r>
    </w:p>
    <w:p w14:paraId="5B3B0983">
      <w:pPr>
        <w:pStyle w:val="4"/>
        <w:adjustRightInd w:val="0"/>
        <w:snapToGrid w:val="0"/>
        <w:spacing w:before="156" w:beforeLines="50" w:after="0" w:line="360" w:lineRule="auto"/>
        <w:jc w:val="both"/>
        <w:rPr>
          <w:rFonts w:hint="eastAsia" w:ascii="宋体" w:hAnsi="宋体" w:eastAsia="宋体" w:cs="宋体"/>
          <w:color w:val="auto"/>
          <w:sz w:val="24"/>
          <w:szCs w:val="24"/>
        </w:rPr>
      </w:pPr>
      <w:bookmarkStart w:id="60" w:name="_Toc29364"/>
      <w:bookmarkStart w:id="61" w:name="_Toc25071"/>
      <w:bookmarkStart w:id="62" w:name="_Toc3232"/>
      <w:r>
        <w:rPr>
          <w:rFonts w:hint="eastAsia" w:ascii="宋体" w:hAnsi="宋体" w:eastAsia="宋体" w:cs="宋体"/>
          <w:color w:val="auto"/>
          <w:sz w:val="24"/>
          <w:szCs w:val="24"/>
        </w:rPr>
        <w:t>2．资格审查</w:t>
      </w:r>
      <w:bookmarkEnd w:id="60"/>
      <w:bookmarkEnd w:id="61"/>
      <w:bookmarkEnd w:id="62"/>
    </w:p>
    <w:p w14:paraId="6BBD658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2.1资格审查依据法律法规和招标文件的规定，对投标文件中的资格证明文件、投标保证金、投标报价等进行审查，以确定</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是否具备投标资格。</w:t>
      </w:r>
    </w:p>
    <w:p w14:paraId="5D2CB08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2.2采购人、采购代理机构按本章附表1“资格审查表”所列审查项目及审查标准，对投标人资格进行审查。</w:t>
      </w:r>
    </w:p>
    <w:p w14:paraId="6E67C61E">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2.3在资格审查时，投标人存在下列情况之一的，资格审查不合格，其投标无效：</w:t>
      </w:r>
    </w:p>
    <w:p w14:paraId="602E8D0A">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（1）不具备招标文件中规定的资格要求的，或提交的资格证明文件不符合招标文件要求的；</w:t>
      </w:r>
    </w:p>
    <w:p w14:paraId="234C9D9F">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（2）联合体投标未提交联合体协议书，或未提交联合体各方资格证明文件的；</w:t>
      </w:r>
    </w:p>
    <w:p w14:paraId="3C19930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（3）投标文件的资格证明文件未按照招标文件要求签署、盖章的；</w:t>
      </w:r>
    </w:p>
    <w:p w14:paraId="4BF9C14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（4）未按照招标文件的规定提交投标保证金的。</w:t>
      </w:r>
    </w:p>
    <w:p w14:paraId="3FBE1337">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w:t>
      </w:r>
      <w:r>
        <w:rPr>
          <w:rFonts w:hint="eastAsia" w:ascii="宋体" w:hAnsi="宋体" w:cs="宋体"/>
          <w:color w:val="auto"/>
          <w:sz w:val="24"/>
          <w:szCs w:val="24"/>
          <w:lang w:val="en-US" w:eastAsia="zh-CN"/>
        </w:rPr>
        <w:t>未按照招标文件的规定</w:t>
      </w:r>
      <w:r>
        <w:rPr>
          <w:rFonts w:hint="eastAsia" w:ascii="宋体" w:hAnsi="宋体" w:eastAsia="宋体" w:cs="宋体"/>
          <w:color w:val="auto"/>
          <w:sz w:val="24"/>
          <w:szCs w:val="24"/>
          <w:lang w:val="en-US" w:eastAsia="zh-CN"/>
        </w:rPr>
        <w:t>提供法定代表人身份证明或法定代表人身份证明</w:t>
      </w:r>
      <w:r>
        <w:rPr>
          <w:rFonts w:hint="eastAsia" w:ascii="宋体" w:hAnsi="宋体" w:cs="宋体"/>
          <w:color w:val="auto"/>
          <w:sz w:val="24"/>
          <w:szCs w:val="24"/>
          <w:lang w:val="en-US" w:eastAsia="zh-CN"/>
        </w:rPr>
        <w:t>并附</w:t>
      </w:r>
      <w:r>
        <w:rPr>
          <w:rFonts w:hint="eastAsia" w:ascii="宋体" w:hAnsi="宋体" w:eastAsia="宋体" w:cs="宋体"/>
          <w:color w:val="auto"/>
          <w:sz w:val="24"/>
          <w:szCs w:val="24"/>
          <w:lang w:val="en-US" w:eastAsia="zh-CN"/>
        </w:rPr>
        <w:t>授权委托书</w:t>
      </w:r>
      <w:r>
        <w:rPr>
          <w:rFonts w:hint="eastAsia" w:ascii="宋体" w:hAnsi="宋体" w:eastAsia="宋体" w:cs="宋体"/>
          <w:color w:val="auto"/>
          <w:sz w:val="24"/>
          <w:szCs w:val="24"/>
        </w:rPr>
        <w:t>；</w:t>
      </w:r>
    </w:p>
    <w:p w14:paraId="164C08D9">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（6）法律、法规和招标文件规定的其他投标无效情形的。</w:t>
      </w:r>
    </w:p>
    <w:p w14:paraId="17F75747">
      <w:pPr>
        <w:adjustRightInd w:val="0"/>
        <w:snapToGrid w:val="0"/>
        <w:spacing w:before="156" w:beforeLines="50" w:line="360" w:lineRule="auto"/>
        <w:ind w:firstLine="480" w:firstLineChars="200"/>
        <w:jc w:val="left"/>
        <w:rPr>
          <w:rFonts w:hint="eastAsia" w:ascii="宋体" w:hAnsi="宋体" w:eastAsia="宋体" w:cs="宋体"/>
          <w:b/>
          <w:color w:val="auto"/>
          <w:sz w:val="24"/>
          <w:szCs w:val="24"/>
        </w:rPr>
      </w:pPr>
      <w:r>
        <w:rPr>
          <w:rFonts w:hint="eastAsia" w:ascii="宋体" w:hAnsi="宋体" w:eastAsia="宋体" w:cs="宋体"/>
          <w:color w:val="auto"/>
          <w:sz w:val="24"/>
          <w:szCs w:val="24"/>
        </w:rPr>
        <w:t>2.4信用记录。开标结束后资格审查时，采购人、采购代理机构将对投标人信用记录进行甄别。</w:t>
      </w:r>
    </w:p>
    <w:p w14:paraId="60811A0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（1）信用信息查询的查询渠道：信用中国网（www.creditchina.gov.cn）、中国政府采购网（www.ccgp.gov.cn）；</w:t>
      </w:r>
    </w:p>
    <w:p w14:paraId="426AFB89">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（2）不良信用记录是指：投标人在“信用中国”网站被列入失信被执行人和重大税收违法失信主体名单</w:t>
      </w:r>
      <w:r>
        <w:rPr>
          <w:rFonts w:hint="eastAsia" w:ascii="宋体" w:hAnsi="宋体" w:cs="宋体"/>
          <w:color w:val="auto"/>
          <w:sz w:val="24"/>
          <w:szCs w:val="24"/>
          <w:lang w:val="en-US" w:eastAsia="zh-CN"/>
        </w:rPr>
        <w:t>等</w:t>
      </w:r>
      <w:r>
        <w:rPr>
          <w:rFonts w:hint="eastAsia" w:ascii="宋体" w:hAnsi="宋体" w:eastAsia="宋体" w:cs="宋体"/>
          <w:color w:val="auto"/>
          <w:sz w:val="24"/>
          <w:szCs w:val="24"/>
        </w:rPr>
        <w:t>，或在“中国政府采购网”网站被列入政府采购严重违法失信行为记录名单</w:t>
      </w:r>
      <w:r>
        <w:rPr>
          <w:rFonts w:hint="eastAsia" w:ascii="宋体" w:hAnsi="宋体" w:cs="宋体"/>
          <w:color w:val="auto"/>
          <w:sz w:val="24"/>
          <w:szCs w:val="24"/>
          <w:lang w:val="en-US" w:eastAsia="zh-CN"/>
        </w:rPr>
        <w:t>等</w:t>
      </w:r>
      <w:r>
        <w:rPr>
          <w:rFonts w:hint="eastAsia" w:ascii="宋体" w:hAnsi="宋体" w:eastAsia="宋体" w:cs="宋体"/>
          <w:color w:val="auto"/>
          <w:sz w:val="24"/>
          <w:szCs w:val="24"/>
        </w:rPr>
        <w:t>。投标人有上述不良信用记录的，其投标无效，其中，列入政府采购严重违法失信行为记录名单的，按处罚结果执行。</w:t>
      </w:r>
    </w:p>
    <w:p w14:paraId="4BBB471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（3）联合体形式投标的，联合体成员存在不良信用记录的，视同联合体存在不良信用记录。</w:t>
      </w:r>
    </w:p>
    <w:p w14:paraId="59661054">
      <w:pPr>
        <w:adjustRightInd w:val="0"/>
        <w:snapToGrid w:val="0"/>
        <w:spacing w:before="156" w:beforeLines="50" w:afterAutospacing="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信用信息查询记录和证据留存具体方式：采购人、采购代理机构经办人将查询网页截图、打印，作为查询记录和证据，与其他采购文件一并保存。投标人不良信用记录以采购人、采购代理机构查询结果为准。</w:t>
      </w:r>
    </w:p>
    <w:p w14:paraId="22085D18">
      <w:pPr>
        <w:pStyle w:val="4"/>
        <w:adjustRightInd w:val="0"/>
        <w:snapToGrid w:val="0"/>
        <w:spacing w:before="156" w:beforeLines="50" w:after="0" w:line="360" w:lineRule="auto"/>
        <w:jc w:val="both"/>
        <w:rPr>
          <w:rFonts w:hint="eastAsia" w:ascii="宋体" w:hAnsi="宋体" w:eastAsia="宋体" w:cs="宋体"/>
          <w:color w:val="auto"/>
          <w:sz w:val="24"/>
          <w:szCs w:val="24"/>
        </w:rPr>
      </w:pPr>
      <w:bookmarkStart w:id="63" w:name="_Toc12115"/>
      <w:bookmarkStart w:id="64" w:name="_Toc7157"/>
      <w:bookmarkStart w:id="65" w:name="_Toc26185"/>
      <w:r>
        <w:rPr>
          <w:rFonts w:hint="eastAsia" w:ascii="宋体" w:hAnsi="宋体" w:eastAsia="宋体" w:cs="宋体"/>
          <w:color w:val="auto"/>
          <w:sz w:val="24"/>
          <w:szCs w:val="24"/>
        </w:rPr>
        <w:t>3．资格审查结果</w:t>
      </w:r>
      <w:bookmarkEnd w:id="63"/>
      <w:bookmarkEnd w:id="64"/>
      <w:bookmarkEnd w:id="65"/>
    </w:p>
    <w:p w14:paraId="53CAD15E">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3.1未通过资格审查的投标人，采购人、采购代理机构应当告知其未通过的原因。</w:t>
      </w:r>
    </w:p>
    <w:p w14:paraId="65BBDAD7">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3.2资格审查结束后，采购人、采购代理机构应将资格审查结果告知评标委员会。</w:t>
      </w:r>
    </w:p>
    <w:p w14:paraId="255C6662">
      <w:pPr>
        <w:adjustRightInd w:val="0"/>
        <w:snapToGrid w:val="0"/>
        <w:spacing w:beforeLines="50" w:line="360" w:lineRule="auto"/>
        <w:ind w:firstLine="480" w:firstLineChars="200"/>
        <w:jc w:val="left"/>
        <w:rPr>
          <w:rFonts w:hint="eastAsia" w:ascii="宋体" w:hAnsi="宋体" w:eastAsia="宋体" w:cs="宋体"/>
          <w:color w:val="auto"/>
          <w:sz w:val="24"/>
        </w:rPr>
      </w:pPr>
    </w:p>
    <w:p w14:paraId="431943AB">
      <w:pPr>
        <w:adjustRightInd w:val="0"/>
        <w:snapToGrid w:val="0"/>
        <w:spacing w:beforeLines="50" w:line="360" w:lineRule="auto"/>
        <w:ind w:firstLine="480" w:firstLineChars="200"/>
        <w:jc w:val="left"/>
        <w:rPr>
          <w:rFonts w:hint="eastAsia" w:ascii="宋体" w:hAnsi="宋体" w:eastAsia="宋体" w:cs="宋体"/>
          <w:b/>
          <w:bCs/>
          <w:color w:val="auto"/>
          <w:sz w:val="24"/>
        </w:rPr>
      </w:pPr>
      <w:r>
        <w:rPr>
          <w:rFonts w:hint="eastAsia" w:ascii="宋体" w:hAnsi="宋体" w:eastAsia="宋体" w:cs="宋体"/>
          <w:color w:val="auto"/>
          <w:sz w:val="24"/>
        </w:rPr>
        <w:br w:type="page"/>
      </w:r>
    </w:p>
    <w:p w14:paraId="1D0F2A2B">
      <w:pPr>
        <w:pStyle w:val="5"/>
        <w:adjustRightInd w:val="0"/>
        <w:snapToGrid w:val="0"/>
        <w:spacing w:before="0" w:after="0" w:line="360" w:lineRule="auto"/>
        <w:rPr>
          <w:rFonts w:hint="eastAsia" w:ascii="宋体" w:hAnsi="宋体" w:eastAsia="宋体" w:cs="宋体"/>
          <w:b w:val="0"/>
          <w:bCs w:val="0"/>
          <w:color w:val="auto"/>
          <w:sz w:val="24"/>
          <w:szCs w:val="24"/>
        </w:rPr>
      </w:pPr>
      <w:bookmarkStart w:id="66" w:name="_Toc14281"/>
      <w:bookmarkStart w:id="67" w:name="_Toc24507"/>
      <w:bookmarkStart w:id="68" w:name="_Toc19705"/>
      <w:bookmarkStart w:id="69" w:name="_Toc9082"/>
      <w:bookmarkStart w:id="70" w:name="_Toc24883"/>
      <w:bookmarkStart w:id="71" w:name="_Toc12191"/>
      <w:bookmarkStart w:id="72" w:name="_Toc27285"/>
      <w:bookmarkStart w:id="73" w:name="_Toc21877"/>
      <w:r>
        <w:rPr>
          <w:rFonts w:hint="eastAsia" w:ascii="宋体" w:hAnsi="宋体" w:eastAsia="宋体" w:cs="宋体"/>
          <w:b w:val="0"/>
          <w:bCs w:val="0"/>
          <w:color w:val="auto"/>
          <w:sz w:val="24"/>
          <w:szCs w:val="24"/>
        </w:rPr>
        <w:t>附表1资格审查表</w:t>
      </w:r>
      <w:bookmarkEnd w:id="66"/>
    </w:p>
    <w:p w14:paraId="4F058FE9">
      <w:pPr>
        <w:adjustRightInd w:val="0"/>
        <w:snapToGrid w:val="0"/>
        <w:spacing w:line="360" w:lineRule="auto"/>
        <w:jc w:val="center"/>
        <w:rPr>
          <w:rFonts w:hint="eastAsia"/>
          <w:lang w:val="en-US" w:eastAsia="zh-CN"/>
        </w:rPr>
      </w:pPr>
      <w:r>
        <w:rPr>
          <w:rFonts w:hint="eastAsia" w:ascii="宋体" w:hAnsi="宋体" w:eastAsia="宋体" w:cs="宋体"/>
          <w:b/>
          <w:color w:val="auto"/>
          <w:sz w:val="28"/>
          <w:szCs w:val="28"/>
        </w:rPr>
        <w:t>资格审查表</w:t>
      </w:r>
    </w:p>
    <w:tbl>
      <w:tblPr>
        <w:tblStyle w:val="45"/>
        <w:tblW w:w="10021"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75"/>
        <w:gridCol w:w="2596"/>
        <w:gridCol w:w="6650"/>
      </w:tblGrid>
      <w:tr w14:paraId="081C8E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775" w:type="dxa"/>
            <w:noWrap w:val="0"/>
            <w:vAlign w:val="center"/>
          </w:tcPr>
          <w:p w14:paraId="107BAD44">
            <w:pPr>
              <w:adjustRightInd w:val="0"/>
              <w:snapToGrid w:val="0"/>
              <w:spacing w:before="156" w:beforeLines="50" w:line="360" w:lineRule="auto"/>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序号</w:t>
            </w:r>
          </w:p>
        </w:tc>
        <w:tc>
          <w:tcPr>
            <w:tcW w:w="2596" w:type="dxa"/>
            <w:noWrap w:val="0"/>
            <w:vAlign w:val="center"/>
          </w:tcPr>
          <w:p w14:paraId="6D686DEE">
            <w:pPr>
              <w:adjustRightInd w:val="0"/>
              <w:snapToGrid w:val="0"/>
              <w:spacing w:before="156" w:beforeLines="50" w:line="360" w:lineRule="auto"/>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审查项目</w:t>
            </w:r>
          </w:p>
        </w:tc>
        <w:tc>
          <w:tcPr>
            <w:tcW w:w="6650" w:type="dxa"/>
            <w:noWrap w:val="0"/>
            <w:vAlign w:val="center"/>
          </w:tcPr>
          <w:p w14:paraId="7ED80122">
            <w:pPr>
              <w:adjustRightInd w:val="0"/>
              <w:snapToGrid w:val="0"/>
              <w:spacing w:before="156" w:beforeLines="50" w:line="360" w:lineRule="auto"/>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审查标准</w:t>
            </w:r>
          </w:p>
        </w:tc>
      </w:tr>
      <w:tr w14:paraId="1D7EB4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75" w:type="dxa"/>
            <w:noWrap w:val="0"/>
            <w:vAlign w:val="center"/>
          </w:tcPr>
          <w:p w14:paraId="5B10458F">
            <w:pPr>
              <w:adjustRightInd w:val="0"/>
              <w:snapToGrid w:val="0"/>
              <w:spacing w:before="156" w:beforeLines="50"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2596" w:type="dxa"/>
            <w:noWrap w:val="0"/>
            <w:vAlign w:val="center"/>
          </w:tcPr>
          <w:p w14:paraId="5E42C158">
            <w:pPr>
              <w:adjustRightInd w:val="0"/>
              <w:snapToGrid w:val="0"/>
              <w:spacing w:beforeLines="50" w:line="360" w:lineRule="auto"/>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lang w:val="en-US" w:eastAsia="zh-CN"/>
              </w:rPr>
              <w:t>营业执照等证明文件</w:t>
            </w:r>
          </w:p>
        </w:tc>
        <w:tc>
          <w:tcPr>
            <w:tcW w:w="6650" w:type="dxa"/>
            <w:noWrap w:val="0"/>
            <w:vAlign w:val="top"/>
          </w:tcPr>
          <w:p w14:paraId="0048BF43">
            <w:pPr>
              <w:adjustRightInd w:val="0"/>
              <w:snapToGrid w:val="0"/>
              <w:spacing w:beforeLines="50" w:line="360" w:lineRule="auto"/>
              <w:jc w:val="left"/>
              <w:rPr>
                <w:rFonts w:hint="eastAsia" w:ascii="宋体" w:hAnsi="宋体" w:eastAsia="宋体" w:cs="宋体"/>
                <w:color w:val="auto"/>
                <w:kern w:val="2"/>
                <w:sz w:val="24"/>
                <w:szCs w:val="24"/>
                <w:lang w:val="en-US" w:eastAsia="zh-CN" w:bidi="ar-SA"/>
              </w:rPr>
            </w:pPr>
            <w:r>
              <w:rPr>
                <w:rFonts w:hint="eastAsia" w:ascii="宋体" w:hAnsi="宋体" w:eastAsia="宋体" w:cs="宋体"/>
                <w:b w:val="0"/>
                <w:bCs/>
                <w:color w:val="auto"/>
                <w:sz w:val="24"/>
                <w:szCs w:val="24"/>
              </w:rPr>
              <w:t>法人或者其他组织的营业执照等主体资格证明文件，自然人的身份证明：投标人为法人的，应提交营业执照或法人登记证书的复印件</w:t>
            </w:r>
            <w:r>
              <w:rPr>
                <w:rFonts w:hint="eastAsia" w:ascii="宋体" w:hAnsi="宋体"/>
                <w:color w:val="auto"/>
                <w:sz w:val="24"/>
                <w:szCs w:val="24"/>
                <w:lang w:eastAsia="zh-CN"/>
              </w:rPr>
              <w:t>（或扫描件）</w:t>
            </w:r>
            <w:r>
              <w:rPr>
                <w:rFonts w:hint="eastAsia" w:ascii="宋体" w:hAnsi="宋体" w:eastAsia="宋体" w:cs="宋体"/>
                <w:b w:val="0"/>
                <w:bCs/>
                <w:color w:val="auto"/>
                <w:sz w:val="24"/>
                <w:szCs w:val="24"/>
              </w:rPr>
              <w:t>；投标人为非法人组织的，应提交依法登记证书复印件</w:t>
            </w:r>
            <w:r>
              <w:rPr>
                <w:rFonts w:hint="eastAsia" w:ascii="宋体" w:hAnsi="宋体"/>
                <w:color w:val="auto"/>
                <w:sz w:val="24"/>
                <w:szCs w:val="24"/>
                <w:lang w:eastAsia="zh-CN"/>
              </w:rPr>
              <w:t>（或扫描件）</w:t>
            </w:r>
            <w:r>
              <w:rPr>
                <w:rFonts w:hint="eastAsia" w:ascii="宋体" w:hAnsi="宋体" w:eastAsia="宋体" w:cs="宋体"/>
                <w:b w:val="0"/>
                <w:bCs/>
                <w:color w:val="auto"/>
                <w:sz w:val="24"/>
                <w:szCs w:val="24"/>
              </w:rPr>
              <w:t>；投标人为个体工商户的，应提交个体工商户营业执照复印件</w:t>
            </w:r>
            <w:r>
              <w:rPr>
                <w:rFonts w:hint="eastAsia" w:ascii="宋体" w:hAnsi="宋体"/>
                <w:color w:val="auto"/>
                <w:sz w:val="24"/>
                <w:szCs w:val="24"/>
                <w:lang w:eastAsia="zh-CN"/>
              </w:rPr>
              <w:t>（或扫描件）</w:t>
            </w:r>
            <w:r>
              <w:rPr>
                <w:rFonts w:hint="eastAsia" w:ascii="宋体" w:hAnsi="宋体" w:eastAsia="宋体" w:cs="宋体"/>
                <w:b w:val="0"/>
                <w:bCs/>
                <w:color w:val="auto"/>
                <w:sz w:val="24"/>
                <w:szCs w:val="24"/>
              </w:rPr>
              <w:t>；投标人为自然人的，应提交自然人的身份证明复印件</w:t>
            </w:r>
            <w:r>
              <w:rPr>
                <w:rFonts w:hint="eastAsia" w:ascii="宋体" w:hAnsi="宋体"/>
                <w:color w:val="auto"/>
                <w:sz w:val="24"/>
                <w:szCs w:val="24"/>
                <w:lang w:eastAsia="zh-CN"/>
              </w:rPr>
              <w:t>（或扫描件）</w:t>
            </w:r>
            <w:r>
              <w:rPr>
                <w:rFonts w:hint="eastAsia" w:ascii="宋体" w:hAnsi="宋体" w:eastAsia="宋体" w:cs="宋体"/>
                <w:b w:val="0"/>
                <w:bCs/>
                <w:color w:val="auto"/>
                <w:sz w:val="24"/>
                <w:szCs w:val="24"/>
              </w:rPr>
              <w:t>。</w:t>
            </w:r>
          </w:p>
        </w:tc>
      </w:tr>
      <w:tr w14:paraId="582F94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75" w:type="dxa"/>
            <w:noWrap w:val="0"/>
            <w:vAlign w:val="center"/>
          </w:tcPr>
          <w:p w14:paraId="1F4527E7">
            <w:pPr>
              <w:adjustRightInd w:val="0"/>
              <w:snapToGrid w:val="0"/>
              <w:spacing w:before="156" w:beforeLines="50"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2596" w:type="dxa"/>
            <w:noWrap w:val="0"/>
            <w:vAlign w:val="center"/>
          </w:tcPr>
          <w:p w14:paraId="2CD957CC">
            <w:pPr>
              <w:adjustRightInd w:val="0"/>
              <w:snapToGrid w:val="0"/>
              <w:spacing w:beforeLines="50" w:line="360" w:lineRule="auto"/>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2"/>
                <w:sz w:val="24"/>
                <w:szCs w:val="24"/>
                <w:highlight w:val="none"/>
                <w:lang w:eastAsia="zh-CN" w:bidi="ar"/>
              </w:rPr>
              <w:t>法定代表人（单位负责人）</w:t>
            </w:r>
            <w:r>
              <w:rPr>
                <w:rFonts w:hint="eastAsia" w:ascii="宋体" w:hAnsi="宋体" w:eastAsia="宋体" w:cs="宋体"/>
                <w:color w:val="auto"/>
                <w:kern w:val="2"/>
                <w:sz w:val="24"/>
                <w:szCs w:val="24"/>
                <w:highlight w:val="none"/>
                <w:lang w:bidi="ar"/>
              </w:rPr>
              <w:t>授权书</w:t>
            </w:r>
          </w:p>
        </w:tc>
        <w:tc>
          <w:tcPr>
            <w:tcW w:w="6650" w:type="dxa"/>
            <w:noWrap w:val="0"/>
            <w:vAlign w:val="top"/>
          </w:tcPr>
          <w:p w14:paraId="37D2814C">
            <w:pPr>
              <w:adjustRightInd w:val="0"/>
              <w:snapToGrid w:val="0"/>
              <w:spacing w:beforeLines="50" w:line="360" w:lineRule="auto"/>
              <w:jc w:val="left"/>
              <w:rPr>
                <w:rFonts w:hint="eastAsia" w:ascii="宋体" w:hAnsi="宋体" w:eastAsia="宋体" w:cs="宋体"/>
                <w:color w:val="auto"/>
                <w:kern w:val="0"/>
                <w:sz w:val="24"/>
                <w:szCs w:val="24"/>
                <w:lang w:val="en-US" w:eastAsia="zh-CN" w:bidi="ar-SA"/>
              </w:rPr>
            </w:pPr>
            <w:r>
              <w:rPr>
                <w:rFonts w:hint="eastAsia" w:ascii="宋体" w:hAnsi="宋体" w:eastAsia="宋体" w:cs="宋体"/>
                <w:b w:val="0"/>
                <w:bCs/>
                <w:color w:val="auto"/>
                <w:sz w:val="24"/>
                <w:szCs w:val="24"/>
                <w:lang w:val="en-US" w:eastAsia="zh-CN"/>
              </w:rPr>
              <w:t>投标人是法人，提供法定代表人身份证明；投标人不是法人，提供法定代表人身份证明</w:t>
            </w:r>
            <w:r>
              <w:rPr>
                <w:rFonts w:hint="eastAsia" w:ascii="宋体" w:hAnsi="宋体" w:cs="宋体"/>
                <w:b w:val="0"/>
                <w:bCs/>
                <w:color w:val="auto"/>
                <w:sz w:val="24"/>
                <w:szCs w:val="24"/>
                <w:lang w:val="en-US" w:eastAsia="zh-CN"/>
              </w:rPr>
              <w:t>并附</w:t>
            </w:r>
            <w:r>
              <w:rPr>
                <w:rFonts w:hint="eastAsia" w:ascii="宋体" w:hAnsi="宋体" w:eastAsia="宋体" w:cs="宋体"/>
                <w:b w:val="0"/>
                <w:bCs/>
                <w:color w:val="auto"/>
                <w:sz w:val="24"/>
                <w:szCs w:val="24"/>
                <w:lang w:val="en-US" w:eastAsia="zh-CN"/>
              </w:rPr>
              <w:t>授权委托书</w:t>
            </w:r>
          </w:p>
        </w:tc>
      </w:tr>
      <w:tr w14:paraId="6DDFBD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7" w:hRule="atLeast"/>
        </w:trPr>
        <w:tc>
          <w:tcPr>
            <w:tcW w:w="775" w:type="dxa"/>
            <w:noWrap w:val="0"/>
            <w:vAlign w:val="center"/>
          </w:tcPr>
          <w:p w14:paraId="1C7FB510">
            <w:pPr>
              <w:adjustRightInd w:val="0"/>
              <w:snapToGrid w:val="0"/>
              <w:spacing w:before="156" w:beforeLines="50" w:line="360" w:lineRule="auto"/>
              <w:jc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3</w:t>
            </w:r>
          </w:p>
        </w:tc>
        <w:tc>
          <w:tcPr>
            <w:tcW w:w="2596" w:type="dxa"/>
            <w:noWrap w:val="0"/>
            <w:vAlign w:val="center"/>
          </w:tcPr>
          <w:p w14:paraId="6E0E6824">
            <w:pPr>
              <w:adjustRightInd w:val="0"/>
              <w:snapToGrid w:val="0"/>
              <w:spacing w:beforeLines="50" w:line="360" w:lineRule="auto"/>
              <w:jc w:val="center"/>
              <w:rPr>
                <w:rFonts w:hint="default" w:ascii="宋体" w:hAnsi="宋体" w:eastAsia="宋体" w:cs="宋体"/>
                <w:color w:val="auto"/>
                <w:kern w:val="2"/>
                <w:sz w:val="24"/>
                <w:szCs w:val="24"/>
                <w:highlight w:val="none"/>
                <w:lang w:val="en-US" w:eastAsia="zh-CN" w:bidi="ar"/>
              </w:rPr>
            </w:pPr>
            <w:r>
              <w:rPr>
                <w:rFonts w:hint="eastAsia" w:ascii="宋体" w:hAnsi="宋体" w:eastAsia="宋体" w:cs="宋体"/>
                <w:color w:val="auto"/>
                <w:sz w:val="24"/>
              </w:rPr>
              <w:t>签署</w:t>
            </w:r>
            <w:r>
              <w:rPr>
                <w:rFonts w:hint="eastAsia" w:ascii="宋体" w:hAnsi="宋体" w:cs="宋体"/>
                <w:color w:val="auto"/>
                <w:kern w:val="2"/>
                <w:sz w:val="24"/>
                <w:szCs w:val="24"/>
                <w:highlight w:val="none"/>
                <w:lang w:val="en-US" w:eastAsia="zh-CN" w:bidi="ar"/>
              </w:rPr>
              <w:t>盖章</w:t>
            </w:r>
          </w:p>
        </w:tc>
        <w:tc>
          <w:tcPr>
            <w:tcW w:w="6650" w:type="dxa"/>
            <w:noWrap w:val="0"/>
            <w:vAlign w:val="center"/>
          </w:tcPr>
          <w:p w14:paraId="6D856E5E">
            <w:pPr>
              <w:adjustRightInd w:val="0"/>
              <w:snapToGrid w:val="0"/>
              <w:spacing w:beforeLines="50" w:line="360" w:lineRule="auto"/>
              <w:jc w:val="left"/>
              <w:rPr>
                <w:rFonts w:hint="default"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资格</w:t>
            </w:r>
            <w:r>
              <w:rPr>
                <w:rFonts w:hint="eastAsia" w:ascii="宋体" w:hAnsi="宋体" w:cs="宋体"/>
                <w:color w:val="auto"/>
                <w:kern w:val="2"/>
                <w:sz w:val="24"/>
                <w:szCs w:val="24"/>
                <w:highlight w:val="none"/>
                <w:lang w:val="en-US" w:eastAsia="zh-CN" w:bidi="ar"/>
              </w:rPr>
              <w:t>证明</w:t>
            </w:r>
            <w:r>
              <w:rPr>
                <w:rFonts w:hint="eastAsia" w:ascii="宋体" w:hAnsi="宋体" w:eastAsia="宋体" w:cs="宋体"/>
                <w:color w:val="auto"/>
                <w:kern w:val="2"/>
                <w:sz w:val="24"/>
                <w:szCs w:val="24"/>
                <w:highlight w:val="none"/>
                <w:lang w:val="en-US" w:eastAsia="zh-CN" w:bidi="ar"/>
              </w:rPr>
              <w:t>资料按要求</w:t>
            </w:r>
            <w:r>
              <w:rPr>
                <w:rFonts w:hint="eastAsia" w:ascii="宋体" w:hAnsi="宋体" w:eastAsia="宋体" w:cs="宋体"/>
                <w:color w:val="auto"/>
                <w:sz w:val="24"/>
              </w:rPr>
              <w:t>签署</w:t>
            </w:r>
            <w:r>
              <w:rPr>
                <w:rFonts w:hint="eastAsia" w:ascii="宋体" w:hAnsi="宋体" w:cs="宋体"/>
                <w:color w:val="auto"/>
                <w:kern w:val="2"/>
                <w:sz w:val="24"/>
                <w:szCs w:val="24"/>
                <w:highlight w:val="none"/>
                <w:lang w:val="en-US" w:eastAsia="zh-CN" w:bidi="ar"/>
              </w:rPr>
              <w:t>、</w:t>
            </w:r>
            <w:r>
              <w:rPr>
                <w:rFonts w:hint="eastAsia" w:ascii="宋体" w:hAnsi="宋体" w:eastAsia="宋体" w:cs="宋体"/>
                <w:color w:val="auto"/>
                <w:kern w:val="2"/>
                <w:sz w:val="24"/>
                <w:szCs w:val="24"/>
                <w:highlight w:val="none"/>
                <w:lang w:val="en-US" w:eastAsia="zh-CN" w:bidi="ar"/>
              </w:rPr>
              <w:t>盖章。</w:t>
            </w:r>
          </w:p>
        </w:tc>
      </w:tr>
      <w:tr w14:paraId="5D1D1B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75" w:type="dxa"/>
            <w:noWrap w:val="0"/>
            <w:vAlign w:val="center"/>
          </w:tcPr>
          <w:p w14:paraId="3D6199A4">
            <w:pPr>
              <w:adjustRightInd w:val="0"/>
              <w:snapToGrid w:val="0"/>
              <w:spacing w:before="156" w:beforeLines="50" w:line="360" w:lineRule="auto"/>
              <w:jc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4</w:t>
            </w:r>
          </w:p>
        </w:tc>
        <w:tc>
          <w:tcPr>
            <w:tcW w:w="2596" w:type="dxa"/>
            <w:noWrap w:val="0"/>
            <w:vAlign w:val="center"/>
          </w:tcPr>
          <w:p w14:paraId="38D8899A">
            <w:pPr>
              <w:adjustRightInd w:val="0"/>
              <w:snapToGrid w:val="0"/>
              <w:spacing w:beforeLines="50" w:line="360" w:lineRule="auto"/>
              <w:jc w:val="center"/>
              <w:rPr>
                <w:rFonts w:hint="default" w:ascii="宋体" w:hAnsi="宋体" w:eastAsia="宋体" w:cs="宋体"/>
                <w:color w:val="auto"/>
                <w:kern w:val="2"/>
                <w:sz w:val="24"/>
                <w:szCs w:val="24"/>
                <w:highlight w:val="none"/>
                <w:lang w:val="en-US" w:eastAsia="zh-CN" w:bidi="ar"/>
              </w:rPr>
            </w:pPr>
            <w:r>
              <w:rPr>
                <w:rFonts w:hint="eastAsia" w:ascii="宋体" w:hAnsi="宋体" w:cs="宋体"/>
                <w:color w:val="auto"/>
                <w:sz w:val="24"/>
                <w:szCs w:val="24"/>
                <w:lang w:val="en-US" w:eastAsia="zh-CN"/>
              </w:rPr>
              <w:t>资格声明（含中小企业声明函）</w:t>
            </w:r>
          </w:p>
        </w:tc>
        <w:tc>
          <w:tcPr>
            <w:tcW w:w="6650" w:type="dxa"/>
            <w:noWrap w:val="0"/>
            <w:vAlign w:val="top"/>
          </w:tcPr>
          <w:p w14:paraId="118EA09B">
            <w:pPr>
              <w:widowControl/>
              <w:spacing w:before="156" w:beforeLines="50" w:line="360" w:lineRule="auto"/>
              <w:jc w:val="left"/>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投标人是否</w:t>
            </w:r>
            <w:r>
              <w:rPr>
                <w:rFonts w:hint="eastAsia" w:ascii="宋体" w:hAnsi="宋体" w:eastAsia="宋体" w:cs="宋体"/>
                <w:color w:val="auto"/>
                <w:sz w:val="24"/>
                <w:szCs w:val="24"/>
              </w:rPr>
              <w:t>独立承担民事责任、具有良好的商业信誉和健全的财务会计制度、依法缴纳税收和社会保障资金,在前三年的经营活动中无重大违法记录,未列入严重失信行为名单,符合政府采购供应商的基本资格要求。</w:t>
            </w:r>
          </w:p>
        </w:tc>
      </w:tr>
      <w:tr w14:paraId="200065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75" w:type="dxa"/>
            <w:noWrap w:val="0"/>
            <w:vAlign w:val="center"/>
          </w:tcPr>
          <w:p w14:paraId="183345FB">
            <w:pPr>
              <w:adjustRightInd w:val="0"/>
              <w:snapToGrid w:val="0"/>
              <w:spacing w:before="156" w:beforeLines="50" w:line="360" w:lineRule="auto"/>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5</w:t>
            </w:r>
          </w:p>
        </w:tc>
        <w:tc>
          <w:tcPr>
            <w:tcW w:w="2596" w:type="dxa"/>
            <w:noWrap w:val="0"/>
            <w:vAlign w:val="center"/>
          </w:tcPr>
          <w:p w14:paraId="67F5ECEA">
            <w:pPr>
              <w:adjustRightInd w:val="0"/>
              <w:snapToGrid w:val="0"/>
              <w:spacing w:beforeLines="50" w:line="360" w:lineRule="auto"/>
              <w:jc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投标人信用</w:t>
            </w:r>
          </w:p>
          <w:p w14:paraId="3ECC55F7">
            <w:pPr>
              <w:adjustRightInd w:val="0"/>
              <w:snapToGrid w:val="0"/>
              <w:spacing w:beforeLines="50"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lang w:val="en-US" w:eastAsia="zh-CN"/>
              </w:rPr>
              <w:t>记录</w:t>
            </w:r>
          </w:p>
        </w:tc>
        <w:tc>
          <w:tcPr>
            <w:tcW w:w="6650" w:type="dxa"/>
            <w:noWrap w:val="0"/>
            <w:vAlign w:val="top"/>
          </w:tcPr>
          <w:p w14:paraId="0792FBBD">
            <w:pPr>
              <w:tabs>
                <w:tab w:val="left" w:pos="1080"/>
              </w:tabs>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查询渠道：信用中国网站</w:t>
            </w:r>
            <w:r>
              <w:rPr>
                <w:rFonts w:hint="eastAsia" w:ascii="宋体" w:hAnsi="宋体" w:eastAsia="宋体" w:cs="宋体"/>
                <w:color w:val="auto"/>
              </w:rPr>
              <w:t>www.creditchina.gov.cn</w:t>
            </w:r>
            <w:r>
              <w:rPr>
                <w:rFonts w:hint="eastAsia" w:ascii="宋体" w:hAnsi="宋体" w:eastAsia="宋体" w:cs="宋体"/>
                <w:color w:val="auto"/>
                <w:sz w:val="24"/>
                <w:lang w:val="en-US" w:eastAsia="zh-CN"/>
              </w:rPr>
              <w:t>和</w:t>
            </w:r>
            <w:r>
              <w:rPr>
                <w:rFonts w:hint="eastAsia" w:ascii="宋体" w:hAnsi="宋体" w:eastAsia="宋体" w:cs="宋体"/>
                <w:color w:val="auto"/>
                <w:sz w:val="24"/>
              </w:rPr>
              <w:t>中国政府采购网</w:t>
            </w:r>
            <w:r>
              <w:rPr>
                <w:rFonts w:hint="eastAsia" w:ascii="宋体" w:hAnsi="宋体" w:eastAsia="宋体" w:cs="宋体"/>
                <w:color w:val="auto"/>
              </w:rPr>
              <w:t>www.ccgp.gov.cn</w:t>
            </w:r>
            <w:r>
              <w:rPr>
                <w:rFonts w:hint="eastAsia" w:ascii="宋体" w:hAnsi="宋体" w:eastAsia="宋体" w:cs="宋体"/>
                <w:color w:val="auto"/>
                <w:sz w:val="24"/>
              </w:rPr>
              <w:t>；</w:t>
            </w:r>
          </w:p>
          <w:p w14:paraId="4F87CD47">
            <w:pPr>
              <w:tabs>
                <w:tab w:val="left" w:pos="900"/>
                <w:tab w:val="left" w:pos="1980"/>
              </w:tabs>
              <w:snapToGrid w:val="0"/>
              <w:spacing w:line="360" w:lineRule="auto"/>
              <w:rPr>
                <w:rFonts w:hint="eastAsia" w:ascii="宋体" w:hAnsi="宋体" w:eastAsia="宋体" w:cs="宋体"/>
                <w:sz w:val="24"/>
              </w:rPr>
            </w:pPr>
            <w:r>
              <w:rPr>
                <w:rFonts w:hint="eastAsia" w:ascii="宋体" w:hAnsi="宋体" w:eastAsia="宋体" w:cs="宋体"/>
                <w:sz w:val="24"/>
              </w:rPr>
              <w:t>截止时点：投标截止时间以后、资格审查阶段采购人或采购代理机构的实际查询时间；</w:t>
            </w:r>
          </w:p>
          <w:p w14:paraId="63EFD291">
            <w:pPr>
              <w:tabs>
                <w:tab w:val="left" w:pos="900"/>
                <w:tab w:val="left" w:pos="1980"/>
              </w:tabs>
              <w:snapToGrid w:val="0"/>
              <w:spacing w:line="360" w:lineRule="auto"/>
              <w:rPr>
                <w:rFonts w:hint="eastAsia" w:ascii="宋体" w:hAnsi="宋体" w:eastAsia="宋体" w:cs="宋体"/>
                <w:sz w:val="24"/>
              </w:rPr>
            </w:pPr>
            <w:r>
              <w:rPr>
                <w:rFonts w:hint="eastAsia" w:ascii="宋体" w:hAnsi="宋体" w:eastAsia="宋体" w:cs="宋体"/>
                <w:sz w:val="24"/>
              </w:rPr>
              <w:t>信用信息查询记录和证据留存具体方式：查询结果网页打印页作为查询记录和证据，与其他采购文件一并保存；</w:t>
            </w:r>
          </w:p>
          <w:p w14:paraId="214C8FC7">
            <w:pPr>
              <w:adjustRightInd w:val="0"/>
              <w:snapToGrid w:val="0"/>
              <w:spacing w:beforeLines="50" w:line="360" w:lineRule="auto"/>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信用信息的使用原则：供应商在“信用中国”网站被列入失信被执行人和重大税收违法案件当事人名单</w:t>
            </w:r>
            <w:r>
              <w:rPr>
                <w:rFonts w:hint="eastAsia" w:ascii="宋体" w:hAnsi="宋体" w:cs="宋体"/>
                <w:color w:val="auto"/>
                <w:sz w:val="24"/>
                <w:lang w:val="en-US" w:eastAsia="zh-CN"/>
              </w:rPr>
              <w:t>等</w:t>
            </w:r>
            <w:r>
              <w:rPr>
                <w:rFonts w:hint="eastAsia" w:ascii="宋体" w:hAnsi="宋体" w:eastAsia="宋体" w:cs="宋体"/>
                <w:color w:val="auto"/>
                <w:sz w:val="24"/>
              </w:rPr>
              <w:t>，或在“中国政府采购网”网站被列入政府采购严重违法失信行为记录名单</w:t>
            </w:r>
            <w:r>
              <w:rPr>
                <w:rFonts w:hint="eastAsia" w:ascii="宋体" w:hAnsi="宋体" w:cs="宋体"/>
                <w:color w:val="auto"/>
                <w:sz w:val="24"/>
                <w:lang w:val="en-US" w:eastAsia="zh-CN"/>
              </w:rPr>
              <w:t>等</w:t>
            </w:r>
            <w:r>
              <w:rPr>
                <w:rFonts w:hint="eastAsia" w:ascii="宋体" w:hAnsi="宋体" w:eastAsia="宋体" w:cs="宋体"/>
                <w:color w:val="auto"/>
                <w:sz w:val="24"/>
              </w:rPr>
              <w:t>。供应商有上述不良信用记录的，其</w:t>
            </w:r>
            <w:r>
              <w:rPr>
                <w:rFonts w:hint="eastAsia" w:ascii="宋体" w:hAnsi="宋体" w:eastAsia="宋体" w:cs="宋体"/>
                <w:b/>
                <w:color w:val="auto"/>
                <w:sz w:val="24"/>
              </w:rPr>
              <w:t>投标无效</w:t>
            </w:r>
            <w:r>
              <w:rPr>
                <w:rFonts w:hint="eastAsia" w:ascii="宋体" w:hAnsi="宋体" w:eastAsia="宋体" w:cs="宋体"/>
                <w:color w:val="auto"/>
                <w:sz w:val="24"/>
              </w:rPr>
              <w:t>。联合体形式投标的</w:t>
            </w:r>
            <w:r>
              <w:rPr>
                <w:rFonts w:hint="eastAsia" w:ascii="宋体" w:hAnsi="宋体" w:eastAsia="宋体" w:cs="宋体"/>
                <w:sz w:val="24"/>
              </w:rPr>
              <w:t>，联合体成员存在不良信用记录，视同联合体存在不良信用记录。</w:t>
            </w:r>
            <w:r>
              <w:rPr>
                <w:rFonts w:hint="eastAsia" w:ascii="宋体" w:hAnsi="宋体" w:eastAsia="宋体" w:cs="宋体"/>
                <w:color w:val="auto"/>
                <w:kern w:val="0"/>
                <w:sz w:val="24"/>
                <w:lang w:val="en-US" w:eastAsia="zh-CN"/>
              </w:rPr>
              <w:t>(</w:t>
            </w:r>
            <w:r>
              <w:rPr>
                <w:rFonts w:hint="eastAsia" w:ascii="宋体" w:hAnsi="宋体" w:eastAsia="宋体" w:cs="宋体"/>
                <w:sz w:val="24"/>
              </w:rPr>
              <w:t>无须投标人提供，由采购人或采购代理机构查询。</w:t>
            </w:r>
            <w:r>
              <w:rPr>
                <w:rFonts w:hint="eastAsia" w:ascii="宋体" w:hAnsi="宋体" w:eastAsia="宋体" w:cs="宋体"/>
                <w:color w:val="auto"/>
                <w:kern w:val="0"/>
                <w:sz w:val="24"/>
                <w:lang w:val="en-US" w:eastAsia="zh-CN"/>
              </w:rPr>
              <w:t>)</w:t>
            </w:r>
          </w:p>
        </w:tc>
      </w:tr>
      <w:tr w14:paraId="4DB518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75" w:type="dxa"/>
            <w:noWrap w:val="0"/>
            <w:vAlign w:val="center"/>
          </w:tcPr>
          <w:p w14:paraId="7B8AF2EA">
            <w:pPr>
              <w:adjustRightInd w:val="0"/>
              <w:snapToGrid w:val="0"/>
              <w:spacing w:before="156" w:beforeLines="50" w:line="360" w:lineRule="auto"/>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6</w:t>
            </w:r>
          </w:p>
        </w:tc>
        <w:tc>
          <w:tcPr>
            <w:tcW w:w="2596" w:type="dxa"/>
            <w:noWrap w:val="0"/>
            <w:vAlign w:val="center"/>
          </w:tcPr>
          <w:p w14:paraId="746F8031">
            <w:pPr>
              <w:adjustRightInd w:val="0"/>
              <w:snapToGrid w:val="0"/>
              <w:spacing w:beforeLines="50"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0"/>
                <w:sz w:val="24"/>
                <w:lang w:val="en-US" w:eastAsia="zh-CN"/>
              </w:rPr>
              <w:t>特定资格条件</w:t>
            </w:r>
          </w:p>
        </w:tc>
        <w:tc>
          <w:tcPr>
            <w:tcW w:w="6650" w:type="dxa"/>
            <w:noWrap w:val="0"/>
            <w:vAlign w:val="top"/>
          </w:tcPr>
          <w:p w14:paraId="6D710209">
            <w:pPr>
              <w:adjustRightInd w:val="0"/>
              <w:snapToGrid w:val="0"/>
              <w:spacing w:beforeLines="50" w:line="360" w:lineRule="auto"/>
              <w:rPr>
                <w:rFonts w:hint="eastAsia" w:ascii="宋体" w:hAnsi="宋体" w:eastAsia="宋体" w:cs="宋体"/>
                <w:color w:val="auto"/>
                <w:kern w:val="0"/>
                <w:sz w:val="24"/>
                <w:szCs w:val="24"/>
                <w:lang w:val="en-US" w:eastAsia="zh-CN" w:bidi="ar-SA"/>
              </w:rPr>
            </w:pPr>
          </w:p>
        </w:tc>
      </w:tr>
      <w:tr w14:paraId="0E6018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75" w:type="dxa"/>
            <w:shd w:val="clear" w:color="auto" w:fill="auto"/>
            <w:noWrap w:val="0"/>
            <w:vAlign w:val="center"/>
          </w:tcPr>
          <w:p w14:paraId="7469A68D">
            <w:pPr>
              <w:adjustRightInd w:val="0"/>
              <w:snapToGrid w:val="0"/>
              <w:spacing w:before="156" w:beforeLines="50" w:line="360" w:lineRule="auto"/>
              <w:jc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rPr>
              <w:t>7</w:t>
            </w:r>
          </w:p>
        </w:tc>
        <w:tc>
          <w:tcPr>
            <w:tcW w:w="2596" w:type="dxa"/>
            <w:shd w:val="clear" w:color="auto" w:fill="auto"/>
            <w:noWrap w:val="0"/>
            <w:vAlign w:val="center"/>
          </w:tcPr>
          <w:p w14:paraId="22C51ACA">
            <w:pPr>
              <w:adjustRightInd w:val="0"/>
              <w:snapToGrid w:val="0"/>
              <w:spacing w:before="156" w:beforeLines="50" w:line="360" w:lineRule="auto"/>
              <w:jc w:val="center"/>
              <w:rPr>
                <w:rFonts w:hint="eastAsia" w:ascii="宋体" w:hAnsi="宋体" w:eastAsia="宋体" w:cs="宋体"/>
                <w:color w:val="auto"/>
                <w:kern w:val="0"/>
                <w:sz w:val="24"/>
                <w:szCs w:val="24"/>
                <w:lang w:val="en-US" w:eastAsia="zh-CN" w:bidi="ar-SA"/>
              </w:rPr>
            </w:pPr>
            <w:r>
              <w:rPr>
                <w:rFonts w:hint="eastAsia" w:ascii="宋体" w:hAnsi="宋体" w:cs="宋体"/>
                <w:b w:val="0"/>
                <w:bCs w:val="0"/>
                <w:color w:val="auto"/>
                <w:kern w:val="0"/>
                <w:sz w:val="24"/>
                <w:lang w:val="en-US" w:eastAsia="zh-CN"/>
              </w:rPr>
              <w:t>法律法规和招标文件规定的其他投标无效情形的</w:t>
            </w:r>
          </w:p>
        </w:tc>
        <w:tc>
          <w:tcPr>
            <w:tcW w:w="6650" w:type="dxa"/>
            <w:shd w:val="clear" w:color="auto" w:fill="auto"/>
            <w:noWrap w:val="0"/>
            <w:vAlign w:val="center"/>
          </w:tcPr>
          <w:p w14:paraId="7B652E4E">
            <w:pPr>
              <w:spacing w:line="360" w:lineRule="auto"/>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无法律法规和招标文件规定的其他投标无效情形</w:t>
            </w:r>
          </w:p>
        </w:tc>
      </w:tr>
      <w:tr w14:paraId="32F12F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trPr>
        <w:tc>
          <w:tcPr>
            <w:tcW w:w="775" w:type="dxa"/>
            <w:noWrap w:val="0"/>
            <w:vAlign w:val="center"/>
          </w:tcPr>
          <w:p w14:paraId="452837B6">
            <w:pPr>
              <w:adjustRightInd w:val="0"/>
              <w:snapToGrid w:val="0"/>
              <w:spacing w:before="156" w:beforeLines="50"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结论</w:t>
            </w:r>
          </w:p>
        </w:tc>
        <w:tc>
          <w:tcPr>
            <w:tcW w:w="9246" w:type="dxa"/>
            <w:gridSpan w:val="2"/>
            <w:noWrap w:val="0"/>
            <w:vAlign w:val="center"/>
          </w:tcPr>
          <w:p w14:paraId="4B766165">
            <w:pPr>
              <w:adjustRightInd w:val="0"/>
              <w:snapToGrid w:val="0"/>
              <w:spacing w:before="156" w:beforeLines="50" w:line="360" w:lineRule="auto"/>
              <w:jc w:val="center"/>
              <w:rPr>
                <w:rFonts w:hint="eastAsia" w:ascii="宋体" w:hAnsi="宋体" w:eastAsia="宋体" w:cs="宋体"/>
                <w:color w:val="auto"/>
                <w:kern w:val="0"/>
                <w:sz w:val="24"/>
                <w:szCs w:val="24"/>
              </w:rPr>
            </w:pPr>
            <w:r>
              <w:rPr>
                <w:rFonts w:hint="eastAsia" w:ascii="宋体" w:hAnsi="宋体" w:eastAsia="宋体" w:cs="宋体"/>
                <w:color w:val="auto"/>
                <w:sz w:val="24"/>
              </w:rPr>
              <w:t>审查结果“合格”或“不合格”</w:t>
            </w:r>
          </w:p>
        </w:tc>
      </w:tr>
    </w:tbl>
    <w:p w14:paraId="588E0004">
      <w:pPr>
        <w:adjustRightInd w:val="0"/>
        <w:snapToGrid w:val="0"/>
        <w:spacing w:line="360" w:lineRule="auto"/>
        <w:rPr>
          <w:rFonts w:hint="eastAsia" w:ascii="宋体" w:hAnsi="宋体" w:eastAsia="宋体" w:cs="宋体"/>
          <w:b/>
          <w:bCs/>
          <w:color w:val="auto"/>
          <w:sz w:val="24"/>
        </w:rPr>
      </w:pPr>
    </w:p>
    <w:p w14:paraId="17F887A2">
      <w:pPr>
        <w:adjustRightInd w:val="0"/>
        <w:snapToGrid w:val="0"/>
        <w:spacing w:line="360" w:lineRule="auto"/>
        <w:rPr>
          <w:rFonts w:hint="eastAsia"/>
        </w:rPr>
      </w:pPr>
      <w:r>
        <w:rPr>
          <w:rFonts w:hint="eastAsia" w:ascii="宋体" w:hAnsi="宋体" w:eastAsia="宋体" w:cs="宋体"/>
          <w:b/>
          <w:bCs/>
          <w:color w:val="auto"/>
          <w:sz w:val="24"/>
        </w:rPr>
        <w:t>采购人（签字）：</w:t>
      </w:r>
    </w:p>
    <w:p w14:paraId="0EB00E0E">
      <w:pPr>
        <w:adjustRightInd w:val="0"/>
        <w:snapToGrid w:val="0"/>
        <w:spacing w:line="360" w:lineRule="auto"/>
        <w:rPr>
          <w:rFonts w:hint="eastAsia" w:ascii="宋体" w:hAnsi="宋体" w:eastAsia="宋体" w:cs="宋体"/>
          <w:b/>
          <w:bCs/>
          <w:color w:val="auto"/>
          <w:sz w:val="24"/>
        </w:rPr>
      </w:pPr>
      <w:r>
        <w:rPr>
          <w:rFonts w:hint="eastAsia" w:ascii="宋体" w:hAnsi="宋体" w:eastAsia="宋体" w:cs="宋体"/>
          <w:b/>
          <w:bCs/>
          <w:color w:val="auto"/>
          <w:sz w:val="24"/>
        </w:rPr>
        <w:t>采购代理机构（签字）：</w:t>
      </w:r>
    </w:p>
    <w:p w14:paraId="409A8923">
      <w:pPr>
        <w:spacing w:line="360" w:lineRule="auto"/>
        <w:rPr>
          <w:rFonts w:hint="eastAsia" w:ascii="宋体" w:hAnsi="宋体" w:eastAsia="宋体" w:cs="宋体"/>
          <w:b/>
          <w:bCs/>
          <w:color w:val="auto"/>
          <w:sz w:val="24"/>
        </w:rPr>
      </w:pPr>
    </w:p>
    <w:p w14:paraId="1277140C">
      <w:pPr>
        <w:spacing w:line="360" w:lineRule="auto"/>
        <w:ind w:firstLine="7200" w:firstLineChars="3000"/>
        <w:rPr>
          <w:rFonts w:hint="eastAsia" w:ascii="宋体" w:hAnsi="宋体" w:eastAsia="宋体" w:cs="宋体"/>
          <w:color w:val="auto"/>
          <w:sz w:val="24"/>
          <w:szCs w:val="24"/>
        </w:rPr>
      </w:pPr>
      <w:r>
        <w:rPr>
          <w:rFonts w:hint="eastAsia" w:ascii="宋体" w:hAnsi="宋体" w:eastAsia="宋体" w:cs="宋体"/>
          <w:color w:val="auto"/>
          <w:sz w:val="24"/>
          <w:szCs w:val="24"/>
        </w:rPr>
        <w:t xml:space="preserve">    年  月  日</w:t>
      </w:r>
    </w:p>
    <w:p w14:paraId="0B81EC52">
      <w:pPr>
        <w:rPr>
          <w:rFonts w:hint="eastAsia" w:ascii="宋体" w:hAnsi="宋体" w:eastAsia="宋体" w:cs="宋体"/>
          <w:color w:val="auto"/>
          <w:sz w:val="24"/>
          <w:szCs w:val="24"/>
        </w:rPr>
      </w:pPr>
    </w:p>
    <w:p w14:paraId="62C5B3E7">
      <w:pPr>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0D67312C">
      <w:pPr>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1、上述内容合格用“√”表示，不合格用“×”表示；</w:t>
      </w:r>
    </w:p>
    <w:p w14:paraId="2A9180A1">
      <w:pPr>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2、在结论栏中填写“合格”或“不合格”。</w:t>
      </w:r>
    </w:p>
    <w:p w14:paraId="7994A038">
      <w:pPr>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3、以上内容有一项不合格的，则初步评审的综合评定结果为不合格。</w:t>
      </w:r>
    </w:p>
    <w:p w14:paraId="78DC316B">
      <w:pPr>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4、结论为“不合格”的</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不得进入实质性评价打分程序。</w:t>
      </w:r>
    </w:p>
    <w:p w14:paraId="753DFADB">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br w:type="page"/>
      </w:r>
    </w:p>
    <w:p w14:paraId="0E271D8F">
      <w:pPr>
        <w:pStyle w:val="4"/>
        <w:keepNext w:val="0"/>
        <w:keepLines w:val="0"/>
        <w:jc w:val="left"/>
        <w:rPr>
          <w:rFonts w:hint="eastAsia" w:ascii="宋体" w:hAnsi="宋体" w:eastAsia="宋体" w:cs="宋体"/>
          <w:b w:val="0"/>
          <w:bCs w:val="0"/>
          <w:color w:val="auto"/>
          <w:sz w:val="24"/>
          <w:szCs w:val="24"/>
        </w:rPr>
      </w:pPr>
      <w:bookmarkStart w:id="74" w:name="_Toc29261"/>
      <w:bookmarkStart w:id="75" w:name="_Toc7077"/>
      <w:r>
        <w:rPr>
          <w:rFonts w:hint="eastAsia" w:ascii="宋体" w:hAnsi="宋体" w:eastAsia="宋体" w:cs="宋体"/>
          <w:b w:val="0"/>
          <w:bCs w:val="0"/>
          <w:color w:val="auto"/>
          <w:sz w:val="24"/>
          <w:szCs w:val="24"/>
        </w:rPr>
        <w:t xml:space="preserve">附表2 </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资格审查结果一览表</w:t>
      </w:r>
      <w:bookmarkEnd w:id="67"/>
      <w:bookmarkEnd w:id="68"/>
      <w:bookmarkEnd w:id="69"/>
      <w:bookmarkEnd w:id="70"/>
      <w:bookmarkEnd w:id="71"/>
      <w:bookmarkEnd w:id="72"/>
      <w:bookmarkEnd w:id="73"/>
      <w:bookmarkEnd w:id="74"/>
      <w:bookmarkEnd w:id="75"/>
    </w:p>
    <w:p w14:paraId="7660BD3F">
      <w:pPr>
        <w:adjustRightInd w:val="0"/>
        <w:snapToGrid w:val="0"/>
        <w:spacing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资格审查结果一览表</w:t>
      </w:r>
    </w:p>
    <w:p w14:paraId="65006D13">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项目名称：</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w:t>
      </w:r>
      <w:r>
        <w:rPr>
          <w:rFonts w:hint="eastAsia" w:ascii="宋体" w:hAnsi="宋体" w:cs="宋体"/>
          <w:color w:val="auto"/>
          <w:sz w:val="24"/>
          <w:szCs w:val="24"/>
          <w:lang w:eastAsia="zh-CN"/>
        </w:rPr>
        <w:t>政府采购编号</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p>
    <w:tbl>
      <w:tblPr>
        <w:tblStyle w:val="45"/>
        <w:tblW w:w="9976"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6"/>
        <w:gridCol w:w="3720"/>
        <w:gridCol w:w="2580"/>
        <w:gridCol w:w="2820"/>
      </w:tblGrid>
      <w:tr w14:paraId="3825BC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9" w:hRule="atLeast"/>
        </w:trPr>
        <w:tc>
          <w:tcPr>
            <w:tcW w:w="856" w:type="dxa"/>
            <w:noWrap w:val="0"/>
            <w:vAlign w:val="center"/>
          </w:tcPr>
          <w:p w14:paraId="4313D84F">
            <w:pPr>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序号</w:t>
            </w:r>
          </w:p>
        </w:tc>
        <w:tc>
          <w:tcPr>
            <w:tcW w:w="3720" w:type="dxa"/>
            <w:noWrap w:val="0"/>
            <w:vAlign w:val="center"/>
          </w:tcPr>
          <w:p w14:paraId="15E0C3B8">
            <w:pPr>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投标人名称</w:t>
            </w:r>
          </w:p>
        </w:tc>
        <w:tc>
          <w:tcPr>
            <w:tcW w:w="2580" w:type="dxa"/>
            <w:noWrap w:val="0"/>
            <w:vAlign w:val="center"/>
          </w:tcPr>
          <w:p w14:paraId="02A44EE4">
            <w:pPr>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资格审查结果</w:t>
            </w:r>
          </w:p>
          <w:p w14:paraId="6E0BAA59">
            <w:pPr>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（合格/不合格）</w:t>
            </w:r>
          </w:p>
        </w:tc>
        <w:tc>
          <w:tcPr>
            <w:tcW w:w="2820" w:type="dxa"/>
            <w:noWrap w:val="0"/>
            <w:vAlign w:val="center"/>
          </w:tcPr>
          <w:p w14:paraId="69FA9E4F">
            <w:pPr>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资格审查不合格原因</w:t>
            </w:r>
          </w:p>
        </w:tc>
      </w:tr>
      <w:tr w14:paraId="4D4DCE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6" w:hRule="atLeast"/>
        </w:trPr>
        <w:tc>
          <w:tcPr>
            <w:tcW w:w="856" w:type="dxa"/>
            <w:noWrap w:val="0"/>
            <w:vAlign w:val="top"/>
          </w:tcPr>
          <w:p w14:paraId="5F048536">
            <w:pPr>
              <w:adjustRightInd w:val="0"/>
              <w:snapToGrid w:val="0"/>
              <w:spacing w:line="360" w:lineRule="auto"/>
              <w:rPr>
                <w:rFonts w:hint="eastAsia" w:ascii="宋体" w:hAnsi="宋体" w:eastAsia="宋体" w:cs="宋体"/>
                <w:color w:val="auto"/>
                <w:kern w:val="0"/>
                <w:sz w:val="24"/>
                <w:szCs w:val="24"/>
              </w:rPr>
            </w:pPr>
          </w:p>
        </w:tc>
        <w:tc>
          <w:tcPr>
            <w:tcW w:w="3720" w:type="dxa"/>
            <w:noWrap w:val="0"/>
            <w:vAlign w:val="top"/>
          </w:tcPr>
          <w:p w14:paraId="2DE828AC">
            <w:pPr>
              <w:adjustRightInd w:val="0"/>
              <w:snapToGrid w:val="0"/>
              <w:spacing w:line="360" w:lineRule="auto"/>
              <w:rPr>
                <w:rFonts w:hint="eastAsia" w:ascii="宋体" w:hAnsi="宋体" w:eastAsia="宋体" w:cs="宋体"/>
                <w:color w:val="auto"/>
                <w:kern w:val="0"/>
                <w:sz w:val="24"/>
                <w:szCs w:val="24"/>
              </w:rPr>
            </w:pPr>
          </w:p>
        </w:tc>
        <w:tc>
          <w:tcPr>
            <w:tcW w:w="2580" w:type="dxa"/>
            <w:noWrap w:val="0"/>
            <w:vAlign w:val="top"/>
          </w:tcPr>
          <w:p w14:paraId="6588BE0C">
            <w:pPr>
              <w:adjustRightInd w:val="0"/>
              <w:snapToGrid w:val="0"/>
              <w:spacing w:line="360" w:lineRule="auto"/>
              <w:rPr>
                <w:rFonts w:hint="eastAsia" w:ascii="宋体" w:hAnsi="宋体" w:eastAsia="宋体" w:cs="宋体"/>
                <w:color w:val="auto"/>
                <w:kern w:val="0"/>
                <w:sz w:val="24"/>
                <w:szCs w:val="24"/>
              </w:rPr>
            </w:pPr>
          </w:p>
        </w:tc>
        <w:tc>
          <w:tcPr>
            <w:tcW w:w="2820" w:type="dxa"/>
            <w:noWrap w:val="0"/>
            <w:vAlign w:val="top"/>
          </w:tcPr>
          <w:p w14:paraId="4EF1AE5A">
            <w:pPr>
              <w:adjustRightInd w:val="0"/>
              <w:snapToGrid w:val="0"/>
              <w:spacing w:line="360" w:lineRule="auto"/>
              <w:rPr>
                <w:rFonts w:hint="eastAsia" w:ascii="宋体" w:hAnsi="宋体" w:eastAsia="宋体" w:cs="宋体"/>
                <w:color w:val="auto"/>
                <w:kern w:val="0"/>
                <w:sz w:val="24"/>
                <w:szCs w:val="24"/>
              </w:rPr>
            </w:pPr>
          </w:p>
        </w:tc>
      </w:tr>
      <w:tr w14:paraId="4A4BB7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1" w:hRule="atLeast"/>
        </w:trPr>
        <w:tc>
          <w:tcPr>
            <w:tcW w:w="856" w:type="dxa"/>
            <w:noWrap w:val="0"/>
            <w:vAlign w:val="top"/>
          </w:tcPr>
          <w:p w14:paraId="2F48521E">
            <w:pPr>
              <w:adjustRightInd w:val="0"/>
              <w:snapToGrid w:val="0"/>
              <w:spacing w:line="360" w:lineRule="auto"/>
              <w:rPr>
                <w:rFonts w:hint="eastAsia" w:ascii="宋体" w:hAnsi="宋体" w:eastAsia="宋体" w:cs="宋体"/>
                <w:color w:val="auto"/>
                <w:kern w:val="0"/>
                <w:sz w:val="24"/>
                <w:szCs w:val="24"/>
              </w:rPr>
            </w:pPr>
          </w:p>
        </w:tc>
        <w:tc>
          <w:tcPr>
            <w:tcW w:w="3720" w:type="dxa"/>
            <w:noWrap w:val="0"/>
            <w:vAlign w:val="top"/>
          </w:tcPr>
          <w:p w14:paraId="1F3CD080">
            <w:pPr>
              <w:adjustRightInd w:val="0"/>
              <w:snapToGrid w:val="0"/>
              <w:spacing w:line="360" w:lineRule="auto"/>
              <w:rPr>
                <w:rFonts w:hint="eastAsia" w:ascii="宋体" w:hAnsi="宋体" w:eastAsia="宋体" w:cs="宋体"/>
                <w:color w:val="auto"/>
                <w:kern w:val="0"/>
                <w:sz w:val="24"/>
                <w:szCs w:val="24"/>
              </w:rPr>
            </w:pPr>
          </w:p>
        </w:tc>
        <w:tc>
          <w:tcPr>
            <w:tcW w:w="2580" w:type="dxa"/>
            <w:noWrap w:val="0"/>
            <w:vAlign w:val="top"/>
          </w:tcPr>
          <w:p w14:paraId="01D6522A">
            <w:pPr>
              <w:adjustRightInd w:val="0"/>
              <w:snapToGrid w:val="0"/>
              <w:spacing w:line="360" w:lineRule="auto"/>
              <w:rPr>
                <w:rFonts w:hint="eastAsia" w:ascii="宋体" w:hAnsi="宋体" w:eastAsia="宋体" w:cs="宋体"/>
                <w:color w:val="auto"/>
                <w:kern w:val="0"/>
                <w:sz w:val="24"/>
                <w:szCs w:val="24"/>
              </w:rPr>
            </w:pPr>
          </w:p>
        </w:tc>
        <w:tc>
          <w:tcPr>
            <w:tcW w:w="2820" w:type="dxa"/>
            <w:noWrap w:val="0"/>
            <w:vAlign w:val="top"/>
          </w:tcPr>
          <w:p w14:paraId="4E3E1CCE">
            <w:pPr>
              <w:adjustRightInd w:val="0"/>
              <w:snapToGrid w:val="0"/>
              <w:spacing w:line="360" w:lineRule="auto"/>
              <w:rPr>
                <w:rFonts w:hint="eastAsia" w:ascii="宋体" w:hAnsi="宋体" w:eastAsia="宋体" w:cs="宋体"/>
                <w:color w:val="auto"/>
                <w:kern w:val="0"/>
                <w:sz w:val="24"/>
                <w:szCs w:val="24"/>
              </w:rPr>
            </w:pPr>
          </w:p>
        </w:tc>
      </w:tr>
      <w:tr w14:paraId="0DEDB1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1" w:hRule="atLeast"/>
        </w:trPr>
        <w:tc>
          <w:tcPr>
            <w:tcW w:w="856" w:type="dxa"/>
            <w:noWrap w:val="0"/>
            <w:vAlign w:val="top"/>
          </w:tcPr>
          <w:p w14:paraId="0F299D2B">
            <w:pPr>
              <w:adjustRightInd w:val="0"/>
              <w:snapToGrid w:val="0"/>
              <w:spacing w:line="360" w:lineRule="auto"/>
              <w:rPr>
                <w:rFonts w:hint="eastAsia" w:ascii="宋体" w:hAnsi="宋体" w:eastAsia="宋体" w:cs="宋体"/>
                <w:color w:val="auto"/>
                <w:kern w:val="0"/>
                <w:sz w:val="24"/>
                <w:szCs w:val="24"/>
              </w:rPr>
            </w:pPr>
          </w:p>
        </w:tc>
        <w:tc>
          <w:tcPr>
            <w:tcW w:w="3720" w:type="dxa"/>
            <w:noWrap w:val="0"/>
            <w:vAlign w:val="top"/>
          </w:tcPr>
          <w:p w14:paraId="6A53DE2B">
            <w:pPr>
              <w:adjustRightInd w:val="0"/>
              <w:snapToGrid w:val="0"/>
              <w:spacing w:line="360" w:lineRule="auto"/>
              <w:rPr>
                <w:rFonts w:hint="eastAsia" w:ascii="宋体" w:hAnsi="宋体" w:eastAsia="宋体" w:cs="宋体"/>
                <w:color w:val="auto"/>
                <w:kern w:val="0"/>
                <w:sz w:val="24"/>
                <w:szCs w:val="24"/>
              </w:rPr>
            </w:pPr>
          </w:p>
        </w:tc>
        <w:tc>
          <w:tcPr>
            <w:tcW w:w="2580" w:type="dxa"/>
            <w:noWrap w:val="0"/>
            <w:vAlign w:val="top"/>
          </w:tcPr>
          <w:p w14:paraId="59A27DCA">
            <w:pPr>
              <w:adjustRightInd w:val="0"/>
              <w:snapToGrid w:val="0"/>
              <w:spacing w:line="360" w:lineRule="auto"/>
              <w:rPr>
                <w:rFonts w:hint="eastAsia" w:ascii="宋体" w:hAnsi="宋体" w:eastAsia="宋体" w:cs="宋体"/>
                <w:color w:val="auto"/>
                <w:kern w:val="0"/>
                <w:sz w:val="24"/>
                <w:szCs w:val="24"/>
              </w:rPr>
            </w:pPr>
          </w:p>
        </w:tc>
        <w:tc>
          <w:tcPr>
            <w:tcW w:w="2820" w:type="dxa"/>
            <w:noWrap w:val="0"/>
            <w:vAlign w:val="top"/>
          </w:tcPr>
          <w:p w14:paraId="00FE4F8A">
            <w:pPr>
              <w:adjustRightInd w:val="0"/>
              <w:snapToGrid w:val="0"/>
              <w:spacing w:line="360" w:lineRule="auto"/>
              <w:rPr>
                <w:rFonts w:hint="eastAsia" w:ascii="宋体" w:hAnsi="宋体" w:eastAsia="宋体" w:cs="宋体"/>
                <w:color w:val="auto"/>
                <w:kern w:val="0"/>
                <w:sz w:val="24"/>
                <w:szCs w:val="24"/>
              </w:rPr>
            </w:pPr>
          </w:p>
        </w:tc>
      </w:tr>
      <w:tr w14:paraId="040230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1" w:hRule="atLeast"/>
        </w:trPr>
        <w:tc>
          <w:tcPr>
            <w:tcW w:w="856" w:type="dxa"/>
            <w:noWrap w:val="0"/>
            <w:vAlign w:val="top"/>
          </w:tcPr>
          <w:p w14:paraId="4E9BE498">
            <w:pPr>
              <w:adjustRightInd w:val="0"/>
              <w:snapToGrid w:val="0"/>
              <w:spacing w:line="360" w:lineRule="auto"/>
              <w:rPr>
                <w:rFonts w:hint="eastAsia" w:ascii="宋体" w:hAnsi="宋体" w:eastAsia="宋体" w:cs="宋体"/>
                <w:color w:val="auto"/>
                <w:kern w:val="0"/>
                <w:sz w:val="24"/>
                <w:szCs w:val="24"/>
              </w:rPr>
            </w:pPr>
          </w:p>
        </w:tc>
        <w:tc>
          <w:tcPr>
            <w:tcW w:w="3720" w:type="dxa"/>
            <w:noWrap w:val="0"/>
            <w:vAlign w:val="top"/>
          </w:tcPr>
          <w:p w14:paraId="63697B17">
            <w:pPr>
              <w:adjustRightInd w:val="0"/>
              <w:snapToGrid w:val="0"/>
              <w:spacing w:line="360" w:lineRule="auto"/>
              <w:rPr>
                <w:rFonts w:hint="eastAsia" w:ascii="宋体" w:hAnsi="宋体" w:eastAsia="宋体" w:cs="宋体"/>
                <w:color w:val="auto"/>
                <w:kern w:val="0"/>
                <w:sz w:val="24"/>
                <w:szCs w:val="24"/>
              </w:rPr>
            </w:pPr>
          </w:p>
        </w:tc>
        <w:tc>
          <w:tcPr>
            <w:tcW w:w="2580" w:type="dxa"/>
            <w:noWrap w:val="0"/>
            <w:vAlign w:val="top"/>
          </w:tcPr>
          <w:p w14:paraId="02266ED9">
            <w:pPr>
              <w:adjustRightInd w:val="0"/>
              <w:snapToGrid w:val="0"/>
              <w:spacing w:line="360" w:lineRule="auto"/>
              <w:rPr>
                <w:rFonts w:hint="eastAsia" w:ascii="宋体" w:hAnsi="宋体" w:eastAsia="宋体" w:cs="宋体"/>
                <w:color w:val="auto"/>
                <w:kern w:val="0"/>
                <w:sz w:val="24"/>
                <w:szCs w:val="24"/>
              </w:rPr>
            </w:pPr>
          </w:p>
        </w:tc>
        <w:tc>
          <w:tcPr>
            <w:tcW w:w="2820" w:type="dxa"/>
            <w:noWrap w:val="0"/>
            <w:vAlign w:val="top"/>
          </w:tcPr>
          <w:p w14:paraId="7A5969C9">
            <w:pPr>
              <w:adjustRightInd w:val="0"/>
              <w:snapToGrid w:val="0"/>
              <w:spacing w:line="360" w:lineRule="auto"/>
              <w:rPr>
                <w:rFonts w:hint="eastAsia" w:ascii="宋体" w:hAnsi="宋体" w:eastAsia="宋体" w:cs="宋体"/>
                <w:color w:val="auto"/>
                <w:kern w:val="0"/>
                <w:sz w:val="24"/>
                <w:szCs w:val="24"/>
              </w:rPr>
            </w:pPr>
          </w:p>
        </w:tc>
      </w:tr>
      <w:tr w14:paraId="5736C3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6" w:hRule="atLeast"/>
        </w:trPr>
        <w:tc>
          <w:tcPr>
            <w:tcW w:w="856" w:type="dxa"/>
            <w:noWrap w:val="0"/>
            <w:vAlign w:val="top"/>
          </w:tcPr>
          <w:p w14:paraId="49DD0151">
            <w:pPr>
              <w:adjustRightInd w:val="0"/>
              <w:snapToGrid w:val="0"/>
              <w:spacing w:line="360" w:lineRule="auto"/>
              <w:rPr>
                <w:rFonts w:hint="eastAsia" w:ascii="宋体" w:hAnsi="宋体" w:eastAsia="宋体" w:cs="宋体"/>
                <w:color w:val="auto"/>
                <w:kern w:val="0"/>
                <w:sz w:val="24"/>
                <w:szCs w:val="24"/>
              </w:rPr>
            </w:pPr>
          </w:p>
        </w:tc>
        <w:tc>
          <w:tcPr>
            <w:tcW w:w="3720" w:type="dxa"/>
            <w:noWrap w:val="0"/>
            <w:vAlign w:val="top"/>
          </w:tcPr>
          <w:p w14:paraId="723F5E4F">
            <w:pPr>
              <w:adjustRightInd w:val="0"/>
              <w:snapToGrid w:val="0"/>
              <w:spacing w:line="360" w:lineRule="auto"/>
              <w:rPr>
                <w:rFonts w:hint="eastAsia" w:ascii="宋体" w:hAnsi="宋体" w:eastAsia="宋体" w:cs="宋体"/>
                <w:color w:val="auto"/>
                <w:kern w:val="0"/>
                <w:sz w:val="24"/>
                <w:szCs w:val="24"/>
              </w:rPr>
            </w:pPr>
          </w:p>
        </w:tc>
        <w:tc>
          <w:tcPr>
            <w:tcW w:w="2580" w:type="dxa"/>
            <w:noWrap w:val="0"/>
            <w:vAlign w:val="top"/>
          </w:tcPr>
          <w:p w14:paraId="25ECBF50">
            <w:pPr>
              <w:adjustRightInd w:val="0"/>
              <w:snapToGrid w:val="0"/>
              <w:spacing w:line="360" w:lineRule="auto"/>
              <w:rPr>
                <w:rFonts w:hint="eastAsia" w:ascii="宋体" w:hAnsi="宋体" w:eastAsia="宋体" w:cs="宋体"/>
                <w:color w:val="auto"/>
                <w:kern w:val="0"/>
                <w:sz w:val="24"/>
                <w:szCs w:val="24"/>
              </w:rPr>
            </w:pPr>
          </w:p>
        </w:tc>
        <w:tc>
          <w:tcPr>
            <w:tcW w:w="2820" w:type="dxa"/>
            <w:noWrap w:val="0"/>
            <w:vAlign w:val="top"/>
          </w:tcPr>
          <w:p w14:paraId="7EB112D9">
            <w:pPr>
              <w:adjustRightInd w:val="0"/>
              <w:snapToGrid w:val="0"/>
              <w:spacing w:line="360" w:lineRule="auto"/>
              <w:rPr>
                <w:rFonts w:hint="eastAsia" w:ascii="宋体" w:hAnsi="宋体" w:eastAsia="宋体" w:cs="宋体"/>
                <w:color w:val="auto"/>
                <w:kern w:val="0"/>
                <w:sz w:val="24"/>
                <w:szCs w:val="24"/>
              </w:rPr>
            </w:pPr>
          </w:p>
        </w:tc>
      </w:tr>
    </w:tbl>
    <w:p w14:paraId="6FCCAD96">
      <w:pPr>
        <w:adjustRightInd w:val="0"/>
        <w:snapToGrid w:val="0"/>
        <w:spacing w:line="360" w:lineRule="auto"/>
        <w:rPr>
          <w:rFonts w:hint="eastAsia" w:ascii="宋体" w:hAnsi="宋体" w:eastAsia="宋体" w:cs="宋体"/>
          <w:color w:val="auto"/>
          <w:sz w:val="24"/>
        </w:rPr>
      </w:pPr>
    </w:p>
    <w:p w14:paraId="129D9DEB">
      <w:pPr>
        <w:adjustRightInd w:val="0"/>
        <w:snapToGrid w:val="0"/>
        <w:spacing w:line="360" w:lineRule="auto"/>
        <w:rPr>
          <w:rFonts w:hint="eastAsia" w:ascii="宋体" w:hAnsi="宋体" w:eastAsia="宋体" w:cs="宋体"/>
          <w:b/>
          <w:bCs/>
          <w:color w:val="auto"/>
          <w:sz w:val="24"/>
        </w:rPr>
      </w:pPr>
      <w:r>
        <w:rPr>
          <w:rFonts w:hint="eastAsia" w:ascii="宋体" w:hAnsi="宋体" w:eastAsia="宋体" w:cs="宋体"/>
          <w:b/>
          <w:bCs/>
          <w:color w:val="auto"/>
          <w:sz w:val="24"/>
        </w:rPr>
        <w:t>采购人（签字）：</w:t>
      </w:r>
    </w:p>
    <w:p w14:paraId="374FBF42">
      <w:pPr>
        <w:adjustRightInd w:val="0"/>
        <w:snapToGrid w:val="0"/>
        <w:spacing w:line="360" w:lineRule="auto"/>
        <w:rPr>
          <w:rFonts w:hint="eastAsia" w:ascii="宋体" w:hAnsi="宋体" w:eastAsia="宋体" w:cs="宋体"/>
          <w:b/>
          <w:bCs/>
          <w:color w:val="auto"/>
          <w:sz w:val="24"/>
        </w:rPr>
      </w:pPr>
      <w:r>
        <w:rPr>
          <w:rFonts w:hint="eastAsia" w:ascii="宋体" w:hAnsi="宋体" w:eastAsia="宋体" w:cs="宋体"/>
          <w:b/>
          <w:bCs/>
          <w:color w:val="auto"/>
          <w:sz w:val="24"/>
        </w:rPr>
        <w:t>采购代理机构（签字）：</w:t>
      </w:r>
    </w:p>
    <w:p w14:paraId="51D0957B">
      <w:pPr>
        <w:adjustRightInd w:val="0"/>
        <w:snapToGrid w:val="0"/>
        <w:spacing w:line="360" w:lineRule="auto"/>
        <w:ind w:firstLine="6746" w:firstLineChars="2800"/>
        <w:rPr>
          <w:rFonts w:hint="eastAsia" w:ascii="宋体" w:hAnsi="宋体" w:eastAsia="宋体" w:cs="宋体"/>
          <w:b/>
          <w:bCs/>
          <w:color w:val="auto"/>
          <w:sz w:val="24"/>
        </w:rPr>
      </w:pPr>
      <w:r>
        <w:rPr>
          <w:rFonts w:hint="eastAsia" w:ascii="宋体" w:hAnsi="宋体" w:eastAsia="宋体" w:cs="宋体"/>
          <w:b/>
          <w:bCs/>
          <w:color w:val="auto"/>
          <w:sz w:val="24"/>
        </w:rPr>
        <w:t xml:space="preserve">  年  月  日</w:t>
      </w:r>
    </w:p>
    <w:p w14:paraId="37715240">
      <w:pPr>
        <w:rPr>
          <w:rFonts w:hint="eastAsia" w:ascii="宋体" w:hAnsi="宋体" w:eastAsia="宋体" w:cs="宋体"/>
          <w:b/>
          <w:bCs/>
          <w:color w:val="auto"/>
          <w:sz w:val="24"/>
        </w:rPr>
      </w:pPr>
      <w:r>
        <w:rPr>
          <w:rFonts w:hint="eastAsia" w:ascii="宋体" w:hAnsi="宋体" w:eastAsia="宋体" w:cs="宋体"/>
          <w:b/>
          <w:bCs/>
          <w:color w:val="auto"/>
          <w:sz w:val="24"/>
        </w:rPr>
        <w:br w:type="page"/>
      </w:r>
    </w:p>
    <w:p w14:paraId="4246EFDC">
      <w:pPr>
        <w:pStyle w:val="2"/>
        <w:bidi w:val="0"/>
        <w:rPr>
          <w:rFonts w:hint="eastAsia" w:ascii="宋体" w:hAnsi="宋体" w:eastAsia="宋体" w:cs="宋体"/>
        </w:rPr>
      </w:pPr>
      <w:bookmarkStart w:id="76" w:name="_Toc14897"/>
      <w:bookmarkStart w:id="77" w:name="_Toc16100"/>
      <w:bookmarkStart w:id="78" w:name="_Toc9417"/>
      <w:bookmarkStart w:id="79" w:name="_Toc30023"/>
      <w:bookmarkStart w:id="80" w:name="_Toc22128"/>
      <w:r>
        <w:rPr>
          <w:rFonts w:hint="eastAsia" w:ascii="宋体" w:hAnsi="宋体" w:eastAsia="宋体" w:cs="宋体"/>
        </w:rPr>
        <w:t>第四章 评标方法及标准（综合评分法）</w:t>
      </w:r>
      <w:bookmarkEnd w:id="76"/>
      <w:bookmarkEnd w:id="77"/>
      <w:bookmarkEnd w:id="78"/>
      <w:bookmarkEnd w:id="79"/>
      <w:bookmarkEnd w:id="80"/>
    </w:p>
    <w:p w14:paraId="5D113517">
      <w:pPr>
        <w:pStyle w:val="4"/>
        <w:bidi w:val="0"/>
        <w:jc w:val="center"/>
        <w:rPr>
          <w:rFonts w:hint="eastAsia" w:ascii="宋体" w:hAnsi="宋体" w:eastAsia="宋体" w:cs="宋体"/>
          <w:b/>
          <w:bCs/>
          <w:color w:val="auto"/>
          <w:kern w:val="2"/>
          <w:sz w:val="28"/>
          <w:szCs w:val="28"/>
          <w:lang w:val="en-US" w:eastAsia="zh-CN" w:bidi="ar-SA"/>
        </w:rPr>
      </w:pPr>
      <w:bookmarkStart w:id="81" w:name="_Toc20067"/>
      <w:bookmarkStart w:id="82" w:name="_Toc20865"/>
      <w:bookmarkStart w:id="83" w:name="_Toc6607"/>
      <w:bookmarkStart w:id="84" w:name="_Toc21015"/>
      <w:bookmarkStart w:id="85" w:name="_Toc27919"/>
      <w:bookmarkStart w:id="86" w:name="_Toc22631"/>
      <w:bookmarkStart w:id="87" w:name="_Toc29682"/>
      <w:r>
        <w:rPr>
          <w:rFonts w:hint="eastAsia" w:ascii="宋体" w:hAnsi="宋体" w:eastAsia="宋体" w:cs="宋体"/>
          <w:b/>
          <w:bCs/>
          <w:color w:val="auto"/>
          <w:kern w:val="2"/>
          <w:sz w:val="28"/>
          <w:szCs w:val="28"/>
          <w:lang w:val="en-US" w:eastAsia="zh-CN" w:bidi="ar-SA"/>
        </w:rPr>
        <w:t>第一节 评标方法及标准前附表</w:t>
      </w:r>
      <w:bookmarkEnd w:id="81"/>
      <w:bookmarkEnd w:id="82"/>
      <w:bookmarkEnd w:id="83"/>
      <w:bookmarkEnd w:id="84"/>
      <w:bookmarkEnd w:id="85"/>
      <w:bookmarkEnd w:id="86"/>
      <w:bookmarkEnd w:id="87"/>
    </w:p>
    <w:tbl>
      <w:tblPr>
        <w:tblStyle w:val="44"/>
        <w:tblW w:w="4995"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959"/>
        <w:gridCol w:w="2409"/>
        <w:gridCol w:w="5760"/>
      </w:tblGrid>
      <w:tr w14:paraId="42AD3F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3" w:hRule="atLeast"/>
        </w:trPr>
        <w:tc>
          <w:tcPr>
            <w:tcW w:w="967" w:type="pct"/>
          </w:tcPr>
          <w:p w14:paraId="60028D02">
            <w:pPr>
              <w:adjustRightInd w:val="0"/>
              <w:snapToGrid w:val="0"/>
              <w:spacing w:beforeLines="50" w:line="360" w:lineRule="auto"/>
              <w:jc w:val="center"/>
              <w:rPr>
                <w:rFonts w:hint="eastAsia" w:ascii="宋体" w:hAnsi="宋体" w:eastAsia="宋体" w:cs="宋体"/>
                <w:b/>
                <w:color w:val="auto"/>
                <w:sz w:val="24"/>
              </w:rPr>
            </w:pPr>
            <w:r>
              <w:rPr>
                <w:rFonts w:hint="eastAsia" w:ascii="宋体" w:hAnsi="宋体" w:eastAsia="宋体" w:cs="宋体"/>
                <w:b/>
                <w:color w:val="auto"/>
                <w:sz w:val="24"/>
              </w:rPr>
              <w:t>条款号</w:t>
            </w:r>
          </w:p>
        </w:tc>
        <w:tc>
          <w:tcPr>
            <w:tcW w:w="1189" w:type="pct"/>
          </w:tcPr>
          <w:p w14:paraId="4600744A">
            <w:pPr>
              <w:adjustRightInd w:val="0"/>
              <w:snapToGrid w:val="0"/>
              <w:spacing w:beforeLines="50" w:line="360" w:lineRule="auto"/>
              <w:jc w:val="center"/>
              <w:rPr>
                <w:rFonts w:hint="eastAsia" w:ascii="宋体" w:hAnsi="宋体" w:eastAsia="宋体" w:cs="宋体"/>
                <w:b/>
                <w:color w:val="auto"/>
                <w:sz w:val="24"/>
              </w:rPr>
            </w:pPr>
            <w:r>
              <w:rPr>
                <w:rFonts w:hint="eastAsia" w:ascii="宋体" w:hAnsi="宋体" w:eastAsia="宋体" w:cs="宋体"/>
                <w:b/>
                <w:color w:val="auto"/>
                <w:sz w:val="24"/>
              </w:rPr>
              <w:t>条款名称</w:t>
            </w:r>
          </w:p>
        </w:tc>
        <w:tc>
          <w:tcPr>
            <w:tcW w:w="2843" w:type="pct"/>
          </w:tcPr>
          <w:p w14:paraId="311661E6">
            <w:pPr>
              <w:adjustRightInd w:val="0"/>
              <w:snapToGrid w:val="0"/>
              <w:spacing w:beforeLines="50" w:line="360" w:lineRule="auto"/>
              <w:jc w:val="center"/>
              <w:rPr>
                <w:rFonts w:hint="eastAsia" w:ascii="宋体" w:hAnsi="宋体" w:eastAsia="宋体" w:cs="宋体"/>
                <w:b/>
                <w:color w:val="auto"/>
                <w:sz w:val="24"/>
              </w:rPr>
            </w:pPr>
            <w:r>
              <w:rPr>
                <w:rFonts w:hint="eastAsia" w:ascii="宋体" w:hAnsi="宋体" w:eastAsia="宋体" w:cs="宋体"/>
                <w:b/>
                <w:color w:val="auto"/>
                <w:sz w:val="24"/>
              </w:rPr>
              <w:t>编列内容规定</w:t>
            </w:r>
          </w:p>
        </w:tc>
      </w:tr>
      <w:tr w14:paraId="516EBF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5" w:hRule="atLeast"/>
        </w:trPr>
        <w:tc>
          <w:tcPr>
            <w:tcW w:w="967" w:type="pct"/>
            <w:vAlign w:val="center"/>
          </w:tcPr>
          <w:p w14:paraId="07586956">
            <w:pPr>
              <w:adjustRightInd w:val="0"/>
              <w:snapToGrid w:val="0"/>
              <w:spacing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rPr>
              <w:t>第1.2</w:t>
            </w:r>
            <w:r>
              <w:rPr>
                <w:rFonts w:hint="eastAsia" w:ascii="宋体" w:hAnsi="宋体" w:eastAsia="宋体" w:cs="宋体"/>
                <w:color w:val="auto"/>
                <w:kern w:val="0"/>
                <w:sz w:val="24"/>
                <w:lang w:val="zh-CN"/>
              </w:rPr>
              <w:t>款</w:t>
            </w:r>
          </w:p>
        </w:tc>
        <w:tc>
          <w:tcPr>
            <w:tcW w:w="1189" w:type="pct"/>
            <w:vAlign w:val="center"/>
          </w:tcPr>
          <w:p w14:paraId="6350A1A4">
            <w:pPr>
              <w:adjustRightInd w:val="0"/>
              <w:snapToGrid w:val="0"/>
              <w:spacing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rPr>
              <w:t>评标因素和标准</w:t>
            </w:r>
          </w:p>
        </w:tc>
        <w:tc>
          <w:tcPr>
            <w:tcW w:w="2843" w:type="pct"/>
            <w:vAlign w:val="center"/>
          </w:tcPr>
          <w:p w14:paraId="60043149">
            <w:pPr>
              <w:adjustRightInd w:val="0"/>
              <w:snapToGrid w:val="0"/>
              <w:spacing w:beforeLines="50" w:line="360" w:lineRule="auto"/>
              <w:rPr>
                <w:rFonts w:hint="eastAsia" w:ascii="宋体" w:hAnsi="宋体" w:eastAsia="宋体" w:cs="宋体"/>
                <w:color w:val="auto"/>
                <w:sz w:val="24"/>
              </w:rPr>
            </w:pPr>
            <w:r>
              <w:rPr>
                <w:rFonts w:hint="eastAsia" w:ascii="宋体" w:hAnsi="宋体" w:eastAsia="宋体" w:cs="宋体"/>
                <w:color w:val="auto"/>
                <w:sz w:val="24"/>
              </w:rPr>
              <w:t>评标方法及标准</w:t>
            </w:r>
          </w:p>
        </w:tc>
      </w:tr>
      <w:tr w14:paraId="08E08C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967" w:type="pct"/>
            <w:vAlign w:val="center"/>
          </w:tcPr>
          <w:p w14:paraId="4075737F">
            <w:pPr>
              <w:adjustRightInd w:val="0"/>
              <w:snapToGrid w:val="0"/>
              <w:spacing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rPr>
              <w:t>第3.4款</w:t>
            </w:r>
          </w:p>
        </w:tc>
        <w:tc>
          <w:tcPr>
            <w:tcW w:w="1189" w:type="pct"/>
            <w:vAlign w:val="center"/>
          </w:tcPr>
          <w:p w14:paraId="509B799E">
            <w:pPr>
              <w:adjustRightInd w:val="0"/>
              <w:snapToGrid w:val="0"/>
              <w:spacing w:beforeLines="50" w:line="360" w:lineRule="auto"/>
              <w:jc w:val="center"/>
              <w:rPr>
                <w:rFonts w:hint="eastAsia" w:ascii="宋体" w:hAnsi="宋体" w:eastAsia="宋体" w:cs="宋体"/>
                <w:bCs/>
                <w:color w:val="auto"/>
                <w:sz w:val="24"/>
              </w:rPr>
            </w:pPr>
            <w:r>
              <w:rPr>
                <w:rFonts w:hint="eastAsia" w:ascii="宋体" w:hAnsi="宋体" w:eastAsia="宋体" w:cs="宋体"/>
                <w:bCs/>
                <w:color w:val="auto"/>
                <w:sz w:val="24"/>
              </w:rPr>
              <w:t>非单一产品采购项目的核心产品</w:t>
            </w:r>
          </w:p>
        </w:tc>
        <w:tc>
          <w:tcPr>
            <w:tcW w:w="2843" w:type="pct"/>
            <w:vAlign w:val="center"/>
          </w:tcPr>
          <w:p w14:paraId="49EA34B5">
            <w:pPr>
              <w:spacing w:line="360" w:lineRule="auto"/>
              <w:rPr>
                <w:rFonts w:hint="eastAsia" w:ascii="宋体" w:hAnsi="宋体" w:eastAsia="宋体" w:cs="宋体"/>
                <w:b/>
                <w:bCs w:val="0"/>
                <w:color w:val="auto"/>
                <w:sz w:val="24"/>
                <w:u w:val="none"/>
                <w:lang w:val="en-US" w:eastAsia="zh-CN"/>
              </w:rPr>
            </w:pPr>
            <w:r>
              <w:rPr>
                <w:rFonts w:hint="eastAsia" w:ascii="宋体" w:hAnsi="宋体" w:eastAsia="宋体" w:cs="宋体"/>
                <w:b/>
                <w:bCs w:val="0"/>
                <w:color w:val="auto"/>
                <w:sz w:val="24"/>
              </w:rPr>
              <w:t>本项目核心产品为：</w:t>
            </w:r>
            <w:r>
              <w:rPr>
                <w:rFonts w:hint="eastAsia" w:ascii="宋体" w:hAnsi="宋体" w:eastAsia="宋体" w:cs="宋体"/>
                <w:b/>
                <w:bCs w:val="0"/>
                <w:color w:val="auto"/>
                <w:sz w:val="24"/>
                <w:u w:val="single"/>
                <w:lang w:val="en-US" w:eastAsia="zh-CN"/>
              </w:rPr>
              <w:t xml:space="preserve">  二联四人上下铺  </w:t>
            </w:r>
            <w:r>
              <w:rPr>
                <w:rFonts w:hint="eastAsia" w:ascii="宋体" w:hAnsi="宋体" w:eastAsia="宋体" w:cs="宋体"/>
                <w:b/>
                <w:bCs w:val="0"/>
                <w:color w:val="auto"/>
                <w:sz w:val="24"/>
                <w:u w:val="none"/>
                <w:lang w:val="en-US" w:eastAsia="zh-CN"/>
              </w:rPr>
              <w:t>。</w:t>
            </w:r>
          </w:p>
          <w:p w14:paraId="707C9476">
            <w:pPr>
              <w:adjustRightInd w:val="0"/>
              <w:snapToGrid w:val="0"/>
              <w:spacing w:beforeLines="50" w:line="360" w:lineRule="auto"/>
              <w:jc w:val="left"/>
              <w:rPr>
                <w:rFonts w:hint="eastAsia" w:ascii="宋体" w:hAnsi="宋体" w:eastAsia="宋体" w:cs="宋体"/>
                <w:color w:val="auto"/>
                <w:sz w:val="24"/>
                <w:lang w:val="en-US" w:eastAsia="zh-CN"/>
              </w:rPr>
            </w:pPr>
            <w:r>
              <w:rPr>
                <w:rFonts w:hint="eastAsia" w:ascii="宋体" w:hAnsi="宋体" w:eastAsia="宋体" w:cs="宋体"/>
                <w:b/>
                <w:color w:val="auto"/>
                <w:sz w:val="24"/>
              </w:rPr>
              <w:t>当所有核心产品均为同一品牌时，视为核心产品品牌相同</w:t>
            </w:r>
            <w:r>
              <w:rPr>
                <w:rFonts w:hint="eastAsia" w:ascii="宋体" w:hAnsi="宋体" w:eastAsia="宋体" w:cs="宋体"/>
                <w:b/>
                <w:bCs w:val="0"/>
                <w:color w:val="auto"/>
                <w:sz w:val="24"/>
                <w:lang w:val="en-US" w:eastAsia="zh-CN"/>
              </w:rPr>
              <w:t>。</w:t>
            </w:r>
          </w:p>
        </w:tc>
      </w:tr>
      <w:tr w14:paraId="2A5EE7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88" w:hRule="atLeast"/>
        </w:trPr>
        <w:tc>
          <w:tcPr>
            <w:tcW w:w="967" w:type="pct"/>
            <w:vAlign w:val="center"/>
          </w:tcPr>
          <w:p w14:paraId="0D1D71AA">
            <w:pPr>
              <w:adjustRightInd w:val="0"/>
              <w:snapToGrid w:val="0"/>
              <w:spacing w:beforeLines="50" w:line="360" w:lineRule="auto"/>
              <w:jc w:val="center"/>
              <w:rPr>
                <w:rFonts w:hint="eastAsia" w:ascii="宋体" w:hAnsi="宋体" w:eastAsia="宋体" w:cs="宋体"/>
                <w:color w:val="auto"/>
                <w:sz w:val="24"/>
              </w:rPr>
            </w:pPr>
            <w:r>
              <w:rPr>
                <w:rFonts w:hint="eastAsia" w:ascii="宋体" w:hAnsi="宋体" w:cs="宋体"/>
                <w:color w:val="auto"/>
                <w:sz w:val="24"/>
              </w:rPr>
              <w:t>第4.2</w:t>
            </w:r>
            <w:r>
              <w:rPr>
                <w:rFonts w:hint="eastAsia" w:ascii="宋体" w:hAnsi="宋体" w:cs="宋体"/>
                <w:color w:val="auto"/>
                <w:kern w:val="0"/>
                <w:sz w:val="24"/>
                <w:lang w:val="zh-CN"/>
              </w:rPr>
              <w:t>款</w:t>
            </w:r>
          </w:p>
        </w:tc>
        <w:tc>
          <w:tcPr>
            <w:tcW w:w="1189" w:type="pct"/>
            <w:vAlign w:val="center"/>
          </w:tcPr>
          <w:p w14:paraId="2C776D12">
            <w:pPr>
              <w:adjustRightInd w:val="0"/>
              <w:snapToGrid w:val="0"/>
              <w:spacing w:beforeLines="50" w:line="360" w:lineRule="auto"/>
              <w:jc w:val="center"/>
              <w:rPr>
                <w:rFonts w:hint="eastAsia" w:ascii="宋体" w:hAnsi="宋体" w:eastAsia="宋体" w:cs="宋体"/>
                <w:color w:val="auto"/>
                <w:sz w:val="24"/>
              </w:rPr>
            </w:pPr>
            <w:r>
              <w:rPr>
                <w:rFonts w:hint="eastAsia" w:ascii="宋体" w:hAnsi="宋体" w:cs="宋体"/>
                <w:color w:val="auto"/>
                <w:sz w:val="24"/>
              </w:rPr>
              <w:t>投标文件报价出现前后不一致的修正</w:t>
            </w:r>
          </w:p>
        </w:tc>
        <w:tc>
          <w:tcPr>
            <w:tcW w:w="2843" w:type="pct"/>
            <w:vAlign w:val="center"/>
          </w:tcPr>
          <w:p w14:paraId="005AFDA5">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(1)</w:t>
            </w:r>
            <w:r>
              <w:rPr>
                <w:rFonts w:hint="eastAsia" w:ascii="宋体" w:hAnsi="宋体" w:cs="宋体"/>
                <w:color w:val="auto"/>
                <w:sz w:val="24"/>
              </w:rPr>
              <w:t>投标文件中开标一览表（报价表）内容与投标文件中相应内容不一致的，以开标一览表（报价表）为准；</w:t>
            </w:r>
          </w:p>
          <w:p w14:paraId="337FDDF3">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(2)</w:t>
            </w:r>
            <w:r>
              <w:rPr>
                <w:rFonts w:hint="eastAsia" w:ascii="宋体" w:hAnsi="宋体" w:cs="宋体"/>
                <w:color w:val="auto"/>
                <w:sz w:val="24"/>
              </w:rPr>
              <w:t>大写金额和小写金额不一致的，以大写金额为准；</w:t>
            </w:r>
          </w:p>
          <w:p w14:paraId="59711816">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(3)</w:t>
            </w:r>
            <w:r>
              <w:rPr>
                <w:rFonts w:hint="eastAsia" w:ascii="宋体" w:hAnsi="宋体" w:cs="宋体"/>
                <w:color w:val="auto"/>
                <w:sz w:val="24"/>
              </w:rPr>
              <w:t>单价金额小数点或者百分比有明显错位的，以开标一览表的总价为准，并修改单价；</w:t>
            </w:r>
          </w:p>
          <w:p w14:paraId="6ECA536B">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总价金额与按单价汇总金额不一致的，以单价金额计算结果为准。</w:t>
            </w:r>
          </w:p>
          <w:p w14:paraId="09D27BF7">
            <w:pPr>
              <w:spacing w:line="360" w:lineRule="auto"/>
              <w:ind w:firstLine="480" w:firstLineChars="200"/>
              <w:rPr>
                <w:rFonts w:hint="eastAsia" w:ascii="宋体" w:hAnsi="宋体" w:eastAsia="宋体" w:cs="宋体"/>
                <w:color w:val="auto"/>
                <w:sz w:val="24"/>
              </w:rPr>
            </w:pPr>
            <w:r>
              <w:rPr>
                <w:rFonts w:hint="eastAsia" w:ascii="宋体" w:hAnsi="宋体" w:cs="宋体"/>
                <w:color w:val="auto"/>
                <w:sz w:val="24"/>
              </w:rPr>
              <w:t>同时出现两种以上不一致的，按照前款规定的顺序修正。修正后的报价按照4.1款要求，经</w:t>
            </w:r>
            <w:r>
              <w:rPr>
                <w:rFonts w:hint="eastAsia" w:ascii="宋体" w:hAnsi="宋体" w:cs="宋体"/>
                <w:color w:val="auto"/>
                <w:sz w:val="24"/>
                <w:lang w:eastAsia="zh-CN"/>
              </w:rPr>
              <w:t>投标供应商</w:t>
            </w:r>
            <w:r>
              <w:rPr>
                <w:rFonts w:hint="eastAsia" w:ascii="宋体" w:hAnsi="宋体" w:cs="宋体"/>
                <w:color w:val="auto"/>
                <w:sz w:val="24"/>
              </w:rPr>
              <w:t>确认后产生约束力，</w:t>
            </w:r>
            <w:r>
              <w:rPr>
                <w:rFonts w:hint="eastAsia" w:ascii="宋体" w:hAnsi="宋体" w:cs="宋体"/>
                <w:color w:val="auto"/>
                <w:sz w:val="24"/>
                <w:lang w:eastAsia="zh-CN"/>
              </w:rPr>
              <w:t>投标供应商</w:t>
            </w:r>
            <w:r>
              <w:rPr>
                <w:rFonts w:hint="eastAsia" w:ascii="宋体" w:hAnsi="宋体" w:cs="宋体"/>
                <w:color w:val="auto"/>
                <w:sz w:val="24"/>
              </w:rPr>
              <w:t>不确认的，其投标无效。</w:t>
            </w:r>
          </w:p>
        </w:tc>
      </w:tr>
      <w:tr w14:paraId="49DAAE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967" w:type="pct"/>
            <w:vAlign w:val="center"/>
          </w:tcPr>
          <w:p w14:paraId="5CC3F286">
            <w:pPr>
              <w:adjustRightInd w:val="0"/>
              <w:snapToGrid w:val="0"/>
              <w:spacing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rPr>
              <w:t>第5.2（1）项</w:t>
            </w:r>
          </w:p>
        </w:tc>
        <w:tc>
          <w:tcPr>
            <w:tcW w:w="1189" w:type="pct"/>
            <w:vAlign w:val="center"/>
          </w:tcPr>
          <w:p w14:paraId="145A91BD">
            <w:pPr>
              <w:adjustRightInd w:val="0"/>
              <w:snapToGrid w:val="0"/>
              <w:spacing w:beforeLines="50" w:line="360" w:lineRule="auto"/>
              <w:jc w:val="center"/>
              <w:rPr>
                <w:rFonts w:hint="eastAsia" w:ascii="宋体" w:hAnsi="宋体" w:eastAsia="宋体" w:cs="宋体"/>
                <w:color w:val="auto"/>
                <w:sz w:val="24"/>
              </w:rPr>
            </w:pPr>
            <w:r>
              <w:rPr>
                <w:rFonts w:hint="eastAsia" w:ascii="宋体" w:hAnsi="宋体" w:eastAsia="宋体" w:cs="宋体"/>
                <w:bCs/>
                <w:color w:val="auto"/>
                <w:sz w:val="24"/>
              </w:rPr>
              <w:t>相同品牌产品评审得分相同的规定</w:t>
            </w:r>
          </w:p>
        </w:tc>
        <w:tc>
          <w:tcPr>
            <w:tcW w:w="2843" w:type="pct"/>
            <w:vAlign w:val="center"/>
          </w:tcPr>
          <w:p w14:paraId="1F410CFA">
            <w:pPr>
              <w:adjustRightInd w:val="0"/>
              <w:snapToGrid w:val="0"/>
              <w:spacing w:beforeLines="50" w:line="360" w:lineRule="auto"/>
              <w:jc w:val="left"/>
              <w:rPr>
                <w:rFonts w:hint="eastAsia" w:ascii="宋体" w:hAnsi="宋体" w:eastAsia="宋体" w:cs="宋体"/>
                <w:bCs/>
                <w:color w:val="auto"/>
                <w:sz w:val="24"/>
              </w:rPr>
            </w:pPr>
            <w:r>
              <w:rPr>
                <w:rFonts w:hint="eastAsia" w:ascii="宋体" w:hAnsi="宋体" w:eastAsia="宋体" w:cs="宋体"/>
                <w:bCs/>
                <w:color w:val="auto"/>
                <w:sz w:val="24"/>
                <w:lang w:val="en-US" w:eastAsia="zh-CN"/>
              </w:rPr>
              <w:t>(1)</w:t>
            </w:r>
            <w:r>
              <w:rPr>
                <w:rFonts w:hint="eastAsia" w:ascii="宋体" w:hAnsi="宋体" w:eastAsia="宋体" w:cs="宋体"/>
                <w:bCs/>
                <w:color w:val="auto"/>
                <w:sz w:val="24"/>
              </w:rPr>
              <w:t>评审后得分最高的同品牌</w:t>
            </w:r>
            <w:r>
              <w:rPr>
                <w:rFonts w:hint="eastAsia" w:ascii="宋体" w:hAnsi="宋体" w:eastAsia="宋体" w:cs="宋体"/>
                <w:bCs/>
                <w:color w:val="auto"/>
                <w:sz w:val="24"/>
                <w:lang w:eastAsia="zh-CN"/>
              </w:rPr>
              <w:t>投标供应商</w:t>
            </w:r>
            <w:r>
              <w:rPr>
                <w:rFonts w:hint="eastAsia" w:ascii="宋体" w:hAnsi="宋体" w:eastAsia="宋体" w:cs="宋体"/>
                <w:bCs/>
                <w:color w:val="auto"/>
                <w:sz w:val="24"/>
              </w:rPr>
              <w:t>获得</w:t>
            </w:r>
            <w:r>
              <w:rPr>
                <w:rFonts w:hint="eastAsia" w:ascii="宋体" w:hAnsi="宋体" w:eastAsia="宋体" w:cs="宋体"/>
                <w:bCs/>
                <w:color w:val="auto"/>
                <w:sz w:val="24"/>
                <w:lang w:eastAsia="zh-CN"/>
              </w:rPr>
              <w:t>中标投标供应商</w:t>
            </w:r>
            <w:r>
              <w:rPr>
                <w:rFonts w:hint="eastAsia" w:ascii="宋体" w:hAnsi="宋体" w:eastAsia="宋体" w:cs="宋体"/>
                <w:bCs/>
                <w:color w:val="auto"/>
                <w:sz w:val="24"/>
              </w:rPr>
              <w:t>推荐资格，</w:t>
            </w:r>
            <w:r>
              <w:rPr>
                <w:rFonts w:hint="eastAsia" w:ascii="宋体" w:hAnsi="宋体" w:eastAsia="宋体" w:cs="宋体"/>
                <w:b/>
                <w:bCs/>
                <w:color w:val="auto"/>
                <w:sz w:val="24"/>
              </w:rPr>
              <w:t>其他同品牌</w:t>
            </w:r>
            <w:r>
              <w:rPr>
                <w:rFonts w:hint="eastAsia" w:ascii="宋体" w:hAnsi="宋体" w:eastAsia="宋体" w:cs="宋体"/>
                <w:b/>
                <w:bCs/>
                <w:color w:val="auto"/>
                <w:sz w:val="24"/>
                <w:lang w:eastAsia="zh-CN"/>
              </w:rPr>
              <w:t>投标供应商</w:t>
            </w:r>
            <w:r>
              <w:rPr>
                <w:rFonts w:hint="eastAsia" w:ascii="宋体" w:hAnsi="宋体" w:eastAsia="宋体" w:cs="宋体"/>
                <w:b/>
                <w:bCs/>
                <w:color w:val="auto"/>
                <w:sz w:val="24"/>
              </w:rPr>
              <w:t>不作为中标候选人</w:t>
            </w:r>
            <w:r>
              <w:rPr>
                <w:rFonts w:hint="eastAsia" w:ascii="宋体" w:hAnsi="宋体" w:eastAsia="宋体" w:cs="宋体"/>
                <w:bCs/>
                <w:color w:val="auto"/>
                <w:sz w:val="24"/>
              </w:rPr>
              <w:t>。</w:t>
            </w:r>
          </w:p>
          <w:p w14:paraId="087633B4">
            <w:pPr>
              <w:adjustRightInd w:val="0"/>
              <w:snapToGrid w:val="0"/>
              <w:spacing w:beforeLines="50" w:line="360" w:lineRule="auto"/>
              <w:jc w:val="left"/>
              <w:rPr>
                <w:rFonts w:hint="eastAsia" w:ascii="宋体" w:hAnsi="宋体" w:eastAsia="宋体" w:cs="宋体"/>
                <w:color w:val="auto"/>
                <w:sz w:val="24"/>
              </w:rPr>
            </w:pPr>
            <w:r>
              <w:rPr>
                <w:rFonts w:hint="eastAsia" w:ascii="宋体" w:hAnsi="宋体" w:eastAsia="宋体" w:cs="宋体"/>
                <w:bCs/>
                <w:color w:val="auto"/>
                <w:sz w:val="24"/>
                <w:lang w:val="en-US" w:eastAsia="zh-CN"/>
              </w:rPr>
              <w:t>(2)</w:t>
            </w:r>
            <w:r>
              <w:rPr>
                <w:rFonts w:hint="eastAsia" w:ascii="宋体" w:hAnsi="宋体" w:eastAsia="宋体" w:cs="宋体"/>
                <w:bCs/>
                <w:color w:val="auto"/>
                <w:sz w:val="24"/>
              </w:rPr>
              <w:t>评审得分相同的，由采购人或者采购人委托评标委员会按照</w:t>
            </w:r>
            <w:r>
              <w:rPr>
                <w:rFonts w:hint="eastAsia" w:ascii="宋体" w:hAnsi="宋体" w:eastAsia="宋体" w:cs="宋体"/>
                <w:b/>
                <w:color w:val="auto"/>
                <w:sz w:val="24"/>
              </w:rPr>
              <w:t>随机抽取</w:t>
            </w:r>
            <w:r>
              <w:rPr>
                <w:rFonts w:hint="eastAsia" w:ascii="宋体" w:hAnsi="宋体" w:eastAsia="宋体" w:cs="宋体"/>
                <w:bCs/>
                <w:color w:val="auto"/>
                <w:sz w:val="24"/>
              </w:rPr>
              <w:t>方式确定一个</w:t>
            </w:r>
            <w:r>
              <w:rPr>
                <w:rFonts w:hint="eastAsia" w:ascii="宋体" w:hAnsi="宋体" w:eastAsia="宋体" w:cs="宋体"/>
                <w:bCs/>
                <w:color w:val="auto"/>
                <w:sz w:val="24"/>
                <w:lang w:eastAsia="zh-CN"/>
              </w:rPr>
              <w:t>投标供应商</w:t>
            </w:r>
            <w:r>
              <w:rPr>
                <w:rFonts w:hint="eastAsia" w:ascii="宋体" w:hAnsi="宋体" w:eastAsia="宋体" w:cs="宋体"/>
                <w:bCs/>
                <w:color w:val="auto"/>
                <w:sz w:val="24"/>
              </w:rPr>
              <w:t>获得</w:t>
            </w:r>
            <w:r>
              <w:rPr>
                <w:rFonts w:hint="eastAsia" w:ascii="宋体" w:hAnsi="宋体" w:eastAsia="宋体" w:cs="宋体"/>
                <w:bCs/>
                <w:color w:val="auto"/>
                <w:sz w:val="24"/>
                <w:lang w:eastAsia="zh-CN"/>
              </w:rPr>
              <w:t>中标投标供应商</w:t>
            </w:r>
            <w:r>
              <w:rPr>
                <w:rFonts w:hint="eastAsia" w:ascii="宋体" w:hAnsi="宋体" w:eastAsia="宋体" w:cs="宋体"/>
                <w:bCs/>
                <w:color w:val="auto"/>
                <w:sz w:val="24"/>
              </w:rPr>
              <w:t>推荐资格。</w:t>
            </w:r>
          </w:p>
        </w:tc>
      </w:tr>
      <w:tr w14:paraId="35EA02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967" w:type="pct"/>
            <w:vMerge w:val="restart"/>
            <w:vAlign w:val="center"/>
          </w:tcPr>
          <w:p w14:paraId="69368422">
            <w:pPr>
              <w:adjustRightInd w:val="0"/>
              <w:snapToGrid w:val="0"/>
              <w:spacing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rPr>
              <w:t>第5.</w:t>
            </w:r>
            <w:r>
              <w:rPr>
                <w:rFonts w:hint="eastAsia" w:ascii="宋体" w:hAnsi="宋体" w:cs="宋体"/>
                <w:color w:val="auto"/>
                <w:sz w:val="24"/>
                <w:lang w:val="en-US" w:eastAsia="zh-CN"/>
              </w:rPr>
              <w:t>4</w:t>
            </w:r>
            <w:r>
              <w:rPr>
                <w:rFonts w:hint="eastAsia" w:ascii="宋体" w:hAnsi="宋体" w:eastAsia="宋体" w:cs="宋体"/>
                <w:color w:val="auto"/>
                <w:sz w:val="24"/>
              </w:rPr>
              <w:t>（1）</w:t>
            </w:r>
            <w:r>
              <w:rPr>
                <w:rFonts w:hint="eastAsia" w:ascii="宋体" w:hAnsi="宋体" w:eastAsia="宋体" w:cs="宋体"/>
                <w:color w:val="auto"/>
                <w:kern w:val="0"/>
                <w:sz w:val="24"/>
                <w:lang w:val="zh-CN"/>
              </w:rPr>
              <w:t>款</w:t>
            </w:r>
          </w:p>
        </w:tc>
        <w:tc>
          <w:tcPr>
            <w:tcW w:w="1189" w:type="pct"/>
            <w:vMerge w:val="restart"/>
            <w:vAlign w:val="center"/>
          </w:tcPr>
          <w:p w14:paraId="53F0A70A">
            <w:pPr>
              <w:adjustRightInd w:val="0"/>
              <w:snapToGrid w:val="0"/>
              <w:spacing w:beforeLines="50"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价格评审优惠</w:t>
            </w:r>
          </w:p>
        </w:tc>
        <w:tc>
          <w:tcPr>
            <w:tcW w:w="2843" w:type="pct"/>
            <w:vAlign w:val="center"/>
          </w:tcPr>
          <w:p w14:paraId="633E66DC">
            <w:pPr>
              <w:keepNext w:val="0"/>
              <w:keepLines w:val="0"/>
              <w:pageBreakBefore w:val="0"/>
              <w:widowControl w:val="0"/>
              <w:kinsoku/>
              <w:wordWrap w:val="0"/>
              <w:overflowPunct/>
              <w:topLinePunct w:val="0"/>
              <w:autoSpaceDE/>
              <w:autoSpaceDN/>
              <w:bidi w:val="0"/>
              <w:adjustRightInd w:val="0"/>
              <w:snapToGrid w:val="0"/>
              <w:spacing w:line="360" w:lineRule="auto"/>
              <w:ind w:right="0" w:rightChars="0"/>
              <w:jc w:val="left"/>
              <w:textAlignment w:val="auto"/>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本项目专门面向中小企业，不再执行价格评审优惠。</w:t>
            </w:r>
          </w:p>
        </w:tc>
      </w:tr>
      <w:tr w14:paraId="346A3A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91" w:hRule="atLeast"/>
        </w:trPr>
        <w:tc>
          <w:tcPr>
            <w:tcW w:w="967" w:type="pct"/>
            <w:vMerge w:val="continue"/>
            <w:vAlign w:val="center"/>
          </w:tcPr>
          <w:p w14:paraId="2B95306D">
            <w:pPr>
              <w:adjustRightInd w:val="0"/>
              <w:snapToGrid w:val="0"/>
              <w:spacing w:beforeLines="50" w:line="360" w:lineRule="auto"/>
              <w:jc w:val="center"/>
              <w:rPr>
                <w:rFonts w:hint="eastAsia" w:ascii="宋体" w:hAnsi="宋体" w:eastAsia="宋体" w:cs="宋体"/>
                <w:color w:val="auto"/>
                <w:sz w:val="24"/>
              </w:rPr>
            </w:pPr>
          </w:p>
        </w:tc>
        <w:tc>
          <w:tcPr>
            <w:tcW w:w="1189" w:type="pct"/>
            <w:vMerge w:val="continue"/>
            <w:vAlign w:val="center"/>
          </w:tcPr>
          <w:p w14:paraId="1D67337F">
            <w:pPr>
              <w:adjustRightInd w:val="0"/>
              <w:snapToGrid w:val="0"/>
              <w:spacing w:beforeLines="50" w:line="360" w:lineRule="auto"/>
              <w:jc w:val="center"/>
              <w:rPr>
                <w:rFonts w:hint="eastAsia" w:ascii="宋体" w:hAnsi="宋体" w:eastAsia="宋体" w:cs="宋体"/>
                <w:color w:val="auto"/>
                <w:sz w:val="24"/>
              </w:rPr>
            </w:pPr>
          </w:p>
        </w:tc>
        <w:tc>
          <w:tcPr>
            <w:tcW w:w="2843" w:type="pct"/>
            <w:vAlign w:val="center"/>
          </w:tcPr>
          <w:p w14:paraId="294BE4CC">
            <w:pPr>
              <w:keepNext w:val="0"/>
              <w:keepLines w:val="0"/>
              <w:pageBreakBefore w:val="0"/>
              <w:widowControl w:val="0"/>
              <w:kinsoku/>
              <w:wordWrap w:val="0"/>
              <w:overflowPunct/>
              <w:topLinePunct w:val="0"/>
              <w:autoSpaceDE/>
              <w:autoSpaceDN/>
              <w:bidi w:val="0"/>
              <w:adjustRightInd w:val="0"/>
              <w:snapToGrid w:val="0"/>
              <w:spacing w:line="360" w:lineRule="auto"/>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中小企业：按《关于印发＜政府采购促进中小企业发展暂行办法＞的通知》(财库</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2020</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46号)规定，提供《小型、微型企业声明函》（格式）。</w:t>
            </w:r>
          </w:p>
          <w:p w14:paraId="78FBE197">
            <w:pPr>
              <w:keepNext w:val="0"/>
              <w:keepLines w:val="0"/>
              <w:pageBreakBefore w:val="0"/>
              <w:widowControl w:val="0"/>
              <w:kinsoku/>
              <w:wordWrap w:val="0"/>
              <w:overflowPunct/>
              <w:topLinePunct w:val="0"/>
              <w:autoSpaceDE/>
              <w:autoSpaceDN/>
              <w:bidi w:val="0"/>
              <w:adjustRightInd w:val="0"/>
              <w:snapToGrid w:val="0"/>
              <w:spacing w:line="360" w:lineRule="auto"/>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监狱企业：按《关于政府采购支持监狱企业发展有关问题的通知》(财库〔2014〕68号)文件规定提供证明文件（复印件）。</w:t>
            </w:r>
          </w:p>
          <w:p w14:paraId="33F22683">
            <w:pPr>
              <w:keepNext w:val="0"/>
              <w:keepLines w:val="0"/>
              <w:pageBreakBefore w:val="0"/>
              <w:widowControl w:val="0"/>
              <w:kinsoku/>
              <w:wordWrap w:val="0"/>
              <w:overflowPunct/>
              <w:topLinePunct w:val="0"/>
              <w:autoSpaceDE/>
              <w:autoSpaceDN/>
              <w:bidi w:val="0"/>
              <w:adjustRightInd w:val="0"/>
              <w:snapToGrid w:val="0"/>
              <w:spacing w:line="360" w:lineRule="auto"/>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残疾人福利性单位：按《关于促进残疾人就业政府采购政策的通知》(财库〔2017〕141号)文件规定提供《残疾人福利性单位声明函》（格式）。</w:t>
            </w:r>
          </w:p>
          <w:p w14:paraId="3E1975A0">
            <w:pPr>
              <w:keepNext w:val="0"/>
              <w:keepLines w:val="0"/>
              <w:pageBreakBefore w:val="0"/>
              <w:widowControl w:val="0"/>
              <w:kinsoku/>
              <w:wordWrap w:val="0"/>
              <w:overflowPunct/>
              <w:topLinePunct w:val="0"/>
              <w:autoSpaceDE/>
              <w:autoSpaceDN/>
              <w:bidi w:val="0"/>
              <w:adjustRightInd w:val="0"/>
              <w:snapToGrid w:val="0"/>
              <w:spacing w:line="360" w:lineRule="auto"/>
              <w:ind w:right="0" w:right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(4)中小企业其他规定：本次采购标的按中小企业划分标准（工信部企业</w:t>
            </w:r>
            <w:r>
              <w:rPr>
                <w:rFonts w:hint="eastAsia" w:ascii="宋体" w:hAnsi="宋体" w:eastAsia="宋体" w:cs="宋体"/>
                <w:color w:val="auto"/>
                <w:sz w:val="24"/>
                <w:szCs w:val="24"/>
                <w:highlight w:val="none"/>
                <w:lang w:eastAsia="zh-CN"/>
              </w:rPr>
              <w:t>〔201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300号）</w:t>
            </w:r>
            <w:r>
              <w:rPr>
                <w:rFonts w:hint="eastAsia" w:ascii="宋体" w:hAnsi="宋体" w:cs="宋体"/>
                <w:color w:val="auto"/>
                <w:sz w:val="24"/>
                <w:szCs w:val="24"/>
                <w:highlight w:val="none"/>
                <w:lang w:val="en-US" w:eastAsia="zh-CN"/>
              </w:rPr>
              <w:t>。</w:t>
            </w:r>
          </w:p>
        </w:tc>
      </w:tr>
      <w:tr w14:paraId="6F96C8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4" w:hRule="atLeast"/>
        </w:trPr>
        <w:tc>
          <w:tcPr>
            <w:tcW w:w="967" w:type="pct"/>
            <w:vMerge w:val="restart"/>
            <w:vAlign w:val="center"/>
          </w:tcPr>
          <w:p w14:paraId="767CBACC">
            <w:pPr>
              <w:adjustRightInd w:val="0"/>
              <w:snapToGrid w:val="0"/>
              <w:spacing w:beforeLines="50" w:line="360" w:lineRule="auto"/>
              <w:jc w:val="center"/>
              <w:rPr>
                <w:rFonts w:hint="eastAsia" w:ascii="宋体" w:hAnsi="宋体" w:eastAsia="宋体" w:cs="宋体"/>
                <w:b/>
                <w:color w:val="auto"/>
                <w:sz w:val="24"/>
              </w:rPr>
            </w:pPr>
            <w:r>
              <w:rPr>
                <w:rFonts w:hint="eastAsia" w:ascii="宋体" w:hAnsi="宋体" w:eastAsia="宋体" w:cs="宋体"/>
                <w:bCs/>
                <w:color w:val="auto"/>
                <w:sz w:val="24"/>
              </w:rPr>
              <w:t>第5.</w:t>
            </w:r>
            <w:r>
              <w:rPr>
                <w:rFonts w:hint="eastAsia" w:ascii="宋体" w:hAnsi="宋体" w:cs="宋体"/>
                <w:bCs/>
                <w:color w:val="auto"/>
                <w:sz w:val="24"/>
                <w:lang w:val="en-US" w:eastAsia="zh-CN"/>
              </w:rPr>
              <w:t>4</w:t>
            </w:r>
            <w:r>
              <w:rPr>
                <w:rFonts w:hint="eastAsia" w:ascii="宋体" w:hAnsi="宋体" w:eastAsia="宋体" w:cs="宋体"/>
                <w:bCs/>
                <w:color w:val="auto"/>
                <w:sz w:val="24"/>
              </w:rPr>
              <w:t>（2）项</w:t>
            </w:r>
          </w:p>
        </w:tc>
        <w:tc>
          <w:tcPr>
            <w:tcW w:w="1189" w:type="pct"/>
            <w:vMerge w:val="restart"/>
            <w:vAlign w:val="center"/>
          </w:tcPr>
          <w:p w14:paraId="0AD4C695">
            <w:pPr>
              <w:adjustRightInd w:val="0"/>
              <w:snapToGrid w:val="0"/>
              <w:spacing w:beforeLines="5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优先采购</w:t>
            </w:r>
          </w:p>
          <w:p w14:paraId="51BC8C14">
            <w:pPr>
              <w:keepNext w:val="0"/>
              <w:keepLines w:val="0"/>
              <w:pageBreakBefore w:val="0"/>
              <w:widowControl w:val="0"/>
              <w:numPr>
                <w:ilvl w:val="0"/>
                <w:numId w:val="0"/>
              </w:numPr>
              <w:kinsoku/>
              <w:wordWrap w:val="0"/>
              <w:overflowPunct/>
              <w:topLinePunct w:val="0"/>
              <w:autoSpaceDE/>
              <w:autoSpaceDN/>
              <w:bidi w:val="0"/>
              <w:adjustRightInd w:val="0"/>
              <w:snapToGrid w:val="0"/>
              <w:spacing w:line="360" w:lineRule="auto"/>
              <w:ind w:right="0" w:rightChars="0"/>
              <w:jc w:val="left"/>
              <w:textAlignment w:val="auto"/>
              <w:rPr>
                <w:rFonts w:hint="eastAsia" w:ascii="宋体" w:hAnsi="宋体" w:eastAsia="宋体" w:cs="宋体"/>
                <w:color w:val="auto"/>
                <w:sz w:val="24"/>
                <w:szCs w:val="24"/>
                <w:highlight w:val="none"/>
                <w:lang w:val="en-US" w:eastAsia="zh-CN"/>
              </w:rPr>
            </w:pPr>
          </w:p>
          <w:p w14:paraId="279B962B">
            <w:pPr>
              <w:pStyle w:val="62"/>
              <w:spacing w:line="360" w:lineRule="auto"/>
              <w:ind w:left="0" w:leftChars="0" w:firstLine="0" w:firstLineChars="0"/>
              <w:rPr>
                <w:rFonts w:hint="eastAsia" w:ascii="宋体" w:hAnsi="宋体" w:eastAsia="宋体" w:cs="宋体"/>
                <w:color w:val="auto"/>
              </w:rPr>
            </w:pPr>
          </w:p>
        </w:tc>
        <w:tc>
          <w:tcPr>
            <w:tcW w:w="2843" w:type="pct"/>
            <w:vAlign w:val="center"/>
          </w:tcPr>
          <w:p w14:paraId="1A7F90AE">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20" w:firstLineChars="0"/>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(1)非强制采购节能产品:对于技术和价格分，应分别给予4%-8%的加分。本项目具体加分比例分别为:技术 4%、价格 4%。投标人须如实填写“优先采购产品清单”并提供“节能产品”清单中该产品所在页复印件和产品相应证书。</w:t>
            </w:r>
          </w:p>
          <w:p w14:paraId="141EABA1">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20" w:firstLineChars="0"/>
              <w:jc w:val="left"/>
              <w:textAlignment w:val="auto"/>
              <w:rPr>
                <w:rFonts w:hint="eastAsia" w:ascii="宋体" w:hAnsi="宋体" w:eastAsia="宋体" w:cs="宋体"/>
                <w:color w:val="auto"/>
                <w:sz w:val="24"/>
                <w:highlight w:val="none"/>
              </w:rPr>
            </w:pPr>
            <w:r>
              <w:rPr>
                <w:rFonts w:hint="eastAsia" w:ascii="宋体" w:hAnsi="宋体" w:cs="宋体"/>
                <w:color w:val="auto"/>
                <w:sz w:val="24"/>
                <w:szCs w:val="24"/>
                <w:highlight w:val="none"/>
                <w:lang w:val="en-US" w:eastAsia="zh-CN"/>
              </w:rPr>
              <w:t>(2)环境标志产品:对于技术和价格分，应分别给予4%-8%的加分。本项目具体加分比例分别为:技术 4%、价格4%。投标人须如实填写“优先采购产品清单”并提供“环境标志产品”清单中该产品所在页复印件和产品相应证书。</w:t>
            </w:r>
          </w:p>
        </w:tc>
      </w:tr>
      <w:tr w14:paraId="66D40C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67" w:type="pct"/>
            <w:vMerge w:val="continue"/>
            <w:vAlign w:val="center"/>
          </w:tcPr>
          <w:p w14:paraId="7D4AF88A">
            <w:pPr>
              <w:adjustRightInd w:val="0"/>
              <w:snapToGrid w:val="0"/>
              <w:spacing w:beforeLines="50" w:line="360" w:lineRule="auto"/>
              <w:jc w:val="center"/>
              <w:rPr>
                <w:rFonts w:hint="eastAsia" w:ascii="宋体" w:hAnsi="宋体" w:eastAsia="宋体" w:cs="宋体"/>
                <w:bCs/>
                <w:color w:val="auto"/>
                <w:sz w:val="24"/>
              </w:rPr>
            </w:pPr>
          </w:p>
        </w:tc>
        <w:tc>
          <w:tcPr>
            <w:tcW w:w="1189" w:type="pct"/>
            <w:vMerge w:val="continue"/>
            <w:vAlign w:val="center"/>
          </w:tcPr>
          <w:p w14:paraId="5E60EB4F">
            <w:pPr>
              <w:adjustRightInd w:val="0"/>
              <w:snapToGrid w:val="0"/>
              <w:spacing w:beforeLines="50" w:line="360" w:lineRule="auto"/>
              <w:jc w:val="center"/>
              <w:rPr>
                <w:rFonts w:hint="eastAsia" w:ascii="宋体" w:hAnsi="宋体" w:eastAsia="宋体" w:cs="宋体"/>
                <w:color w:val="auto"/>
                <w:sz w:val="24"/>
              </w:rPr>
            </w:pPr>
          </w:p>
        </w:tc>
        <w:tc>
          <w:tcPr>
            <w:tcW w:w="2843" w:type="pct"/>
            <w:vAlign w:val="center"/>
          </w:tcPr>
          <w:p w14:paraId="0D44C3F8">
            <w:pPr>
              <w:keepNext w:val="0"/>
              <w:keepLines w:val="0"/>
              <w:pageBreakBefore w:val="0"/>
              <w:widowControl w:val="0"/>
              <w:numPr>
                <w:ilvl w:val="0"/>
                <w:numId w:val="0"/>
              </w:numPr>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eastAsia="zh-CN"/>
              </w:rPr>
              <w:t>投标供应商</w:t>
            </w:r>
            <w:r>
              <w:rPr>
                <w:rFonts w:hint="eastAsia" w:ascii="宋体" w:hAnsi="宋体" w:eastAsia="宋体" w:cs="宋体"/>
                <w:color w:val="auto"/>
                <w:sz w:val="24"/>
                <w:szCs w:val="24"/>
                <w:highlight w:val="none"/>
              </w:rPr>
              <w:t>提供的产品取得两个及以上优先采购产品认证的，评审时只有其中一项产品能够享受优先采购优惠（</w:t>
            </w:r>
            <w:r>
              <w:rPr>
                <w:rFonts w:hint="eastAsia" w:ascii="宋体" w:hAnsi="宋体" w:cs="宋体"/>
                <w:color w:val="auto"/>
                <w:sz w:val="24"/>
                <w:szCs w:val="24"/>
                <w:highlight w:val="none"/>
                <w:lang w:eastAsia="zh-CN"/>
              </w:rPr>
              <w:t>投标供应商</w:t>
            </w:r>
            <w:r>
              <w:rPr>
                <w:rFonts w:hint="eastAsia" w:ascii="宋体" w:hAnsi="宋体" w:eastAsia="宋体" w:cs="宋体"/>
                <w:color w:val="auto"/>
                <w:sz w:val="24"/>
                <w:szCs w:val="24"/>
                <w:highlight w:val="none"/>
              </w:rPr>
              <w:t>自行选择，并在响应文件中并填报相关信息及数据）</w:t>
            </w:r>
          </w:p>
          <w:p w14:paraId="06BEB7B1">
            <w:pPr>
              <w:keepNext w:val="0"/>
              <w:keepLines w:val="0"/>
              <w:pageBreakBefore w:val="0"/>
              <w:widowControl w:val="0"/>
              <w:kinsoku/>
              <w:wordWrap w:val="0"/>
              <w:overflowPunct/>
              <w:topLinePunct w:val="0"/>
              <w:autoSpaceDE/>
              <w:autoSpaceDN/>
              <w:bidi w:val="0"/>
              <w:adjustRightInd w:val="0"/>
              <w:snapToGrid w:val="0"/>
              <w:spacing w:line="360" w:lineRule="auto"/>
              <w:ind w:right="0" w:rightChars="0"/>
              <w:jc w:val="left"/>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小型和微型企业</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的价格评审优惠可以与同时属于“节能产品”、“环境标志产品”中的一项优先采购优惠累加计算。</w:t>
            </w:r>
          </w:p>
        </w:tc>
      </w:tr>
      <w:tr w14:paraId="3D7FCB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967" w:type="pct"/>
            <w:vAlign w:val="center"/>
          </w:tcPr>
          <w:p w14:paraId="23DFC855">
            <w:pPr>
              <w:adjustRightInd w:val="0"/>
              <w:snapToGrid w:val="0"/>
              <w:spacing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rPr>
              <w:t>第6.1</w:t>
            </w:r>
            <w:r>
              <w:rPr>
                <w:rFonts w:hint="eastAsia" w:ascii="宋体" w:hAnsi="宋体" w:eastAsia="宋体" w:cs="宋体"/>
                <w:color w:val="auto"/>
                <w:kern w:val="0"/>
                <w:sz w:val="24"/>
                <w:lang w:val="zh-CN"/>
              </w:rPr>
              <w:t>款</w:t>
            </w:r>
          </w:p>
        </w:tc>
        <w:tc>
          <w:tcPr>
            <w:tcW w:w="1189" w:type="pct"/>
            <w:vAlign w:val="center"/>
          </w:tcPr>
          <w:p w14:paraId="368791F2">
            <w:pPr>
              <w:adjustRightInd w:val="0"/>
              <w:snapToGrid w:val="0"/>
              <w:spacing w:beforeLines="50" w:line="360" w:lineRule="auto"/>
              <w:jc w:val="center"/>
              <w:rPr>
                <w:rFonts w:hint="eastAsia" w:ascii="宋体" w:hAnsi="宋体" w:eastAsia="宋体" w:cs="宋体"/>
                <w:b/>
                <w:bCs/>
                <w:color w:val="auto"/>
                <w:sz w:val="24"/>
              </w:rPr>
            </w:pPr>
            <w:r>
              <w:rPr>
                <w:rFonts w:hint="eastAsia" w:ascii="宋体" w:hAnsi="宋体" w:cs="宋体"/>
                <w:color w:val="auto"/>
                <w:sz w:val="24"/>
              </w:rPr>
              <w:t>中标候选人并列的确定</w:t>
            </w:r>
            <w:r>
              <w:rPr>
                <w:rFonts w:hint="eastAsia" w:ascii="宋体" w:hAnsi="宋体" w:cs="宋体"/>
                <w:color w:val="auto"/>
                <w:sz w:val="24"/>
                <w:lang w:eastAsia="zh-CN"/>
              </w:rPr>
              <w:t>中标投标供应商</w:t>
            </w:r>
            <w:r>
              <w:rPr>
                <w:rFonts w:hint="eastAsia" w:ascii="宋体" w:hAnsi="宋体" w:cs="宋体"/>
                <w:color w:val="auto"/>
                <w:sz w:val="24"/>
              </w:rPr>
              <w:t>的方式</w:t>
            </w:r>
          </w:p>
        </w:tc>
        <w:tc>
          <w:tcPr>
            <w:tcW w:w="2843" w:type="pct"/>
            <w:vAlign w:val="center"/>
          </w:tcPr>
          <w:p w14:paraId="5733B8BD">
            <w:pPr>
              <w:numPr>
                <w:ilvl w:val="0"/>
                <w:numId w:val="0"/>
              </w:numPr>
              <w:adjustRightInd w:val="0"/>
              <w:snapToGrid w:val="0"/>
              <w:spacing w:line="360" w:lineRule="auto"/>
              <w:rPr>
                <w:rFonts w:hint="eastAsia"/>
                <w:sz w:val="24"/>
                <w:szCs w:val="24"/>
              </w:rPr>
            </w:pPr>
            <w:r>
              <w:rPr>
                <w:rFonts w:hint="eastAsia" w:ascii="Times New Roman" w:hAnsi="Times New Roman" w:eastAsia="宋体" w:cs="Times New Roman"/>
                <w:kern w:val="2"/>
                <w:sz w:val="24"/>
                <w:szCs w:val="24"/>
                <w:lang w:val="en-US" w:eastAsia="zh-CN" w:bidi="ar-SA"/>
              </w:rPr>
              <w:t>1、</w:t>
            </w:r>
            <w:r>
              <w:rPr>
                <w:rFonts w:hint="eastAsia"/>
                <w:sz w:val="24"/>
                <w:szCs w:val="24"/>
              </w:rPr>
              <w:t>评标结果按评审后得分由高到低顺序排列。得分相同的，按投标报价由低到高顺序排列。得分且投标报价相同的并列</w:t>
            </w:r>
            <w:r>
              <w:rPr>
                <w:rFonts w:hint="eastAsia"/>
                <w:sz w:val="24"/>
                <w:szCs w:val="24"/>
                <w:lang w:eastAsia="zh-CN"/>
              </w:rPr>
              <w:t>，</w:t>
            </w:r>
            <w:r>
              <w:rPr>
                <w:rFonts w:hint="eastAsia"/>
                <w:sz w:val="24"/>
                <w:szCs w:val="24"/>
              </w:rPr>
              <w:t>投标文件满足招标文件全部实质性要求，且按照评审因素的量化指标评审得分最高的投标人为排名第一的中标候选人。</w:t>
            </w:r>
          </w:p>
          <w:p w14:paraId="41F3D599">
            <w:pPr>
              <w:pStyle w:val="43"/>
              <w:numPr>
                <w:ilvl w:val="0"/>
                <w:numId w:val="0"/>
              </w:numPr>
              <w:spacing w:line="360" w:lineRule="auto"/>
              <w:ind w:left="0" w:leftChars="0" w:firstLine="0" w:firstLineChars="0"/>
              <w:rPr>
                <w:rFonts w:hint="eastAsia" w:ascii="宋体" w:hAnsi="宋体" w:eastAsia="宋体" w:cs="宋体"/>
                <w:color w:val="auto"/>
                <w:sz w:val="24"/>
              </w:rPr>
            </w:pPr>
            <w:r>
              <w:rPr>
                <w:rFonts w:hint="eastAsia" w:ascii="Times New Roman" w:hAnsi="Times New Roman" w:eastAsia="宋体" w:cs="Times New Roman"/>
                <w:kern w:val="2"/>
                <w:sz w:val="24"/>
                <w:szCs w:val="24"/>
                <w:highlight w:val="none"/>
                <w:lang w:val="en-US" w:eastAsia="zh-CN" w:bidi="ar-SA"/>
              </w:rPr>
              <w:t>2、得分且投标报价相同的并列排名第一的中标候选人，由采购人或者采购人委托评标委员会按照随机抽取方式确定一个投标人获得中标投标人推荐资格。</w:t>
            </w:r>
          </w:p>
        </w:tc>
      </w:tr>
      <w:tr w14:paraId="3FBBE1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967" w:type="pct"/>
            <w:shd w:val="clear" w:color="auto" w:fill="auto"/>
            <w:vAlign w:val="center"/>
          </w:tcPr>
          <w:p w14:paraId="79247CA3">
            <w:pPr>
              <w:adjustRightInd w:val="0"/>
              <w:snapToGrid w:val="0"/>
              <w:spacing w:beforeLines="50" w:line="360" w:lineRule="auto"/>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lang w:val="en-US" w:eastAsia="zh-CN"/>
              </w:rPr>
              <w:t>第13.10款</w:t>
            </w:r>
          </w:p>
        </w:tc>
        <w:tc>
          <w:tcPr>
            <w:tcW w:w="1189" w:type="pct"/>
            <w:shd w:val="clear" w:color="auto" w:fill="auto"/>
            <w:vAlign w:val="center"/>
          </w:tcPr>
          <w:p w14:paraId="6A35F7A1">
            <w:pPr>
              <w:numPr>
                <w:ilvl w:val="0"/>
                <w:numId w:val="0"/>
              </w:numPr>
              <w:adjustRightInd w:val="0"/>
              <w:snapToGrid w:val="0"/>
              <w:spacing w:line="360" w:lineRule="auto"/>
              <w:ind w:left="0" w:leftChars="0" w:firstLine="0" w:firstLineChars="0"/>
              <w:rPr>
                <w:rFonts w:hint="eastAsia" w:ascii="Times New Roman" w:hAnsi="Times New Roman" w:eastAsia="宋体" w:cs="Times New Roman"/>
                <w:kern w:val="2"/>
                <w:sz w:val="24"/>
                <w:szCs w:val="24"/>
                <w:lang w:val="en-US" w:eastAsia="zh-CN" w:bidi="ar-SA"/>
              </w:rPr>
            </w:pPr>
            <w:r>
              <w:rPr>
                <w:rFonts w:hint="eastAsia"/>
                <w:sz w:val="24"/>
                <w:szCs w:val="24"/>
                <w:lang w:val="en-US" w:eastAsia="zh-CN"/>
              </w:rPr>
              <w:t>不正当竞争预防措施</w:t>
            </w:r>
          </w:p>
        </w:tc>
        <w:tc>
          <w:tcPr>
            <w:tcW w:w="2843" w:type="pct"/>
            <w:shd w:val="clear" w:color="auto" w:fill="auto"/>
            <w:vAlign w:val="center"/>
          </w:tcPr>
          <w:p w14:paraId="631A31E7">
            <w:pPr>
              <w:pStyle w:val="3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76" w:beforeAutospacing="0" w:after="76" w:afterAutospacing="0" w:line="480" w:lineRule="atLeast"/>
              <w:ind w:right="0"/>
              <w:jc w:val="both"/>
              <w:textAlignment w:val="baseline"/>
              <w:rPr>
                <w:rFonts w:hint="default" w:ascii="Calibri" w:hAnsi="Calibri" w:cs="Calibri"/>
                <w:i w:val="0"/>
                <w:iCs w:val="0"/>
                <w:caps w:val="0"/>
                <w:color w:val="auto"/>
                <w:spacing w:val="0"/>
                <w:sz w:val="21"/>
                <w:szCs w:val="21"/>
              </w:rPr>
            </w:pPr>
            <w:r>
              <w:rPr>
                <w:rFonts w:hint="eastAsia" w:ascii="宋体" w:hAnsi="宋体" w:eastAsia="宋体" w:cs="宋体"/>
                <w:color w:val="auto"/>
                <w:sz w:val="24"/>
                <w:szCs w:val="24"/>
                <w:lang w:val="en-US" w:eastAsia="zh-CN"/>
              </w:rPr>
              <w:t>根据《关于推动解决政府采购异常低价问题的通知》财库(2026)2号的规定</w:t>
            </w:r>
            <w:r>
              <w:rPr>
                <w:rFonts w:hint="eastAsia" w:cs="宋体"/>
                <w:color w:val="auto"/>
                <w:sz w:val="24"/>
                <w:szCs w:val="24"/>
                <w:lang w:val="en-US" w:eastAsia="zh-CN"/>
              </w:rPr>
              <w:t>，</w:t>
            </w:r>
            <w:r>
              <w:rPr>
                <w:rFonts w:hint="eastAsia" w:ascii="宋体" w:hAnsi="宋体" w:eastAsia="宋体" w:cs="宋体"/>
                <w:i w:val="0"/>
                <w:iCs w:val="0"/>
                <w:caps w:val="0"/>
                <w:color w:val="auto"/>
                <w:spacing w:val="0"/>
                <w:sz w:val="24"/>
                <w:szCs w:val="24"/>
                <w:shd w:val="clear" w:fill="FFFFFF"/>
                <w:vertAlign w:val="baseline"/>
              </w:rPr>
              <w:t>政府采购评审中出现下列情形之一的，评审委员会应当启动异常低价投标（响应）审查程序：</w:t>
            </w:r>
          </w:p>
          <w:p w14:paraId="2631E1A1">
            <w:pPr>
              <w:pStyle w:val="3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76" w:beforeAutospacing="0" w:after="76" w:afterAutospacing="0" w:line="480" w:lineRule="atLeast"/>
              <w:ind w:right="0"/>
              <w:jc w:val="left"/>
              <w:textAlignment w:val="baseline"/>
              <w:rPr>
                <w:rFonts w:hint="default" w:ascii="Calibri" w:hAnsi="Calibri" w:cs="Calibri"/>
                <w:i w:val="0"/>
                <w:iCs w:val="0"/>
                <w:caps w:val="0"/>
                <w:color w:val="auto"/>
                <w:spacing w:val="0"/>
                <w:sz w:val="21"/>
                <w:szCs w:val="21"/>
              </w:rPr>
            </w:pPr>
            <w:r>
              <w:rPr>
                <w:rFonts w:hint="eastAsia" w:ascii="宋体" w:hAnsi="宋体" w:eastAsia="宋体" w:cs="宋体"/>
                <w:i w:val="0"/>
                <w:iCs w:val="0"/>
                <w:caps w:val="0"/>
                <w:color w:val="auto"/>
                <w:spacing w:val="0"/>
                <w:sz w:val="24"/>
                <w:szCs w:val="24"/>
                <w:shd w:val="clear" w:fill="FFFFFF"/>
                <w:vertAlign w:val="baseline"/>
              </w:rPr>
              <w:t>1.投标（响应）报价低于全部通过符合性审查供应商投标（响应）报价平均值50%的，即投标（响应）报价&lt;全部通过符合性审查供应商投标（响应）报价平均值×50%；</w:t>
            </w:r>
          </w:p>
          <w:p w14:paraId="60A0F5F7">
            <w:pPr>
              <w:pStyle w:val="3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76" w:beforeAutospacing="0" w:after="76" w:afterAutospacing="0" w:line="480" w:lineRule="atLeast"/>
              <w:ind w:right="0"/>
              <w:jc w:val="left"/>
              <w:textAlignment w:val="baseline"/>
              <w:rPr>
                <w:rFonts w:hint="default" w:ascii="Calibri" w:hAnsi="Calibri" w:cs="Calibri"/>
                <w:i w:val="0"/>
                <w:iCs w:val="0"/>
                <w:caps w:val="0"/>
                <w:color w:val="auto"/>
                <w:spacing w:val="0"/>
                <w:sz w:val="21"/>
                <w:szCs w:val="21"/>
              </w:rPr>
            </w:pPr>
            <w:r>
              <w:rPr>
                <w:rFonts w:hint="eastAsia" w:ascii="宋体" w:hAnsi="宋体" w:eastAsia="宋体" w:cs="宋体"/>
                <w:i w:val="0"/>
                <w:iCs w:val="0"/>
                <w:caps w:val="0"/>
                <w:color w:val="auto"/>
                <w:spacing w:val="0"/>
                <w:sz w:val="24"/>
                <w:szCs w:val="24"/>
                <w:shd w:val="clear" w:fill="FFFFFF"/>
                <w:vertAlign w:val="baseline"/>
              </w:rPr>
              <w:t>2.投标（响应）报价低于通过符合性审查的次低报价供应商投标（响应）报价50%的，即投标（响应）报价&lt;通过符合性审查的次低报价供应商投标（响应）报价×50%；</w:t>
            </w:r>
          </w:p>
          <w:p w14:paraId="3442A2D3">
            <w:pPr>
              <w:pStyle w:val="3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76" w:beforeAutospacing="0" w:after="76" w:afterAutospacing="0" w:line="480" w:lineRule="atLeast"/>
              <w:ind w:right="0"/>
              <w:jc w:val="left"/>
              <w:textAlignment w:val="baseline"/>
              <w:rPr>
                <w:rFonts w:hint="default" w:ascii="Calibri" w:hAnsi="Calibri" w:cs="Calibri"/>
                <w:i w:val="0"/>
                <w:iCs w:val="0"/>
                <w:caps w:val="0"/>
                <w:color w:val="auto"/>
                <w:spacing w:val="0"/>
                <w:sz w:val="21"/>
                <w:szCs w:val="21"/>
              </w:rPr>
            </w:pPr>
            <w:r>
              <w:rPr>
                <w:rFonts w:hint="eastAsia" w:ascii="宋体" w:hAnsi="宋体" w:eastAsia="宋体" w:cs="宋体"/>
                <w:i w:val="0"/>
                <w:iCs w:val="0"/>
                <w:caps w:val="0"/>
                <w:color w:val="auto"/>
                <w:spacing w:val="0"/>
                <w:sz w:val="24"/>
                <w:szCs w:val="24"/>
                <w:shd w:val="clear" w:fill="FFFFFF"/>
                <w:vertAlign w:val="baseline"/>
              </w:rPr>
              <w:t>3.投标（响应）报价低于采购项目最高限价45%的，即投标（响应）报价&lt;采购项目最高限价×45%；</w:t>
            </w:r>
          </w:p>
          <w:p w14:paraId="66E67D7B">
            <w:pPr>
              <w:pStyle w:val="3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76" w:beforeAutospacing="0" w:after="76" w:afterAutospacing="0" w:line="480" w:lineRule="atLeast"/>
              <w:ind w:right="0"/>
              <w:jc w:val="left"/>
              <w:textAlignment w:val="baseline"/>
              <w:rPr>
                <w:rFonts w:hint="default" w:ascii="Calibri" w:hAnsi="Calibri" w:cs="Calibri"/>
                <w:i w:val="0"/>
                <w:iCs w:val="0"/>
                <w:caps w:val="0"/>
                <w:color w:val="auto"/>
                <w:spacing w:val="0"/>
                <w:sz w:val="21"/>
                <w:szCs w:val="21"/>
              </w:rPr>
            </w:pPr>
            <w:r>
              <w:rPr>
                <w:rFonts w:hint="eastAsia" w:ascii="宋体" w:hAnsi="宋体" w:eastAsia="宋体" w:cs="宋体"/>
                <w:i w:val="0"/>
                <w:iCs w:val="0"/>
                <w:caps w:val="0"/>
                <w:color w:val="auto"/>
                <w:spacing w:val="0"/>
                <w:sz w:val="24"/>
                <w:szCs w:val="24"/>
                <w:shd w:val="clear" w:fill="FFFFFF"/>
                <w:vertAlign w:val="baseline"/>
              </w:rPr>
              <w:t>4.评审委员会基于专业判断，认为供应商报价过低，有可能影响产品质量或者不能诚信履约的其他情形。</w:t>
            </w:r>
          </w:p>
          <w:p w14:paraId="7DFEB9A5">
            <w:pPr>
              <w:numPr>
                <w:ilvl w:val="0"/>
                <w:numId w:val="0"/>
              </w:numPr>
              <w:adjustRightInd w:val="0"/>
              <w:snapToGrid w:val="0"/>
              <w:spacing w:line="360" w:lineRule="auto"/>
              <w:ind w:left="0" w:leftChars="0" w:firstLine="0" w:firstLineChars="0"/>
              <w:rPr>
                <w:rFonts w:hint="eastAsia" w:ascii="Times New Roman" w:hAnsi="Times New Roman" w:eastAsia="宋体" w:cs="Times New Roman"/>
                <w:color w:val="auto"/>
                <w:kern w:val="2"/>
                <w:sz w:val="24"/>
                <w:szCs w:val="24"/>
                <w:lang w:val="en-US" w:eastAsia="zh-CN" w:bidi="ar-SA"/>
              </w:rPr>
            </w:pPr>
          </w:p>
        </w:tc>
      </w:tr>
    </w:tbl>
    <w:p w14:paraId="4B48711C">
      <w:pPr>
        <w:rPr>
          <w:rFonts w:hint="eastAsia" w:ascii="宋体" w:hAnsi="宋体" w:eastAsia="宋体" w:cs="宋体"/>
          <w:color w:val="auto"/>
          <w:sz w:val="24"/>
        </w:rPr>
      </w:pPr>
      <w:r>
        <w:rPr>
          <w:rFonts w:hint="eastAsia" w:ascii="宋体" w:hAnsi="宋体" w:eastAsia="宋体" w:cs="宋体"/>
          <w:color w:val="auto"/>
          <w:sz w:val="24"/>
        </w:rPr>
        <w:br w:type="page"/>
      </w:r>
    </w:p>
    <w:p w14:paraId="1B214227">
      <w:pPr>
        <w:pStyle w:val="3"/>
        <w:keepNext w:val="0"/>
        <w:keepLines w:val="0"/>
        <w:adjustRightInd w:val="0"/>
        <w:snapToGrid w:val="0"/>
        <w:spacing w:before="156" w:beforeLines="50"/>
        <w:jc w:val="center"/>
        <w:rPr>
          <w:rFonts w:hint="eastAsia" w:ascii="宋体" w:hAnsi="宋体" w:eastAsia="宋体" w:cs="宋体"/>
          <w:color w:val="auto"/>
          <w:sz w:val="28"/>
          <w:szCs w:val="28"/>
        </w:rPr>
      </w:pPr>
      <w:bookmarkStart w:id="88" w:name="_Toc30022"/>
      <w:bookmarkStart w:id="89" w:name="_Toc23157"/>
      <w:r>
        <w:rPr>
          <w:rFonts w:hint="eastAsia" w:ascii="宋体" w:hAnsi="宋体" w:eastAsia="宋体" w:cs="宋体"/>
          <w:color w:val="auto"/>
          <w:sz w:val="28"/>
          <w:szCs w:val="28"/>
        </w:rPr>
        <w:t>第二节 评标方法及标准</w:t>
      </w:r>
      <w:bookmarkEnd w:id="88"/>
      <w:bookmarkEnd w:id="89"/>
    </w:p>
    <w:p w14:paraId="4E1BCB0E">
      <w:pPr>
        <w:pStyle w:val="4"/>
        <w:keepNext w:val="0"/>
        <w:keepLines w:val="0"/>
        <w:adjustRightInd w:val="0"/>
        <w:snapToGrid w:val="0"/>
        <w:spacing w:before="156" w:beforeLines="50" w:after="0" w:line="360" w:lineRule="auto"/>
        <w:jc w:val="both"/>
        <w:rPr>
          <w:rFonts w:hint="eastAsia" w:ascii="宋体" w:hAnsi="宋体" w:eastAsia="宋体" w:cs="宋体"/>
          <w:color w:val="auto"/>
          <w:sz w:val="24"/>
          <w:szCs w:val="24"/>
        </w:rPr>
      </w:pPr>
      <w:bookmarkStart w:id="90" w:name="_Toc29837"/>
      <w:bookmarkStart w:id="91" w:name="_Toc17207"/>
      <w:r>
        <w:rPr>
          <w:rFonts w:hint="eastAsia" w:ascii="宋体" w:hAnsi="宋体" w:eastAsia="宋体" w:cs="宋体"/>
          <w:color w:val="auto"/>
          <w:sz w:val="24"/>
          <w:szCs w:val="24"/>
        </w:rPr>
        <w:t>1．评标方法</w:t>
      </w:r>
      <w:bookmarkEnd w:id="90"/>
      <w:bookmarkEnd w:id="91"/>
    </w:p>
    <w:p w14:paraId="2FA2870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1.1综合评分法，指投标文件满足招标文件全部实质性要求，且按照评审因素的量化指标评审得分最高的投标人为中标候选人的评标方法。</w:t>
      </w:r>
    </w:p>
    <w:p w14:paraId="56C026EF">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1.2最低评标价，是指投标文件满足招标文件全部实质性要求，且投标报价最低的投标人为中标候选人的评标方法。</w:t>
      </w:r>
    </w:p>
    <w:p w14:paraId="0B9B74A8">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1.3本采购项目评标方法见本章第一节</w:t>
      </w:r>
      <w:r>
        <w:rPr>
          <w:rFonts w:hint="eastAsia" w:ascii="宋体" w:hAnsi="宋体" w:eastAsia="宋体" w:cs="宋体"/>
          <w:b/>
          <w:color w:val="auto"/>
          <w:sz w:val="24"/>
          <w:szCs w:val="24"/>
        </w:rPr>
        <w:t>【评标方法及标准前附表】</w:t>
      </w:r>
      <w:r>
        <w:rPr>
          <w:rFonts w:hint="eastAsia" w:ascii="宋体" w:hAnsi="宋体" w:eastAsia="宋体" w:cs="宋体"/>
          <w:color w:val="auto"/>
          <w:sz w:val="24"/>
          <w:szCs w:val="24"/>
        </w:rPr>
        <w:t>。</w:t>
      </w:r>
    </w:p>
    <w:p w14:paraId="091F52C3">
      <w:pPr>
        <w:pStyle w:val="4"/>
        <w:keepNext w:val="0"/>
        <w:keepLines w:val="0"/>
        <w:adjustRightInd w:val="0"/>
        <w:snapToGrid w:val="0"/>
        <w:spacing w:before="156" w:beforeLines="50" w:after="0" w:line="360" w:lineRule="auto"/>
        <w:jc w:val="both"/>
        <w:rPr>
          <w:rFonts w:hint="eastAsia" w:ascii="宋体" w:hAnsi="宋体" w:eastAsia="宋体" w:cs="宋体"/>
          <w:bCs w:val="0"/>
          <w:color w:val="auto"/>
          <w:sz w:val="24"/>
          <w:szCs w:val="24"/>
        </w:rPr>
      </w:pPr>
      <w:bookmarkStart w:id="92" w:name="_Toc27680"/>
      <w:bookmarkStart w:id="93" w:name="_Toc30040"/>
      <w:r>
        <w:rPr>
          <w:rFonts w:hint="eastAsia" w:ascii="宋体" w:hAnsi="宋体" w:eastAsia="宋体" w:cs="宋体"/>
          <w:bCs w:val="0"/>
          <w:color w:val="auto"/>
          <w:sz w:val="24"/>
          <w:szCs w:val="24"/>
        </w:rPr>
        <w:t>2．评标程序</w:t>
      </w:r>
      <w:bookmarkEnd w:id="92"/>
      <w:bookmarkEnd w:id="93"/>
    </w:p>
    <w:p w14:paraId="42358F2F">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2.1评标程序分为投标文件符合性审查、澄清有关问题、比较和评价、推荐中标候选人。</w:t>
      </w:r>
    </w:p>
    <w:p w14:paraId="7471892D">
      <w:pPr>
        <w:pStyle w:val="4"/>
        <w:keepNext w:val="0"/>
        <w:keepLines w:val="0"/>
        <w:adjustRightInd w:val="0"/>
        <w:snapToGrid w:val="0"/>
        <w:spacing w:before="156" w:beforeLines="50" w:after="0" w:line="360" w:lineRule="auto"/>
        <w:jc w:val="both"/>
        <w:rPr>
          <w:rFonts w:hint="eastAsia" w:ascii="宋体" w:hAnsi="宋体" w:eastAsia="宋体" w:cs="宋体"/>
          <w:bCs w:val="0"/>
          <w:color w:val="auto"/>
          <w:sz w:val="24"/>
          <w:szCs w:val="24"/>
        </w:rPr>
      </w:pPr>
      <w:bookmarkStart w:id="94" w:name="_Toc30728"/>
      <w:bookmarkStart w:id="95" w:name="_Toc23813"/>
      <w:r>
        <w:rPr>
          <w:rFonts w:hint="eastAsia" w:ascii="宋体" w:hAnsi="宋体" w:eastAsia="宋体" w:cs="宋体"/>
          <w:bCs w:val="0"/>
          <w:color w:val="auto"/>
          <w:sz w:val="24"/>
          <w:szCs w:val="24"/>
        </w:rPr>
        <w:t>3．投标文件的符合性审查</w:t>
      </w:r>
      <w:bookmarkEnd w:id="94"/>
      <w:bookmarkEnd w:id="95"/>
    </w:p>
    <w:p w14:paraId="2E4F5A79">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3.1资格审查结束后，评标委员会依法按照本章第三节“投标文件的符合性审查”规定进行投标文件符合性审查。</w:t>
      </w:r>
    </w:p>
    <w:p w14:paraId="3A83DFF0">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3.2符合性审查合格投标人少于3家的，应予废标。</w:t>
      </w:r>
    </w:p>
    <w:p w14:paraId="716A2BDE">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3.3单一产品采购项目：提供相同品牌产品的不同投标人参加同一合同项下投标的，按一家投标人计算。提供不同品牌产品的投标人不足三家的，应予废标。</w:t>
      </w:r>
    </w:p>
    <w:p w14:paraId="54EAFB3A">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3.4非单一产品采购项目：采购人或者采购代理机构将在</w:t>
      </w:r>
      <w:r>
        <w:rPr>
          <w:rFonts w:hint="eastAsia" w:ascii="宋体" w:hAnsi="宋体" w:eastAsia="宋体" w:cs="宋体"/>
          <w:b/>
          <w:color w:val="auto"/>
          <w:sz w:val="24"/>
          <w:szCs w:val="24"/>
        </w:rPr>
        <w:t>【评标方法及标准前附表】</w:t>
      </w:r>
      <w:r>
        <w:rPr>
          <w:rFonts w:hint="eastAsia" w:ascii="宋体" w:hAnsi="宋体" w:eastAsia="宋体" w:cs="宋体"/>
          <w:color w:val="auto"/>
          <w:sz w:val="24"/>
          <w:szCs w:val="24"/>
        </w:rPr>
        <w:t>中载明核心产品。多家投标人提供的核心产品品牌相同的，视为相同品牌，按本章本节第3.3款规定处理。</w:t>
      </w:r>
    </w:p>
    <w:p w14:paraId="3C331AA7">
      <w:pPr>
        <w:pStyle w:val="4"/>
        <w:keepNext w:val="0"/>
        <w:keepLines w:val="0"/>
        <w:adjustRightInd w:val="0"/>
        <w:snapToGrid w:val="0"/>
        <w:spacing w:before="156" w:beforeLines="50" w:after="0" w:line="360" w:lineRule="auto"/>
        <w:jc w:val="both"/>
        <w:rPr>
          <w:rFonts w:hint="eastAsia" w:ascii="宋体" w:hAnsi="宋体" w:eastAsia="宋体" w:cs="宋体"/>
          <w:bCs w:val="0"/>
          <w:color w:val="auto"/>
          <w:sz w:val="24"/>
          <w:szCs w:val="24"/>
        </w:rPr>
      </w:pPr>
      <w:bookmarkStart w:id="96" w:name="_Toc28626"/>
      <w:bookmarkStart w:id="97" w:name="_Toc30211"/>
      <w:r>
        <w:rPr>
          <w:rFonts w:hint="eastAsia" w:ascii="宋体" w:hAnsi="宋体" w:eastAsia="宋体" w:cs="宋体"/>
          <w:bCs w:val="0"/>
          <w:color w:val="auto"/>
          <w:sz w:val="24"/>
          <w:szCs w:val="24"/>
        </w:rPr>
        <w:t>4．投标文件的澄清</w:t>
      </w:r>
      <w:bookmarkEnd w:id="96"/>
      <w:bookmarkEnd w:id="97"/>
    </w:p>
    <w:p w14:paraId="23ED93BA">
      <w:pPr>
        <w:adjustRightInd w:val="0"/>
        <w:snapToGrid w:val="0"/>
        <w:spacing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4.1</w:t>
      </w:r>
      <w:r>
        <w:rPr>
          <w:rFonts w:hint="eastAsia" w:ascii="宋体" w:hAnsi="宋体" w:eastAsia="宋体" w:cs="宋体"/>
          <w:color w:val="auto"/>
          <w:sz w:val="24"/>
        </w:rPr>
        <w:t>对于投标文件中含义不明确、同类问题表述不一致或者有明显文字和计算错误的内容，</w:t>
      </w:r>
      <w:r>
        <w:rPr>
          <w:rFonts w:hint="eastAsia" w:ascii="宋体" w:hAnsi="宋体" w:eastAsia="宋体" w:cs="宋体"/>
          <w:color w:val="auto"/>
          <w:sz w:val="24"/>
          <w:lang w:val="en-US" w:eastAsia="zh-CN"/>
        </w:rPr>
        <w:t>应当通过《湘西公共资源交易网》</w:t>
      </w:r>
      <w:r>
        <w:rPr>
          <w:rFonts w:hint="eastAsia" w:ascii="宋体" w:hAnsi="宋体" w:cs="宋体"/>
          <w:color w:val="auto"/>
          <w:sz w:val="24"/>
          <w:lang w:val="en-US" w:eastAsia="zh-CN"/>
        </w:rPr>
        <w:t>http://xxzggzyjy.cn/</w:t>
      </w:r>
      <w:r>
        <w:rPr>
          <w:rFonts w:hint="eastAsia" w:ascii="宋体" w:hAnsi="宋体" w:eastAsia="宋体" w:cs="宋体"/>
          <w:color w:val="auto"/>
          <w:sz w:val="24"/>
          <w:lang w:val="en-US" w:eastAsia="zh-CN"/>
        </w:rPr>
        <w:t>/要求投标人作出必要的澄清、说明或者补正采用《湘西公共资源交易网》</w:t>
      </w:r>
      <w:r>
        <w:rPr>
          <w:rFonts w:hint="eastAsia" w:ascii="宋体" w:hAnsi="宋体" w:cs="宋体"/>
          <w:color w:val="auto"/>
          <w:sz w:val="24"/>
          <w:lang w:val="en-US" w:eastAsia="zh-CN"/>
        </w:rPr>
        <w:t>http://xxzggzyjy.cn/</w:t>
      </w:r>
      <w:r>
        <w:rPr>
          <w:rFonts w:hint="eastAsia" w:ascii="宋体" w:hAnsi="宋体" w:eastAsia="宋体" w:cs="宋体"/>
          <w:color w:val="auto"/>
          <w:sz w:val="24"/>
          <w:lang w:val="en-US" w:eastAsia="zh-CN"/>
        </w:rPr>
        <w:t>/交换数据电文，投标人在评标委员会规定的时间内提交澄清、说明或补正的数据电文，在评标期间，投标人用单位“CA证书”登录《湘西公共资源交易网》</w:t>
      </w:r>
      <w:r>
        <w:rPr>
          <w:rFonts w:hint="eastAsia" w:ascii="宋体" w:hAnsi="宋体" w:cs="宋体"/>
          <w:color w:val="auto"/>
          <w:sz w:val="24"/>
          <w:lang w:val="en-US" w:eastAsia="zh-CN"/>
        </w:rPr>
        <w:t>http://xxzggzyjy.cn/</w:t>
      </w:r>
      <w:r>
        <w:rPr>
          <w:rFonts w:hint="eastAsia" w:ascii="宋体" w:hAnsi="宋体" w:eastAsia="宋体" w:cs="宋体"/>
          <w:color w:val="auto"/>
          <w:sz w:val="24"/>
          <w:lang w:val="en-US" w:eastAsia="zh-CN"/>
        </w:rPr>
        <w:t>/，自行查看、接受澄清、说明或补正内容，未按要求提交澄清、说明或补正的，视为自动放弃澄清说明，相应责任由投标人自行负责。</w:t>
      </w:r>
    </w:p>
    <w:p w14:paraId="2207A5A9">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4.2投标文件的投标报价出现前后不一致的，除</w:t>
      </w:r>
      <w:r>
        <w:rPr>
          <w:rFonts w:hint="eastAsia" w:ascii="宋体" w:hAnsi="宋体" w:eastAsia="宋体" w:cs="宋体"/>
          <w:b/>
          <w:color w:val="auto"/>
          <w:sz w:val="24"/>
          <w:szCs w:val="24"/>
        </w:rPr>
        <w:t>【评标方法及标准前附表】</w:t>
      </w:r>
      <w:r>
        <w:rPr>
          <w:rFonts w:hint="eastAsia" w:ascii="宋体" w:hAnsi="宋体" w:eastAsia="宋体" w:cs="宋体"/>
          <w:color w:val="auto"/>
          <w:sz w:val="24"/>
          <w:szCs w:val="24"/>
        </w:rPr>
        <w:t>另有规定外，按照下列规定修正：</w:t>
      </w:r>
    </w:p>
    <w:p w14:paraId="4A5B49C3">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（1）投标文件中开标一览表内容与投标文件中相应内容不一致的，以开标一览表为准；</w:t>
      </w:r>
    </w:p>
    <w:p w14:paraId="7995B0EE">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（2）大写金额和小写金额不一致的，以大写金额为准；</w:t>
      </w:r>
    </w:p>
    <w:p w14:paraId="66C8F7A3">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（3）单价金额小数点或者百分比有明显错位的，以开标一览表的总价为准，并修改单价；</w:t>
      </w:r>
    </w:p>
    <w:p w14:paraId="2ABDD367">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（4）总价金额与按单价汇总金额不一致的，以单价金额计算结果为准。</w:t>
      </w:r>
    </w:p>
    <w:p w14:paraId="32C5DD09">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4.3投标文件报价同时出现两种以上不一致的，按照前款规定的顺序修正。修正后的报价由投标人代表签字或者加</w:t>
      </w:r>
      <w:r>
        <w:rPr>
          <w:rFonts w:hint="eastAsia" w:ascii="宋体" w:hAnsi="宋体" w:eastAsia="宋体" w:cs="宋体"/>
          <w:color w:val="auto"/>
          <w:sz w:val="24"/>
          <w:szCs w:val="24"/>
          <w:lang w:eastAsia="zh-CN"/>
        </w:rPr>
        <w:t>盖单位公章</w:t>
      </w:r>
      <w:r>
        <w:rPr>
          <w:rFonts w:hint="eastAsia" w:ascii="宋体" w:hAnsi="宋体" w:eastAsia="宋体" w:cs="宋体"/>
          <w:color w:val="auto"/>
          <w:sz w:val="24"/>
          <w:szCs w:val="24"/>
        </w:rPr>
        <w:t>确认后产生约束力，投标人不确认的，其投标无效。</w:t>
      </w:r>
    </w:p>
    <w:p w14:paraId="35F1D10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4.4投标人的澄清、说明或者补正应当采用书面形式，并加</w:t>
      </w:r>
      <w:r>
        <w:rPr>
          <w:rFonts w:hint="eastAsia" w:ascii="宋体" w:hAnsi="宋体" w:eastAsia="宋体" w:cs="宋体"/>
          <w:color w:val="auto"/>
          <w:sz w:val="24"/>
          <w:szCs w:val="24"/>
          <w:lang w:eastAsia="zh-CN"/>
        </w:rPr>
        <w:t>盖单位公章</w:t>
      </w:r>
      <w:r>
        <w:rPr>
          <w:rFonts w:hint="eastAsia" w:ascii="宋体" w:hAnsi="宋体" w:eastAsia="宋体" w:cs="宋体"/>
          <w:color w:val="auto"/>
          <w:sz w:val="24"/>
          <w:szCs w:val="24"/>
        </w:rPr>
        <w:t>，或者由法定代表人或其授权的代表签字，并按评标委员会的通知要求递交。投标人的澄清、说明或者补正不得超出投标文件的范围或者改变投标文件的实质性内容。</w:t>
      </w:r>
    </w:p>
    <w:p w14:paraId="7AF1743A">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4.5有效的书面澄清材料，是投标文件的补充材料，成为投标文件的组成部分。</w:t>
      </w:r>
    </w:p>
    <w:p w14:paraId="70F782D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5A620B38">
      <w:pPr>
        <w:pStyle w:val="4"/>
        <w:keepNext w:val="0"/>
        <w:keepLines w:val="0"/>
        <w:adjustRightInd w:val="0"/>
        <w:snapToGrid w:val="0"/>
        <w:spacing w:before="156" w:beforeLines="50" w:after="0" w:line="360" w:lineRule="auto"/>
        <w:jc w:val="both"/>
        <w:rPr>
          <w:rFonts w:hint="eastAsia" w:ascii="宋体" w:hAnsi="宋体" w:eastAsia="宋体" w:cs="宋体"/>
          <w:bCs w:val="0"/>
          <w:color w:val="auto"/>
          <w:sz w:val="24"/>
          <w:szCs w:val="24"/>
        </w:rPr>
      </w:pPr>
      <w:bookmarkStart w:id="98" w:name="_Toc26531"/>
      <w:bookmarkStart w:id="99" w:name="_Toc20583"/>
      <w:r>
        <w:rPr>
          <w:rFonts w:hint="eastAsia" w:ascii="宋体" w:hAnsi="宋体" w:eastAsia="宋体" w:cs="宋体"/>
          <w:bCs w:val="0"/>
          <w:color w:val="auto"/>
          <w:sz w:val="24"/>
          <w:szCs w:val="24"/>
        </w:rPr>
        <w:t>5．投标文件的比较与评价</w:t>
      </w:r>
      <w:bookmarkEnd w:id="98"/>
      <w:bookmarkEnd w:id="99"/>
    </w:p>
    <w:p w14:paraId="237DE2C5">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5.1评标委员会依法按照本章第三节“投标文件的比较与评价”规定，对资格性检查和符合性检查合格的投标文件进行比较和评价。</w:t>
      </w:r>
    </w:p>
    <w:p w14:paraId="68A81F5B">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5.2单一产品采购项目：</w:t>
      </w:r>
    </w:p>
    <w:p w14:paraId="516746A7">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综合评分法：提供相同品牌产品且通过资格审查、符合性审查的不同投标人参加同一合同项下投标的，评审后得分最高的同品牌投标人获得中标人推荐资格；评审得分相同的，按照</w:t>
      </w:r>
      <w:r>
        <w:rPr>
          <w:rFonts w:hint="eastAsia" w:ascii="宋体" w:hAnsi="宋体" w:eastAsia="宋体" w:cs="宋体"/>
          <w:b/>
          <w:color w:val="auto"/>
          <w:sz w:val="24"/>
          <w:szCs w:val="24"/>
        </w:rPr>
        <w:t>【评标方法及标准前附表】</w:t>
      </w:r>
      <w:r>
        <w:rPr>
          <w:rFonts w:hint="eastAsia" w:ascii="宋体" w:hAnsi="宋体" w:eastAsia="宋体" w:cs="宋体"/>
          <w:color w:val="auto"/>
          <w:sz w:val="24"/>
          <w:szCs w:val="24"/>
        </w:rPr>
        <w:t>规定的方式确定一个投标人获得中标人推荐资格，招标文件未规定的采取随机抽取方式确定，其他同品牌投标人</w:t>
      </w:r>
      <w:r>
        <w:rPr>
          <w:rFonts w:hint="eastAsia" w:ascii="宋体" w:hAnsi="宋体" w:eastAsia="宋体" w:cs="宋体"/>
          <w:b/>
          <w:color w:val="auto"/>
          <w:sz w:val="24"/>
          <w:szCs w:val="24"/>
        </w:rPr>
        <w:t>不作为中标候选人</w:t>
      </w:r>
      <w:r>
        <w:rPr>
          <w:rFonts w:hint="eastAsia" w:ascii="宋体" w:hAnsi="宋体" w:eastAsia="宋体" w:cs="宋体"/>
          <w:color w:val="auto"/>
          <w:sz w:val="24"/>
          <w:szCs w:val="24"/>
        </w:rPr>
        <w:t>。</w:t>
      </w:r>
    </w:p>
    <w:p w14:paraId="4F9F0CDB">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5.3非单一产品采购项目：多家投标人提供的核心产品品牌相同的，视为相同品牌，按本章本节第 5.2 款规定处理。</w:t>
      </w:r>
    </w:p>
    <w:p w14:paraId="154F3082">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5.</w:t>
      </w:r>
      <w:r>
        <w:rPr>
          <w:rFonts w:hint="eastAsia" w:ascii="宋体" w:hAnsi="宋体" w:eastAsia="宋体" w:cs="宋体"/>
          <w:bCs/>
          <w:color w:val="auto"/>
          <w:sz w:val="24"/>
          <w:szCs w:val="24"/>
          <w:lang w:val="en-US" w:eastAsia="zh-CN"/>
        </w:rPr>
        <w:t>4</w:t>
      </w:r>
      <w:r>
        <w:rPr>
          <w:rFonts w:hint="eastAsia" w:ascii="宋体" w:hAnsi="宋体" w:eastAsia="宋体" w:cs="宋体"/>
          <w:bCs/>
          <w:color w:val="auto"/>
          <w:sz w:val="24"/>
          <w:szCs w:val="24"/>
        </w:rPr>
        <w:t>政府采购政策：</w:t>
      </w:r>
    </w:p>
    <w:p w14:paraId="7574FC1D">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color w:val="auto"/>
          <w:sz w:val="24"/>
          <w:szCs w:val="24"/>
        </w:rPr>
        <w:t>（1）</w:t>
      </w:r>
      <w:r>
        <w:rPr>
          <w:rFonts w:hint="eastAsia" w:ascii="宋体" w:hAnsi="宋体" w:eastAsia="宋体" w:cs="宋体"/>
          <w:bCs/>
          <w:color w:val="auto"/>
          <w:sz w:val="24"/>
          <w:szCs w:val="24"/>
        </w:rPr>
        <w:t>价格评审优惠：</w:t>
      </w:r>
      <w:r>
        <w:rPr>
          <w:rFonts w:hint="eastAsia" w:ascii="宋体" w:hAnsi="宋体" w:eastAsia="宋体" w:cs="宋体"/>
          <w:bCs/>
          <w:color w:val="auto"/>
          <w:sz w:val="24"/>
          <w:szCs w:val="24"/>
          <w:lang w:val="en-US" w:eastAsia="zh-CN"/>
        </w:rPr>
        <w:t>评审时</w:t>
      </w:r>
      <w:r>
        <w:rPr>
          <w:rFonts w:hint="eastAsia" w:ascii="宋体" w:hAnsi="宋体" w:eastAsia="宋体" w:cs="宋体"/>
          <w:color w:val="auto"/>
          <w:sz w:val="24"/>
          <w:szCs w:val="24"/>
        </w:rPr>
        <w:t>按</w:t>
      </w:r>
      <w:r>
        <w:rPr>
          <w:rFonts w:hint="eastAsia" w:ascii="宋体" w:hAnsi="宋体" w:eastAsia="宋体" w:cs="宋体"/>
          <w:b/>
          <w:color w:val="auto"/>
          <w:sz w:val="24"/>
          <w:szCs w:val="24"/>
        </w:rPr>
        <w:t>【评标方法及标准前附表】</w:t>
      </w:r>
      <w:r>
        <w:rPr>
          <w:rFonts w:hint="eastAsia" w:ascii="宋体" w:hAnsi="宋体" w:eastAsia="宋体" w:cs="宋体"/>
          <w:color w:val="auto"/>
          <w:sz w:val="24"/>
          <w:szCs w:val="24"/>
        </w:rPr>
        <w:t>及第二章“投标须知”的相关规定给予相应比例的价格折扣。</w:t>
      </w:r>
    </w:p>
    <w:p w14:paraId="6F3F3BC9">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color w:val="auto"/>
          <w:sz w:val="24"/>
          <w:szCs w:val="24"/>
        </w:rPr>
        <w:t>（2）优先采购：</w:t>
      </w:r>
      <w:r>
        <w:rPr>
          <w:rFonts w:hint="eastAsia" w:ascii="宋体" w:hAnsi="宋体" w:eastAsia="宋体" w:cs="宋体"/>
          <w:bCs/>
          <w:color w:val="auto"/>
          <w:sz w:val="24"/>
          <w:szCs w:val="24"/>
        </w:rPr>
        <w:t>评审时按</w:t>
      </w:r>
      <w:r>
        <w:rPr>
          <w:rFonts w:hint="eastAsia" w:ascii="宋体" w:hAnsi="宋体" w:eastAsia="宋体" w:cs="宋体"/>
          <w:b/>
          <w:color w:val="auto"/>
          <w:sz w:val="24"/>
          <w:szCs w:val="24"/>
        </w:rPr>
        <w:t>【评标方法及标准前附表】</w:t>
      </w:r>
      <w:r>
        <w:rPr>
          <w:rFonts w:hint="eastAsia" w:ascii="宋体" w:hAnsi="宋体" w:eastAsia="宋体" w:cs="宋体"/>
          <w:bCs/>
          <w:color w:val="auto"/>
          <w:sz w:val="24"/>
          <w:szCs w:val="24"/>
        </w:rPr>
        <w:t>及第二章</w:t>
      </w:r>
      <w:r>
        <w:rPr>
          <w:rFonts w:hint="eastAsia" w:ascii="宋体" w:hAnsi="宋体" w:eastAsia="宋体" w:cs="宋体"/>
          <w:color w:val="auto"/>
          <w:sz w:val="24"/>
          <w:szCs w:val="24"/>
        </w:rPr>
        <w:t>“投标须知”</w:t>
      </w:r>
      <w:r>
        <w:rPr>
          <w:rFonts w:hint="eastAsia" w:ascii="宋体" w:hAnsi="宋体" w:eastAsia="宋体" w:cs="宋体"/>
          <w:bCs/>
          <w:color w:val="auto"/>
          <w:sz w:val="24"/>
          <w:szCs w:val="24"/>
        </w:rPr>
        <w:t>的相关规定给予相应比例的价格折扣或者加分。</w:t>
      </w:r>
    </w:p>
    <w:p w14:paraId="6B80B554">
      <w:pPr>
        <w:pStyle w:val="4"/>
        <w:keepNext w:val="0"/>
        <w:keepLines w:val="0"/>
        <w:adjustRightInd w:val="0"/>
        <w:snapToGrid w:val="0"/>
        <w:spacing w:before="156" w:beforeLines="50" w:after="0" w:line="360" w:lineRule="auto"/>
        <w:jc w:val="both"/>
        <w:rPr>
          <w:rFonts w:hint="eastAsia" w:ascii="宋体" w:hAnsi="宋体" w:eastAsia="宋体" w:cs="宋体"/>
          <w:color w:val="auto"/>
          <w:sz w:val="24"/>
          <w:szCs w:val="24"/>
        </w:rPr>
      </w:pPr>
      <w:bookmarkStart w:id="100" w:name="_Toc20695"/>
      <w:bookmarkStart w:id="101" w:name="_Toc12988"/>
      <w:r>
        <w:rPr>
          <w:rFonts w:hint="eastAsia" w:ascii="宋体" w:hAnsi="宋体" w:eastAsia="宋体" w:cs="宋体"/>
          <w:bCs w:val="0"/>
          <w:color w:val="auto"/>
          <w:sz w:val="24"/>
          <w:szCs w:val="24"/>
        </w:rPr>
        <w:t>6．</w:t>
      </w:r>
      <w:r>
        <w:rPr>
          <w:rFonts w:hint="eastAsia" w:ascii="宋体" w:hAnsi="宋体" w:eastAsia="宋体" w:cs="宋体"/>
          <w:color w:val="auto"/>
          <w:sz w:val="24"/>
          <w:szCs w:val="24"/>
        </w:rPr>
        <w:t>推荐中标候选人</w:t>
      </w:r>
      <w:bookmarkEnd w:id="100"/>
      <w:bookmarkEnd w:id="101"/>
    </w:p>
    <w:p w14:paraId="7B4627C3">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6.</w:t>
      </w:r>
      <w:r>
        <w:rPr>
          <w:rFonts w:hint="eastAsia" w:ascii="宋体" w:hAnsi="宋体" w:eastAsia="宋体" w:cs="宋体"/>
          <w:bCs/>
          <w:color w:val="auto"/>
          <w:sz w:val="24"/>
          <w:szCs w:val="24"/>
          <w:lang w:val="en-US" w:eastAsia="zh-CN"/>
        </w:rPr>
        <w:t>1</w:t>
      </w:r>
      <w:r>
        <w:rPr>
          <w:rFonts w:hint="eastAsia" w:ascii="宋体" w:hAnsi="宋体" w:eastAsia="宋体" w:cs="宋体"/>
          <w:bCs/>
          <w:color w:val="auto"/>
          <w:sz w:val="24"/>
          <w:szCs w:val="24"/>
        </w:rPr>
        <w:t>综合评分法：评标结果按评审后得分由高到低顺序排列。得分相同的，按投标报价由低到高顺序排列。得分且投标报价相同的并列，按</w:t>
      </w:r>
      <w:r>
        <w:rPr>
          <w:rFonts w:hint="eastAsia" w:ascii="宋体" w:hAnsi="宋体" w:eastAsia="宋体" w:cs="宋体"/>
          <w:b/>
          <w:bCs/>
          <w:color w:val="auto"/>
          <w:sz w:val="24"/>
          <w:szCs w:val="24"/>
        </w:rPr>
        <w:t>【评标方法及标准前附表】</w:t>
      </w:r>
      <w:r>
        <w:rPr>
          <w:rFonts w:hint="eastAsia" w:ascii="宋体" w:hAnsi="宋体" w:eastAsia="宋体" w:cs="宋体"/>
          <w:bCs/>
          <w:color w:val="auto"/>
          <w:sz w:val="24"/>
          <w:szCs w:val="24"/>
        </w:rPr>
        <w:t>规定的方式确定中标人；招标文件未规定的，采取随机抽取的方式确定。</w:t>
      </w:r>
    </w:p>
    <w:p w14:paraId="13D979CB">
      <w:pPr>
        <w:pStyle w:val="4"/>
        <w:keepNext w:val="0"/>
        <w:keepLines w:val="0"/>
        <w:adjustRightInd w:val="0"/>
        <w:snapToGrid w:val="0"/>
        <w:spacing w:before="156" w:beforeLines="50" w:after="0" w:line="360" w:lineRule="auto"/>
        <w:jc w:val="both"/>
        <w:rPr>
          <w:rFonts w:hint="eastAsia" w:ascii="宋体" w:hAnsi="宋体" w:eastAsia="宋体" w:cs="宋体"/>
          <w:color w:val="auto"/>
          <w:sz w:val="24"/>
          <w:szCs w:val="24"/>
        </w:rPr>
      </w:pPr>
      <w:bookmarkStart w:id="102" w:name="_Toc192"/>
      <w:bookmarkStart w:id="103" w:name="_Toc24996"/>
      <w:r>
        <w:rPr>
          <w:rFonts w:hint="eastAsia" w:ascii="宋体" w:hAnsi="宋体" w:eastAsia="宋体" w:cs="宋体"/>
          <w:bCs w:val="0"/>
          <w:color w:val="auto"/>
          <w:sz w:val="24"/>
          <w:szCs w:val="24"/>
        </w:rPr>
        <w:t>7．</w:t>
      </w:r>
      <w:r>
        <w:rPr>
          <w:rFonts w:hint="eastAsia" w:ascii="宋体" w:hAnsi="宋体" w:eastAsia="宋体" w:cs="宋体"/>
          <w:color w:val="auto"/>
          <w:sz w:val="24"/>
          <w:szCs w:val="24"/>
        </w:rPr>
        <w:t>编写评标报告</w:t>
      </w:r>
      <w:bookmarkEnd w:id="102"/>
      <w:bookmarkEnd w:id="103"/>
    </w:p>
    <w:p w14:paraId="1ECB1FE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7.1评标</w:t>
      </w:r>
      <w:r>
        <w:rPr>
          <w:rFonts w:hint="eastAsia" w:ascii="宋体" w:hAnsi="宋体" w:eastAsia="宋体" w:cs="宋体"/>
          <w:bCs/>
          <w:color w:val="auto"/>
          <w:sz w:val="24"/>
          <w:szCs w:val="24"/>
        </w:rPr>
        <w:t>委员会</w:t>
      </w:r>
      <w:r>
        <w:rPr>
          <w:rFonts w:hint="eastAsia" w:ascii="宋体" w:hAnsi="宋体" w:eastAsia="宋体" w:cs="宋体"/>
          <w:color w:val="auto"/>
          <w:sz w:val="24"/>
          <w:szCs w:val="24"/>
        </w:rPr>
        <w:t>根据全体评标成员签字的原始评标记录和评标结果编写评标报告。</w:t>
      </w:r>
    </w:p>
    <w:p w14:paraId="41E9878F">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color w:val="auto"/>
          <w:sz w:val="24"/>
          <w:szCs w:val="24"/>
        </w:rPr>
        <w:t>7.2</w:t>
      </w:r>
      <w:r>
        <w:rPr>
          <w:rFonts w:hint="eastAsia" w:ascii="宋体" w:hAnsi="宋体" w:eastAsia="宋体" w:cs="宋体"/>
          <w:bCs/>
          <w:color w:val="auto"/>
          <w:sz w:val="24"/>
          <w:szCs w:val="24"/>
        </w:rPr>
        <w:t>评标委员会成员对需要共同认定的事项存在争议的，应当按照少数服从多数的原则作出结论。持不同意见的评标委员会成员应当在评标报告上签署不同意见及理由，否则视为同意评标报告。</w:t>
      </w:r>
    </w:p>
    <w:p w14:paraId="3ADE7240">
      <w:pPr>
        <w:pStyle w:val="4"/>
        <w:keepNext w:val="0"/>
        <w:keepLines w:val="0"/>
        <w:adjustRightInd w:val="0"/>
        <w:snapToGrid w:val="0"/>
        <w:spacing w:before="156" w:beforeLines="50" w:after="0" w:line="360" w:lineRule="auto"/>
        <w:jc w:val="both"/>
        <w:rPr>
          <w:rFonts w:hint="eastAsia" w:ascii="宋体" w:hAnsi="宋体" w:eastAsia="宋体" w:cs="宋体"/>
          <w:bCs w:val="0"/>
          <w:color w:val="auto"/>
          <w:sz w:val="24"/>
          <w:szCs w:val="24"/>
        </w:rPr>
      </w:pPr>
      <w:bookmarkStart w:id="104" w:name="_Toc5889"/>
      <w:bookmarkStart w:id="105" w:name="_Toc30227"/>
      <w:r>
        <w:rPr>
          <w:rFonts w:hint="eastAsia" w:ascii="宋体" w:hAnsi="宋体" w:eastAsia="宋体" w:cs="宋体"/>
          <w:bCs w:val="0"/>
          <w:color w:val="auto"/>
          <w:sz w:val="24"/>
          <w:szCs w:val="24"/>
        </w:rPr>
        <w:t>8．</w:t>
      </w:r>
      <w:r>
        <w:rPr>
          <w:rFonts w:hint="eastAsia" w:ascii="宋体" w:hAnsi="宋体" w:eastAsia="宋体" w:cs="宋体"/>
          <w:color w:val="auto"/>
          <w:sz w:val="24"/>
          <w:szCs w:val="24"/>
        </w:rPr>
        <w:t>评标报告</w:t>
      </w:r>
      <w:r>
        <w:rPr>
          <w:rFonts w:hint="eastAsia" w:ascii="宋体" w:hAnsi="宋体" w:eastAsia="宋体" w:cs="宋体"/>
          <w:bCs w:val="0"/>
          <w:color w:val="auto"/>
          <w:sz w:val="24"/>
          <w:szCs w:val="24"/>
        </w:rPr>
        <w:t>复核</w:t>
      </w:r>
      <w:bookmarkEnd w:id="104"/>
      <w:bookmarkEnd w:id="105"/>
    </w:p>
    <w:p w14:paraId="4C35909F">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8.1汇总结束后，评标委员会应当进行复核，特别要对拟推荐为中标候选供应商的、报价最低的、投标文件被认定为无效的进行重点复核。</w:t>
      </w:r>
    </w:p>
    <w:p w14:paraId="72120FDF">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8.2汇总完成后，除下列情形外，任何人不得修改评标结果：</w:t>
      </w:r>
    </w:p>
    <w:p w14:paraId="6E6D50F0">
      <w:pPr>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（1）分值汇总计算错误的；</w:t>
      </w:r>
    </w:p>
    <w:p w14:paraId="260DC58B">
      <w:pPr>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（2）分项评分超出评分标准范围的；</w:t>
      </w:r>
    </w:p>
    <w:p w14:paraId="1E0A5B87">
      <w:pPr>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（3）评标委员会成员对客观评审因素评分不一致的；</w:t>
      </w:r>
    </w:p>
    <w:p w14:paraId="0882453F">
      <w:pPr>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（4）经评标委员会认定评分畸高、畸低的。</w:t>
      </w:r>
    </w:p>
    <w:p w14:paraId="57E71B34">
      <w:pPr>
        <w:adjustRightInd w:val="0"/>
        <w:snapToGrid w:val="0"/>
        <w:spacing w:before="156" w:beforeLines="50" w:line="360" w:lineRule="auto"/>
        <w:ind w:firstLine="480" w:firstLineChars="200"/>
        <w:jc w:val="left"/>
        <w:rPr>
          <w:rFonts w:hint="eastAsia" w:ascii="宋体" w:hAnsi="宋体" w:eastAsia="宋体" w:cs="宋体"/>
          <w:b/>
          <w:bCs/>
          <w:color w:val="auto"/>
          <w:sz w:val="24"/>
          <w:szCs w:val="24"/>
        </w:rPr>
      </w:pPr>
      <w:r>
        <w:rPr>
          <w:rFonts w:hint="eastAsia" w:ascii="宋体" w:hAnsi="宋体" w:eastAsia="宋体" w:cs="宋体"/>
          <w:bCs/>
          <w:color w:val="auto"/>
          <w:sz w:val="24"/>
          <w:szCs w:val="24"/>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03B198CE">
      <w:pPr>
        <w:pStyle w:val="4"/>
        <w:keepNext w:val="0"/>
        <w:keepLines w:val="0"/>
        <w:adjustRightInd w:val="0"/>
        <w:snapToGrid w:val="0"/>
        <w:spacing w:before="156" w:beforeLines="50" w:after="0" w:line="360" w:lineRule="auto"/>
        <w:jc w:val="both"/>
        <w:rPr>
          <w:rFonts w:hint="eastAsia" w:ascii="宋体" w:hAnsi="宋体" w:eastAsia="宋体" w:cs="宋体"/>
          <w:bCs w:val="0"/>
          <w:color w:val="auto"/>
          <w:sz w:val="24"/>
          <w:szCs w:val="24"/>
        </w:rPr>
      </w:pPr>
      <w:bookmarkStart w:id="106" w:name="_Toc11442"/>
      <w:bookmarkStart w:id="107" w:name="_Toc26951"/>
      <w:r>
        <w:rPr>
          <w:rFonts w:hint="eastAsia" w:ascii="宋体" w:hAnsi="宋体" w:eastAsia="宋体" w:cs="宋体"/>
          <w:color w:val="auto"/>
          <w:sz w:val="24"/>
          <w:szCs w:val="24"/>
        </w:rPr>
        <w:t>9．</w:t>
      </w:r>
      <w:r>
        <w:rPr>
          <w:rFonts w:hint="eastAsia" w:ascii="宋体" w:hAnsi="宋体" w:eastAsia="宋体" w:cs="宋体"/>
          <w:bCs w:val="0"/>
          <w:color w:val="auto"/>
          <w:sz w:val="24"/>
          <w:szCs w:val="24"/>
        </w:rPr>
        <w:t>停止评标</w:t>
      </w:r>
      <w:bookmarkEnd w:id="106"/>
      <w:bookmarkEnd w:id="107"/>
    </w:p>
    <w:p w14:paraId="7069FAD2">
      <w:pPr>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bCs/>
          <w:color w:val="auto"/>
          <w:sz w:val="24"/>
          <w:szCs w:val="24"/>
        </w:rPr>
        <w:t>9.1</w:t>
      </w:r>
      <w:r>
        <w:rPr>
          <w:rFonts w:hint="eastAsia" w:ascii="宋体" w:hAnsi="宋体" w:eastAsia="宋体" w:cs="宋体"/>
          <w:color w:val="auto"/>
          <w:kern w:val="0"/>
          <w:sz w:val="24"/>
          <w:szCs w:val="24"/>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6EEED21C">
      <w:pPr>
        <w:pStyle w:val="4"/>
        <w:keepNext w:val="0"/>
        <w:keepLines w:val="0"/>
        <w:adjustRightInd w:val="0"/>
        <w:snapToGrid w:val="0"/>
        <w:spacing w:before="156" w:beforeLines="50" w:after="0" w:line="360" w:lineRule="auto"/>
        <w:jc w:val="both"/>
        <w:rPr>
          <w:rFonts w:hint="eastAsia" w:ascii="宋体" w:hAnsi="宋体" w:eastAsia="宋体" w:cs="宋体"/>
          <w:color w:val="auto"/>
          <w:sz w:val="24"/>
          <w:szCs w:val="24"/>
        </w:rPr>
      </w:pPr>
      <w:bookmarkStart w:id="108" w:name="_Toc12679"/>
      <w:bookmarkStart w:id="109" w:name="_Toc5062"/>
      <w:r>
        <w:rPr>
          <w:rFonts w:hint="eastAsia" w:ascii="宋体" w:hAnsi="宋体" w:eastAsia="宋体" w:cs="宋体"/>
          <w:color w:val="auto"/>
          <w:sz w:val="24"/>
          <w:szCs w:val="24"/>
        </w:rPr>
        <w:t>10</w:t>
      </w:r>
      <w:r>
        <w:rPr>
          <w:rFonts w:hint="eastAsia" w:ascii="宋体" w:hAnsi="宋体" w:eastAsia="宋体" w:cs="宋体"/>
          <w:color w:val="auto"/>
          <w:kern w:val="0"/>
          <w:sz w:val="24"/>
          <w:szCs w:val="24"/>
        </w:rPr>
        <w:t>．</w:t>
      </w:r>
      <w:r>
        <w:rPr>
          <w:rFonts w:hint="eastAsia" w:ascii="宋体" w:hAnsi="宋体" w:eastAsia="宋体" w:cs="宋体"/>
          <w:color w:val="auto"/>
          <w:sz w:val="24"/>
          <w:szCs w:val="24"/>
        </w:rPr>
        <w:t>废标</w:t>
      </w:r>
      <w:bookmarkEnd w:id="108"/>
      <w:bookmarkEnd w:id="109"/>
    </w:p>
    <w:p w14:paraId="62F2C3D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10.1 根据有关法律法规和招标文件的有关规定，如出现下列情况之一的，应予以废标：</w:t>
      </w:r>
    </w:p>
    <w:p w14:paraId="4AA31CC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（1）符合专业条件的投标人或者对招标文件作实质响应的投标人不足三家的；</w:t>
      </w:r>
    </w:p>
    <w:p w14:paraId="370F929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（2）出现影响采购公正的违法、违规行为的；</w:t>
      </w:r>
    </w:p>
    <w:p w14:paraId="70A631A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（3）投标人的报价均超过采购项目预算，</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不能支付的；</w:t>
      </w:r>
    </w:p>
    <w:p w14:paraId="66A1647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（4）因重大变故，采购任务取消的。</w:t>
      </w:r>
    </w:p>
    <w:p w14:paraId="7721CCD4">
      <w:pPr>
        <w:pStyle w:val="4"/>
        <w:keepNext w:val="0"/>
        <w:keepLines w:val="0"/>
        <w:adjustRightInd w:val="0"/>
        <w:snapToGrid w:val="0"/>
        <w:spacing w:before="156" w:beforeLines="50" w:after="0" w:line="360" w:lineRule="auto"/>
        <w:jc w:val="both"/>
        <w:rPr>
          <w:rFonts w:hint="eastAsia" w:ascii="宋体" w:hAnsi="宋体" w:eastAsia="宋体" w:cs="宋体"/>
          <w:bCs w:val="0"/>
          <w:color w:val="auto"/>
          <w:sz w:val="24"/>
          <w:szCs w:val="24"/>
        </w:rPr>
      </w:pPr>
      <w:bookmarkStart w:id="110" w:name="_Toc18850"/>
      <w:bookmarkStart w:id="111" w:name="_Toc24830"/>
      <w:r>
        <w:rPr>
          <w:rFonts w:hint="eastAsia" w:ascii="宋体" w:hAnsi="宋体" w:eastAsia="宋体" w:cs="宋体"/>
          <w:color w:val="auto"/>
          <w:kern w:val="0"/>
          <w:sz w:val="24"/>
          <w:szCs w:val="24"/>
        </w:rPr>
        <w:t>11．重新组建评标委员会进行评标</w:t>
      </w:r>
      <w:bookmarkEnd w:id="110"/>
      <w:bookmarkEnd w:id="111"/>
    </w:p>
    <w:p w14:paraId="6C4C5EE0">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11.1评标委员会或者其成员存在下列情形导致评标结果无效的，采购人、采购代理机构可以重新组建评标委员会进行评标，并书面报告本级财政部门，但采购合同已经履行的除外：</w:t>
      </w:r>
    </w:p>
    <w:p w14:paraId="30A8C927">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（1）评标委员会组成不符合《政府采购货物和服务招标投标管理办法》规定的；</w:t>
      </w:r>
    </w:p>
    <w:p w14:paraId="036575F3">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（2）有《政府采购货物和服务招标投标管理办法》第六十二条第一至五项情形的；</w:t>
      </w:r>
    </w:p>
    <w:p w14:paraId="36FCBD80">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（3）评标委员会及其成员独立评标受到非法干预的；</w:t>
      </w:r>
    </w:p>
    <w:p w14:paraId="28599F32">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（4）有政府采购法实施条例第七十五条规定的违法行为的。</w:t>
      </w:r>
    </w:p>
    <w:p w14:paraId="6A9B7724">
      <w:pPr>
        <w:pStyle w:val="24"/>
        <w:adjustRightInd w:val="0"/>
        <w:snapToGrid w:val="0"/>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11.2有违法违规行为的原评标委员会成员不得参加重新组建的评标委员会。</w:t>
      </w:r>
      <w:r>
        <w:rPr>
          <w:rFonts w:hint="eastAsia" w:ascii="宋体" w:hAnsi="宋体" w:eastAsia="宋体" w:cs="宋体"/>
          <w:b/>
          <w:color w:val="auto"/>
          <w:sz w:val="24"/>
          <w:szCs w:val="24"/>
        </w:rPr>
        <w:br w:type="page"/>
      </w:r>
    </w:p>
    <w:p w14:paraId="67491B7A">
      <w:pPr>
        <w:pStyle w:val="3"/>
        <w:adjustRightInd w:val="0"/>
        <w:snapToGrid w:val="0"/>
        <w:jc w:val="center"/>
        <w:rPr>
          <w:rFonts w:hint="eastAsia" w:ascii="宋体" w:hAnsi="宋体" w:eastAsia="宋体" w:cs="宋体"/>
          <w:color w:val="auto"/>
          <w:sz w:val="28"/>
          <w:szCs w:val="28"/>
        </w:rPr>
      </w:pPr>
      <w:bookmarkStart w:id="112" w:name="_Toc10657"/>
      <w:bookmarkStart w:id="113" w:name="_Toc755"/>
      <w:bookmarkStart w:id="114" w:name="_Toc19925"/>
      <w:bookmarkStart w:id="115" w:name="_Toc2176"/>
      <w:bookmarkStart w:id="116" w:name="_Toc7597"/>
      <w:bookmarkStart w:id="117" w:name="_Toc20651227"/>
      <w:bookmarkStart w:id="118" w:name="_Toc13657"/>
      <w:bookmarkStart w:id="119" w:name="_Toc23821"/>
      <w:bookmarkStart w:id="120" w:name="_Toc7897"/>
      <w:r>
        <w:rPr>
          <w:rFonts w:hint="eastAsia" w:ascii="宋体" w:hAnsi="宋体" w:eastAsia="宋体" w:cs="宋体"/>
          <w:color w:val="auto"/>
          <w:sz w:val="28"/>
          <w:szCs w:val="28"/>
        </w:rPr>
        <w:t>第三节 投标文件的符合性审查</w:t>
      </w:r>
      <w:bookmarkEnd w:id="112"/>
      <w:bookmarkEnd w:id="113"/>
    </w:p>
    <w:p w14:paraId="615FA880">
      <w:pPr>
        <w:adjustRightInd w:val="0"/>
        <w:snapToGrid w:val="0"/>
        <w:spacing w:before="156" w:beforeLines="50" w:line="360" w:lineRule="auto"/>
        <w:rPr>
          <w:rFonts w:hint="eastAsia" w:ascii="宋体" w:hAnsi="宋体" w:eastAsia="宋体" w:cs="宋体"/>
          <w:b/>
          <w:color w:val="auto"/>
          <w:sz w:val="24"/>
          <w:szCs w:val="24"/>
        </w:rPr>
      </w:pPr>
      <w:r>
        <w:rPr>
          <w:rFonts w:hint="eastAsia" w:ascii="宋体" w:hAnsi="宋体" w:eastAsia="宋体" w:cs="宋体"/>
          <w:b/>
          <w:color w:val="auto"/>
          <w:sz w:val="24"/>
          <w:szCs w:val="24"/>
        </w:rPr>
        <w:t>1.符合性审查</w:t>
      </w:r>
    </w:p>
    <w:p w14:paraId="25E11786">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1.1评标委员会应按本章本节附表1“符合性审查表”所列审查项目及审查标准，对符合资格条件的投标人的投标文件进行符合性审查，以确定其是否满足招标文件的实质性要求。</w:t>
      </w:r>
    </w:p>
    <w:p w14:paraId="30C9252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087B7C7E">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（2）投标人不得通过修正或撤销不合要求的偏离从而使其投标成为实质上响应的投标。</w:t>
      </w:r>
    </w:p>
    <w:p w14:paraId="49A2ACD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kern w:val="0"/>
          <w:sz w:val="24"/>
          <w:szCs w:val="24"/>
        </w:rPr>
        <w:t>1.2</w:t>
      </w:r>
      <w:r>
        <w:rPr>
          <w:rFonts w:hint="eastAsia" w:ascii="宋体" w:hAnsi="宋体" w:eastAsia="宋体" w:cs="宋体"/>
          <w:color w:val="auto"/>
          <w:sz w:val="24"/>
          <w:szCs w:val="24"/>
        </w:rPr>
        <w:t>未通过符合性审查的投标人，其投标将被认定为投标无效，不能进入下一阶段评审。通过符合性审查的投标人数量不足 3 家的，不得作进一步的比较和评价。</w:t>
      </w:r>
    </w:p>
    <w:p w14:paraId="039F75F1">
      <w:pPr>
        <w:adjustRightInd w:val="0"/>
        <w:snapToGrid w:val="0"/>
        <w:spacing w:before="156" w:beforeLines="50"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2.投标无效</w:t>
      </w:r>
    </w:p>
    <w:p w14:paraId="2FEC2B9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2.1投标人存在下列情况之一的，符合性审查不合格，投标无效：</w:t>
      </w:r>
    </w:p>
    <w:p w14:paraId="509D408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（1）投标文件中商务技术文件未按照招标文件规定要求签署、盖章的；</w:t>
      </w:r>
    </w:p>
    <w:p w14:paraId="556D3F6F">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（2）投标文件没有对招标文件的实质性要求和条件作出响应，或者对招标文件的偏离超出招标文件规定的偏离范围和幅度；</w:t>
      </w:r>
    </w:p>
    <w:p w14:paraId="365418D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（3）投标有效期不足的；</w:t>
      </w:r>
    </w:p>
    <w:p w14:paraId="2F466E8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（4）投标文件含有采购人不能接受的附加条件的；</w:t>
      </w:r>
    </w:p>
    <w:p w14:paraId="3204F08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（5）不符合本节第1.1款规定符合性审查标准的；</w:t>
      </w:r>
    </w:p>
    <w:p w14:paraId="0051C76B">
      <w:pPr>
        <w:adjustRightInd w:val="0"/>
        <w:snapToGrid w:val="0"/>
        <w:spacing w:before="156" w:beforeLines="50" w:line="360" w:lineRule="auto"/>
        <w:ind w:firstLine="480" w:firstLineChars="20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（6）</w:t>
      </w:r>
      <w:r>
        <w:rPr>
          <w:rFonts w:hint="eastAsia" w:ascii="宋体" w:hAnsi="宋体" w:cs="宋体"/>
          <w:color w:val="auto"/>
          <w:sz w:val="24"/>
          <w:szCs w:val="24"/>
          <w:lang w:val="en-US" w:eastAsia="zh-CN"/>
        </w:rPr>
        <w:t>投标报价超过招标文件规定的预算金额或者最高限价，以及投标报价是否合理。</w:t>
      </w:r>
    </w:p>
    <w:p w14:paraId="364C4052">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7</w:t>
      </w:r>
      <w:r>
        <w:rPr>
          <w:rFonts w:hint="eastAsia" w:ascii="宋体" w:hAnsi="宋体" w:cs="宋体"/>
          <w:color w:val="auto"/>
          <w:sz w:val="24"/>
          <w:szCs w:val="24"/>
          <w:lang w:eastAsia="zh-CN"/>
        </w:rPr>
        <w:t>）</w:t>
      </w:r>
      <w:r>
        <w:rPr>
          <w:rFonts w:hint="eastAsia" w:ascii="宋体" w:hAnsi="宋体" w:eastAsia="宋体" w:cs="宋体"/>
          <w:color w:val="auto"/>
          <w:sz w:val="24"/>
          <w:szCs w:val="24"/>
        </w:rPr>
        <w:t>法律、法规和招标文件规定的其他投标无效情形的。</w:t>
      </w:r>
    </w:p>
    <w:p w14:paraId="4C6E31C2">
      <w:pPr>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2.2在评标过程中发现投标人有不遵循公平竞争的原则，恶意串通，妨碍其他投标人的竞争行为，损害采购人或者其他投标人的合法权益的，评标委员会应当认定其</w:t>
      </w:r>
      <w:r>
        <w:rPr>
          <w:rFonts w:hint="eastAsia" w:ascii="宋体" w:hAnsi="宋体" w:eastAsia="宋体" w:cs="宋体"/>
          <w:b/>
          <w:color w:val="auto"/>
          <w:kern w:val="0"/>
          <w:sz w:val="24"/>
          <w:szCs w:val="24"/>
        </w:rPr>
        <w:t>投标无效</w:t>
      </w:r>
      <w:r>
        <w:rPr>
          <w:rFonts w:hint="eastAsia" w:ascii="宋体" w:hAnsi="宋体" w:eastAsia="宋体" w:cs="宋体"/>
          <w:color w:val="auto"/>
          <w:kern w:val="0"/>
          <w:sz w:val="24"/>
          <w:szCs w:val="24"/>
        </w:rPr>
        <w:t>，并书面报告本级财政部门。</w:t>
      </w:r>
    </w:p>
    <w:p w14:paraId="40D4B8E1">
      <w:pPr>
        <w:rPr>
          <w:rFonts w:hint="eastAsia" w:ascii="宋体" w:hAnsi="宋体" w:eastAsia="宋体" w:cs="宋体"/>
        </w:rPr>
      </w:pPr>
      <w:r>
        <w:rPr>
          <w:rFonts w:hint="eastAsia" w:ascii="宋体" w:hAnsi="宋体" w:eastAsia="宋体" w:cs="宋体"/>
        </w:rPr>
        <w:br w:type="page"/>
      </w:r>
    </w:p>
    <w:p w14:paraId="027AF02B">
      <w:pPr>
        <w:pStyle w:val="3"/>
        <w:bidi w:val="0"/>
        <w:rPr>
          <w:rFonts w:hint="eastAsia" w:ascii="宋体" w:hAnsi="宋体" w:eastAsia="宋体" w:cs="宋体"/>
        </w:rPr>
      </w:pPr>
      <w:bookmarkStart w:id="121" w:name="_Toc15249"/>
      <w:r>
        <w:rPr>
          <w:rFonts w:hint="eastAsia" w:ascii="宋体" w:hAnsi="宋体" w:eastAsia="宋体" w:cs="宋体"/>
        </w:rPr>
        <w:t>附表1 符合性审查表</w:t>
      </w:r>
      <w:bookmarkEnd w:id="114"/>
      <w:bookmarkEnd w:id="115"/>
      <w:bookmarkEnd w:id="116"/>
      <w:bookmarkEnd w:id="117"/>
      <w:bookmarkEnd w:id="118"/>
      <w:bookmarkEnd w:id="119"/>
      <w:bookmarkEnd w:id="120"/>
      <w:bookmarkEnd w:id="121"/>
    </w:p>
    <w:p w14:paraId="4EFA35ED">
      <w:pPr>
        <w:jc w:val="center"/>
        <w:rPr>
          <w:rFonts w:hint="eastAsia" w:ascii="宋体" w:hAnsi="宋体" w:eastAsia="宋体" w:cs="宋体"/>
          <w:b/>
          <w:bCs/>
          <w:color w:val="auto"/>
          <w:sz w:val="24"/>
        </w:rPr>
      </w:pPr>
      <w:r>
        <w:rPr>
          <w:rFonts w:hint="eastAsia" w:ascii="宋体" w:hAnsi="宋体" w:eastAsia="宋体" w:cs="宋体"/>
          <w:b/>
          <w:bCs/>
          <w:color w:val="auto"/>
          <w:sz w:val="24"/>
        </w:rPr>
        <w:t>符合性审查表</w:t>
      </w:r>
    </w:p>
    <w:p w14:paraId="68AC0B55">
      <w:pPr>
        <w:pStyle w:val="43"/>
        <w:rPr>
          <w:rFonts w:hint="eastAsia" w:ascii="宋体" w:hAnsi="宋体" w:eastAsia="宋体" w:cs="宋体"/>
        </w:rPr>
      </w:pPr>
    </w:p>
    <w:p w14:paraId="565868D0">
      <w:pPr>
        <w:adjustRightInd w:val="0"/>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项目名称：</w:t>
      </w:r>
      <w:r>
        <w:rPr>
          <w:rFonts w:hint="eastAsia" w:ascii="宋体" w:hAnsi="宋体" w:cs="宋体"/>
          <w:color w:val="auto"/>
          <w:sz w:val="24"/>
          <w:lang w:val="en-US" w:eastAsia="zh-CN"/>
        </w:rPr>
        <w:t xml:space="preserve">                                            </w:t>
      </w:r>
      <w:r>
        <w:rPr>
          <w:rFonts w:hint="eastAsia" w:ascii="宋体" w:hAnsi="宋体" w:eastAsia="宋体" w:cs="宋体"/>
          <w:color w:val="auto"/>
          <w:sz w:val="24"/>
          <w:lang w:eastAsia="zh-CN"/>
        </w:rPr>
        <w:t xml:space="preserve"> </w:t>
      </w:r>
      <w:r>
        <w:rPr>
          <w:rFonts w:hint="eastAsia" w:ascii="宋体" w:hAnsi="宋体" w:eastAsia="宋体" w:cs="宋体"/>
          <w:color w:val="auto"/>
          <w:sz w:val="24"/>
        </w:rPr>
        <w:t>采购</w:t>
      </w:r>
      <w:r>
        <w:rPr>
          <w:rFonts w:hint="eastAsia" w:ascii="宋体" w:hAnsi="宋体" w:cs="宋体"/>
          <w:color w:val="auto"/>
          <w:sz w:val="24"/>
          <w:lang w:val="en-US" w:eastAsia="zh-CN"/>
        </w:rPr>
        <w:t>计划</w:t>
      </w:r>
      <w:r>
        <w:rPr>
          <w:rFonts w:hint="eastAsia" w:ascii="宋体" w:hAnsi="宋体" w:eastAsia="宋体" w:cs="宋体"/>
          <w:color w:val="auto"/>
          <w:sz w:val="24"/>
        </w:rPr>
        <w:t>编号：</w:t>
      </w:r>
    </w:p>
    <w:tbl>
      <w:tblPr>
        <w:tblStyle w:val="44"/>
        <w:tblpPr w:leftFromText="180" w:rightFromText="180" w:vertAnchor="text" w:horzAnchor="page" w:tblpX="1262" w:tblpY="441"/>
        <w:tblOverlap w:val="never"/>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698"/>
        <w:gridCol w:w="1697"/>
        <w:gridCol w:w="7205"/>
      </w:tblGrid>
      <w:tr w14:paraId="04FD24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85" w:hRule="atLeast"/>
          <w:jc w:val="center"/>
        </w:trPr>
        <w:tc>
          <w:tcPr>
            <w:tcW w:w="0" w:type="auto"/>
            <w:vMerge w:val="restart"/>
            <w:tcBorders>
              <w:tl2br w:val="nil"/>
              <w:tr2bl w:val="nil"/>
            </w:tcBorders>
            <w:vAlign w:val="center"/>
          </w:tcPr>
          <w:p w14:paraId="6DA3E6C5">
            <w:pPr>
              <w:jc w:val="center"/>
              <w:rPr>
                <w:rFonts w:hint="eastAsia" w:ascii="宋体" w:hAnsi="宋体" w:eastAsia="宋体" w:cs="宋体"/>
                <w:b/>
                <w:bCs/>
                <w:color w:val="auto"/>
                <w:sz w:val="24"/>
              </w:rPr>
            </w:pPr>
            <w:r>
              <w:rPr>
                <w:rFonts w:hint="eastAsia" w:ascii="宋体" w:hAnsi="宋体" w:eastAsia="宋体" w:cs="宋体"/>
                <w:b/>
                <w:bCs/>
                <w:color w:val="auto"/>
                <w:sz w:val="24"/>
              </w:rPr>
              <w:t>序号</w:t>
            </w:r>
          </w:p>
        </w:tc>
        <w:tc>
          <w:tcPr>
            <w:tcW w:w="1697" w:type="dxa"/>
            <w:vMerge w:val="restart"/>
            <w:tcBorders>
              <w:tl2br w:val="nil"/>
              <w:tr2bl w:val="nil"/>
            </w:tcBorders>
            <w:vAlign w:val="center"/>
          </w:tcPr>
          <w:p w14:paraId="446D73E2">
            <w:pPr>
              <w:jc w:val="center"/>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审查因素</w:t>
            </w:r>
          </w:p>
        </w:tc>
        <w:tc>
          <w:tcPr>
            <w:tcW w:w="7205" w:type="dxa"/>
            <w:vMerge w:val="restart"/>
            <w:tcBorders>
              <w:tl2br w:val="nil"/>
              <w:tr2bl w:val="nil"/>
            </w:tcBorders>
            <w:vAlign w:val="center"/>
          </w:tcPr>
          <w:p w14:paraId="2DED55FD">
            <w:pPr>
              <w:jc w:val="center"/>
              <w:rPr>
                <w:rFonts w:hint="eastAsia" w:ascii="宋体" w:hAnsi="宋体" w:eastAsia="宋体" w:cs="宋体"/>
                <w:b/>
                <w:bCs/>
                <w:color w:val="auto"/>
                <w:sz w:val="24"/>
              </w:rPr>
            </w:pPr>
            <w:r>
              <w:rPr>
                <w:rFonts w:hint="eastAsia" w:ascii="宋体" w:hAnsi="宋体" w:eastAsia="宋体" w:cs="宋体"/>
                <w:b/>
                <w:bCs/>
                <w:color w:val="auto"/>
                <w:sz w:val="24"/>
              </w:rPr>
              <w:t>审查内容</w:t>
            </w:r>
          </w:p>
        </w:tc>
      </w:tr>
      <w:tr w14:paraId="4731AF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404" w:hRule="atLeast"/>
          <w:jc w:val="center"/>
        </w:trPr>
        <w:tc>
          <w:tcPr>
            <w:tcW w:w="0" w:type="auto"/>
            <w:vMerge w:val="continue"/>
            <w:tcBorders>
              <w:tl2br w:val="nil"/>
              <w:tr2bl w:val="nil"/>
            </w:tcBorders>
            <w:vAlign w:val="center"/>
          </w:tcPr>
          <w:p w14:paraId="46E52D58">
            <w:pPr>
              <w:jc w:val="center"/>
              <w:rPr>
                <w:rFonts w:hint="eastAsia" w:ascii="宋体" w:hAnsi="宋体" w:eastAsia="宋体" w:cs="宋体"/>
                <w:b/>
                <w:bCs/>
                <w:color w:val="auto"/>
              </w:rPr>
            </w:pPr>
          </w:p>
        </w:tc>
        <w:tc>
          <w:tcPr>
            <w:tcW w:w="1697" w:type="dxa"/>
            <w:vMerge w:val="continue"/>
            <w:tcBorders>
              <w:tl2br w:val="nil"/>
              <w:tr2bl w:val="nil"/>
            </w:tcBorders>
            <w:vAlign w:val="center"/>
          </w:tcPr>
          <w:p w14:paraId="72895D7A">
            <w:pPr>
              <w:jc w:val="center"/>
              <w:rPr>
                <w:rFonts w:hint="eastAsia" w:ascii="宋体" w:hAnsi="宋体" w:eastAsia="宋体" w:cs="宋体"/>
                <w:b/>
                <w:bCs/>
                <w:color w:val="auto"/>
              </w:rPr>
            </w:pPr>
          </w:p>
        </w:tc>
        <w:tc>
          <w:tcPr>
            <w:tcW w:w="7205" w:type="dxa"/>
            <w:vMerge w:val="continue"/>
            <w:tcBorders>
              <w:tl2br w:val="nil"/>
              <w:tr2bl w:val="nil"/>
            </w:tcBorders>
            <w:vAlign w:val="center"/>
          </w:tcPr>
          <w:p w14:paraId="4F00EB6F">
            <w:pPr>
              <w:rPr>
                <w:rFonts w:hint="eastAsia" w:ascii="宋体" w:hAnsi="宋体" w:eastAsia="宋体" w:cs="宋体"/>
                <w:b/>
                <w:bCs/>
                <w:color w:val="auto"/>
              </w:rPr>
            </w:pPr>
          </w:p>
        </w:tc>
      </w:tr>
      <w:tr w14:paraId="044845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763" w:hRule="atLeast"/>
          <w:jc w:val="center"/>
        </w:trPr>
        <w:tc>
          <w:tcPr>
            <w:tcW w:w="0" w:type="auto"/>
            <w:tcBorders>
              <w:tl2br w:val="nil"/>
              <w:tr2bl w:val="nil"/>
            </w:tcBorders>
            <w:vAlign w:val="center"/>
          </w:tcPr>
          <w:p w14:paraId="5F72854D">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1</w:t>
            </w:r>
          </w:p>
        </w:tc>
        <w:tc>
          <w:tcPr>
            <w:tcW w:w="1697" w:type="dxa"/>
            <w:tcBorders>
              <w:tl2br w:val="nil"/>
              <w:tr2bl w:val="nil"/>
            </w:tcBorders>
            <w:vAlign w:val="center"/>
          </w:tcPr>
          <w:p w14:paraId="0094F0F6">
            <w:pPr>
              <w:spacing w:line="360" w:lineRule="auto"/>
              <w:jc w:val="center"/>
              <w:rPr>
                <w:rFonts w:hint="eastAsia" w:ascii="宋体" w:hAnsi="宋体" w:eastAsia="宋体" w:cs="宋体"/>
                <w:color w:val="auto"/>
                <w:sz w:val="24"/>
              </w:rPr>
            </w:pPr>
            <w:r>
              <w:rPr>
                <w:rFonts w:hint="eastAsia" w:ascii="宋体" w:hAnsi="宋体" w:eastAsia="宋体" w:cs="宋体"/>
                <w:color w:val="000000"/>
                <w:kern w:val="0"/>
                <w:sz w:val="24"/>
              </w:rPr>
              <w:t>签署、盖章</w:t>
            </w:r>
          </w:p>
        </w:tc>
        <w:tc>
          <w:tcPr>
            <w:tcW w:w="7205" w:type="dxa"/>
            <w:tcBorders>
              <w:tl2br w:val="nil"/>
              <w:tr2bl w:val="nil"/>
            </w:tcBorders>
            <w:vAlign w:val="center"/>
          </w:tcPr>
          <w:p w14:paraId="544352BC">
            <w:pPr>
              <w:spacing w:line="240" w:lineRule="auto"/>
              <w:jc w:val="left"/>
              <w:rPr>
                <w:rFonts w:hint="eastAsia" w:ascii="宋体" w:hAnsi="宋体" w:eastAsia="宋体" w:cs="宋体"/>
                <w:color w:val="auto"/>
                <w:sz w:val="24"/>
              </w:rPr>
            </w:pPr>
            <w:r>
              <w:rPr>
                <w:rFonts w:hint="eastAsia" w:ascii="宋体" w:hAnsi="宋体" w:eastAsia="宋体" w:cs="宋体"/>
                <w:color w:val="auto"/>
                <w:sz w:val="24"/>
              </w:rPr>
              <w:t>投标文件是否按招标文件第二章投标须知要求进行签署、盖章。</w:t>
            </w:r>
          </w:p>
        </w:tc>
      </w:tr>
      <w:tr w14:paraId="1F7975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715" w:hRule="atLeast"/>
          <w:jc w:val="center"/>
        </w:trPr>
        <w:tc>
          <w:tcPr>
            <w:tcW w:w="0" w:type="auto"/>
            <w:tcBorders>
              <w:tl2br w:val="nil"/>
              <w:tr2bl w:val="nil"/>
            </w:tcBorders>
            <w:vAlign w:val="center"/>
          </w:tcPr>
          <w:p w14:paraId="1A03F997">
            <w:pPr>
              <w:spacing w:line="360" w:lineRule="auto"/>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2</w:t>
            </w:r>
          </w:p>
        </w:tc>
        <w:tc>
          <w:tcPr>
            <w:tcW w:w="1697" w:type="dxa"/>
            <w:tcBorders>
              <w:tl2br w:val="nil"/>
              <w:tr2bl w:val="nil"/>
            </w:tcBorders>
            <w:vAlign w:val="center"/>
          </w:tcPr>
          <w:p w14:paraId="5F520011">
            <w:pPr>
              <w:spacing w:line="360" w:lineRule="auto"/>
              <w:jc w:val="center"/>
              <w:rPr>
                <w:rFonts w:hint="eastAsia" w:ascii="宋体" w:hAnsi="宋体" w:eastAsia="宋体" w:cs="宋体"/>
                <w:color w:val="auto"/>
                <w:sz w:val="24"/>
                <w:lang w:val="en-US" w:eastAsia="zh-CN"/>
              </w:rPr>
            </w:pPr>
            <w:r>
              <w:rPr>
                <w:rFonts w:hint="eastAsia" w:ascii="宋体" w:hAnsi="宋体" w:eastAsia="宋体" w:cs="宋体"/>
                <w:color w:val="000000"/>
                <w:kern w:val="0"/>
                <w:sz w:val="24"/>
              </w:rPr>
              <w:t>实质性</w:t>
            </w:r>
            <w:r>
              <w:rPr>
                <w:rFonts w:hint="eastAsia" w:ascii="宋体" w:hAnsi="宋体" w:eastAsia="宋体" w:cs="宋体"/>
                <w:color w:val="000000"/>
                <w:kern w:val="0"/>
                <w:sz w:val="24"/>
                <w:lang w:val="en-US" w:eastAsia="zh-CN"/>
              </w:rPr>
              <w:t>要求</w:t>
            </w:r>
          </w:p>
        </w:tc>
        <w:tc>
          <w:tcPr>
            <w:tcW w:w="7205" w:type="dxa"/>
            <w:tcBorders>
              <w:tl2br w:val="nil"/>
              <w:tr2bl w:val="nil"/>
            </w:tcBorders>
            <w:vAlign w:val="center"/>
          </w:tcPr>
          <w:p w14:paraId="720A3124">
            <w:pPr>
              <w:spacing w:line="360" w:lineRule="auto"/>
              <w:jc w:val="left"/>
              <w:rPr>
                <w:rFonts w:hint="eastAsia" w:ascii="宋体" w:hAnsi="宋体" w:eastAsia="宋体" w:cs="宋体"/>
                <w:color w:val="auto"/>
                <w:sz w:val="24"/>
                <w:shd w:val="clear" w:color="auto" w:fill="FFFFFF"/>
                <w:lang w:eastAsia="zh-CN"/>
              </w:rPr>
            </w:pPr>
            <w:r>
              <w:rPr>
                <w:rFonts w:hint="eastAsia" w:ascii="宋体" w:hAnsi="宋体" w:eastAsia="宋体" w:cs="宋体"/>
                <w:color w:val="auto"/>
                <w:sz w:val="24"/>
              </w:rPr>
              <w:t>投标文件是否对招标文件的实质性要求和条件作出响应</w:t>
            </w:r>
            <w:r>
              <w:rPr>
                <w:rFonts w:hint="eastAsia" w:ascii="宋体" w:hAnsi="宋体" w:eastAsia="宋体" w:cs="宋体"/>
                <w:color w:val="auto"/>
                <w:sz w:val="24"/>
                <w:lang w:eastAsia="zh-CN"/>
              </w:rPr>
              <w:t>。</w:t>
            </w:r>
          </w:p>
        </w:tc>
      </w:tr>
      <w:tr w14:paraId="6A4FCD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62" w:hRule="atLeast"/>
          <w:jc w:val="center"/>
        </w:trPr>
        <w:tc>
          <w:tcPr>
            <w:tcW w:w="0" w:type="auto"/>
            <w:tcBorders>
              <w:tl2br w:val="nil"/>
              <w:tr2bl w:val="nil"/>
            </w:tcBorders>
            <w:vAlign w:val="center"/>
          </w:tcPr>
          <w:p w14:paraId="2426FEF2">
            <w:pPr>
              <w:spacing w:line="360" w:lineRule="auto"/>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3</w:t>
            </w:r>
          </w:p>
        </w:tc>
        <w:tc>
          <w:tcPr>
            <w:tcW w:w="1697" w:type="dxa"/>
            <w:tcBorders>
              <w:tl2br w:val="nil"/>
              <w:tr2bl w:val="nil"/>
            </w:tcBorders>
            <w:vAlign w:val="center"/>
          </w:tcPr>
          <w:p w14:paraId="213DD435">
            <w:pPr>
              <w:spacing w:line="360" w:lineRule="auto"/>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投标有效期</w:t>
            </w:r>
          </w:p>
        </w:tc>
        <w:tc>
          <w:tcPr>
            <w:tcW w:w="7205" w:type="dxa"/>
            <w:tcBorders>
              <w:tl2br w:val="nil"/>
              <w:tr2bl w:val="nil"/>
            </w:tcBorders>
            <w:vAlign w:val="center"/>
          </w:tcPr>
          <w:p w14:paraId="6D6447A1">
            <w:pPr>
              <w:spacing w:line="360" w:lineRule="auto"/>
              <w:jc w:val="left"/>
              <w:rPr>
                <w:rFonts w:hint="eastAsia" w:ascii="宋体" w:hAnsi="宋体" w:eastAsia="宋体" w:cs="宋体"/>
                <w:color w:val="auto"/>
                <w:sz w:val="24"/>
              </w:rPr>
            </w:pPr>
            <w:r>
              <w:rPr>
                <w:rFonts w:hint="eastAsia" w:ascii="宋体" w:hAnsi="宋体" w:eastAsia="宋体" w:cs="宋体"/>
                <w:color w:val="auto"/>
                <w:sz w:val="24"/>
                <w:shd w:val="clear" w:color="auto" w:fill="FFFFFF"/>
              </w:rPr>
              <w:t>投标有效期满足招标文件要求。</w:t>
            </w:r>
          </w:p>
        </w:tc>
      </w:tr>
      <w:tr w14:paraId="2A9A7F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64" w:hRule="atLeast"/>
          <w:jc w:val="center"/>
        </w:trPr>
        <w:tc>
          <w:tcPr>
            <w:tcW w:w="0" w:type="auto"/>
            <w:tcBorders>
              <w:tl2br w:val="nil"/>
              <w:tr2bl w:val="nil"/>
            </w:tcBorders>
            <w:vAlign w:val="center"/>
          </w:tcPr>
          <w:p w14:paraId="72DC7088">
            <w:pPr>
              <w:spacing w:line="360" w:lineRule="auto"/>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4</w:t>
            </w:r>
          </w:p>
        </w:tc>
        <w:tc>
          <w:tcPr>
            <w:tcW w:w="1697" w:type="dxa"/>
            <w:tcBorders>
              <w:tl2br w:val="nil"/>
              <w:tr2bl w:val="nil"/>
            </w:tcBorders>
            <w:vAlign w:val="center"/>
          </w:tcPr>
          <w:p w14:paraId="3976ED71">
            <w:pPr>
              <w:spacing w:line="360" w:lineRule="auto"/>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附加条件</w:t>
            </w:r>
          </w:p>
        </w:tc>
        <w:tc>
          <w:tcPr>
            <w:tcW w:w="7205" w:type="dxa"/>
            <w:tcBorders>
              <w:tl2br w:val="nil"/>
              <w:tr2bl w:val="nil"/>
            </w:tcBorders>
            <w:vAlign w:val="center"/>
          </w:tcPr>
          <w:p w14:paraId="427FF442">
            <w:pPr>
              <w:spacing w:line="360" w:lineRule="auto"/>
              <w:jc w:val="left"/>
              <w:rPr>
                <w:rFonts w:hint="eastAsia" w:ascii="宋体" w:hAnsi="宋体" w:eastAsia="宋体" w:cs="宋体"/>
                <w:color w:val="auto"/>
                <w:sz w:val="24"/>
                <w:shd w:val="clear" w:color="auto" w:fill="FFFFFF"/>
                <w:lang w:eastAsia="zh-CN"/>
              </w:rPr>
            </w:pPr>
            <w:r>
              <w:rPr>
                <w:rFonts w:hint="eastAsia" w:ascii="宋体" w:hAnsi="宋体" w:eastAsia="宋体" w:cs="宋体"/>
                <w:color w:val="auto"/>
                <w:sz w:val="24"/>
              </w:rPr>
              <w:t>投标文件未含有采购人不能接受的附加条件</w:t>
            </w:r>
            <w:r>
              <w:rPr>
                <w:rFonts w:hint="eastAsia" w:ascii="宋体" w:hAnsi="宋体" w:eastAsia="宋体" w:cs="宋体"/>
                <w:color w:val="auto"/>
                <w:sz w:val="24"/>
                <w:lang w:eastAsia="zh-CN"/>
              </w:rPr>
              <w:t>。</w:t>
            </w:r>
          </w:p>
        </w:tc>
      </w:tr>
      <w:tr w14:paraId="0B4B17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64" w:hRule="atLeast"/>
          <w:jc w:val="center"/>
        </w:trPr>
        <w:tc>
          <w:tcPr>
            <w:tcW w:w="0" w:type="auto"/>
            <w:tcBorders>
              <w:tl2br w:val="nil"/>
              <w:tr2bl w:val="nil"/>
            </w:tcBorders>
            <w:vAlign w:val="center"/>
          </w:tcPr>
          <w:p w14:paraId="76CBADA0">
            <w:pPr>
              <w:spacing w:line="360" w:lineRule="auto"/>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5</w:t>
            </w:r>
          </w:p>
        </w:tc>
        <w:tc>
          <w:tcPr>
            <w:tcW w:w="1697" w:type="dxa"/>
            <w:tcBorders>
              <w:tl2br w:val="nil"/>
              <w:tr2bl w:val="nil"/>
            </w:tcBorders>
            <w:vAlign w:val="center"/>
          </w:tcPr>
          <w:p w14:paraId="01255F97">
            <w:pPr>
              <w:spacing w:line="360" w:lineRule="auto"/>
              <w:jc w:val="center"/>
              <w:rPr>
                <w:rFonts w:hint="eastAsia" w:ascii="宋体" w:hAnsi="宋体" w:eastAsia="宋体" w:cs="宋体"/>
                <w:color w:val="auto"/>
                <w:sz w:val="24"/>
                <w:lang w:val="en-US" w:eastAsia="zh-CN"/>
              </w:rPr>
            </w:pPr>
            <w:r>
              <w:rPr>
                <w:rFonts w:hint="eastAsia" w:ascii="宋体" w:hAnsi="宋体" w:cs="宋体"/>
                <w:color w:val="000000"/>
                <w:kern w:val="0"/>
                <w:sz w:val="24"/>
                <w:lang w:val="en-US" w:eastAsia="zh-CN"/>
              </w:rPr>
              <w:t>招标范围</w:t>
            </w:r>
          </w:p>
        </w:tc>
        <w:tc>
          <w:tcPr>
            <w:tcW w:w="7205" w:type="dxa"/>
            <w:tcBorders>
              <w:tl2br w:val="nil"/>
              <w:tr2bl w:val="nil"/>
            </w:tcBorders>
            <w:vAlign w:val="center"/>
          </w:tcPr>
          <w:p w14:paraId="0FA8E074">
            <w:pPr>
              <w:spacing w:line="360" w:lineRule="auto"/>
              <w:jc w:val="left"/>
              <w:rPr>
                <w:rFonts w:hint="eastAsia" w:ascii="宋体" w:hAnsi="宋体" w:eastAsia="宋体" w:cs="宋体"/>
                <w:color w:val="auto"/>
                <w:sz w:val="24"/>
                <w:lang w:eastAsia="zh-CN"/>
              </w:rPr>
            </w:pPr>
            <w:r>
              <w:rPr>
                <w:rFonts w:hint="eastAsia" w:ascii="宋体" w:hAnsi="宋体" w:cs="宋体"/>
                <w:color w:val="auto"/>
                <w:sz w:val="24"/>
                <w:lang w:val="en-US" w:eastAsia="zh-CN"/>
              </w:rPr>
              <w:t>投标文件对招标文件的偏离超出规定的偏离范围和幅度。</w:t>
            </w:r>
          </w:p>
        </w:tc>
      </w:tr>
      <w:tr w14:paraId="0E9A10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64" w:hRule="atLeast"/>
          <w:jc w:val="center"/>
        </w:trPr>
        <w:tc>
          <w:tcPr>
            <w:tcW w:w="0" w:type="auto"/>
            <w:tcBorders>
              <w:tl2br w:val="nil"/>
              <w:tr2bl w:val="nil"/>
            </w:tcBorders>
            <w:vAlign w:val="center"/>
          </w:tcPr>
          <w:p w14:paraId="2E8F0069">
            <w:pPr>
              <w:spacing w:line="360" w:lineRule="auto"/>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6</w:t>
            </w:r>
          </w:p>
        </w:tc>
        <w:tc>
          <w:tcPr>
            <w:tcW w:w="1697" w:type="dxa"/>
            <w:tcBorders>
              <w:tl2br w:val="nil"/>
              <w:tr2bl w:val="nil"/>
            </w:tcBorders>
            <w:vAlign w:val="center"/>
          </w:tcPr>
          <w:p w14:paraId="2AD02102">
            <w:pPr>
              <w:spacing w:line="360" w:lineRule="auto"/>
              <w:jc w:val="center"/>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kern w:val="0"/>
                <w:sz w:val="24"/>
                <w:lang w:val="en-US" w:eastAsia="zh-CN"/>
              </w:rPr>
              <w:t>投标报价</w:t>
            </w:r>
          </w:p>
        </w:tc>
        <w:tc>
          <w:tcPr>
            <w:tcW w:w="7205" w:type="dxa"/>
            <w:tcBorders>
              <w:tl2br w:val="nil"/>
              <w:tr2bl w:val="nil"/>
            </w:tcBorders>
            <w:vAlign w:val="center"/>
          </w:tcPr>
          <w:p w14:paraId="2077BA7F">
            <w:pPr>
              <w:numPr>
                <w:ilvl w:val="0"/>
                <w:numId w:val="5"/>
              </w:numPr>
              <w:spacing w:line="360" w:lineRule="auto"/>
              <w:jc w:val="left"/>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是否响应招标文件第二章投标须知“投标文件”第13款要求；</w:t>
            </w:r>
          </w:p>
          <w:p w14:paraId="6A13E7F6">
            <w:pPr>
              <w:numPr>
                <w:ilvl w:val="0"/>
                <w:numId w:val="5"/>
              </w:numPr>
              <w:spacing w:line="360" w:lineRule="auto"/>
              <w:jc w:val="left"/>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kern w:val="0"/>
                <w:sz w:val="24"/>
              </w:rPr>
              <w:t>报价合理，或</w:t>
            </w:r>
            <w:r>
              <w:rPr>
                <w:rFonts w:hint="eastAsia" w:ascii="宋体" w:hAnsi="宋体" w:eastAsia="宋体" w:cs="宋体"/>
                <w:sz w:val="24"/>
              </w:rPr>
              <w:t>投标人的报价明显低于其他通过符合性审查投标人的报价，有可能影响产品质量或者不能诚信履约的，能够应评标委员会要求在规定时间内证明其报价合理性的</w:t>
            </w:r>
            <w:r>
              <w:rPr>
                <w:rFonts w:hint="eastAsia" w:ascii="宋体" w:hAnsi="宋体" w:eastAsia="宋体" w:cs="宋体"/>
                <w:sz w:val="24"/>
                <w:lang w:eastAsia="zh-CN"/>
              </w:rPr>
              <w:t>。</w:t>
            </w:r>
          </w:p>
          <w:p w14:paraId="1771ABF3">
            <w:pPr>
              <w:pStyle w:val="3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76" w:beforeAutospacing="0" w:after="76" w:afterAutospacing="0" w:line="480" w:lineRule="atLeast"/>
              <w:ind w:right="0"/>
              <w:jc w:val="both"/>
              <w:textAlignment w:val="baseline"/>
              <w:rPr>
                <w:rFonts w:hint="default" w:ascii="Calibri" w:hAnsi="Calibri" w:cs="Calibri"/>
                <w:i w:val="0"/>
                <w:iCs w:val="0"/>
                <w:caps w:val="0"/>
                <w:color w:val="auto"/>
                <w:spacing w:val="0"/>
                <w:sz w:val="21"/>
                <w:szCs w:val="21"/>
              </w:rPr>
            </w:pPr>
            <w:r>
              <w:rPr>
                <w:rFonts w:hint="eastAsia" w:ascii="宋体" w:hAnsi="宋体" w:cs="宋体"/>
                <w:color w:val="auto"/>
                <w:sz w:val="24"/>
                <w:lang w:eastAsia="zh-CN"/>
              </w:rPr>
              <w:t>（</w:t>
            </w:r>
            <w:r>
              <w:rPr>
                <w:rFonts w:hint="eastAsia" w:ascii="宋体" w:hAnsi="宋体" w:eastAsia="宋体" w:cs="宋体"/>
                <w:color w:val="auto"/>
                <w:sz w:val="24"/>
                <w:szCs w:val="24"/>
                <w:lang w:val="en-US" w:eastAsia="zh-CN"/>
              </w:rPr>
              <w:t>根据《关于推动解决政府采购异常低价问题的通知》财库(2026)2号的规定</w:t>
            </w:r>
            <w:r>
              <w:rPr>
                <w:rFonts w:hint="eastAsia" w:cs="宋体"/>
                <w:color w:val="auto"/>
                <w:sz w:val="24"/>
                <w:szCs w:val="24"/>
                <w:lang w:val="en-US" w:eastAsia="zh-CN"/>
              </w:rPr>
              <w:t>，</w:t>
            </w:r>
            <w:r>
              <w:rPr>
                <w:rFonts w:hint="eastAsia" w:ascii="宋体" w:hAnsi="宋体" w:eastAsia="宋体" w:cs="宋体"/>
                <w:i w:val="0"/>
                <w:iCs w:val="0"/>
                <w:caps w:val="0"/>
                <w:color w:val="auto"/>
                <w:spacing w:val="0"/>
                <w:sz w:val="24"/>
                <w:szCs w:val="24"/>
                <w:shd w:val="clear" w:fill="FFFFFF"/>
                <w:vertAlign w:val="baseline"/>
              </w:rPr>
              <w:t>政府采购评审中出现下列情形之一的，评审委员会应当启动异常低价投标（响应）审查程序：</w:t>
            </w:r>
          </w:p>
          <w:p w14:paraId="33300123">
            <w:pPr>
              <w:pStyle w:val="3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76" w:beforeAutospacing="0" w:after="76" w:afterAutospacing="0" w:line="480" w:lineRule="atLeast"/>
              <w:ind w:right="0" w:firstLine="480" w:firstLineChars="200"/>
              <w:jc w:val="both"/>
              <w:textAlignment w:val="baseline"/>
              <w:rPr>
                <w:rFonts w:hint="default" w:ascii="Calibri" w:hAnsi="Calibri" w:cs="Calibri"/>
                <w:i w:val="0"/>
                <w:iCs w:val="0"/>
                <w:caps w:val="0"/>
                <w:color w:val="auto"/>
                <w:spacing w:val="0"/>
                <w:sz w:val="21"/>
                <w:szCs w:val="21"/>
              </w:rPr>
            </w:pPr>
            <w:r>
              <w:rPr>
                <w:rFonts w:hint="eastAsia" w:ascii="宋体" w:hAnsi="宋体" w:eastAsia="宋体" w:cs="宋体"/>
                <w:i w:val="0"/>
                <w:iCs w:val="0"/>
                <w:caps w:val="0"/>
                <w:color w:val="auto"/>
                <w:spacing w:val="0"/>
                <w:sz w:val="24"/>
                <w:szCs w:val="24"/>
                <w:shd w:val="clear" w:fill="FFFFFF"/>
                <w:vertAlign w:val="baseline"/>
              </w:rPr>
              <w:t>1.投标（响应）报价低于全部通过符合性审查供应商投标（响应）报价平均值50%的，即投标（响应）报价&lt;全部通过符合性审查供应商投标（响应）报价平均值×50%；</w:t>
            </w:r>
          </w:p>
          <w:p w14:paraId="19390BED">
            <w:pPr>
              <w:pStyle w:val="3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76" w:beforeAutospacing="0" w:after="76" w:afterAutospacing="0" w:line="480" w:lineRule="atLeast"/>
              <w:ind w:right="0" w:firstLine="480" w:firstLineChars="200"/>
              <w:jc w:val="both"/>
              <w:textAlignment w:val="baseline"/>
              <w:rPr>
                <w:rFonts w:hint="default" w:ascii="Calibri" w:hAnsi="Calibri" w:cs="Calibri"/>
                <w:i w:val="0"/>
                <w:iCs w:val="0"/>
                <w:caps w:val="0"/>
                <w:color w:val="auto"/>
                <w:spacing w:val="0"/>
                <w:sz w:val="21"/>
                <w:szCs w:val="21"/>
              </w:rPr>
            </w:pPr>
            <w:r>
              <w:rPr>
                <w:rFonts w:hint="eastAsia" w:ascii="宋体" w:hAnsi="宋体" w:eastAsia="宋体" w:cs="宋体"/>
                <w:i w:val="0"/>
                <w:iCs w:val="0"/>
                <w:caps w:val="0"/>
                <w:color w:val="auto"/>
                <w:spacing w:val="0"/>
                <w:sz w:val="24"/>
                <w:szCs w:val="24"/>
                <w:shd w:val="clear" w:fill="FFFFFF"/>
                <w:vertAlign w:val="baseline"/>
              </w:rPr>
              <w:t>2.投标（响应）报价低于通过符合性审查的次低报价供应商投标（响应）报价50%的，即投标（响应）报价&lt;通过符合性审查的次低报价供应商投标（响应）报价×50%；</w:t>
            </w:r>
          </w:p>
          <w:p w14:paraId="5B385A79">
            <w:pPr>
              <w:pStyle w:val="3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76" w:beforeAutospacing="0" w:after="76" w:afterAutospacing="0" w:line="480" w:lineRule="atLeast"/>
              <w:ind w:right="0" w:firstLine="480" w:firstLineChars="200"/>
              <w:jc w:val="both"/>
              <w:textAlignment w:val="baseline"/>
              <w:rPr>
                <w:rFonts w:hint="default" w:ascii="Calibri" w:hAnsi="Calibri" w:cs="Calibri"/>
                <w:i w:val="0"/>
                <w:iCs w:val="0"/>
                <w:caps w:val="0"/>
                <w:color w:val="auto"/>
                <w:spacing w:val="0"/>
                <w:sz w:val="21"/>
                <w:szCs w:val="21"/>
              </w:rPr>
            </w:pPr>
            <w:r>
              <w:rPr>
                <w:rFonts w:hint="eastAsia" w:ascii="宋体" w:hAnsi="宋体" w:eastAsia="宋体" w:cs="宋体"/>
                <w:i w:val="0"/>
                <w:iCs w:val="0"/>
                <w:caps w:val="0"/>
                <w:color w:val="auto"/>
                <w:spacing w:val="0"/>
                <w:sz w:val="24"/>
                <w:szCs w:val="24"/>
                <w:shd w:val="clear" w:fill="FFFFFF"/>
                <w:vertAlign w:val="baseline"/>
              </w:rPr>
              <w:t>3.投标（响应）报价低于采购项目最高限价45%的，即投标（响应）报价&lt;采购项目最高限价×45%；</w:t>
            </w:r>
          </w:p>
          <w:p w14:paraId="24275AA0">
            <w:pPr>
              <w:numPr>
                <w:ilvl w:val="0"/>
                <w:numId w:val="0"/>
              </w:numPr>
              <w:spacing w:line="360" w:lineRule="auto"/>
              <w:ind w:firstLine="480" w:firstLineChars="200"/>
              <w:jc w:val="left"/>
              <w:rPr>
                <w:rFonts w:hint="eastAsia" w:cs="宋体"/>
                <w:i w:val="0"/>
                <w:iCs w:val="0"/>
                <w:caps w:val="0"/>
                <w:color w:val="auto"/>
                <w:spacing w:val="0"/>
                <w:sz w:val="24"/>
                <w:szCs w:val="24"/>
                <w:shd w:val="clear" w:fill="FFFFFF"/>
                <w:vertAlign w:val="baseline"/>
                <w:lang w:eastAsia="zh-CN"/>
              </w:rPr>
            </w:pPr>
            <w:r>
              <w:rPr>
                <w:rFonts w:hint="eastAsia" w:ascii="宋体" w:hAnsi="宋体" w:eastAsia="宋体" w:cs="宋体"/>
                <w:i w:val="0"/>
                <w:iCs w:val="0"/>
                <w:caps w:val="0"/>
                <w:color w:val="auto"/>
                <w:spacing w:val="0"/>
                <w:sz w:val="24"/>
                <w:szCs w:val="24"/>
                <w:shd w:val="clear" w:fill="FFFFFF"/>
                <w:vertAlign w:val="baseline"/>
              </w:rPr>
              <w:t>4.评审委员会基于专业判断，认为供应商报价过低，有可能影响产品质量或者不能诚信履约的其他情形。</w:t>
            </w:r>
          </w:p>
          <w:p w14:paraId="69A26AD7">
            <w:pPr>
              <w:numPr>
                <w:ilvl w:val="0"/>
                <w:numId w:val="0"/>
              </w:numPr>
              <w:spacing w:line="360" w:lineRule="auto"/>
              <w:ind w:left="0" w:leftChars="0" w:firstLine="480" w:firstLineChars="200"/>
              <w:jc w:val="left"/>
              <w:rPr>
                <w:rFonts w:hint="eastAsia" w:ascii="宋体" w:hAnsi="宋体" w:eastAsia="宋体" w:cs="宋体"/>
                <w:sz w:val="24"/>
                <w:lang w:eastAsia="zh-CN"/>
              </w:rPr>
            </w:pPr>
            <w:r>
              <w:rPr>
                <w:rFonts w:hint="eastAsia" w:ascii="宋体" w:hAnsi="宋体" w:eastAsia="宋体" w:cs="宋体"/>
                <w:i w:val="0"/>
                <w:iCs w:val="0"/>
                <w:caps w:val="0"/>
                <w:color w:val="333333"/>
                <w:spacing w:val="0"/>
                <w:sz w:val="24"/>
                <w:szCs w:val="24"/>
                <w:shd w:val="clear" w:fill="FFFFFF"/>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r>
              <w:rPr>
                <w:rFonts w:hint="eastAsia" w:ascii="宋体" w:hAnsi="宋体" w:eastAsia="宋体" w:cs="宋体"/>
                <w:i w:val="0"/>
                <w:iCs w:val="0"/>
                <w:caps w:val="0"/>
                <w:color w:val="333333"/>
                <w:spacing w:val="0"/>
                <w:sz w:val="24"/>
                <w:szCs w:val="24"/>
                <w:shd w:val="clear" w:fill="FFFFFF"/>
                <w:lang w:eastAsia="zh-CN"/>
              </w:rPr>
              <w:t>）</w:t>
            </w:r>
          </w:p>
        </w:tc>
      </w:tr>
      <w:tr w14:paraId="70A4F7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64" w:hRule="atLeast"/>
          <w:jc w:val="center"/>
        </w:trPr>
        <w:tc>
          <w:tcPr>
            <w:tcW w:w="0" w:type="auto"/>
            <w:tcBorders>
              <w:tl2br w:val="nil"/>
              <w:tr2bl w:val="nil"/>
            </w:tcBorders>
            <w:shd w:val="clear" w:color="auto" w:fill="auto"/>
            <w:vAlign w:val="center"/>
          </w:tcPr>
          <w:p w14:paraId="5BE2FAE7">
            <w:pPr>
              <w:adjustRightInd w:val="0"/>
              <w:snapToGrid w:val="0"/>
              <w:spacing w:before="156" w:beforeLines="50" w:line="360" w:lineRule="auto"/>
              <w:jc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rPr>
              <w:t>7</w:t>
            </w:r>
          </w:p>
        </w:tc>
        <w:tc>
          <w:tcPr>
            <w:tcW w:w="1697" w:type="dxa"/>
            <w:tcBorders>
              <w:tl2br w:val="nil"/>
              <w:tr2bl w:val="nil"/>
            </w:tcBorders>
            <w:shd w:val="clear" w:color="auto" w:fill="auto"/>
            <w:vAlign w:val="center"/>
          </w:tcPr>
          <w:p w14:paraId="728BA59B">
            <w:pPr>
              <w:adjustRightInd w:val="0"/>
              <w:snapToGrid w:val="0"/>
              <w:spacing w:before="156" w:beforeLines="50" w:line="360" w:lineRule="auto"/>
              <w:jc w:val="center"/>
              <w:rPr>
                <w:rFonts w:hint="eastAsia" w:ascii="宋体" w:hAnsi="宋体" w:eastAsia="宋体" w:cs="宋体"/>
                <w:color w:val="auto"/>
                <w:kern w:val="0"/>
                <w:sz w:val="24"/>
                <w:szCs w:val="24"/>
                <w:lang w:val="en-US" w:eastAsia="zh-CN" w:bidi="ar-SA"/>
              </w:rPr>
            </w:pPr>
            <w:r>
              <w:rPr>
                <w:rFonts w:hint="eastAsia" w:ascii="宋体" w:hAnsi="宋体" w:cs="宋体"/>
                <w:b w:val="0"/>
                <w:bCs w:val="0"/>
                <w:color w:val="auto"/>
                <w:kern w:val="0"/>
                <w:sz w:val="24"/>
                <w:lang w:val="en-US" w:eastAsia="zh-CN"/>
              </w:rPr>
              <w:t>法律法规和招标文件规定的其他投标无效情形的</w:t>
            </w:r>
          </w:p>
        </w:tc>
        <w:tc>
          <w:tcPr>
            <w:tcW w:w="7205" w:type="dxa"/>
            <w:tcBorders>
              <w:tl2br w:val="nil"/>
              <w:tr2bl w:val="nil"/>
            </w:tcBorders>
            <w:shd w:val="clear" w:color="auto" w:fill="auto"/>
            <w:vAlign w:val="center"/>
          </w:tcPr>
          <w:p w14:paraId="708503F8">
            <w:pPr>
              <w:spacing w:line="360" w:lineRule="auto"/>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无法律法规和招标文件规定的其他投标无效情形</w:t>
            </w:r>
          </w:p>
        </w:tc>
      </w:tr>
      <w:tr w14:paraId="1666B6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82" w:hRule="atLeast"/>
          <w:jc w:val="center"/>
        </w:trPr>
        <w:tc>
          <w:tcPr>
            <w:tcW w:w="9600" w:type="dxa"/>
            <w:gridSpan w:val="3"/>
            <w:tcBorders>
              <w:tl2br w:val="nil"/>
              <w:tr2bl w:val="nil"/>
            </w:tcBorders>
            <w:vAlign w:val="center"/>
          </w:tcPr>
          <w:p w14:paraId="66ADCBA8">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审查结果“合格”或“不合格”</w:t>
            </w:r>
          </w:p>
        </w:tc>
      </w:tr>
    </w:tbl>
    <w:p w14:paraId="1DA0B8D6">
      <w:pPr>
        <w:spacing w:line="360" w:lineRule="auto"/>
        <w:rPr>
          <w:rFonts w:hint="eastAsia" w:ascii="宋体" w:hAnsi="宋体" w:eastAsia="宋体" w:cs="宋体"/>
          <w:b/>
          <w:bCs/>
          <w:color w:val="auto"/>
          <w:sz w:val="24"/>
        </w:rPr>
      </w:pPr>
    </w:p>
    <w:p w14:paraId="47640BE2">
      <w:pPr>
        <w:spacing w:line="360" w:lineRule="auto"/>
        <w:rPr>
          <w:rFonts w:hint="eastAsia" w:ascii="宋体" w:hAnsi="宋体" w:eastAsia="宋体" w:cs="宋体"/>
          <w:color w:val="auto"/>
          <w:sz w:val="24"/>
        </w:rPr>
      </w:pPr>
      <w:r>
        <w:rPr>
          <w:rFonts w:hint="eastAsia" w:ascii="宋体" w:hAnsi="宋体" w:eastAsia="宋体" w:cs="宋体"/>
          <w:b/>
          <w:bCs/>
          <w:color w:val="auto"/>
          <w:sz w:val="24"/>
        </w:rPr>
        <w:t>评委签字：</w:t>
      </w:r>
    </w:p>
    <w:p w14:paraId="47C197E2">
      <w:pPr>
        <w:spacing w:line="360" w:lineRule="auto"/>
        <w:ind w:firstLine="7200" w:firstLineChars="3000"/>
        <w:rPr>
          <w:rFonts w:hint="eastAsia" w:ascii="宋体" w:hAnsi="宋体" w:eastAsia="宋体" w:cs="宋体"/>
          <w:color w:val="auto"/>
          <w:sz w:val="24"/>
          <w:szCs w:val="24"/>
        </w:rPr>
      </w:pPr>
      <w:r>
        <w:rPr>
          <w:rFonts w:hint="eastAsia" w:ascii="宋体" w:hAnsi="宋体" w:eastAsia="宋体" w:cs="宋体"/>
          <w:color w:val="auto"/>
          <w:sz w:val="24"/>
          <w:szCs w:val="24"/>
        </w:rPr>
        <w:t xml:space="preserve">    年  月  日</w:t>
      </w:r>
    </w:p>
    <w:p w14:paraId="7F9FBA77">
      <w:pPr>
        <w:rPr>
          <w:rFonts w:hint="eastAsia" w:ascii="宋体" w:hAnsi="宋体" w:eastAsia="宋体" w:cs="宋体"/>
          <w:color w:val="auto"/>
          <w:sz w:val="24"/>
          <w:szCs w:val="24"/>
        </w:rPr>
      </w:pPr>
    </w:p>
    <w:p w14:paraId="097CD2D5">
      <w:pPr>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46C22DBC">
      <w:pPr>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1、上述内容合格用“√”表示，不合格用“×”表示；</w:t>
      </w:r>
    </w:p>
    <w:p w14:paraId="7CD1EA7A">
      <w:pPr>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2、在结论栏中填写“合格”或“不合格”。</w:t>
      </w:r>
    </w:p>
    <w:p w14:paraId="78DEF111">
      <w:pPr>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3、以上内容有一项不合格的，则初步评审的综合评定结果为不合格。</w:t>
      </w:r>
    </w:p>
    <w:p w14:paraId="1661E51D">
      <w:pPr>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4、结论为“不合格”的</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不得进入实质性评价打分程序。</w:t>
      </w:r>
    </w:p>
    <w:p w14:paraId="7F177294">
      <w:pPr>
        <w:adjustRightInd w:val="0"/>
        <w:snapToGrid w:val="0"/>
        <w:spacing w:beforeLines="50" w:line="360" w:lineRule="auto"/>
        <w:jc w:val="left"/>
        <w:rPr>
          <w:rFonts w:hint="eastAsia" w:ascii="宋体" w:hAnsi="宋体" w:eastAsia="宋体" w:cs="宋体"/>
          <w:b/>
          <w:color w:val="auto"/>
          <w:sz w:val="24"/>
        </w:rPr>
      </w:pPr>
      <w:bookmarkStart w:id="122" w:name="_Toc23274"/>
      <w:bookmarkStart w:id="123" w:name="_Toc9269"/>
      <w:bookmarkStart w:id="124" w:name="_Toc7232"/>
      <w:bookmarkStart w:id="125" w:name="_Toc20651228"/>
      <w:bookmarkStart w:id="126" w:name="_Toc21101"/>
      <w:bookmarkStart w:id="127" w:name="_Toc12133"/>
      <w:bookmarkStart w:id="128" w:name="_Toc2957"/>
      <w:bookmarkStart w:id="129" w:name="_Toc7985"/>
      <w:r>
        <w:rPr>
          <w:rFonts w:hint="eastAsia" w:ascii="宋体" w:hAnsi="宋体" w:eastAsia="宋体" w:cs="宋体"/>
          <w:b/>
          <w:color w:val="auto"/>
          <w:sz w:val="24"/>
        </w:rPr>
        <w:t xml:space="preserve">附表2 </w:t>
      </w:r>
      <w:bookmarkEnd w:id="122"/>
      <w:bookmarkEnd w:id="123"/>
      <w:bookmarkEnd w:id="124"/>
      <w:bookmarkEnd w:id="125"/>
      <w:bookmarkEnd w:id="126"/>
      <w:r>
        <w:rPr>
          <w:rFonts w:hint="eastAsia" w:ascii="宋体" w:hAnsi="宋体" w:eastAsia="宋体" w:cs="宋体"/>
          <w:b/>
          <w:color w:val="auto"/>
          <w:sz w:val="24"/>
          <w:lang w:eastAsia="zh-CN"/>
        </w:rPr>
        <w:t>供应商</w:t>
      </w:r>
      <w:r>
        <w:rPr>
          <w:rFonts w:hint="eastAsia" w:ascii="宋体" w:hAnsi="宋体" w:eastAsia="宋体" w:cs="宋体"/>
          <w:b/>
          <w:color w:val="auto"/>
          <w:sz w:val="24"/>
        </w:rPr>
        <w:t>符合性审查结果一览表</w:t>
      </w:r>
      <w:bookmarkEnd w:id="127"/>
      <w:bookmarkEnd w:id="128"/>
      <w:bookmarkEnd w:id="129"/>
    </w:p>
    <w:p w14:paraId="16100E7A">
      <w:pPr>
        <w:adjustRightInd w:val="0"/>
        <w:snapToGrid w:val="0"/>
        <w:spacing w:beforeLines="50" w:line="360" w:lineRule="auto"/>
        <w:jc w:val="center"/>
        <w:rPr>
          <w:rFonts w:hint="eastAsia" w:ascii="宋体" w:hAnsi="宋体" w:eastAsia="宋体" w:cs="宋体"/>
        </w:rPr>
      </w:pPr>
      <w:r>
        <w:rPr>
          <w:rFonts w:hint="eastAsia" w:ascii="宋体" w:hAnsi="宋体" w:eastAsia="宋体" w:cs="宋体"/>
          <w:b/>
          <w:color w:val="auto"/>
          <w:sz w:val="24"/>
          <w:lang w:eastAsia="zh-CN"/>
        </w:rPr>
        <w:t>供应商</w:t>
      </w:r>
      <w:r>
        <w:rPr>
          <w:rFonts w:hint="eastAsia" w:ascii="宋体" w:hAnsi="宋体" w:eastAsia="宋体" w:cs="宋体"/>
          <w:b/>
          <w:color w:val="auto"/>
          <w:sz w:val="24"/>
        </w:rPr>
        <w:t>符合性审查结果一览表</w:t>
      </w:r>
    </w:p>
    <w:p w14:paraId="36C961BB">
      <w:pPr>
        <w:adjustRightInd w:val="0"/>
        <w:snapToGrid w:val="0"/>
        <w:spacing w:line="360" w:lineRule="auto"/>
        <w:rPr>
          <w:rFonts w:hint="eastAsia" w:ascii="宋体" w:hAnsi="宋体" w:eastAsia="宋体" w:cs="宋体"/>
          <w:color w:val="auto"/>
          <w:sz w:val="24"/>
        </w:rPr>
      </w:pPr>
    </w:p>
    <w:p w14:paraId="29588B0B">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sz w:val="24"/>
        </w:rPr>
        <w:t>项目名称：</w:t>
      </w:r>
      <w:r>
        <w:rPr>
          <w:rFonts w:hint="eastAsia" w:ascii="宋体" w:hAnsi="宋体" w:eastAsia="宋体" w:cs="宋体"/>
          <w:color w:val="auto"/>
          <w:sz w:val="24"/>
          <w:lang w:eastAsia="zh-CN"/>
        </w:rPr>
        <w:t xml:space="preserve"> </w:t>
      </w:r>
      <w:r>
        <w:rPr>
          <w:rFonts w:hint="eastAsia" w:ascii="宋体" w:hAnsi="宋体" w:cs="宋体"/>
          <w:color w:val="auto"/>
          <w:sz w:val="24"/>
          <w:lang w:val="en-US" w:eastAsia="zh-CN"/>
        </w:rPr>
        <w:t xml:space="preserve">                                        </w:t>
      </w:r>
      <w:r>
        <w:rPr>
          <w:rFonts w:hint="eastAsia" w:ascii="宋体" w:hAnsi="宋体" w:eastAsia="宋体" w:cs="宋体"/>
          <w:color w:val="auto"/>
          <w:sz w:val="24"/>
        </w:rPr>
        <w:t>采购</w:t>
      </w:r>
      <w:r>
        <w:rPr>
          <w:rFonts w:hint="eastAsia" w:ascii="宋体" w:hAnsi="宋体" w:cs="宋体"/>
          <w:color w:val="auto"/>
          <w:sz w:val="24"/>
          <w:lang w:val="en-US" w:eastAsia="zh-CN"/>
        </w:rPr>
        <w:t>计划</w:t>
      </w:r>
      <w:r>
        <w:rPr>
          <w:rFonts w:hint="eastAsia" w:ascii="宋体" w:hAnsi="宋体" w:eastAsia="宋体" w:cs="宋体"/>
          <w:color w:val="auto"/>
          <w:sz w:val="24"/>
        </w:rPr>
        <w:t>编号：</w:t>
      </w:r>
    </w:p>
    <w:tbl>
      <w:tblPr>
        <w:tblStyle w:val="45"/>
        <w:tblW w:w="9886"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3414"/>
        <w:gridCol w:w="2865"/>
        <w:gridCol w:w="2910"/>
      </w:tblGrid>
      <w:tr w14:paraId="04F844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89" w:hRule="atLeast"/>
        </w:trPr>
        <w:tc>
          <w:tcPr>
            <w:tcW w:w="697" w:type="dxa"/>
            <w:noWrap w:val="0"/>
            <w:vAlign w:val="center"/>
          </w:tcPr>
          <w:p w14:paraId="4903F2D9">
            <w:pPr>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序号</w:t>
            </w:r>
          </w:p>
        </w:tc>
        <w:tc>
          <w:tcPr>
            <w:tcW w:w="3414" w:type="dxa"/>
            <w:noWrap w:val="0"/>
            <w:vAlign w:val="center"/>
          </w:tcPr>
          <w:p w14:paraId="26F88251">
            <w:pPr>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投标人名称</w:t>
            </w:r>
          </w:p>
        </w:tc>
        <w:tc>
          <w:tcPr>
            <w:tcW w:w="2865" w:type="dxa"/>
            <w:noWrap w:val="0"/>
            <w:vAlign w:val="center"/>
          </w:tcPr>
          <w:p w14:paraId="115EF7DF">
            <w:pPr>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符合性审查结果</w:t>
            </w:r>
          </w:p>
          <w:p w14:paraId="78EC8854">
            <w:pPr>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（合格/不合格）</w:t>
            </w:r>
          </w:p>
        </w:tc>
        <w:tc>
          <w:tcPr>
            <w:tcW w:w="2910" w:type="dxa"/>
            <w:noWrap w:val="0"/>
            <w:vAlign w:val="center"/>
          </w:tcPr>
          <w:p w14:paraId="0F459FC5">
            <w:pPr>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符合性审查不合格原因</w:t>
            </w:r>
          </w:p>
        </w:tc>
      </w:tr>
      <w:tr w14:paraId="181BF7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6" w:hRule="atLeast"/>
        </w:trPr>
        <w:tc>
          <w:tcPr>
            <w:tcW w:w="697" w:type="dxa"/>
            <w:noWrap w:val="0"/>
            <w:vAlign w:val="top"/>
          </w:tcPr>
          <w:p w14:paraId="2B4BD459">
            <w:pPr>
              <w:adjustRightInd w:val="0"/>
              <w:snapToGrid w:val="0"/>
              <w:spacing w:line="360" w:lineRule="auto"/>
              <w:rPr>
                <w:rFonts w:hint="eastAsia" w:ascii="宋体" w:hAnsi="宋体" w:eastAsia="宋体" w:cs="宋体"/>
                <w:color w:val="auto"/>
                <w:kern w:val="0"/>
                <w:sz w:val="24"/>
                <w:szCs w:val="24"/>
              </w:rPr>
            </w:pPr>
          </w:p>
        </w:tc>
        <w:tc>
          <w:tcPr>
            <w:tcW w:w="3414" w:type="dxa"/>
            <w:noWrap w:val="0"/>
            <w:vAlign w:val="top"/>
          </w:tcPr>
          <w:p w14:paraId="72AF2941">
            <w:pPr>
              <w:adjustRightInd w:val="0"/>
              <w:snapToGrid w:val="0"/>
              <w:spacing w:line="360" w:lineRule="auto"/>
              <w:rPr>
                <w:rFonts w:hint="eastAsia" w:ascii="宋体" w:hAnsi="宋体" w:eastAsia="宋体" w:cs="宋体"/>
                <w:color w:val="auto"/>
                <w:kern w:val="0"/>
                <w:sz w:val="24"/>
                <w:szCs w:val="24"/>
              </w:rPr>
            </w:pPr>
          </w:p>
        </w:tc>
        <w:tc>
          <w:tcPr>
            <w:tcW w:w="2865" w:type="dxa"/>
            <w:noWrap w:val="0"/>
            <w:vAlign w:val="top"/>
          </w:tcPr>
          <w:p w14:paraId="7EFD9054">
            <w:pPr>
              <w:adjustRightInd w:val="0"/>
              <w:snapToGrid w:val="0"/>
              <w:spacing w:line="360" w:lineRule="auto"/>
              <w:rPr>
                <w:rFonts w:hint="eastAsia" w:ascii="宋体" w:hAnsi="宋体" w:eastAsia="宋体" w:cs="宋体"/>
                <w:color w:val="auto"/>
                <w:kern w:val="0"/>
                <w:sz w:val="24"/>
                <w:szCs w:val="24"/>
              </w:rPr>
            </w:pPr>
          </w:p>
        </w:tc>
        <w:tc>
          <w:tcPr>
            <w:tcW w:w="2910" w:type="dxa"/>
            <w:noWrap w:val="0"/>
            <w:vAlign w:val="top"/>
          </w:tcPr>
          <w:p w14:paraId="0A4FF91B">
            <w:pPr>
              <w:adjustRightInd w:val="0"/>
              <w:snapToGrid w:val="0"/>
              <w:spacing w:line="360" w:lineRule="auto"/>
              <w:rPr>
                <w:rFonts w:hint="eastAsia" w:ascii="宋体" w:hAnsi="宋体" w:eastAsia="宋体" w:cs="宋体"/>
                <w:color w:val="auto"/>
                <w:kern w:val="0"/>
                <w:sz w:val="24"/>
                <w:szCs w:val="24"/>
              </w:rPr>
            </w:pPr>
          </w:p>
        </w:tc>
      </w:tr>
      <w:tr w14:paraId="4E3416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6" w:hRule="atLeast"/>
        </w:trPr>
        <w:tc>
          <w:tcPr>
            <w:tcW w:w="697" w:type="dxa"/>
            <w:noWrap w:val="0"/>
            <w:vAlign w:val="top"/>
          </w:tcPr>
          <w:p w14:paraId="20F539A2">
            <w:pPr>
              <w:adjustRightInd w:val="0"/>
              <w:snapToGrid w:val="0"/>
              <w:spacing w:line="360" w:lineRule="auto"/>
              <w:rPr>
                <w:rFonts w:hint="eastAsia" w:ascii="宋体" w:hAnsi="宋体" w:eastAsia="宋体" w:cs="宋体"/>
                <w:color w:val="auto"/>
                <w:kern w:val="0"/>
                <w:sz w:val="24"/>
                <w:szCs w:val="24"/>
              </w:rPr>
            </w:pPr>
          </w:p>
        </w:tc>
        <w:tc>
          <w:tcPr>
            <w:tcW w:w="3414" w:type="dxa"/>
            <w:noWrap w:val="0"/>
            <w:vAlign w:val="top"/>
          </w:tcPr>
          <w:p w14:paraId="5E9B14C4">
            <w:pPr>
              <w:adjustRightInd w:val="0"/>
              <w:snapToGrid w:val="0"/>
              <w:spacing w:line="360" w:lineRule="auto"/>
              <w:rPr>
                <w:rFonts w:hint="eastAsia" w:ascii="宋体" w:hAnsi="宋体" w:eastAsia="宋体" w:cs="宋体"/>
                <w:color w:val="auto"/>
                <w:kern w:val="0"/>
                <w:sz w:val="24"/>
                <w:szCs w:val="24"/>
              </w:rPr>
            </w:pPr>
          </w:p>
        </w:tc>
        <w:tc>
          <w:tcPr>
            <w:tcW w:w="2865" w:type="dxa"/>
            <w:noWrap w:val="0"/>
            <w:vAlign w:val="top"/>
          </w:tcPr>
          <w:p w14:paraId="5E16556D">
            <w:pPr>
              <w:adjustRightInd w:val="0"/>
              <w:snapToGrid w:val="0"/>
              <w:spacing w:line="360" w:lineRule="auto"/>
              <w:rPr>
                <w:rFonts w:hint="eastAsia" w:ascii="宋体" w:hAnsi="宋体" w:eastAsia="宋体" w:cs="宋体"/>
                <w:color w:val="auto"/>
                <w:kern w:val="0"/>
                <w:sz w:val="24"/>
                <w:szCs w:val="24"/>
              </w:rPr>
            </w:pPr>
          </w:p>
        </w:tc>
        <w:tc>
          <w:tcPr>
            <w:tcW w:w="2910" w:type="dxa"/>
            <w:noWrap w:val="0"/>
            <w:vAlign w:val="top"/>
          </w:tcPr>
          <w:p w14:paraId="67707ACF">
            <w:pPr>
              <w:adjustRightInd w:val="0"/>
              <w:snapToGrid w:val="0"/>
              <w:spacing w:line="360" w:lineRule="auto"/>
              <w:rPr>
                <w:rFonts w:hint="eastAsia" w:ascii="宋体" w:hAnsi="宋体" w:eastAsia="宋体" w:cs="宋体"/>
                <w:color w:val="auto"/>
                <w:kern w:val="0"/>
                <w:sz w:val="24"/>
                <w:szCs w:val="24"/>
              </w:rPr>
            </w:pPr>
          </w:p>
        </w:tc>
      </w:tr>
      <w:tr w14:paraId="5E3759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1" w:hRule="atLeast"/>
        </w:trPr>
        <w:tc>
          <w:tcPr>
            <w:tcW w:w="697" w:type="dxa"/>
            <w:noWrap w:val="0"/>
            <w:vAlign w:val="top"/>
          </w:tcPr>
          <w:p w14:paraId="7D432B51">
            <w:pPr>
              <w:adjustRightInd w:val="0"/>
              <w:snapToGrid w:val="0"/>
              <w:spacing w:line="360" w:lineRule="auto"/>
              <w:rPr>
                <w:rFonts w:hint="eastAsia" w:ascii="宋体" w:hAnsi="宋体" w:eastAsia="宋体" w:cs="宋体"/>
                <w:color w:val="auto"/>
                <w:kern w:val="0"/>
                <w:sz w:val="24"/>
                <w:szCs w:val="24"/>
              </w:rPr>
            </w:pPr>
          </w:p>
        </w:tc>
        <w:tc>
          <w:tcPr>
            <w:tcW w:w="3414" w:type="dxa"/>
            <w:noWrap w:val="0"/>
            <w:vAlign w:val="top"/>
          </w:tcPr>
          <w:p w14:paraId="36654846">
            <w:pPr>
              <w:adjustRightInd w:val="0"/>
              <w:snapToGrid w:val="0"/>
              <w:spacing w:line="360" w:lineRule="auto"/>
              <w:rPr>
                <w:rFonts w:hint="eastAsia" w:ascii="宋体" w:hAnsi="宋体" w:eastAsia="宋体" w:cs="宋体"/>
                <w:color w:val="auto"/>
                <w:kern w:val="0"/>
                <w:sz w:val="24"/>
                <w:szCs w:val="24"/>
              </w:rPr>
            </w:pPr>
          </w:p>
        </w:tc>
        <w:tc>
          <w:tcPr>
            <w:tcW w:w="2865" w:type="dxa"/>
            <w:noWrap w:val="0"/>
            <w:vAlign w:val="top"/>
          </w:tcPr>
          <w:p w14:paraId="2A568839">
            <w:pPr>
              <w:adjustRightInd w:val="0"/>
              <w:snapToGrid w:val="0"/>
              <w:spacing w:line="360" w:lineRule="auto"/>
              <w:rPr>
                <w:rFonts w:hint="eastAsia" w:ascii="宋体" w:hAnsi="宋体" w:eastAsia="宋体" w:cs="宋体"/>
                <w:color w:val="auto"/>
                <w:kern w:val="0"/>
                <w:sz w:val="24"/>
                <w:szCs w:val="24"/>
              </w:rPr>
            </w:pPr>
          </w:p>
        </w:tc>
        <w:tc>
          <w:tcPr>
            <w:tcW w:w="2910" w:type="dxa"/>
            <w:noWrap w:val="0"/>
            <w:vAlign w:val="top"/>
          </w:tcPr>
          <w:p w14:paraId="5A7FB4C6">
            <w:pPr>
              <w:adjustRightInd w:val="0"/>
              <w:snapToGrid w:val="0"/>
              <w:spacing w:line="360" w:lineRule="auto"/>
              <w:rPr>
                <w:rFonts w:hint="eastAsia" w:ascii="宋体" w:hAnsi="宋体" w:eastAsia="宋体" w:cs="宋体"/>
                <w:color w:val="auto"/>
                <w:kern w:val="0"/>
                <w:sz w:val="24"/>
                <w:szCs w:val="24"/>
              </w:rPr>
            </w:pPr>
          </w:p>
        </w:tc>
      </w:tr>
      <w:tr w14:paraId="291D69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1" w:hRule="atLeast"/>
        </w:trPr>
        <w:tc>
          <w:tcPr>
            <w:tcW w:w="697" w:type="dxa"/>
            <w:noWrap w:val="0"/>
            <w:vAlign w:val="top"/>
          </w:tcPr>
          <w:p w14:paraId="51FF04D9">
            <w:pPr>
              <w:adjustRightInd w:val="0"/>
              <w:snapToGrid w:val="0"/>
              <w:spacing w:line="360" w:lineRule="auto"/>
              <w:rPr>
                <w:rFonts w:hint="eastAsia" w:ascii="宋体" w:hAnsi="宋体" w:eastAsia="宋体" w:cs="宋体"/>
                <w:color w:val="auto"/>
                <w:kern w:val="0"/>
                <w:sz w:val="24"/>
                <w:szCs w:val="24"/>
              </w:rPr>
            </w:pPr>
          </w:p>
        </w:tc>
        <w:tc>
          <w:tcPr>
            <w:tcW w:w="3414" w:type="dxa"/>
            <w:noWrap w:val="0"/>
            <w:vAlign w:val="top"/>
          </w:tcPr>
          <w:p w14:paraId="4B2E3765">
            <w:pPr>
              <w:adjustRightInd w:val="0"/>
              <w:snapToGrid w:val="0"/>
              <w:spacing w:line="360" w:lineRule="auto"/>
              <w:rPr>
                <w:rFonts w:hint="eastAsia" w:ascii="宋体" w:hAnsi="宋体" w:eastAsia="宋体" w:cs="宋体"/>
                <w:color w:val="auto"/>
                <w:kern w:val="0"/>
                <w:sz w:val="24"/>
                <w:szCs w:val="24"/>
              </w:rPr>
            </w:pPr>
          </w:p>
        </w:tc>
        <w:tc>
          <w:tcPr>
            <w:tcW w:w="2865" w:type="dxa"/>
            <w:noWrap w:val="0"/>
            <w:vAlign w:val="top"/>
          </w:tcPr>
          <w:p w14:paraId="3636A6B4">
            <w:pPr>
              <w:adjustRightInd w:val="0"/>
              <w:snapToGrid w:val="0"/>
              <w:spacing w:line="360" w:lineRule="auto"/>
              <w:rPr>
                <w:rFonts w:hint="eastAsia" w:ascii="宋体" w:hAnsi="宋体" w:eastAsia="宋体" w:cs="宋体"/>
                <w:color w:val="auto"/>
                <w:kern w:val="0"/>
                <w:sz w:val="24"/>
                <w:szCs w:val="24"/>
              </w:rPr>
            </w:pPr>
          </w:p>
        </w:tc>
        <w:tc>
          <w:tcPr>
            <w:tcW w:w="2910" w:type="dxa"/>
            <w:noWrap w:val="0"/>
            <w:vAlign w:val="top"/>
          </w:tcPr>
          <w:p w14:paraId="4F5E960C">
            <w:pPr>
              <w:adjustRightInd w:val="0"/>
              <w:snapToGrid w:val="0"/>
              <w:spacing w:line="360" w:lineRule="auto"/>
              <w:rPr>
                <w:rFonts w:hint="eastAsia" w:ascii="宋体" w:hAnsi="宋体" w:eastAsia="宋体" w:cs="宋体"/>
                <w:color w:val="auto"/>
                <w:kern w:val="0"/>
                <w:sz w:val="24"/>
                <w:szCs w:val="24"/>
              </w:rPr>
            </w:pPr>
          </w:p>
        </w:tc>
      </w:tr>
      <w:tr w14:paraId="1D186F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1" w:hRule="atLeast"/>
        </w:trPr>
        <w:tc>
          <w:tcPr>
            <w:tcW w:w="697" w:type="dxa"/>
            <w:noWrap w:val="0"/>
            <w:vAlign w:val="top"/>
          </w:tcPr>
          <w:p w14:paraId="1E536761">
            <w:pPr>
              <w:adjustRightInd w:val="0"/>
              <w:snapToGrid w:val="0"/>
              <w:spacing w:line="360" w:lineRule="auto"/>
              <w:rPr>
                <w:rFonts w:hint="eastAsia" w:ascii="宋体" w:hAnsi="宋体" w:eastAsia="宋体" w:cs="宋体"/>
                <w:color w:val="auto"/>
                <w:kern w:val="0"/>
                <w:sz w:val="24"/>
                <w:szCs w:val="24"/>
              </w:rPr>
            </w:pPr>
          </w:p>
        </w:tc>
        <w:tc>
          <w:tcPr>
            <w:tcW w:w="3414" w:type="dxa"/>
            <w:noWrap w:val="0"/>
            <w:vAlign w:val="top"/>
          </w:tcPr>
          <w:p w14:paraId="4C4CC715">
            <w:pPr>
              <w:adjustRightInd w:val="0"/>
              <w:snapToGrid w:val="0"/>
              <w:spacing w:line="360" w:lineRule="auto"/>
              <w:rPr>
                <w:rFonts w:hint="eastAsia" w:ascii="宋体" w:hAnsi="宋体" w:eastAsia="宋体" w:cs="宋体"/>
                <w:color w:val="auto"/>
                <w:kern w:val="0"/>
                <w:sz w:val="24"/>
                <w:szCs w:val="24"/>
              </w:rPr>
            </w:pPr>
          </w:p>
        </w:tc>
        <w:tc>
          <w:tcPr>
            <w:tcW w:w="2865" w:type="dxa"/>
            <w:noWrap w:val="0"/>
            <w:vAlign w:val="top"/>
          </w:tcPr>
          <w:p w14:paraId="6DD4A35B">
            <w:pPr>
              <w:adjustRightInd w:val="0"/>
              <w:snapToGrid w:val="0"/>
              <w:spacing w:line="360" w:lineRule="auto"/>
              <w:rPr>
                <w:rFonts w:hint="eastAsia" w:ascii="宋体" w:hAnsi="宋体" w:eastAsia="宋体" w:cs="宋体"/>
                <w:color w:val="auto"/>
                <w:kern w:val="0"/>
                <w:sz w:val="24"/>
                <w:szCs w:val="24"/>
              </w:rPr>
            </w:pPr>
          </w:p>
        </w:tc>
        <w:tc>
          <w:tcPr>
            <w:tcW w:w="2910" w:type="dxa"/>
            <w:noWrap w:val="0"/>
            <w:vAlign w:val="top"/>
          </w:tcPr>
          <w:p w14:paraId="5F7D14F4">
            <w:pPr>
              <w:adjustRightInd w:val="0"/>
              <w:snapToGrid w:val="0"/>
              <w:spacing w:line="360" w:lineRule="auto"/>
              <w:rPr>
                <w:rFonts w:hint="eastAsia" w:ascii="宋体" w:hAnsi="宋体" w:eastAsia="宋体" w:cs="宋体"/>
                <w:color w:val="auto"/>
                <w:kern w:val="0"/>
                <w:sz w:val="24"/>
                <w:szCs w:val="24"/>
              </w:rPr>
            </w:pPr>
          </w:p>
        </w:tc>
      </w:tr>
    </w:tbl>
    <w:p w14:paraId="228F20F8">
      <w:pPr>
        <w:adjustRightInd w:val="0"/>
        <w:snapToGrid w:val="0"/>
        <w:spacing w:line="360" w:lineRule="auto"/>
        <w:rPr>
          <w:rFonts w:hint="eastAsia" w:ascii="宋体" w:hAnsi="宋体" w:eastAsia="宋体" w:cs="宋体"/>
          <w:color w:val="auto"/>
          <w:sz w:val="24"/>
        </w:rPr>
      </w:pPr>
    </w:p>
    <w:p w14:paraId="67695872">
      <w:pPr>
        <w:spacing w:line="360" w:lineRule="auto"/>
        <w:rPr>
          <w:rFonts w:hint="eastAsia" w:ascii="宋体" w:hAnsi="宋体" w:eastAsia="宋体" w:cs="宋体"/>
          <w:color w:val="auto"/>
          <w:sz w:val="24"/>
        </w:rPr>
      </w:pPr>
      <w:r>
        <w:rPr>
          <w:rFonts w:hint="eastAsia" w:ascii="宋体" w:hAnsi="宋体" w:eastAsia="宋体" w:cs="宋体"/>
          <w:b/>
          <w:bCs/>
          <w:color w:val="auto"/>
          <w:sz w:val="24"/>
        </w:rPr>
        <w:t>评委签字：</w:t>
      </w:r>
    </w:p>
    <w:p w14:paraId="3614C47D">
      <w:pPr>
        <w:adjustRightInd w:val="0"/>
        <w:snapToGrid w:val="0"/>
        <w:spacing w:line="360" w:lineRule="auto"/>
        <w:ind w:firstLine="6720" w:firstLineChars="2800"/>
        <w:rPr>
          <w:rFonts w:hint="eastAsia" w:ascii="宋体" w:hAnsi="宋体" w:eastAsia="宋体" w:cs="宋体"/>
          <w:b w:val="0"/>
          <w:bCs w:val="0"/>
          <w:color w:val="auto"/>
          <w:sz w:val="24"/>
        </w:rPr>
      </w:pPr>
    </w:p>
    <w:p w14:paraId="4BAEE483">
      <w:pPr>
        <w:adjustRightInd w:val="0"/>
        <w:snapToGrid w:val="0"/>
        <w:spacing w:line="360" w:lineRule="auto"/>
        <w:ind w:firstLine="6720" w:firstLineChars="2800"/>
        <w:rPr>
          <w:rFonts w:hint="eastAsia" w:ascii="宋体" w:hAnsi="宋体" w:eastAsia="宋体" w:cs="宋体"/>
          <w:b w:val="0"/>
          <w:bCs w:val="0"/>
          <w:color w:val="auto"/>
          <w:sz w:val="24"/>
        </w:rPr>
      </w:pPr>
      <w:r>
        <w:rPr>
          <w:rFonts w:hint="eastAsia" w:ascii="宋体" w:hAnsi="宋体" w:eastAsia="宋体" w:cs="宋体"/>
          <w:b w:val="0"/>
          <w:bCs w:val="0"/>
          <w:color w:val="auto"/>
          <w:sz w:val="24"/>
        </w:rPr>
        <w:t xml:space="preserve">  年  月  日</w:t>
      </w:r>
    </w:p>
    <w:p w14:paraId="3E125F0F">
      <w:pPr>
        <w:rPr>
          <w:rFonts w:hint="eastAsia" w:ascii="宋体" w:hAnsi="宋体" w:eastAsia="宋体" w:cs="宋体"/>
          <w:b/>
          <w:bCs/>
          <w:color w:val="auto"/>
          <w:sz w:val="24"/>
        </w:rPr>
      </w:pPr>
      <w:r>
        <w:rPr>
          <w:rFonts w:hint="eastAsia" w:ascii="宋体" w:hAnsi="宋体" w:eastAsia="宋体" w:cs="宋体"/>
          <w:b/>
          <w:bCs/>
          <w:color w:val="auto"/>
          <w:sz w:val="24"/>
        </w:rPr>
        <w:br w:type="page"/>
      </w:r>
    </w:p>
    <w:p w14:paraId="671C8BB9">
      <w:pPr>
        <w:pStyle w:val="3"/>
        <w:adjustRightInd w:val="0"/>
        <w:snapToGrid w:val="0"/>
        <w:jc w:val="center"/>
        <w:rPr>
          <w:rFonts w:hint="eastAsia" w:ascii="宋体" w:hAnsi="宋体" w:eastAsia="宋体" w:cs="宋体"/>
          <w:color w:val="auto"/>
          <w:sz w:val="28"/>
          <w:szCs w:val="28"/>
        </w:rPr>
      </w:pPr>
      <w:bookmarkStart w:id="130" w:name="_Toc20336"/>
      <w:bookmarkStart w:id="131" w:name="_Toc20651229"/>
      <w:bookmarkStart w:id="132" w:name="_Toc19578"/>
      <w:bookmarkStart w:id="133" w:name="_Toc14049"/>
      <w:bookmarkStart w:id="134" w:name="_Toc25611"/>
      <w:bookmarkStart w:id="135" w:name="_Toc23696"/>
      <w:bookmarkStart w:id="136" w:name="_Toc28954"/>
      <w:bookmarkStart w:id="137" w:name="_Toc15236"/>
      <w:r>
        <w:rPr>
          <w:rFonts w:hint="eastAsia" w:ascii="宋体" w:hAnsi="宋体" w:eastAsia="宋体" w:cs="宋体"/>
          <w:color w:val="auto"/>
          <w:sz w:val="28"/>
          <w:szCs w:val="28"/>
        </w:rPr>
        <w:t>第四节 投标文件的比较与评价（综合评分法）</w:t>
      </w:r>
      <w:bookmarkEnd w:id="130"/>
    </w:p>
    <w:p w14:paraId="269C7215">
      <w:pPr>
        <w:widowControl/>
        <w:adjustRightInd w:val="0"/>
        <w:snapToGrid w:val="0"/>
        <w:spacing w:before="156" w:beforeLines="50"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1.</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综合评分法</w:t>
      </w:r>
    </w:p>
    <w:p w14:paraId="667A70ED">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1.1综合评分法，指投标文件满足招标文件全部实质性要求，且按照评审因素的量化指标评审得分最高的投标人为中标候选人的评标方法。</w:t>
      </w:r>
    </w:p>
    <w:p w14:paraId="02B8F0DA">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1.2评标因素：评审因素的设定应当与投标人所提供货物服务的质量相关，包括投标报价、技术或者服务水平、履约能力、售后服务等，但不包括第一章投标人的资格要求。本采购项目的评标因素和标准见本章本节附表1“评标方法及标准表”。</w:t>
      </w:r>
    </w:p>
    <w:p w14:paraId="7E2D8158">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1.3未通过符合性审查的投标文件不得进入比较与评价。</w:t>
      </w:r>
    </w:p>
    <w:p w14:paraId="3FA32CB3">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2.</w:t>
      </w:r>
      <w:r>
        <w:rPr>
          <w:rFonts w:hint="eastAsia" w:ascii="宋体" w:hAnsi="宋体" w:eastAsia="宋体" w:cs="宋体"/>
          <w:color w:val="auto"/>
          <w:sz w:val="24"/>
          <w:szCs w:val="24"/>
        </w:rPr>
        <w:t xml:space="preserve"> </w:t>
      </w:r>
      <w:r>
        <w:rPr>
          <w:rFonts w:hint="eastAsia" w:ascii="宋体" w:hAnsi="宋体" w:eastAsia="宋体" w:cs="宋体"/>
          <w:b/>
          <w:bCs/>
          <w:color w:val="auto"/>
          <w:sz w:val="24"/>
          <w:szCs w:val="24"/>
        </w:rPr>
        <w:t>投标报价的算术修正及政府采购政策调整</w:t>
      </w:r>
    </w:p>
    <w:p w14:paraId="0A877011">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2.1如果有算术错误，投标报价将按本章第二节第4.2款、第4.3款规定进行算术修正。</w:t>
      </w:r>
    </w:p>
    <w:p w14:paraId="626FAE37">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2.2需落实政府采购政策（价格评审优惠）的，按第二章“投标须知”及本章第二节第5.</w:t>
      </w:r>
      <w:r>
        <w:rPr>
          <w:rFonts w:hint="eastAsia" w:ascii="宋体" w:hAnsi="宋体" w:eastAsia="宋体" w:cs="宋体"/>
          <w:bCs/>
          <w:color w:val="auto"/>
          <w:sz w:val="24"/>
          <w:szCs w:val="24"/>
          <w:lang w:val="en-US" w:eastAsia="zh-CN"/>
        </w:rPr>
        <w:t>4</w:t>
      </w:r>
      <w:r>
        <w:rPr>
          <w:rFonts w:hint="eastAsia" w:ascii="宋体" w:hAnsi="宋体" w:eastAsia="宋体" w:cs="宋体"/>
          <w:bCs/>
          <w:color w:val="auto"/>
          <w:sz w:val="24"/>
          <w:szCs w:val="24"/>
        </w:rPr>
        <w:t>（1）项的相关规定进行价格调整。</w:t>
      </w:r>
    </w:p>
    <w:p w14:paraId="7A365A42">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2.3按本章本节第2.1款、第2.2款规定，以修正或调整后的价格确定投标人的投标报价和评标基准价，用于投标报价评价。</w:t>
      </w:r>
    </w:p>
    <w:p w14:paraId="2417C060">
      <w:pPr>
        <w:adjustRightInd w:val="0"/>
        <w:snapToGrid w:val="0"/>
        <w:spacing w:before="156" w:beforeLines="5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3.</w:t>
      </w:r>
      <w:r>
        <w:rPr>
          <w:rFonts w:hint="eastAsia" w:ascii="宋体" w:hAnsi="宋体" w:eastAsia="宋体" w:cs="宋体"/>
          <w:color w:val="auto"/>
          <w:sz w:val="24"/>
          <w:szCs w:val="24"/>
        </w:rPr>
        <w:t xml:space="preserve"> </w:t>
      </w:r>
      <w:r>
        <w:rPr>
          <w:rFonts w:hint="eastAsia" w:ascii="宋体" w:hAnsi="宋体" w:eastAsia="宋体" w:cs="宋体"/>
          <w:b/>
          <w:bCs/>
          <w:color w:val="auto"/>
          <w:sz w:val="24"/>
          <w:szCs w:val="24"/>
        </w:rPr>
        <w:t>投标报价评价</w:t>
      </w:r>
    </w:p>
    <w:p w14:paraId="78C05CD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3.1投标报价评价：价格分应当采用低价优先法计算，即满足招标文件要求且投标价格最低的投标报价为评标基准价，其价格分为满分（报价权重分）。其他投标人的价格分统一按照下列公式计算：</w:t>
      </w:r>
    </w:p>
    <w:p w14:paraId="230A6E1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投标报价得分=（评标基准价</w:t>
      </w:r>
      <w:r>
        <w:rPr>
          <w:rFonts w:hint="eastAsia" w:ascii="宋体" w:hAnsi="宋体" w:eastAsia="宋体" w:cs="宋体"/>
          <w:color w:val="auto"/>
          <w:sz w:val="24"/>
          <w:szCs w:val="24"/>
          <w:vertAlign w:val="subscript"/>
        </w:rPr>
        <w:t>修正或调整</w:t>
      </w:r>
      <w:r>
        <w:rPr>
          <w:rFonts w:hint="eastAsia" w:ascii="宋体" w:hAnsi="宋体" w:eastAsia="宋体" w:cs="宋体"/>
          <w:color w:val="auto"/>
          <w:sz w:val="24"/>
          <w:szCs w:val="24"/>
        </w:rPr>
        <w:t>／投标报价</w:t>
      </w:r>
      <w:r>
        <w:rPr>
          <w:rFonts w:hint="eastAsia" w:ascii="宋体" w:hAnsi="宋体" w:eastAsia="宋体" w:cs="宋体"/>
          <w:color w:val="auto"/>
          <w:sz w:val="24"/>
          <w:szCs w:val="24"/>
          <w:vertAlign w:val="subscript"/>
        </w:rPr>
        <w:t>修正或调整</w:t>
      </w:r>
      <w:r>
        <w:rPr>
          <w:rFonts w:hint="eastAsia" w:ascii="宋体" w:hAnsi="宋体" w:eastAsia="宋体" w:cs="宋体"/>
          <w:color w:val="auto"/>
          <w:sz w:val="24"/>
          <w:szCs w:val="24"/>
        </w:rPr>
        <w:t>） ×100×报价权值</w:t>
      </w:r>
    </w:p>
    <w:p w14:paraId="16EAD9B5">
      <w:pPr>
        <w:numPr>
          <w:ilvl w:val="0"/>
          <w:numId w:val="6"/>
        </w:numPr>
        <w:adjustRightInd w:val="0"/>
        <w:snapToGrid w:val="0"/>
        <w:spacing w:before="156" w:beforeLines="50"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技术、商务等评分项响应评价及政府采购政策加分</w:t>
      </w:r>
    </w:p>
    <w:p w14:paraId="43544A6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4.1技术、商务等评分项响应评分。按</w:t>
      </w:r>
      <w:r>
        <w:rPr>
          <w:rFonts w:hint="eastAsia" w:ascii="宋体" w:hAnsi="宋体" w:eastAsia="宋体" w:cs="宋体"/>
          <w:bCs/>
          <w:color w:val="auto"/>
          <w:sz w:val="24"/>
          <w:szCs w:val="24"/>
        </w:rPr>
        <w:t>本章</w:t>
      </w:r>
      <w:r>
        <w:rPr>
          <w:rFonts w:hint="eastAsia" w:ascii="宋体" w:hAnsi="宋体" w:eastAsia="宋体" w:cs="宋体"/>
          <w:color w:val="auto"/>
          <w:sz w:val="24"/>
          <w:szCs w:val="24"/>
        </w:rPr>
        <w:t>本节附表1“评标方法及标准表”规定的评标因素和标准，对技术、商务等评分项计算得分。</w:t>
      </w:r>
    </w:p>
    <w:p w14:paraId="42F93B6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4.2需落实政府采购政策（优先采购）的，按第二章、本章第二节第5.</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（2）项以及本节附表1“评标方法及标准表”的相关规定进行技术、价格、商务项得分(加分)计算。</w:t>
      </w:r>
    </w:p>
    <w:p w14:paraId="6AE3FFE9">
      <w:pPr>
        <w:numPr>
          <w:ilvl w:val="0"/>
          <w:numId w:val="6"/>
        </w:numPr>
        <w:adjustRightInd w:val="0"/>
        <w:snapToGrid w:val="0"/>
        <w:spacing w:before="156" w:beforeLines="50" w:line="360" w:lineRule="auto"/>
        <w:ind w:left="0" w:leftChars="0" w:firstLine="0" w:firstLineChars="0"/>
        <w:jc w:val="left"/>
        <w:rPr>
          <w:rFonts w:hint="eastAsia" w:ascii="宋体" w:hAnsi="宋体" w:eastAsia="宋体" w:cs="宋体"/>
          <w:b/>
          <w:color w:val="auto"/>
          <w:sz w:val="24"/>
          <w:szCs w:val="24"/>
        </w:rPr>
      </w:pPr>
      <w:r>
        <w:rPr>
          <w:rFonts w:hint="eastAsia" w:ascii="宋体" w:hAnsi="宋体" w:eastAsia="宋体" w:cs="宋体"/>
          <w:b/>
          <w:color w:val="auto"/>
          <w:sz w:val="24"/>
          <w:szCs w:val="24"/>
        </w:rPr>
        <w:t>评标总得分</w:t>
      </w:r>
    </w:p>
    <w:p w14:paraId="2238F79B">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5.1评标总得分为投标报价、技术、商务等评分项得分(含优先采购政策加分)之和。</w:t>
      </w:r>
    </w:p>
    <w:p w14:paraId="078764C8">
      <w:pPr>
        <w:adjustRightInd w:val="0"/>
        <w:snapToGrid w:val="0"/>
        <w:spacing w:line="460" w:lineRule="exact"/>
        <w:ind w:firstLine="480" w:firstLineChars="200"/>
        <w:rPr>
          <w:rFonts w:hint="eastAsia" w:ascii="宋体" w:hAnsi="宋体" w:eastAsia="宋体" w:cs="宋体"/>
          <w:color w:val="auto"/>
          <w:kern w:val="0"/>
          <w:sz w:val="24"/>
          <w:szCs w:val="24"/>
          <w:lang w:val="ru-RU" w:eastAsia="ru-RU"/>
        </w:rPr>
      </w:pPr>
      <w:r>
        <w:rPr>
          <w:rFonts w:hint="eastAsia" w:ascii="宋体" w:hAnsi="宋体" w:eastAsia="宋体" w:cs="宋体"/>
          <w:color w:val="auto"/>
          <w:kern w:val="0"/>
          <w:sz w:val="24"/>
          <w:szCs w:val="24"/>
          <w:lang w:val="ru-RU" w:eastAsia="ru-RU"/>
        </w:rPr>
        <w:t>评标总得分＝F</w:t>
      </w:r>
      <w:r>
        <w:rPr>
          <w:rFonts w:hint="eastAsia" w:ascii="宋体" w:hAnsi="宋体" w:eastAsia="宋体" w:cs="宋体"/>
          <w:color w:val="auto"/>
          <w:kern w:val="0"/>
          <w:sz w:val="24"/>
          <w:szCs w:val="24"/>
          <w:vertAlign w:val="subscript"/>
          <w:lang w:val="ru-RU" w:eastAsia="ru-RU"/>
        </w:rPr>
        <w:t>1</w:t>
      </w:r>
      <w:r>
        <w:rPr>
          <w:rFonts w:hint="eastAsia" w:ascii="宋体" w:hAnsi="宋体" w:eastAsia="宋体" w:cs="宋体"/>
          <w:color w:val="auto"/>
          <w:kern w:val="0"/>
          <w:sz w:val="24"/>
          <w:szCs w:val="24"/>
          <w:lang w:val="ru-RU" w:eastAsia="ru-RU"/>
        </w:rPr>
        <w:t>×A</w:t>
      </w:r>
      <w:r>
        <w:rPr>
          <w:rFonts w:hint="eastAsia" w:ascii="宋体" w:hAnsi="宋体" w:eastAsia="宋体" w:cs="宋体"/>
          <w:color w:val="auto"/>
          <w:kern w:val="0"/>
          <w:sz w:val="24"/>
          <w:szCs w:val="24"/>
          <w:vertAlign w:val="subscript"/>
          <w:lang w:val="ru-RU" w:eastAsia="ru-RU"/>
        </w:rPr>
        <w:t>1</w:t>
      </w:r>
      <w:r>
        <w:rPr>
          <w:rFonts w:hint="eastAsia" w:ascii="宋体" w:hAnsi="宋体" w:eastAsia="宋体" w:cs="宋体"/>
          <w:color w:val="auto"/>
          <w:kern w:val="0"/>
          <w:sz w:val="24"/>
          <w:szCs w:val="24"/>
          <w:lang w:val="ru-RU" w:eastAsia="ru-RU"/>
        </w:rPr>
        <w:t>＋F</w:t>
      </w:r>
      <w:r>
        <w:rPr>
          <w:rFonts w:hint="eastAsia" w:ascii="宋体" w:hAnsi="宋体" w:eastAsia="宋体" w:cs="宋体"/>
          <w:color w:val="auto"/>
          <w:kern w:val="0"/>
          <w:sz w:val="24"/>
          <w:szCs w:val="24"/>
          <w:vertAlign w:val="subscript"/>
          <w:lang w:val="ru-RU" w:eastAsia="ru-RU"/>
        </w:rPr>
        <w:t>2</w:t>
      </w:r>
      <w:r>
        <w:rPr>
          <w:rFonts w:hint="eastAsia" w:ascii="宋体" w:hAnsi="宋体" w:eastAsia="宋体" w:cs="宋体"/>
          <w:color w:val="auto"/>
          <w:kern w:val="0"/>
          <w:sz w:val="24"/>
          <w:szCs w:val="24"/>
          <w:lang w:val="ru-RU" w:eastAsia="ru-RU"/>
        </w:rPr>
        <w:t>×A</w:t>
      </w:r>
      <w:r>
        <w:rPr>
          <w:rFonts w:hint="eastAsia" w:ascii="宋体" w:hAnsi="宋体" w:eastAsia="宋体" w:cs="宋体"/>
          <w:color w:val="auto"/>
          <w:kern w:val="0"/>
          <w:sz w:val="24"/>
          <w:szCs w:val="24"/>
          <w:vertAlign w:val="subscript"/>
          <w:lang w:val="ru-RU" w:eastAsia="ru-RU"/>
        </w:rPr>
        <w:t>2</w:t>
      </w:r>
      <w:r>
        <w:rPr>
          <w:rFonts w:hint="eastAsia" w:ascii="宋体" w:hAnsi="宋体" w:eastAsia="宋体" w:cs="宋体"/>
          <w:color w:val="auto"/>
          <w:kern w:val="0"/>
          <w:sz w:val="24"/>
          <w:szCs w:val="24"/>
          <w:lang w:val="ru-RU" w:eastAsia="ru-RU"/>
        </w:rPr>
        <w:t>＋……＋F</w:t>
      </w:r>
      <w:r>
        <w:rPr>
          <w:rFonts w:hint="eastAsia" w:ascii="宋体" w:hAnsi="宋体" w:eastAsia="宋体" w:cs="宋体"/>
          <w:color w:val="auto"/>
          <w:kern w:val="0"/>
          <w:sz w:val="24"/>
          <w:szCs w:val="24"/>
          <w:vertAlign w:val="subscript"/>
          <w:lang w:val="ru-RU" w:eastAsia="ru-RU"/>
        </w:rPr>
        <w:t>n</w:t>
      </w:r>
      <w:r>
        <w:rPr>
          <w:rFonts w:hint="eastAsia" w:ascii="宋体" w:hAnsi="宋体" w:eastAsia="宋体" w:cs="宋体"/>
          <w:color w:val="auto"/>
          <w:kern w:val="0"/>
          <w:sz w:val="24"/>
          <w:szCs w:val="24"/>
          <w:lang w:val="ru-RU" w:eastAsia="ru-RU"/>
        </w:rPr>
        <w:t>×A</w:t>
      </w:r>
      <w:r>
        <w:rPr>
          <w:rFonts w:hint="eastAsia" w:ascii="宋体" w:hAnsi="宋体" w:eastAsia="宋体" w:cs="宋体"/>
          <w:color w:val="auto"/>
          <w:kern w:val="0"/>
          <w:sz w:val="24"/>
          <w:szCs w:val="24"/>
          <w:vertAlign w:val="subscript"/>
          <w:lang w:val="ru-RU" w:eastAsia="ru-RU"/>
        </w:rPr>
        <w:t>n</w:t>
      </w:r>
    </w:p>
    <w:p w14:paraId="371B6990">
      <w:pPr>
        <w:adjustRightInd w:val="0"/>
        <w:snapToGrid w:val="0"/>
        <w:spacing w:line="460" w:lineRule="exact"/>
        <w:ind w:firstLine="480" w:firstLineChars="200"/>
        <w:rPr>
          <w:rFonts w:hint="eastAsia" w:ascii="宋体" w:hAnsi="宋体" w:eastAsia="宋体" w:cs="宋体"/>
          <w:color w:val="auto"/>
          <w:kern w:val="0"/>
          <w:sz w:val="24"/>
          <w:szCs w:val="24"/>
          <w:lang w:val="ru-RU" w:eastAsia="ru-RU"/>
        </w:rPr>
      </w:pPr>
      <w:r>
        <w:rPr>
          <w:rFonts w:hint="eastAsia" w:ascii="宋体" w:hAnsi="宋体" w:eastAsia="宋体" w:cs="宋体"/>
          <w:color w:val="auto"/>
          <w:kern w:val="0"/>
          <w:sz w:val="24"/>
          <w:szCs w:val="24"/>
          <w:lang w:val="ru-RU" w:eastAsia="ru-RU"/>
        </w:rPr>
        <w:t>F</w:t>
      </w:r>
      <w:r>
        <w:rPr>
          <w:rFonts w:hint="eastAsia" w:ascii="宋体" w:hAnsi="宋体" w:eastAsia="宋体" w:cs="宋体"/>
          <w:color w:val="auto"/>
          <w:kern w:val="0"/>
          <w:sz w:val="24"/>
          <w:szCs w:val="24"/>
          <w:vertAlign w:val="subscript"/>
          <w:lang w:val="ru-RU" w:eastAsia="ru-RU"/>
        </w:rPr>
        <w:t>1</w:t>
      </w:r>
      <w:r>
        <w:rPr>
          <w:rFonts w:hint="eastAsia" w:ascii="宋体" w:hAnsi="宋体" w:eastAsia="宋体" w:cs="宋体"/>
          <w:color w:val="auto"/>
          <w:kern w:val="0"/>
          <w:sz w:val="24"/>
          <w:szCs w:val="24"/>
          <w:lang w:val="ru-RU" w:eastAsia="ru-RU"/>
        </w:rPr>
        <w:t>、F</w:t>
      </w:r>
      <w:r>
        <w:rPr>
          <w:rFonts w:hint="eastAsia" w:ascii="宋体" w:hAnsi="宋体" w:eastAsia="宋体" w:cs="宋体"/>
          <w:color w:val="auto"/>
          <w:kern w:val="0"/>
          <w:sz w:val="24"/>
          <w:szCs w:val="24"/>
          <w:vertAlign w:val="subscript"/>
          <w:lang w:val="ru-RU" w:eastAsia="ru-RU"/>
        </w:rPr>
        <w:t>2</w:t>
      </w:r>
      <w:r>
        <w:rPr>
          <w:rFonts w:hint="eastAsia" w:ascii="宋体" w:hAnsi="宋体" w:eastAsia="宋体" w:cs="宋体"/>
          <w:color w:val="auto"/>
          <w:kern w:val="0"/>
          <w:sz w:val="24"/>
          <w:szCs w:val="24"/>
          <w:lang w:val="ru-RU" w:eastAsia="ru-RU"/>
        </w:rPr>
        <w:t>……F</w:t>
      </w:r>
      <w:r>
        <w:rPr>
          <w:rFonts w:hint="eastAsia" w:ascii="宋体" w:hAnsi="宋体" w:eastAsia="宋体" w:cs="宋体"/>
          <w:color w:val="auto"/>
          <w:kern w:val="0"/>
          <w:sz w:val="24"/>
          <w:szCs w:val="24"/>
          <w:vertAlign w:val="subscript"/>
          <w:lang w:val="ru-RU" w:eastAsia="ru-RU"/>
        </w:rPr>
        <w:t>n</w:t>
      </w:r>
      <w:r>
        <w:rPr>
          <w:rFonts w:hint="eastAsia" w:ascii="宋体" w:hAnsi="宋体" w:eastAsia="宋体" w:cs="宋体"/>
          <w:color w:val="auto"/>
          <w:kern w:val="0"/>
          <w:sz w:val="24"/>
          <w:szCs w:val="24"/>
          <w:lang w:val="ru-RU" w:eastAsia="ru-RU"/>
        </w:rPr>
        <w:t>分别为各项评审因素的得分；</w:t>
      </w:r>
    </w:p>
    <w:p w14:paraId="047807D9">
      <w:pPr>
        <w:adjustRightInd w:val="0"/>
        <w:snapToGrid w:val="0"/>
        <w:spacing w:line="460" w:lineRule="exact"/>
        <w:ind w:firstLine="480" w:firstLineChars="200"/>
        <w:rPr>
          <w:rFonts w:hint="eastAsia" w:ascii="宋体" w:hAnsi="宋体" w:eastAsia="宋体" w:cs="宋体"/>
          <w:color w:val="auto"/>
          <w:kern w:val="0"/>
          <w:sz w:val="24"/>
          <w:szCs w:val="24"/>
          <w:lang w:val="ru-RU" w:eastAsia="ru-RU"/>
        </w:rPr>
      </w:pPr>
      <w:r>
        <w:rPr>
          <w:rFonts w:hint="eastAsia" w:ascii="宋体" w:hAnsi="宋体" w:eastAsia="宋体" w:cs="宋体"/>
          <w:color w:val="auto"/>
          <w:kern w:val="0"/>
          <w:sz w:val="24"/>
          <w:szCs w:val="24"/>
          <w:lang w:val="ru-RU" w:eastAsia="ru-RU"/>
        </w:rPr>
        <w:t>A</w:t>
      </w:r>
      <w:r>
        <w:rPr>
          <w:rFonts w:hint="eastAsia" w:ascii="宋体" w:hAnsi="宋体" w:eastAsia="宋体" w:cs="宋体"/>
          <w:color w:val="auto"/>
          <w:kern w:val="0"/>
          <w:sz w:val="24"/>
          <w:szCs w:val="24"/>
          <w:vertAlign w:val="subscript"/>
          <w:lang w:val="ru-RU" w:eastAsia="ru-RU"/>
        </w:rPr>
        <w:t>1</w:t>
      </w:r>
      <w:r>
        <w:rPr>
          <w:rFonts w:hint="eastAsia" w:ascii="宋体" w:hAnsi="宋体" w:eastAsia="宋体" w:cs="宋体"/>
          <w:color w:val="auto"/>
          <w:kern w:val="0"/>
          <w:sz w:val="24"/>
          <w:szCs w:val="24"/>
          <w:lang w:val="ru-RU" w:eastAsia="ru-RU"/>
        </w:rPr>
        <w:t>、A</w:t>
      </w:r>
      <w:r>
        <w:rPr>
          <w:rFonts w:hint="eastAsia" w:ascii="宋体" w:hAnsi="宋体" w:eastAsia="宋体" w:cs="宋体"/>
          <w:color w:val="auto"/>
          <w:kern w:val="0"/>
          <w:sz w:val="24"/>
          <w:szCs w:val="24"/>
          <w:vertAlign w:val="subscript"/>
          <w:lang w:val="ru-RU" w:eastAsia="ru-RU"/>
        </w:rPr>
        <w:t>2</w:t>
      </w:r>
      <w:r>
        <w:rPr>
          <w:rFonts w:hint="eastAsia" w:ascii="宋体" w:hAnsi="宋体" w:eastAsia="宋体" w:cs="宋体"/>
          <w:color w:val="auto"/>
          <w:kern w:val="0"/>
          <w:sz w:val="24"/>
          <w:szCs w:val="24"/>
          <w:lang w:val="ru-RU" w:eastAsia="ru-RU"/>
        </w:rPr>
        <w:t>、……A</w:t>
      </w:r>
      <w:r>
        <w:rPr>
          <w:rFonts w:hint="eastAsia" w:ascii="宋体" w:hAnsi="宋体" w:eastAsia="宋体" w:cs="宋体"/>
          <w:color w:val="auto"/>
          <w:kern w:val="0"/>
          <w:sz w:val="24"/>
          <w:szCs w:val="24"/>
          <w:vertAlign w:val="subscript"/>
          <w:lang w:val="ru-RU" w:eastAsia="ru-RU"/>
        </w:rPr>
        <w:t>n</w:t>
      </w:r>
      <w:r>
        <w:rPr>
          <w:rFonts w:hint="eastAsia" w:ascii="宋体" w:hAnsi="宋体" w:eastAsia="宋体" w:cs="宋体"/>
          <w:color w:val="auto"/>
          <w:kern w:val="0"/>
          <w:sz w:val="24"/>
          <w:szCs w:val="24"/>
          <w:lang w:val="ru-RU" w:eastAsia="ru-RU"/>
        </w:rPr>
        <w:t>分别为各项评审因素所占的权重（A</w:t>
      </w:r>
      <w:r>
        <w:rPr>
          <w:rFonts w:hint="eastAsia" w:ascii="宋体" w:hAnsi="宋体" w:eastAsia="宋体" w:cs="宋体"/>
          <w:color w:val="auto"/>
          <w:kern w:val="0"/>
          <w:sz w:val="24"/>
          <w:szCs w:val="24"/>
          <w:vertAlign w:val="subscript"/>
          <w:lang w:val="ru-RU" w:eastAsia="ru-RU"/>
        </w:rPr>
        <w:t>1</w:t>
      </w:r>
      <w:r>
        <w:rPr>
          <w:rFonts w:hint="eastAsia" w:ascii="宋体" w:hAnsi="宋体" w:eastAsia="宋体" w:cs="宋体"/>
          <w:color w:val="auto"/>
          <w:kern w:val="0"/>
          <w:sz w:val="24"/>
          <w:szCs w:val="24"/>
          <w:lang w:val="ru-RU" w:eastAsia="ru-RU"/>
        </w:rPr>
        <w:t>＋A</w:t>
      </w:r>
      <w:r>
        <w:rPr>
          <w:rFonts w:hint="eastAsia" w:ascii="宋体" w:hAnsi="宋体" w:eastAsia="宋体" w:cs="宋体"/>
          <w:color w:val="auto"/>
          <w:kern w:val="0"/>
          <w:sz w:val="24"/>
          <w:szCs w:val="24"/>
          <w:vertAlign w:val="subscript"/>
          <w:lang w:val="ru-RU" w:eastAsia="ru-RU"/>
        </w:rPr>
        <w:t>2</w:t>
      </w:r>
      <w:r>
        <w:rPr>
          <w:rFonts w:hint="eastAsia" w:ascii="宋体" w:hAnsi="宋体" w:eastAsia="宋体" w:cs="宋体"/>
          <w:color w:val="auto"/>
          <w:kern w:val="0"/>
          <w:sz w:val="24"/>
          <w:szCs w:val="24"/>
          <w:lang w:val="ru-RU" w:eastAsia="ru-RU"/>
        </w:rPr>
        <w:t>＋…＋A</w:t>
      </w:r>
      <w:r>
        <w:rPr>
          <w:rFonts w:hint="eastAsia" w:ascii="宋体" w:hAnsi="宋体" w:eastAsia="宋体" w:cs="宋体"/>
          <w:color w:val="auto"/>
          <w:kern w:val="0"/>
          <w:sz w:val="24"/>
          <w:szCs w:val="24"/>
          <w:vertAlign w:val="subscript"/>
          <w:lang w:val="ru-RU" w:eastAsia="ru-RU"/>
        </w:rPr>
        <w:t>n</w:t>
      </w:r>
      <w:r>
        <w:rPr>
          <w:rFonts w:hint="eastAsia" w:ascii="宋体" w:hAnsi="宋体" w:eastAsia="宋体" w:cs="宋体"/>
          <w:color w:val="auto"/>
          <w:kern w:val="0"/>
          <w:sz w:val="24"/>
          <w:szCs w:val="24"/>
          <w:lang w:val="ru-RU" w:eastAsia="ru-RU"/>
        </w:rPr>
        <w:t>＝1）。</w:t>
      </w:r>
    </w:p>
    <w:p w14:paraId="0813ED5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5.2评分分值计算保留小数点后两位，小数点后第三位“四舍五入”。</w:t>
      </w:r>
    </w:p>
    <w:p w14:paraId="5CBB7C8E">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kern w:val="0"/>
          <w:sz w:val="24"/>
          <w:szCs w:val="24"/>
        </w:rPr>
        <w:t>5.3</w:t>
      </w:r>
      <w:r>
        <w:rPr>
          <w:rFonts w:hint="eastAsia" w:ascii="宋体" w:hAnsi="宋体" w:eastAsia="宋体" w:cs="宋体"/>
          <w:color w:val="auto"/>
          <w:sz w:val="24"/>
          <w:szCs w:val="24"/>
        </w:rPr>
        <w:t>评标时，评标委员会成员应当独立对满足招标文件全部实质性要求投标人的</w:t>
      </w:r>
      <w:r>
        <w:rPr>
          <w:rFonts w:hint="eastAsia" w:ascii="宋体" w:hAnsi="宋体" w:eastAsia="宋体" w:cs="宋体"/>
          <w:bCs/>
          <w:color w:val="auto"/>
          <w:sz w:val="24"/>
          <w:szCs w:val="24"/>
        </w:rPr>
        <w:t>投标文件</w:t>
      </w:r>
      <w:r>
        <w:rPr>
          <w:rFonts w:hint="eastAsia" w:ascii="宋体" w:hAnsi="宋体" w:eastAsia="宋体" w:cs="宋体"/>
          <w:color w:val="auto"/>
          <w:sz w:val="24"/>
          <w:szCs w:val="24"/>
        </w:rPr>
        <w:t>进行评价、评分，然后汇总每个投标人每项评分因素的得分。每个投标人的最终得分为所有评标委员会成员评分的算术平均值。</w:t>
      </w:r>
    </w:p>
    <w:p w14:paraId="0F1696FC">
      <w:pPr>
        <w:numPr>
          <w:ilvl w:val="0"/>
          <w:numId w:val="6"/>
        </w:numPr>
        <w:adjustRightInd w:val="0"/>
        <w:snapToGrid w:val="0"/>
        <w:spacing w:before="156" w:beforeLines="50" w:line="360" w:lineRule="auto"/>
        <w:ind w:left="0" w:leftChars="0" w:firstLine="0" w:firstLineChars="0"/>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中标候选人的推荐方法</w:t>
      </w:r>
    </w:p>
    <w:p w14:paraId="026390ED">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35C6BE45">
      <w:pPr>
        <w:adjustRightInd w:val="0"/>
        <w:snapToGrid w:val="0"/>
        <w:spacing w:before="156" w:beforeLines="5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6.2得分且投标报价相同的并列，按本章第二节规定确定中标候选人。</w:t>
      </w:r>
    </w:p>
    <w:bookmarkEnd w:id="131"/>
    <w:bookmarkEnd w:id="132"/>
    <w:bookmarkEnd w:id="133"/>
    <w:bookmarkEnd w:id="134"/>
    <w:bookmarkEnd w:id="135"/>
    <w:bookmarkEnd w:id="136"/>
    <w:bookmarkEnd w:id="137"/>
    <w:p w14:paraId="70F3B4F5">
      <w:pPr>
        <w:rPr>
          <w:rFonts w:hint="eastAsia" w:ascii="宋体" w:hAnsi="宋体" w:eastAsia="宋体" w:cs="宋体"/>
          <w:bCs/>
          <w:color w:val="auto"/>
          <w:szCs w:val="21"/>
        </w:rPr>
      </w:pPr>
      <w:r>
        <w:rPr>
          <w:rFonts w:hint="eastAsia" w:ascii="宋体" w:hAnsi="宋体" w:eastAsia="宋体" w:cs="宋体"/>
          <w:bCs/>
          <w:color w:val="auto"/>
          <w:szCs w:val="21"/>
        </w:rPr>
        <w:br w:type="page"/>
      </w:r>
    </w:p>
    <w:p w14:paraId="20D92EF6">
      <w:pPr>
        <w:keepNext/>
        <w:keepLines/>
        <w:spacing w:line="360" w:lineRule="auto"/>
        <w:jc w:val="left"/>
        <w:outlineLvl w:val="1"/>
        <w:rPr>
          <w:rFonts w:hint="eastAsia" w:ascii="宋体" w:hAnsi="宋体" w:eastAsia="宋体" w:cs="宋体"/>
          <w:color w:val="auto"/>
          <w:kern w:val="0"/>
          <w:sz w:val="24"/>
          <w:szCs w:val="32"/>
        </w:rPr>
      </w:pPr>
      <w:bookmarkStart w:id="138" w:name="_Toc21535"/>
      <w:bookmarkStart w:id="139" w:name="_Toc7711"/>
      <w:bookmarkStart w:id="140" w:name="_Toc20019"/>
      <w:bookmarkStart w:id="141" w:name="_Toc17138"/>
      <w:bookmarkStart w:id="142" w:name="_Toc28600"/>
      <w:bookmarkStart w:id="143" w:name="_Toc7593"/>
      <w:bookmarkStart w:id="144" w:name="_Toc13753"/>
      <w:bookmarkStart w:id="145" w:name="_Toc18090"/>
      <w:r>
        <w:rPr>
          <w:rFonts w:hint="eastAsia" w:ascii="宋体" w:hAnsi="宋体" w:eastAsia="宋体" w:cs="宋体"/>
          <w:b/>
          <w:bCs/>
          <w:color w:val="auto"/>
          <w:kern w:val="0"/>
          <w:sz w:val="24"/>
        </w:rPr>
        <w:t>附页1 评标方法及标准表</w:t>
      </w:r>
      <w:bookmarkEnd w:id="138"/>
    </w:p>
    <w:p w14:paraId="7D17B943">
      <w:pPr>
        <w:widowControl/>
        <w:spacing w:before="120" w:after="120"/>
        <w:jc w:val="left"/>
        <w:rPr>
          <w:rFonts w:hint="eastAsia" w:ascii="宋体" w:hAnsi="宋体" w:eastAsia="宋体" w:cs="宋体"/>
          <w:b/>
          <w:bCs/>
          <w:color w:val="auto"/>
          <w:kern w:val="0"/>
          <w:sz w:val="24"/>
        </w:rPr>
      </w:pPr>
      <w:r>
        <w:rPr>
          <w:rFonts w:hint="eastAsia" w:ascii="宋体" w:hAnsi="宋体" w:eastAsia="宋体" w:cs="宋体"/>
          <w:b/>
          <w:bCs/>
          <w:color w:val="auto"/>
          <w:kern w:val="0"/>
          <w:sz w:val="24"/>
        </w:rPr>
        <w:t>本次综合评分具体的权数取值如下表：</w:t>
      </w:r>
    </w:p>
    <w:tbl>
      <w:tblPr>
        <w:tblStyle w:val="44"/>
        <w:tblW w:w="4977"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30"/>
        <w:gridCol w:w="5353"/>
        <w:gridCol w:w="3908"/>
      </w:tblGrid>
      <w:tr w14:paraId="0920FF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3" w:hRule="exact"/>
          <w:jc w:val="center"/>
        </w:trPr>
        <w:tc>
          <w:tcPr>
            <w:tcW w:w="411" w:type="pct"/>
            <w:noWrap/>
            <w:vAlign w:val="center"/>
          </w:tcPr>
          <w:p w14:paraId="261E291B">
            <w:pPr>
              <w:adjustRightInd w:val="0"/>
              <w:snapToGrid w:val="0"/>
              <w:spacing w:line="360" w:lineRule="auto"/>
              <w:rPr>
                <w:rFonts w:hint="eastAsia" w:ascii="宋体" w:hAnsi="宋体" w:eastAsia="宋体" w:cs="宋体"/>
                <w:b/>
                <w:bCs/>
                <w:color w:val="auto"/>
                <w:kern w:val="0"/>
                <w:sz w:val="24"/>
                <w:lang w:val="ru-RU" w:eastAsia="ru-RU"/>
              </w:rPr>
            </w:pPr>
            <w:r>
              <w:rPr>
                <w:rFonts w:hint="eastAsia" w:ascii="宋体" w:hAnsi="宋体" w:eastAsia="宋体" w:cs="宋体"/>
                <w:b/>
                <w:bCs/>
                <w:color w:val="auto"/>
                <w:kern w:val="0"/>
                <w:sz w:val="24"/>
                <w:lang w:val="ru-RU" w:eastAsia="ru-RU"/>
              </w:rPr>
              <w:t>序号</w:t>
            </w:r>
          </w:p>
        </w:tc>
        <w:tc>
          <w:tcPr>
            <w:tcW w:w="2652" w:type="pct"/>
            <w:noWrap/>
            <w:vAlign w:val="center"/>
          </w:tcPr>
          <w:p w14:paraId="5EF35325">
            <w:pPr>
              <w:adjustRightInd w:val="0"/>
              <w:snapToGrid w:val="0"/>
              <w:spacing w:line="360" w:lineRule="auto"/>
              <w:jc w:val="center"/>
              <w:rPr>
                <w:rFonts w:hint="eastAsia" w:ascii="宋体" w:hAnsi="宋体" w:eastAsia="宋体" w:cs="宋体"/>
                <w:b/>
                <w:bCs/>
                <w:color w:val="auto"/>
                <w:kern w:val="0"/>
                <w:sz w:val="24"/>
                <w:lang w:val="ru-RU" w:eastAsia="ru-RU"/>
              </w:rPr>
            </w:pPr>
            <w:r>
              <w:rPr>
                <w:rFonts w:hint="eastAsia" w:ascii="宋体" w:hAnsi="宋体" w:eastAsia="宋体" w:cs="宋体"/>
                <w:b/>
                <w:bCs/>
                <w:color w:val="auto"/>
                <w:kern w:val="0"/>
                <w:sz w:val="24"/>
                <w:lang w:val="ru-RU" w:eastAsia="ru-RU"/>
              </w:rPr>
              <w:t>项     目</w:t>
            </w:r>
          </w:p>
        </w:tc>
        <w:tc>
          <w:tcPr>
            <w:tcW w:w="1936" w:type="pct"/>
            <w:noWrap/>
            <w:vAlign w:val="center"/>
          </w:tcPr>
          <w:p w14:paraId="21CD7B2E">
            <w:pPr>
              <w:adjustRightInd w:val="0"/>
              <w:snapToGrid w:val="0"/>
              <w:spacing w:line="360" w:lineRule="auto"/>
              <w:jc w:val="center"/>
              <w:rPr>
                <w:rFonts w:hint="eastAsia" w:ascii="宋体" w:hAnsi="宋体" w:eastAsia="宋体" w:cs="宋体"/>
                <w:b/>
                <w:bCs/>
                <w:color w:val="auto"/>
                <w:kern w:val="0"/>
                <w:sz w:val="24"/>
                <w:lang w:val="ru-RU" w:eastAsia="ru-RU"/>
              </w:rPr>
            </w:pPr>
            <w:r>
              <w:rPr>
                <w:rFonts w:hint="eastAsia" w:ascii="宋体" w:hAnsi="宋体" w:eastAsia="宋体" w:cs="宋体"/>
                <w:b/>
                <w:bCs/>
                <w:color w:val="auto"/>
                <w:kern w:val="0"/>
                <w:sz w:val="24"/>
                <w:lang w:val="ru-RU" w:eastAsia="ru-RU"/>
              </w:rPr>
              <w:t>权值的取值</w:t>
            </w:r>
          </w:p>
        </w:tc>
      </w:tr>
      <w:tr w14:paraId="6512CF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4" w:hRule="atLeast"/>
          <w:jc w:val="center"/>
        </w:trPr>
        <w:tc>
          <w:tcPr>
            <w:tcW w:w="411" w:type="pct"/>
            <w:noWrap/>
            <w:vAlign w:val="center"/>
          </w:tcPr>
          <w:p w14:paraId="52EA1DD6">
            <w:pPr>
              <w:adjustRightInd w:val="0"/>
              <w:snapToGrid w:val="0"/>
              <w:spacing w:line="360" w:lineRule="auto"/>
              <w:jc w:val="center"/>
              <w:rPr>
                <w:rFonts w:hint="eastAsia" w:ascii="宋体" w:hAnsi="宋体" w:eastAsia="宋体" w:cs="宋体"/>
                <w:color w:val="auto"/>
                <w:kern w:val="0"/>
                <w:sz w:val="24"/>
                <w:lang w:val="ru-RU"/>
              </w:rPr>
            </w:pPr>
            <w:r>
              <w:rPr>
                <w:rFonts w:hint="eastAsia" w:ascii="宋体" w:hAnsi="宋体" w:eastAsia="宋体" w:cs="宋体"/>
                <w:color w:val="auto"/>
                <w:kern w:val="0"/>
                <w:sz w:val="24"/>
              </w:rPr>
              <w:t>1</w:t>
            </w:r>
          </w:p>
        </w:tc>
        <w:tc>
          <w:tcPr>
            <w:tcW w:w="2652" w:type="pct"/>
            <w:noWrap/>
            <w:vAlign w:val="center"/>
          </w:tcPr>
          <w:p w14:paraId="69415C93">
            <w:pPr>
              <w:adjustRightInd w:val="0"/>
              <w:snapToGrid w:val="0"/>
              <w:spacing w:line="360" w:lineRule="auto"/>
              <w:jc w:val="center"/>
              <w:rPr>
                <w:rFonts w:hint="eastAsia" w:ascii="宋体" w:hAnsi="宋体" w:eastAsia="宋体" w:cs="宋体"/>
                <w:color w:val="auto"/>
                <w:kern w:val="0"/>
                <w:sz w:val="24"/>
                <w:lang w:val="ru-RU" w:eastAsia="ru-RU"/>
              </w:rPr>
            </w:pPr>
            <w:r>
              <w:rPr>
                <w:rFonts w:hint="eastAsia" w:ascii="宋体" w:hAnsi="宋体" w:eastAsia="宋体" w:cs="宋体"/>
                <w:color w:val="auto"/>
                <w:kern w:val="0"/>
                <w:sz w:val="24"/>
              </w:rPr>
              <w:t>价格</w:t>
            </w:r>
            <w:r>
              <w:rPr>
                <w:rFonts w:hint="eastAsia" w:ascii="宋体" w:hAnsi="宋体" w:eastAsia="宋体" w:cs="宋体"/>
                <w:color w:val="auto"/>
                <w:kern w:val="0"/>
                <w:sz w:val="24"/>
                <w:lang w:val="ru-RU"/>
              </w:rPr>
              <w:t>（A</w:t>
            </w:r>
            <w:r>
              <w:rPr>
                <w:rFonts w:hint="eastAsia" w:ascii="宋体" w:hAnsi="宋体" w:eastAsia="宋体" w:cs="宋体"/>
                <w:color w:val="auto"/>
                <w:kern w:val="0"/>
                <w:sz w:val="24"/>
              </w:rPr>
              <w:t>1</w:t>
            </w:r>
            <w:r>
              <w:rPr>
                <w:rFonts w:hint="eastAsia" w:ascii="宋体" w:hAnsi="宋体" w:eastAsia="宋体" w:cs="宋体"/>
                <w:color w:val="auto"/>
                <w:kern w:val="0"/>
                <w:sz w:val="24"/>
                <w:lang w:val="ru-RU"/>
              </w:rPr>
              <w:t>）</w:t>
            </w:r>
          </w:p>
        </w:tc>
        <w:tc>
          <w:tcPr>
            <w:tcW w:w="1936" w:type="pct"/>
            <w:noWrap/>
            <w:vAlign w:val="center"/>
          </w:tcPr>
          <w:p w14:paraId="0E3D0657">
            <w:pPr>
              <w:adjustRightInd w:val="0"/>
              <w:snapToGrid w:val="0"/>
              <w:spacing w:line="360" w:lineRule="auto"/>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0.</w:t>
            </w:r>
            <w:r>
              <w:rPr>
                <w:rFonts w:hint="eastAsia" w:ascii="宋体" w:hAnsi="宋体" w:cs="宋体"/>
                <w:color w:val="auto"/>
                <w:kern w:val="0"/>
                <w:sz w:val="24"/>
                <w:highlight w:val="none"/>
                <w:lang w:val="en-US" w:eastAsia="zh-CN"/>
              </w:rPr>
              <w:t>30</w:t>
            </w:r>
          </w:p>
        </w:tc>
      </w:tr>
      <w:tr w14:paraId="0A5E90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4" w:hRule="atLeast"/>
          <w:jc w:val="center"/>
        </w:trPr>
        <w:tc>
          <w:tcPr>
            <w:tcW w:w="411" w:type="pct"/>
            <w:noWrap/>
            <w:vAlign w:val="center"/>
          </w:tcPr>
          <w:p w14:paraId="4EED3A98">
            <w:pPr>
              <w:adjustRightInd w:val="0"/>
              <w:snapToGrid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2</w:t>
            </w:r>
          </w:p>
        </w:tc>
        <w:tc>
          <w:tcPr>
            <w:tcW w:w="2652" w:type="pct"/>
            <w:noWrap/>
            <w:vAlign w:val="center"/>
          </w:tcPr>
          <w:p w14:paraId="5657C1D3">
            <w:pPr>
              <w:adjustRightInd w:val="0"/>
              <w:snapToGrid w:val="0"/>
              <w:spacing w:line="360" w:lineRule="auto"/>
              <w:jc w:val="center"/>
              <w:rPr>
                <w:rFonts w:hint="eastAsia" w:ascii="宋体" w:hAnsi="宋体" w:eastAsia="宋体" w:cs="宋体"/>
                <w:color w:val="auto"/>
                <w:kern w:val="0"/>
                <w:sz w:val="24"/>
                <w:lang w:val="ru-RU" w:eastAsia="ru-RU"/>
              </w:rPr>
            </w:pPr>
            <w:r>
              <w:rPr>
                <w:rFonts w:hint="eastAsia" w:ascii="宋体" w:hAnsi="宋体" w:eastAsia="宋体" w:cs="宋体"/>
                <w:color w:val="auto"/>
                <w:kern w:val="0"/>
                <w:sz w:val="24"/>
                <w:lang w:val="ru-RU"/>
              </w:rPr>
              <w:t>商务（</w:t>
            </w:r>
            <w:r>
              <w:rPr>
                <w:rFonts w:hint="eastAsia" w:ascii="宋体" w:hAnsi="宋体" w:eastAsia="宋体" w:cs="宋体"/>
                <w:color w:val="auto"/>
                <w:kern w:val="0"/>
                <w:sz w:val="24"/>
              </w:rPr>
              <w:t>A2</w:t>
            </w:r>
            <w:r>
              <w:rPr>
                <w:rFonts w:hint="eastAsia" w:ascii="宋体" w:hAnsi="宋体" w:eastAsia="宋体" w:cs="宋体"/>
                <w:color w:val="auto"/>
                <w:kern w:val="0"/>
                <w:sz w:val="24"/>
                <w:lang w:val="ru-RU"/>
              </w:rPr>
              <w:t>）</w:t>
            </w:r>
          </w:p>
        </w:tc>
        <w:tc>
          <w:tcPr>
            <w:tcW w:w="1936" w:type="pct"/>
            <w:noWrap/>
            <w:vAlign w:val="center"/>
          </w:tcPr>
          <w:p w14:paraId="27F632DD">
            <w:pPr>
              <w:adjustRightInd w:val="0"/>
              <w:snapToGrid w:val="0"/>
              <w:spacing w:line="360" w:lineRule="auto"/>
              <w:jc w:val="center"/>
              <w:rPr>
                <w:rFonts w:hint="default" w:ascii="宋体" w:hAnsi="宋体" w:eastAsia="宋体" w:cs="宋体"/>
                <w:color w:val="4F81BD" w:themeColor="accent1"/>
                <w:kern w:val="0"/>
                <w:sz w:val="24"/>
                <w:highlight w:val="none"/>
                <w:lang w:val="en-US" w:eastAsia="zh-CN"/>
                <w14:textFill>
                  <w14:solidFill>
                    <w14:schemeClr w14:val="accent1"/>
                  </w14:solidFill>
                </w14:textFill>
              </w:rPr>
            </w:pPr>
            <w:r>
              <w:rPr>
                <w:rFonts w:hint="eastAsia" w:ascii="宋体" w:hAnsi="宋体" w:eastAsia="宋体" w:cs="宋体"/>
                <w:color w:val="4F81BD" w:themeColor="accent1"/>
                <w:kern w:val="0"/>
                <w:sz w:val="24"/>
                <w:highlight w:val="none"/>
                <w14:textFill>
                  <w14:solidFill>
                    <w14:schemeClr w14:val="accent1"/>
                  </w14:solidFill>
                </w14:textFill>
              </w:rPr>
              <w:t>0.</w:t>
            </w:r>
            <w:r>
              <w:rPr>
                <w:rFonts w:hint="eastAsia" w:ascii="宋体" w:hAnsi="宋体" w:cs="宋体"/>
                <w:color w:val="4F81BD" w:themeColor="accent1"/>
                <w:kern w:val="0"/>
                <w:sz w:val="24"/>
                <w:highlight w:val="none"/>
                <w:lang w:val="en-US" w:eastAsia="zh-CN"/>
                <w14:textFill>
                  <w14:solidFill>
                    <w14:schemeClr w14:val="accent1"/>
                  </w14:solidFill>
                </w14:textFill>
              </w:rPr>
              <w:t>30</w:t>
            </w:r>
          </w:p>
        </w:tc>
      </w:tr>
      <w:tr w14:paraId="76267A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6" w:hRule="atLeast"/>
          <w:jc w:val="center"/>
        </w:trPr>
        <w:tc>
          <w:tcPr>
            <w:tcW w:w="411" w:type="pct"/>
            <w:noWrap/>
            <w:vAlign w:val="center"/>
          </w:tcPr>
          <w:p w14:paraId="7109BC67">
            <w:pPr>
              <w:adjustRightInd w:val="0"/>
              <w:snapToGrid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3</w:t>
            </w:r>
          </w:p>
        </w:tc>
        <w:tc>
          <w:tcPr>
            <w:tcW w:w="2652" w:type="pct"/>
            <w:noWrap/>
            <w:vAlign w:val="center"/>
          </w:tcPr>
          <w:p w14:paraId="488C9D78">
            <w:pPr>
              <w:adjustRightInd w:val="0"/>
              <w:snapToGrid w:val="0"/>
              <w:spacing w:line="360" w:lineRule="auto"/>
              <w:jc w:val="center"/>
              <w:rPr>
                <w:rFonts w:hint="eastAsia" w:ascii="宋体" w:hAnsi="宋体" w:eastAsia="宋体" w:cs="宋体"/>
                <w:color w:val="auto"/>
                <w:kern w:val="0"/>
                <w:sz w:val="24"/>
                <w:lang w:val="ru-RU" w:eastAsia="ru-RU"/>
              </w:rPr>
            </w:pPr>
            <w:r>
              <w:rPr>
                <w:rFonts w:hint="eastAsia" w:ascii="宋体" w:hAnsi="宋体" w:eastAsia="宋体" w:cs="宋体"/>
                <w:color w:val="auto"/>
                <w:kern w:val="0"/>
                <w:sz w:val="24"/>
                <w:lang w:val="ru-RU" w:eastAsia="ru-RU"/>
              </w:rPr>
              <w:t>技术</w:t>
            </w:r>
            <w:r>
              <w:rPr>
                <w:rFonts w:hint="eastAsia" w:ascii="宋体" w:hAnsi="宋体" w:eastAsia="宋体" w:cs="宋体"/>
                <w:color w:val="auto"/>
                <w:kern w:val="0"/>
                <w:sz w:val="24"/>
                <w:lang w:val="ru-RU"/>
              </w:rPr>
              <w:t>（A</w:t>
            </w:r>
            <w:r>
              <w:rPr>
                <w:rFonts w:hint="eastAsia" w:ascii="宋体" w:hAnsi="宋体" w:eastAsia="宋体" w:cs="宋体"/>
                <w:color w:val="auto"/>
                <w:kern w:val="0"/>
                <w:sz w:val="24"/>
              </w:rPr>
              <w:t>3</w:t>
            </w:r>
            <w:r>
              <w:rPr>
                <w:rFonts w:hint="eastAsia" w:ascii="宋体" w:hAnsi="宋体" w:eastAsia="宋体" w:cs="宋体"/>
                <w:color w:val="auto"/>
                <w:kern w:val="0"/>
                <w:sz w:val="24"/>
                <w:lang w:val="ru-RU"/>
              </w:rPr>
              <w:t>）</w:t>
            </w:r>
          </w:p>
        </w:tc>
        <w:tc>
          <w:tcPr>
            <w:tcW w:w="1936" w:type="pct"/>
            <w:noWrap/>
            <w:vAlign w:val="center"/>
          </w:tcPr>
          <w:p w14:paraId="194DA742">
            <w:pPr>
              <w:adjustRightInd w:val="0"/>
              <w:snapToGrid w:val="0"/>
              <w:spacing w:line="360" w:lineRule="auto"/>
              <w:jc w:val="center"/>
              <w:rPr>
                <w:rFonts w:hint="default" w:ascii="宋体" w:hAnsi="宋体" w:eastAsia="宋体" w:cs="宋体"/>
                <w:color w:val="4F81BD" w:themeColor="accent1"/>
                <w:kern w:val="0"/>
                <w:sz w:val="24"/>
                <w:highlight w:val="none"/>
                <w:lang w:val="en-US" w:eastAsia="zh-CN"/>
                <w14:textFill>
                  <w14:solidFill>
                    <w14:schemeClr w14:val="accent1"/>
                  </w14:solidFill>
                </w14:textFill>
              </w:rPr>
            </w:pPr>
            <w:r>
              <w:rPr>
                <w:rFonts w:hint="eastAsia" w:ascii="宋体" w:hAnsi="宋体" w:eastAsia="宋体" w:cs="宋体"/>
                <w:color w:val="4F81BD" w:themeColor="accent1"/>
                <w:kern w:val="0"/>
                <w:sz w:val="24"/>
                <w:highlight w:val="none"/>
                <w14:textFill>
                  <w14:solidFill>
                    <w14:schemeClr w14:val="accent1"/>
                  </w14:solidFill>
                </w14:textFill>
              </w:rPr>
              <w:t>0.</w:t>
            </w:r>
            <w:r>
              <w:rPr>
                <w:rFonts w:hint="eastAsia" w:ascii="宋体" w:hAnsi="宋体" w:cs="宋体"/>
                <w:color w:val="4F81BD" w:themeColor="accent1"/>
                <w:kern w:val="0"/>
                <w:sz w:val="24"/>
                <w:highlight w:val="none"/>
                <w:lang w:val="en-US" w:eastAsia="zh-CN"/>
                <w14:textFill>
                  <w14:solidFill>
                    <w14:schemeClr w14:val="accent1"/>
                  </w14:solidFill>
                </w14:textFill>
              </w:rPr>
              <w:t>40</w:t>
            </w:r>
          </w:p>
        </w:tc>
      </w:tr>
      <w:tr w14:paraId="75A4C0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0" w:hRule="atLeast"/>
          <w:jc w:val="center"/>
        </w:trPr>
        <w:tc>
          <w:tcPr>
            <w:tcW w:w="3063" w:type="pct"/>
            <w:gridSpan w:val="2"/>
            <w:noWrap/>
            <w:vAlign w:val="center"/>
          </w:tcPr>
          <w:p w14:paraId="503C5B39">
            <w:pPr>
              <w:adjustRightInd w:val="0"/>
              <w:snapToGrid w:val="0"/>
              <w:spacing w:line="360" w:lineRule="auto"/>
              <w:jc w:val="center"/>
              <w:rPr>
                <w:rFonts w:hint="eastAsia" w:ascii="宋体" w:hAnsi="宋体" w:eastAsia="宋体" w:cs="宋体"/>
                <w:color w:val="auto"/>
                <w:kern w:val="0"/>
                <w:sz w:val="24"/>
                <w:lang w:val="ru-RU" w:eastAsia="ru-RU"/>
              </w:rPr>
            </w:pPr>
            <w:r>
              <w:rPr>
                <w:rFonts w:hint="eastAsia" w:ascii="宋体" w:hAnsi="宋体" w:eastAsia="宋体" w:cs="宋体"/>
                <w:color w:val="auto"/>
                <w:kern w:val="0"/>
                <w:sz w:val="24"/>
                <w:lang w:val="ru-RU"/>
              </w:rPr>
              <w:t>合计</w:t>
            </w:r>
          </w:p>
        </w:tc>
        <w:tc>
          <w:tcPr>
            <w:tcW w:w="1936" w:type="pct"/>
            <w:noWrap/>
            <w:vAlign w:val="center"/>
          </w:tcPr>
          <w:p w14:paraId="52E0621B">
            <w:pPr>
              <w:adjustRightInd w:val="0"/>
              <w:snapToGrid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1.00</w:t>
            </w:r>
          </w:p>
        </w:tc>
      </w:tr>
    </w:tbl>
    <w:p w14:paraId="62C07219">
      <w:pPr>
        <w:rPr>
          <w:rFonts w:hint="eastAsia" w:ascii="宋体" w:hAnsi="宋体" w:eastAsia="宋体" w:cs="宋体"/>
          <w:color w:val="auto"/>
          <w:kern w:val="0"/>
          <w:sz w:val="24"/>
          <w:szCs w:val="28"/>
        </w:rPr>
      </w:pPr>
    </w:p>
    <w:p w14:paraId="6C63FC64">
      <w:pPr>
        <w:rPr>
          <w:rFonts w:hint="eastAsia" w:ascii="Times New Roman" w:hAnsi="Times New Roman" w:eastAsia="宋体" w:cs="Times New Roman"/>
          <w:b/>
          <w:bCs/>
          <w:color w:val="auto"/>
          <w:kern w:val="0"/>
          <w:sz w:val="24"/>
          <w:szCs w:val="32"/>
        </w:rPr>
      </w:pPr>
      <w:bookmarkStart w:id="146" w:name="_Toc27455"/>
      <w:r>
        <w:rPr>
          <w:rFonts w:hint="eastAsia" w:ascii="Times New Roman" w:hAnsi="Times New Roman" w:eastAsia="宋体" w:cs="Times New Roman"/>
          <w:b/>
          <w:bCs/>
          <w:color w:val="auto"/>
          <w:kern w:val="0"/>
          <w:sz w:val="24"/>
          <w:szCs w:val="32"/>
        </w:rPr>
        <w:br w:type="page"/>
      </w:r>
    </w:p>
    <w:p w14:paraId="3B5E47E9">
      <w:pPr>
        <w:keepNext/>
        <w:keepLines/>
        <w:spacing w:before="260" w:after="260" w:line="416" w:lineRule="auto"/>
        <w:jc w:val="center"/>
        <w:outlineLvl w:val="2"/>
        <w:rPr>
          <w:rFonts w:hint="eastAsia" w:ascii="宋体" w:hAnsi="宋体" w:eastAsia="宋体" w:cs="宋体"/>
          <w:color w:val="auto"/>
          <w:kern w:val="0"/>
          <w:sz w:val="24"/>
          <w:szCs w:val="28"/>
        </w:rPr>
      </w:pPr>
      <w:r>
        <w:rPr>
          <w:rFonts w:hint="eastAsia" w:ascii="Times New Roman" w:hAnsi="Times New Roman" w:eastAsia="宋体" w:cs="Times New Roman"/>
          <w:b/>
          <w:bCs/>
          <w:color w:val="auto"/>
          <w:kern w:val="0"/>
          <w:sz w:val="24"/>
          <w:szCs w:val="32"/>
        </w:rPr>
        <w:t>附表1.1价格部分评审标准表</w:t>
      </w:r>
      <w:bookmarkEnd w:id="146"/>
    </w:p>
    <w:tbl>
      <w:tblPr>
        <w:tblStyle w:val="44"/>
        <w:tblW w:w="4727"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4"/>
        <w:gridCol w:w="1624"/>
        <w:gridCol w:w="7456"/>
      </w:tblGrid>
      <w:tr w14:paraId="1C1658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74" w:hRule="atLeast"/>
          <w:jc w:val="center"/>
        </w:trPr>
        <w:tc>
          <w:tcPr>
            <w:tcW w:w="263" w:type="pct"/>
            <w:tcBorders>
              <w:right w:val="single" w:color="auto" w:sz="4" w:space="0"/>
            </w:tcBorders>
            <w:noWrap/>
            <w:vAlign w:val="center"/>
          </w:tcPr>
          <w:p w14:paraId="34D34308">
            <w:pPr>
              <w:adjustRightInd w:val="0"/>
              <w:snapToGrid w:val="0"/>
              <w:spacing w:line="500" w:lineRule="exact"/>
              <w:jc w:val="center"/>
              <w:rPr>
                <w:rFonts w:hint="eastAsia" w:ascii="宋体" w:hAnsi="宋体" w:eastAsia="宋体" w:cs="宋体"/>
                <w:b/>
                <w:color w:val="auto"/>
                <w:sz w:val="24"/>
              </w:rPr>
            </w:pPr>
            <w:r>
              <w:rPr>
                <w:rFonts w:hint="eastAsia" w:ascii="宋体" w:hAnsi="宋体" w:eastAsia="宋体" w:cs="宋体"/>
                <w:b/>
                <w:color w:val="auto"/>
                <w:sz w:val="24"/>
              </w:rPr>
              <w:t>序号</w:t>
            </w:r>
          </w:p>
        </w:tc>
        <w:tc>
          <w:tcPr>
            <w:tcW w:w="847" w:type="pct"/>
            <w:tcBorders>
              <w:left w:val="single" w:color="auto" w:sz="4" w:space="0"/>
              <w:right w:val="single" w:color="auto" w:sz="4" w:space="0"/>
            </w:tcBorders>
            <w:noWrap/>
            <w:vAlign w:val="center"/>
          </w:tcPr>
          <w:p w14:paraId="650CEAB2">
            <w:pPr>
              <w:adjustRightInd w:val="0"/>
              <w:snapToGrid w:val="0"/>
              <w:spacing w:line="500" w:lineRule="exact"/>
              <w:jc w:val="center"/>
              <w:rPr>
                <w:rFonts w:hint="eastAsia" w:ascii="宋体" w:hAnsi="宋体" w:eastAsia="宋体" w:cs="宋体"/>
                <w:b/>
                <w:color w:val="auto"/>
                <w:sz w:val="24"/>
              </w:rPr>
            </w:pPr>
            <w:r>
              <w:rPr>
                <w:rFonts w:hint="eastAsia" w:ascii="宋体" w:hAnsi="宋体" w:eastAsia="宋体" w:cs="宋体"/>
                <w:b/>
                <w:color w:val="auto"/>
                <w:sz w:val="24"/>
              </w:rPr>
              <w:t>评标因素</w:t>
            </w:r>
          </w:p>
          <w:p w14:paraId="03B66352">
            <w:pPr>
              <w:adjustRightInd w:val="0"/>
              <w:snapToGrid w:val="0"/>
              <w:spacing w:line="500" w:lineRule="exact"/>
              <w:jc w:val="center"/>
              <w:rPr>
                <w:rFonts w:hint="eastAsia" w:ascii="宋体" w:hAnsi="宋体" w:eastAsia="宋体" w:cs="宋体"/>
                <w:b/>
                <w:color w:val="auto"/>
                <w:sz w:val="24"/>
              </w:rPr>
            </w:pPr>
            <w:r>
              <w:rPr>
                <w:rFonts w:hint="eastAsia" w:ascii="宋体" w:hAnsi="宋体" w:eastAsia="宋体" w:cs="宋体"/>
                <w:b/>
                <w:color w:val="auto"/>
                <w:sz w:val="24"/>
              </w:rPr>
              <w:t>（分值）</w:t>
            </w:r>
          </w:p>
        </w:tc>
        <w:tc>
          <w:tcPr>
            <w:tcW w:w="3889" w:type="pct"/>
            <w:tcBorders>
              <w:left w:val="single" w:color="auto" w:sz="4" w:space="0"/>
            </w:tcBorders>
            <w:noWrap/>
            <w:vAlign w:val="center"/>
          </w:tcPr>
          <w:p w14:paraId="7F42AD9A">
            <w:pPr>
              <w:adjustRightInd w:val="0"/>
              <w:snapToGrid w:val="0"/>
              <w:spacing w:line="500" w:lineRule="exact"/>
              <w:jc w:val="center"/>
              <w:rPr>
                <w:rFonts w:hint="eastAsia" w:ascii="宋体" w:hAnsi="宋体" w:eastAsia="宋体" w:cs="宋体"/>
                <w:b/>
                <w:color w:val="auto"/>
              </w:rPr>
            </w:pPr>
            <w:r>
              <w:rPr>
                <w:rFonts w:hint="eastAsia" w:ascii="宋体" w:hAnsi="宋体" w:eastAsia="宋体" w:cs="宋体"/>
                <w:b/>
                <w:color w:val="auto"/>
                <w:sz w:val="24"/>
              </w:rPr>
              <w:t>评标标准</w:t>
            </w:r>
          </w:p>
        </w:tc>
      </w:tr>
      <w:tr w14:paraId="47FDC5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263" w:type="pct"/>
            <w:vMerge w:val="restart"/>
            <w:tcBorders>
              <w:right w:val="single" w:color="auto" w:sz="4" w:space="0"/>
            </w:tcBorders>
            <w:noWrap/>
            <w:vAlign w:val="center"/>
          </w:tcPr>
          <w:p w14:paraId="39E3C5F2">
            <w:pPr>
              <w:adjustRightInd w:val="0"/>
              <w:snapToGrid w:val="0"/>
              <w:spacing w:before="156" w:beforeLines="50" w:line="500" w:lineRule="exact"/>
              <w:jc w:val="center"/>
              <w:rPr>
                <w:rFonts w:hint="eastAsia" w:ascii="宋体" w:hAnsi="宋体" w:eastAsia="宋体" w:cs="宋体"/>
                <w:color w:val="auto"/>
              </w:rPr>
            </w:pPr>
            <w:r>
              <w:rPr>
                <w:rFonts w:hint="eastAsia" w:ascii="宋体" w:hAnsi="宋体" w:eastAsia="宋体" w:cs="宋体"/>
                <w:color w:val="auto"/>
              </w:rPr>
              <w:t>1</w:t>
            </w:r>
          </w:p>
        </w:tc>
        <w:tc>
          <w:tcPr>
            <w:tcW w:w="847" w:type="pct"/>
            <w:vMerge w:val="restart"/>
            <w:tcBorders>
              <w:left w:val="single" w:color="auto" w:sz="4" w:space="0"/>
              <w:right w:val="single" w:color="auto" w:sz="4" w:space="0"/>
            </w:tcBorders>
            <w:noWrap/>
            <w:vAlign w:val="center"/>
          </w:tcPr>
          <w:p w14:paraId="76B2AB1F">
            <w:pPr>
              <w:adjustRightInd w:val="0"/>
              <w:snapToGrid w:val="0"/>
              <w:spacing w:line="500" w:lineRule="exact"/>
              <w:jc w:val="center"/>
              <w:rPr>
                <w:rFonts w:hint="eastAsia" w:ascii="宋体" w:hAnsi="宋体" w:eastAsia="宋体" w:cs="宋体"/>
                <w:color w:val="auto"/>
                <w:sz w:val="24"/>
              </w:rPr>
            </w:pPr>
            <w:r>
              <w:rPr>
                <w:rFonts w:hint="eastAsia" w:ascii="宋体" w:hAnsi="宋体" w:eastAsia="宋体" w:cs="宋体"/>
                <w:color w:val="auto"/>
                <w:sz w:val="24"/>
              </w:rPr>
              <w:t>价格评价项（100分）</w:t>
            </w:r>
          </w:p>
        </w:tc>
        <w:tc>
          <w:tcPr>
            <w:tcW w:w="3889" w:type="pct"/>
            <w:tcBorders>
              <w:left w:val="single" w:color="auto" w:sz="4" w:space="0"/>
            </w:tcBorders>
            <w:noWrap/>
            <w:vAlign w:val="center"/>
          </w:tcPr>
          <w:p w14:paraId="58A7D3E9">
            <w:pPr>
              <w:spacing w:line="500" w:lineRule="exact"/>
              <w:rPr>
                <w:rFonts w:hint="eastAsia" w:ascii="宋体" w:hAnsi="宋体" w:eastAsia="宋体" w:cs="宋体"/>
                <w:bCs/>
                <w:color w:val="auto"/>
                <w:sz w:val="24"/>
              </w:rPr>
            </w:pPr>
            <w:r>
              <w:rPr>
                <w:rFonts w:hint="eastAsia" w:ascii="宋体" w:hAnsi="宋体" w:eastAsia="宋体" w:cs="宋体"/>
                <w:bCs/>
                <w:color w:val="auto"/>
                <w:sz w:val="24"/>
              </w:rPr>
              <w:t>价格分采用低价优先法计算，即满足招标文件要求且投标价格最低的投标报价为评标基准价，其价格得分100分，其他投标供应商的价格得分统一按公式计算：</w:t>
            </w:r>
          </w:p>
          <w:p w14:paraId="0667778C">
            <w:pPr>
              <w:spacing w:line="500" w:lineRule="exac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投标报价得分=（评标基准价调整／投标报价调整）×A1</w:t>
            </w:r>
          </w:p>
          <w:p w14:paraId="6A50E19C">
            <w:pPr>
              <w:spacing w:line="500" w:lineRule="exac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注：</w:t>
            </w:r>
          </w:p>
          <w:p w14:paraId="521B3D44">
            <w:pPr>
              <w:spacing w:line="500" w:lineRule="exac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（1）若投标供应商的报价超过最高限价，则为无效报价，按无效投标处理；</w:t>
            </w:r>
          </w:p>
          <w:p w14:paraId="6F22F427">
            <w:pPr>
              <w:spacing w:line="500" w:lineRule="exact"/>
              <w:rPr>
                <w:rFonts w:hint="eastAsia" w:ascii="Times New Roman" w:hAnsi="Times New Roman" w:eastAsia="宋体" w:cs="Times New Roman"/>
                <w:color w:val="auto"/>
              </w:rPr>
            </w:pPr>
            <w:r>
              <w:rPr>
                <w:rFonts w:hint="eastAsia" w:ascii="宋体" w:hAnsi="宋体" w:eastAsia="宋体" w:cs="宋体"/>
                <w:bCs/>
                <w:color w:val="auto"/>
                <w:sz w:val="24"/>
                <w:highlight w:val="none"/>
              </w:rPr>
              <w:t>（2）评标委员会认为投标供应商的报价明显低于其他通过资格审查投标供应商的报价，有可能影响产品质量或者不能诚信履约的，应当要求其在评标现场合理的时间内提供书面说明，必要时提交相关证明材料；投标供应商不能证明其报价合理性的，评标委员会应当将其作为无效投标处理。</w:t>
            </w:r>
          </w:p>
        </w:tc>
      </w:tr>
      <w:tr w14:paraId="7F341B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9" w:hRule="atLeast"/>
          <w:jc w:val="center"/>
        </w:trPr>
        <w:tc>
          <w:tcPr>
            <w:tcW w:w="263" w:type="pct"/>
            <w:vMerge w:val="continue"/>
            <w:tcBorders>
              <w:right w:val="single" w:color="auto" w:sz="4" w:space="0"/>
            </w:tcBorders>
            <w:noWrap/>
            <w:vAlign w:val="center"/>
          </w:tcPr>
          <w:p w14:paraId="6D69D8E7">
            <w:pPr>
              <w:adjustRightInd w:val="0"/>
              <w:snapToGrid w:val="0"/>
              <w:spacing w:before="156" w:beforeLines="50" w:line="500" w:lineRule="exact"/>
              <w:jc w:val="center"/>
              <w:rPr>
                <w:rFonts w:hint="eastAsia" w:ascii="宋体" w:hAnsi="宋体" w:eastAsia="宋体" w:cs="宋体"/>
                <w:color w:val="auto"/>
              </w:rPr>
            </w:pPr>
          </w:p>
        </w:tc>
        <w:tc>
          <w:tcPr>
            <w:tcW w:w="847" w:type="pct"/>
            <w:vMerge w:val="continue"/>
            <w:tcBorders>
              <w:left w:val="single" w:color="auto" w:sz="4" w:space="0"/>
              <w:right w:val="single" w:color="auto" w:sz="4" w:space="0"/>
            </w:tcBorders>
            <w:noWrap/>
            <w:vAlign w:val="center"/>
          </w:tcPr>
          <w:p w14:paraId="6B824C29">
            <w:pPr>
              <w:adjustRightInd w:val="0"/>
              <w:snapToGrid w:val="0"/>
              <w:spacing w:line="500" w:lineRule="exact"/>
              <w:jc w:val="center"/>
              <w:rPr>
                <w:rFonts w:hint="eastAsia" w:ascii="宋体" w:hAnsi="宋体" w:eastAsia="宋体" w:cs="宋体"/>
                <w:color w:val="auto"/>
                <w:sz w:val="24"/>
              </w:rPr>
            </w:pPr>
          </w:p>
        </w:tc>
        <w:tc>
          <w:tcPr>
            <w:tcW w:w="3889" w:type="pct"/>
            <w:tcBorders>
              <w:left w:val="single" w:color="auto" w:sz="4" w:space="0"/>
            </w:tcBorders>
            <w:noWrap/>
            <w:vAlign w:val="center"/>
          </w:tcPr>
          <w:p w14:paraId="7C61EAE4">
            <w:pPr>
              <w:spacing w:line="500" w:lineRule="exact"/>
              <w:rPr>
                <w:rFonts w:hint="eastAsia" w:ascii="宋体" w:hAnsi="宋体" w:eastAsia="宋体" w:cs="宋体"/>
                <w:bCs/>
                <w:color w:val="auto"/>
                <w:sz w:val="24"/>
              </w:rPr>
            </w:pPr>
            <w:r>
              <w:rPr>
                <w:rFonts w:hint="eastAsia" w:ascii="宋体" w:hAnsi="宋体" w:eastAsia="宋体" w:cs="宋体"/>
                <w:bCs/>
                <w:color w:val="auto"/>
                <w:sz w:val="24"/>
              </w:rPr>
              <w:t>投标报价调整：</w:t>
            </w:r>
          </w:p>
          <w:p w14:paraId="53581ECB">
            <w:pPr>
              <w:spacing w:line="500" w:lineRule="exact"/>
              <w:rPr>
                <w:rFonts w:hint="default" w:ascii="宋体" w:hAnsi="宋体" w:eastAsia="宋体" w:cs="宋体"/>
                <w:bCs/>
                <w:color w:val="auto"/>
                <w:sz w:val="24"/>
                <w:lang w:val="en-US" w:eastAsia="zh-CN"/>
              </w:rPr>
            </w:pPr>
            <w:r>
              <w:rPr>
                <w:rFonts w:hint="eastAsia" w:ascii="宋体" w:hAnsi="宋体" w:cs="宋体"/>
                <w:bCs/>
                <w:color w:val="auto"/>
                <w:sz w:val="24"/>
                <w:lang w:val="en-US" w:eastAsia="zh-CN"/>
              </w:rPr>
              <w:t>本项目专门面向中小企业，不再执行价格评审优惠。</w:t>
            </w:r>
          </w:p>
        </w:tc>
      </w:tr>
      <w:tr w14:paraId="3B3FAB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80" w:hRule="atLeast"/>
          <w:jc w:val="center"/>
        </w:trPr>
        <w:tc>
          <w:tcPr>
            <w:tcW w:w="263" w:type="pct"/>
            <w:tcBorders>
              <w:right w:val="single" w:color="auto" w:sz="4" w:space="0"/>
            </w:tcBorders>
            <w:noWrap/>
            <w:vAlign w:val="center"/>
          </w:tcPr>
          <w:p w14:paraId="07266B29">
            <w:pPr>
              <w:adjustRightInd w:val="0"/>
              <w:snapToGrid w:val="0"/>
              <w:spacing w:before="156" w:beforeLines="50" w:line="500" w:lineRule="exact"/>
              <w:jc w:val="center"/>
              <w:rPr>
                <w:rFonts w:hint="eastAsia" w:ascii="宋体" w:hAnsi="宋体" w:eastAsia="宋体" w:cs="宋体"/>
                <w:color w:val="auto"/>
                <w:sz w:val="24"/>
              </w:rPr>
            </w:pPr>
            <w:r>
              <w:rPr>
                <w:rFonts w:hint="eastAsia" w:ascii="宋体" w:hAnsi="宋体" w:eastAsia="宋体" w:cs="宋体"/>
                <w:color w:val="auto"/>
                <w:sz w:val="24"/>
              </w:rPr>
              <w:t>2</w:t>
            </w:r>
          </w:p>
        </w:tc>
        <w:tc>
          <w:tcPr>
            <w:tcW w:w="847" w:type="pct"/>
            <w:tcBorders>
              <w:left w:val="single" w:color="auto" w:sz="4" w:space="0"/>
              <w:right w:val="single" w:color="auto" w:sz="4" w:space="0"/>
            </w:tcBorders>
            <w:noWrap/>
            <w:vAlign w:val="center"/>
          </w:tcPr>
          <w:p w14:paraId="0CAD6445">
            <w:pPr>
              <w:adjustRightInd w:val="0"/>
              <w:snapToGrid w:val="0"/>
              <w:spacing w:line="500" w:lineRule="exact"/>
              <w:jc w:val="center"/>
              <w:rPr>
                <w:rFonts w:hint="eastAsia" w:ascii="宋体" w:hAnsi="宋体" w:eastAsia="宋体" w:cs="宋体"/>
                <w:color w:val="auto"/>
                <w:sz w:val="24"/>
              </w:rPr>
            </w:pPr>
            <w:r>
              <w:rPr>
                <w:rFonts w:hint="eastAsia" w:ascii="宋体" w:hAnsi="宋体" w:eastAsia="宋体" w:cs="宋体"/>
                <w:color w:val="auto"/>
                <w:sz w:val="24"/>
              </w:rPr>
              <w:t>优先采购加分（F</w:t>
            </w:r>
            <w:r>
              <w:rPr>
                <w:rFonts w:hint="eastAsia" w:ascii="宋体" w:hAnsi="宋体" w:eastAsia="宋体" w:cs="宋体"/>
                <w:color w:val="auto"/>
                <w:sz w:val="24"/>
                <w:vertAlign w:val="subscript"/>
              </w:rPr>
              <w:t>优先采购加分</w:t>
            </w:r>
            <w:r>
              <w:rPr>
                <w:rFonts w:hint="eastAsia" w:ascii="宋体" w:hAnsi="宋体" w:eastAsia="宋体" w:cs="宋体"/>
                <w:color w:val="auto"/>
                <w:sz w:val="24"/>
              </w:rPr>
              <w:t>）</w:t>
            </w:r>
          </w:p>
        </w:tc>
        <w:tc>
          <w:tcPr>
            <w:tcW w:w="3889" w:type="pct"/>
            <w:tcBorders>
              <w:left w:val="single" w:color="auto" w:sz="4" w:space="0"/>
            </w:tcBorders>
            <w:noWrap/>
            <w:vAlign w:val="center"/>
          </w:tcPr>
          <w:p w14:paraId="165E3B92">
            <w:pPr>
              <w:autoSpaceDE w:val="0"/>
              <w:autoSpaceDN w:val="0"/>
              <w:adjustRightInd w:val="0"/>
              <w:spacing w:line="500" w:lineRule="exact"/>
              <w:ind w:firstLine="240" w:firstLineChars="100"/>
              <w:rPr>
                <w:rFonts w:hint="eastAsia" w:ascii="宋体" w:hAnsi="宋体" w:eastAsia="宋体" w:cs="宋体"/>
                <w:color w:val="auto"/>
                <w:sz w:val="24"/>
              </w:rPr>
            </w:pPr>
            <w:r>
              <w:rPr>
                <w:rFonts w:hint="eastAsia" w:ascii="宋体" w:hAnsi="宋体" w:eastAsia="宋体" w:cs="宋体"/>
                <w:bCs/>
                <w:color w:val="auto"/>
                <w:sz w:val="24"/>
              </w:rPr>
              <w:t>所投产品有《节能产品认证证书》（复印件）、《环境标志产品认证证书》（复印件），应对价格分给予总分值的4%-8%幅度不等的加分，本项目加分比例为</w:t>
            </w:r>
            <w:r>
              <w:rPr>
                <w:rFonts w:hint="eastAsia" w:ascii="宋体" w:hAnsi="宋体" w:eastAsia="宋体" w:cs="宋体"/>
                <w:bCs/>
                <w:color w:val="auto"/>
                <w:sz w:val="24"/>
                <w:u w:val="single"/>
              </w:rPr>
              <w:t xml:space="preserve"> 4 </w:t>
            </w:r>
            <w:r>
              <w:rPr>
                <w:rFonts w:hint="eastAsia" w:ascii="宋体" w:hAnsi="宋体" w:eastAsia="宋体" w:cs="宋体"/>
                <w:bCs/>
                <w:color w:val="auto"/>
                <w:sz w:val="24"/>
              </w:rPr>
              <w:t>%。</w:t>
            </w:r>
          </w:p>
        </w:tc>
      </w:tr>
      <w:tr w14:paraId="2042E0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263" w:type="pct"/>
            <w:tcBorders>
              <w:right w:val="single" w:color="auto" w:sz="4" w:space="0"/>
            </w:tcBorders>
            <w:noWrap/>
            <w:vAlign w:val="center"/>
          </w:tcPr>
          <w:p w14:paraId="2AFFA7AF">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w:t>
            </w:r>
          </w:p>
        </w:tc>
        <w:tc>
          <w:tcPr>
            <w:tcW w:w="4736" w:type="pct"/>
            <w:gridSpan w:val="2"/>
            <w:tcBorders>
              <w:left w:val="single" w:color="auto" w:sz="4" w:space="0"/>
            </w:tcBorders>
            <w:noWrap/>
            <w:vAlign w:val="center"/>
          </w:tcPr>
          <w:p w14:paraId="3AF17F6F">
            <w:pPr>
              <w:autoSpaceDE w:val="0"/>
              <w:autoSpaceDN w:val="0"/>
              <w:adjustRightInd w:val="0"/>
              <w:spacing w:line="500" w:lineRule="exact"/>
              <w:rPr>
                <w:rFonts w:hint="eastAsia" w:ascii="宋体" w:hAnsi="宋体" w:eastAsia="宋体" w:cs="宋体"/>
                <w:bCs/>
                <w:color w:val="auto"/>
                <w:sz w:val="24"/>
              </w:rPr>
            </w:pPr>
            <w:r>
              <w:rPr>
                <w:rFonts w:hint="eastAsia" w:ascii="宋体" w:hAnsi="宋体" w:eastAsia="宋体" w:cs="宋体"/>
                <w:color w:val="auto"/>
                <w:sz w:val="24"/>
              </w:rPr>
              <w:t>F</w:t>
            </w:r>
            <w:r>
              <w:rPr>
                <w:rFonts w:hint="eastAsia" w:ascii="宋体" w:hAnsi="宋体" w:eastAsia="宋体" w:cs="宋体"/>
                <w:color w:val="auto"/>
                <w:sz w:val="24"/>
                <w:vertAlign w:val="subscript"/>
              </w:rPr>
              <w:t>2</w:t>
            </w:r>
            <w:r>
              <w:rPr>
                <w:rFonts w:hint="eastAsia" w:ascii="宋体" w:hAnsi="宋体" w:eastAsia="宋体" w:cs="宋体"/>
                <w:color w:val="auto"/>
                <w:sz w:val="24"/>
              </w:rPr>
              <w:t>=F+ F</w:t>
            </w:r>
            <w:r>
              <w:rPr>
                <w:rFonts w:hint="eastAsia" w:ascii="宋体" w:hAnsi="宋体" w:eastAsia="宋体" w:cs="宋体"/>
                <w:color w:val="auto"/>
                <w:sz w:val="24"/>
                <w:vertAlign w:val="subscript"/>
              </w:rPr>
              <w:t>优先采购加分</w:t>
            </w:r>
          </w:p>
        </w:tc>
      </w:tr>
    </w:tbl>
    <w:p w14:paraId="264B0681">
      <w:pPr>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br w:type="page"/>
      </w:r>
    </w:p>
    <w:p w14:paraId="1EAE7AF5">
      <w:pPr>
        <w:keepNext/>
        <w:keepLines/>
        <w:spacing w:before="260" w:after="260" w:line="416" w:lineRule="auto"/>
        <w:jc w:val="center"/>
        <w:outlineLvl w:val="2"/>
        <w:rPr>
          <w:rFonts w:hint="eastAsia" w:ascii="宋体" w:hAnsi="宋体" w:eastAsia="宋体" w:cs="宋体"/>
          <w:color w:val="auto"/>
          <w:kern w:val="0"/>
          <w:sz w:val="28"/>
          <w:szCs w:val="28"/>
        </w:rPr>
      </w:pPr>
      <w:bookmarkStart w:id="147" w:name="_Toc29035"/>
      <w:r>
        <w:rPr>
          <w:rFonts w:hint="eastAsia" w:ascii="Times New Roman" w:hAnsi="Times New Roman" w:eastAsia="宋体" w:cs="Times New Roman"/>
          <w:b/>
          <w:bCs/>
          <w:color w:val="auto"/>
          <w:kern w:val="0"/>
          <w:sz w:val="24"/>
          <w:szCs w:val="32"/>
        </w:rPr>
        <w:t>附表1.2商务部分评审标准表</w:t>
      </w:r>
      <w:bookmarkEnd w:id="147"/>
    </w:p>
    <w:tbl>
      <w:tblPr>
        <w:tblStyle w:val="44"/>
        <w:tblW w:w="500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70"/>
        <w:gridCol w:w="1464"/>
        <w:gridCol w:w="866"/>
        <w:gridCol w:w="744"/>
        <w:gridCol w:w="6594"/>
      </w:tblGrid>
      <w:tr w14:paraId="130ADE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8" w:hRule="atLeast"/>
          <w:jc w:val="center"/>
        </w:trPr>
        <w:tc>
          <w:tcPr>
            <w:tcW w:w="231" w:type="pct"/>
            <w:tcBorders>
              <w:right w:val="single" w:color="auto" w:sz="4" w:space="0"/>
            </w:tcBorders>
            <w:noWrap/>
            <w:vAlign w:val="center"/>
          </w:tcPr>
          <w:p w14:paraId="206F58F2">
            <w:pPr>
              <w:adjustRightInd w:val="0"/>
              <w:snapToGrid w:val="0"/>
              <w:jc w:val="center"/>
              <w:rPr>
                <w:rFonts w:hint="eastAsia" w:ascii="宋体" w:hAnsi="宋体" w:eastAsia="宋体" w:cs="宋体"/>
                <w:b/>
                <w:color w:val="auto"/>
                <w:sz w:val="24"/>
              </w:rPr>
            </w:pPr>
            <w:r>
              <w:rPr>
                <w:rFonts w:hint="eastAsia" w:ascii="宋体" w:hAnsi="宋体" w:eastAsia="宋体" w:cs="宋体"/>
                <w:b/>
                <w:color w:val="auto"/>
                <w:sz w:val="24"/>
              </w:rPr>
              <w:t>序号</w:t>
            </w:r>
          </w:p>
        </w:tc>
        <w:tc>
          <w:tcPr>
            <w:tcW w:w="722" w:type="pct"/>
            <w:tcBorders>
              <w:left w:val="single" w:color="auto" w:sz="4" w:space="0"/>
              <w:right w:val="single" w:color="auto" w:sz="4" w:space="0"/>
            </w:tcBorders>
            <w:noWrap/>
            <w:vAlign w:val="center"/>
          </w:tcPr>
          <w:p w14:paraId="43E1A915">
            <w:pPr>
              <w:adjustRightInd w:val="0"/>
              <w:snapToGrid w:val="0"/>
              <w:jc w:val="center"/>
              <w:rPr>
                <w:rFonts w:hint="eastAsia" w:ascii="宋体" w:hAnsi="宋体" w:eastAsia="宋体" w:cs="宋体"/>
                <w:b/>
                <w:color w:val="auto"/>
                <w:sz w:val="24"/>
              </w:rPr>
            </w:pPr>
            <w:r>
              <w:rPr>
                <w:rFonts w:hint="eastAsia" w:ascii="宋体" w:hAnsi="宋体" w:eastAsia="宋体" w:cs="宋体"/>
                <w:b/>
                <w:color w:val="auto"/>
                <w:sz w:val="24"/>
              </w:rPr>
              <w:t>评标因素（分值）</w:t>
            </w:r>
          </w:p>
        </w:tc>
        <w:tc>
          <w:tcPr>
            <w:tcW w:w="4045" w:type="pct"/>
            <w:gridSpan w:val="3"/>
            <w:tcBorders>
              <w:left w:val="single" w:color="auto" w:sz="4" w:space="0"/>
            </w:tcBorders>
            <w:noWrap/>
            <w:vAlign w:val="center"/>
          </w:tcPr>
          <w:p w14:paraId="3233F572">
            <w:pPr>
              <w:adjustRightInd w:val="0"/>
              <w:snapToGrid w:val="0"/>
              <w:jc w:val="center"/>
              <w:rPr>
                <w:rFonts w:hint="eastAsia" w:ascii="宋体" w:hAnsi="宋体" w:eastAsia="宋体" w:cs="宋体"/>
                <w:b/>
                <w:color w:val="auto"/>
                <w:sz w:val="24"/>
              </w:rPr>
            </w:pPr>
            <w:r>
              <w:rPr>
                <w:rFonts w:hint="eastAsia" w:ascii="宋体" w:hAnsi="宋体" w:eastAsia="宋体" w:cs="宋体"/>
                <w:b/>
                <w:color w:val="auto"/>
                <w:sz w:val="24"/>
              </w:rPr>
              <w:t>评标标准</w:t>
            </w:r>
          </w:p>
        </w:tc>
      </w:tr>
      <w:tr w14:paraId="6531DC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64" w:hRule="atLeast"/>
          <w:jc w:val="center"/>
        </w:trPr>
        <w:tc>
          <w:tcPr>
            <w:tcW w:w="231" w:type="pct"/>
            <w:tcBorders>
              <w:bottom w:val="single" w:color="auto" w:sz="4" w:space="0"/>
              <w:right w:val="single" w:color="auto" w:sz="4" w:space="0"/>
            </w:tcBorders>
            <w:noWrap/>
            <w:vAlign w:val="center"/>
          </w:tcPr>
          <w:p w14:paraId="3B2221CB">
            <w:pPr>
              <w:adjustRightInd w:val="0"/>
              <w:snapToGrid w:val="0"/>
              <w:spacing w:before="156" w:beforeLines="50"/>
              <w:jc w:val="center"/>
              <w:rPr>
                <w:rFonts w:hint="eastAsia" w:ascii="宋体" w:hAnsi="宋体" w:eastAsia="宋体" w:cs="宋体"/>
                <w:color w:val="auto"/>
                <w:sz w:val="24"/>
              </w:rPr>
            </w:pPr>
            <w:r>
              <w:rPr>
                <w:rFonts w:hint="eastAsia" w:ascii="宋体" w:hAnsi="宋体" w:eastAsia="宋体" w:cs="宋体"/>
                <w:color w:val="auto"/>
                <w:sz w:val="24"/>
              </w:rPr>
              <w:t>1</w:t>
            </w:r>
          </w:p>
        </w:tc>
        <w:tc>
          <w:tcPr>
            <w:tcW w:w="722" w:type="pct"/>
            <w:vMerge w:val="restart"/>
            <w:tcBorders>
              <w:left w:val="single" w:color="auto" w:sz="4" w:space="0"/>
            </w:tcBorders>
            <w:noWrap/>
            <w:vAlign w:val="center"/>
          </w:tcPr>
          <w:p w14:paraId="7CCC89B5">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商务评价项（100分）</w:t>
            </w:r>
          </w:p>
        </w:tc>
        <w:tc>
          <w:tcPr>
            <w:tcW w:w="866" w:type="dxa"/>
            <w:tcBorders>
              <w:bottom w:val="single" w:color="auto" w:sz="4" w:space="0"/>
            </w:tcBorders>
            <w:noWrap/>
            <w:vAlign w:val="center"/>
          </w:tcPr>
          <w:p w14:paraId="60904522">
            <w:pPr>
              <w:spacing w:line="360" w:lineRule="auto"/>
              <w:jc w:val="center"/>
              <w:rPr>
                <w:rFonts w:hint="eastAsia" w:ascii="宋体" w:hAnsi="宋体" w:eastAsia="宋体" w:cs="宋体"/>
                <w:color w:val="auto"/>
                <w:sz w:val="24"/>
                <w:highlight w:val="none"/>
              </w:rPr>
            </w:pPr>
            <w:r>
              <w:rPr>
                <w:rFonts w:hint="eastAsia" w:ascii="宋体" w:hAnsi="宋体" w:cs="宋体"/>
                <w:sz w:val="24"/>
              </w:rPr>
              <w:t>投标人体系认证</w:t>
            </w:r>
          </w:p>
        </w:tc>
        <w:tc>
          <w:tcPr>
            <w:tcW w:w="744" w:type="dxa"/>
            <w:tcBorders>
              <w:right w:val="single" w:color="auto" w:sz="4" w:space="0"/>
            </w:tcBorders>
            <w:noWrap/>
            <w:vAlign w:val="center"/>
          </w:tcPr>
          <w:p w14:paraId="1A7363C5">
            <w:pPr>
              <w:spacing w:line="360" w:lineRule="auto"/>
              <w:jc w:val="center"/>
              <w:rPr>
                <w:rFonts w:hint="default" w:ascii="宋体" w:hAnsi="宋体" w:eastAsia="宋体" w:cs="宋体"/>
                <w:color w:val="auto"/>
                <w:sz w:val="24"/>
                <w:highlight w:val="none"/>
                <w:lang w:val="en-US" w:eastAsia="zh-CN"/>
              </w:rPr>
            </w:pPr>
            <w:r>
              <w:rPr>
                <w:rFonts w:hint="eastAsia" w:ascii="宋体" w:hAnsi="宋体"/>
                <w:bCs/>
                <w:sz w:val="24"/>
              </w:rPr>
              <w:t>2</w:t>
            </w:r>
            <w:r>
              <w:rPr>
                <w:rFonts w:hint="eastAsia" w:ascii="宋体" w:hAnsi="宋体"/>
                <w:bCs/>
                <w:sz w:val="24"/>
                <w:lang w:val="en-US" w:eastAsia="zh-CN"/>
              </w:rPr>
              <w:t>0</w:t>
            </w:r>
            <w:r>
              <w:rPr>
                <w:rFonts w:hint="eastAsia" w:ascii="宋体" w:hAnsi="宋体"/>
                <w:bCs/>
                <w:sz w:val="24"/>
              </w:rPr>
              <w:t>分</w:t>
            </w:r>
          </w:p>
        </w:tc>
        <w:tc>
          <w:tcPr>
            <w:tcW w:w="6594" w:type="dxa"/>
            <w:tcBorders>
              <w:left w:val="single" w:color="auto" w:sz="4" w:space="0"/>
            </w:tcBorders>
            <w:noWrap/>
            <w:vAlign w:val="center"/>
          </w:tcPr>
          <w:p w14:paraId="34238C7A">
            <w:pPr>
              <w:spacing w:line="360" w:lineRule="auto"/>
              <w:rPr>
                <w:rFonts w:ascii="宋体" w:hAnsi="宋体" w:cs="宋体"/>
                <w:kern w:val="0"/>
                <w:sz w:val="24"/>
              </w:rPr>
            </w:pPr>
            <w:r>
              <w:rPr>
                <w:rFonts w:hint="eastAsia" w:ascii="宋体" w:hAnsi="宋体" w:cs="宋体"/>
                <w:kern w:val="0"/>
                <w:sz w:val="24"/>
              </w:rPr>
              <w:t>1、投标人具有有效的质量管理体系认证证书、环境管理体系认证证书、职业健康安全管理体系认证证书，以上三证认证范围均至少包含钢木家具、人造板类家具、钢塑家具、金属家具的设计开发、生产、组装、销售及售后服务；每个证书得</w:t>
            </w:r>
            <w:r>
              <w:rPr>
                <w:rFonts w:hint="eastAsia" w:ascii="宋体" w:hAnsi="宋体" w:cs="宋体"/>
                <w:kern w:val="0"/>
                <w:sz w:val="24"/>
                <w:lang w:val="en-US" w:eastAsia="zh-CN"/>
              </w:rPr>
              <w:t>3</w:t>
            </w:r>
            <w:r>
              <w:rPr>
                <w:rFonts w:hint="eastAsia" w:ascii="宋体" w:hAnsi="宋体" w:cs="宋体"/>
                <w:kern w:val="0"/>
                <w:sz w:val="24"/>
              </w:rPr>
              <w:t>分，共</w:t>
            </w:r>
            <w:r>
              <w:rPr>
                <w:rFonts w:hint="eastAsia" w:ascii="宋体" w:hAnsi="宋体" w:cs="宋体"/>
                <w:kern w:val="0"/>
                <w:sz w:val="24"/>
                <w:lang w:val="en-US" w:eastAsia="zh-CN"/>
              </w:rPr>
              <w:t>9</w:t>
            </w:r>
            <w:r>
              <w:rPr>
                <w:rFonts w:hint="eastAsia" w:ascii="宋体" w:hAnsi="宋体" w:cs="宋体"/>
                <w:kern w:val="0"/>
                <w:sz w:val="24"/>
              </w:rPr>
              <w:t>分；</w:t>
            </w:r>
          </w:p>
          <w:p w14:paraId="4DC30680">
            <w:pPr>
              <w:spacing w:line="360" w:lineRule="auto"/>
              <w:rPr>
                <w:rFonts w:ascii="宋体" w:hAnsi="宋体" w:cs="宋体"/>
                <w:kern w:val="0"/>
                <w:sz w:val="24"/>
              </w:rPr>
            </w:pPr>
            <w:r>
              <w:rPr>
                <w:rFonts w:hint="eastAsia" w:ascii="宋体" w:hAnsi="宋体" w:cs="宋体"/>
                <w:kern w:val="0"/>
                <w:sz w:val="24"/>
              </w:rPr>
              <w:t>2、投标人具有CQC中国环保产品认证证书的得2分。</w:t>
            </w:r>
          </w:p>
          <w:p w14:paraId="0584545D">
            <w:pPr>
              <w:spacing w:line="360" w:lineRule="auto"/>
              <w:rPr>
                <w:rFonts w:ascii="宋体" w:hAnsi="宋体" w:cs="宋体"/>
                <w:kern w:val="0"/>
                <w:sz w:val="24"/>
              </w:rPr>
            </w:pPr>
            <w:r>
              <w:rPr>
                <w:rFonts w:hint="eastAsia" w:ascii="宋体" w:hAnsi="宋体" w:cs="宋体"/>
                <w:kern w:val="0"/>
                <w:sz w:val="24"/>
              </w:rPr>
              <w:t>3、投标人具有中国环境标志产品认证证书的计2分，不提供不计分；</w:t>
            </w:r>
            <w:r>
              <w:rPr>
                <w:rFonts w:ascii="宋体" w:hAnsi="宋体" w:cs="宋体"/>
                <w:kern w:val="0"/>
                <w:sz w:val="24"/>
              </w:rPr>
              <w:t xml:space="preserve"> </w:t>
            </w:r>
          </w:p>
          <w:p w14:paraId="63888D43">
            <w:pPr>
              <w:spacing w:line="360" w:lineRule="auto"/>
              <w:rPr>
                <w:rFonts w:ascii="宋体" w:hAnsi="宋体" w:cs="宋体"/>
                <w:kern w:val="0"/>
                <w:sz w:val="24"/>
              </w:rPr>
            </w:pPr>
            <w:r>
              <w:rPr>
                <w:rFonts w:hint="eastAsia" w:ascii="宋体" w:hAnsi="宋体" w:cs="宋体"/>
                <w:kern w:val="0"/>
                <w:sz w:val="24"/>
              </w:rPr>
              <w:t>4、投标人具有有效的中国绿色产品认证证书的得 2分；</w:t>
            </w:r>
          </w:p>
          <w:p w14:paraId="323597DF">
            <w:pPr>
              <w:spacing w:line="360" w:lineRule="auto"/>
              <w:rPr>
                <w:rFonts w:hint="eastAsia" w:ascii="宋体" w:hAnsi="宋体" w:eastAsia="宋体" w:cs="宋体"/>
                <w:kern w:val="0"/>
                <w:sz w:val="24"/>
                <w:lang w:eastAsia="zh-CN"/>
              </w:rPr>
            </w:pPr>
            <w:r>
              <w:rPr>
                <w:rFonts w:hint="eastAsia" w:ascii="宋体" w:hAnsi="宋体" w:cs="宋体"/>
                <w:kern w:val="0"/>
                <w:sz w:val="24"/>
              </w:rPr>
              <w:t>5、投标人具有有效的售后服务认证证书，认证标准为：GB/T 27922-2011《商品售后服务评价体系》要求，五星级得3分，四星级得2分，三星级及以下得1分</w:t>
            </w:r>
            <w:r>
              <w:rPr>
                <w:rFonts w:hint="eastAsia" w:ascii="宋体" w:hAnsi="宋体" w:cs="宋体"/>
                <w:kern w:val="0"/>
                <w:sz w:val="24"/>
                <w:lang w:eastAsia="zh-CN"/>
              </w:rPr>
              <w:t>。</w:t>
            </w:r>
          </w:p>
          <w:p w14:paraId="631711A1">
            <w:pPr>
              <w:spacing w:line="360" w:lineRule="auto"/>
              <w:jc w:val="left"/>
              <w:rPr>
                <w:rFonts w:ascii="宋体" w:hAnsi="宋体" w:cs="宋体"/>
                <w:kern w:val="0"/>
                <w:sz w:val="24"/>
              </w:rPr>
            </w:pPr>
            <w:r>
              <w:rPr>
                <w:rFonts w:hint="eastAsia" w:ascii="宋体" w:hAnsi="宋体" w:cs="宋体"/>
                <w:kern w:val="0"/>
                <w:sz w:val="24"/>
              </w:rPr>
              <w:t>6、投标人具有家具中有害物质限量认证证书的得2分。</w:t>
            </w:r>
          </w:p>
          <w:p w14:paraId="5C13A36D">
            <w:pPr>
              <w:spacing w:line="360" w:lineRule="auto"/>
              <w:jc w:val="left"/>
              <w:rPr>
                <w:rFonts w:hint="eastAsia" w:ascii="宋体" w:hAnsi="宋体" w:eastAsia="宋体" w:cs="宋体"/>
                <w:color w:val="auto"/>
                <w:sz w:val="24"/>
                <w:highlight w:val="none"/>
              </w:rPr>
            </w:pPr>
            <w:r>
              <w:rPr>
                <w:rFonts w:hint="eastAsia" w:ascii="宋体" w:hAnsi="宋体" w:cs="宋体"/>
                <w:b/>
                <w:sz w:val="24"/>
              </w:rPr>
              <w:t>注：投标文件中提供有效期内的以上证书原件扫描件，以及国家认证监督委员会官网查询截图，否则不得分。</w:t>
            </w:r>
          </w:p>
        </w:tc>
      </w:tr>
      <w:tr w14:paraId="521E01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44" w:hRule="atLeast"/>
          <w:jc w:val="center"/>
        </w:trPr>
        <w:tc>
          <w:tcPr>
            <w:tcW w:w="231" w:type="pct"/>
            <w:tcBorders>
              <w:top w:val="single" w:color="auto" w:sz="4" w:space="0"/>
              <w:bottom w:val="single" w:color="auto" w:sz="4" w:space="0"/>
              <w:right w:val="single" w:color="auto" w:sz="4" w:space="0"/>
            </w:tcBorders>
            <w:noWrap/>
            <w:vAlign w:val="center"/>
          </w:tcPr>
          <w:p w14:paraId="558550AA">
            <w:pPr>
              <w:adjustRightInd w:val="0"/>
              <w:snapToGrid w:val="0"/>
              <w:spacing w:before="156" w:beforeLines="50"/>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2</w:t>
            </w:r>
          </w:p>
        </w:tc>
        <w:tc>
          <w:tcPr>
            <w:tcW w:w="722" w:type="pct"/>
            <w:vMerge w:val="continue"/>
            <w:tcBorders>
              <w:left w:val="single" w:color="auto" w:sz="4" w:space="0"/>
            </w:tcBorders>
            <w:noWrap/>
            <w:vAlign w:val="center"/>
          </w:tcPr>
          <w:p w14:paraId="2DFD7FA7">
            <w:pPr>
              <w:spacing w:line="360" w:lineRule="auto"/>
              <w:jc w:val="center"/>
              <w:rPr>
                <w:rFonts w:hint="eastAsia" w:ascii="宋体" w:hAnsi="宋体" w:eastAsia="宋体" w:cs="宋体"/>
                <w:color w:val="auto"/>
                <w:sz w:val="24"/>
              </w:rPr>
            </w:pPr>
          </w:p>
        </w:tc>
        <w:tc>
          <w:tcPr>
            <w:tcW w:w="866" w:type="dxa"/>
            <w:tcBorders>
              <w:top w:val="single" w:color="auto" w:sz="4" w:space="0"/>
              <w:bottom w:val="single" w:color="auto" w:sz="4" w:space="0"/>
            </w:tcBorders>
            <w:shd w:val="clear" w:color="auto" w:fill="auto"/>
            <w:noWrap/>
            <w:vAlign w:val="center"/>
          </w:tcPr>
          <w:p w14:paraId="6DF23DD0">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sz w:val="24"/>
                <w:lang w:bidi="en-US"/>
              </w:rPr>
              <w:t>投标人生产能力</w:t>
            </w:r>
          </w:p>
        </w:tc>
        <w:tc>
          <w:tcPr>
            <w:tcW w:w="744" w:type="dxa"/>
            <w:tcBorders>
              <w:right w:val="single" w:color="auto" w:sz="4" w:space="0"/>
            </w:tcBorders>
            <w:shd w:val="clear" w:color="auto" w:fill="auto"/>
            <w:noWrap/>
            <w:vAlign w:val="center"/>
          </w:tcPr>
          <w:p w14:paraId="5191FF00">
            <w:pPr>
              <w:widowControl/>
              <w:spacing w:line="360" w:lineRule="auto"/>
              <w:jc w:val="center"/>
              <w:rPr>
                <w:rFonts w:ascii="宋体" w:hAnsi="宋体" w:eastAsia="宋体" w:cs="宋体"/>
                <w:color w:val="auto"/>
                <w:kern w:val="2"/>
                <w:sz w:val="24"/>
                <w:szCs w:val="24"/>
                <w:highlight w:val="none"/>
                <w:lang w:val="en-US" w:eastAsia="zh-CN" w:bidi="ar-SA"/>
              </w:rPr>
            </w:pPr>
            <w:r>
              <w:rPr>
                <w:rFonts w:hint="eastAsia" w:ascii="宋体" w:hAnsi="宋体"/>
                <w:bCs/>
                <w:sz w:val="24"/>
                <w:lang w:val="en-US" w:eastAsia="zh-CN"/>
              </w:rPr>
              <w:t>20</w:t>
            </w:r>
            <w:r>
              <w:rPr>
                <w:rFonts w:hint="eastAsia" w:ascii="宋体" w:hAnsi="宋体"/>
                <w:bCs/>
                <w:sz w:val="24"/>
              </w:rPr>
              <w:t>分</w:t>
            </w:r>
          </w:p>
        </w:tc>
        <w:tc>
          <w:tcPr>
            <w:tcW w:w="6594" w:type="dxa"/>
            <w:tcBorders>
              <w:left w:val="single" w:color="auto" w:sz="4" w:space="0"/>
            </w:tcBorders>
            <w:shd w:val="clear" w:color="auto" w:fill="auto"/>
            <w:noWrap/>
            <w:vAlign w:val="center"/>
          </w:tcPr>
          <w:p w14:paraId="4220A2EE">
            <w:pPr>
              <w:spacing w:line="360" w:lineRule="auto"/>
              <w:jc w:val="left"/>
              <w:rPr>
                <w:rFonts w:ascii="宋体" w:hAnsi="宋体" w:cs="宋体"/>
                <w:sz w:val="24"/>
              </w:rPr>
            </w:pPr>
            <w:r>
              <w:rPr>
                <w:rFonts w:hint="eastAsia" w:ascii="宋体" w:hAnsi="宋体" w:cs="宋体"/>
                <w:sz w:val="24"/>
              </w:rPr>
              <w:t>根据投标人</w:t>
            </w:r>
            <w:r>
              <w:rPr>
                <w:rFonts w:ascii="宋体" w:hAnsi="宋体" w:cs="宋体"/>
                <w:sz w:val="24"/>
              </w:rPr>
              <w:t>或所投产品生产厂家</w:t>
            </w:r>
            <w:r>
              <w:rPr>
                <w:rFonts w:hint="eastAsia" w:ascii="宋体" w:hAnsi="宋体" w:cs="宋体"/>
                <w:sz w:val="24"/>
              </w:rPr>
              <w:t>加工设备拥有情况及加工工艺先进性，提供木工柔线生产线、喷塑自动流水线、自动化焊接设备、光纤平板切割机、冲床、抛丸机、木工车间粉尘设备、中央除尘系统、六面数控钻孔中心、喷涂废水处理设备购置发票复印件及现场作业照片，全部满足计</w:t>
            </w:r>
            <w:r>
              <w:rPr>
                <w:rFonts w:hint="eastAsia" w:ascii="宋体" w:hAnsi="宋体" w:cs="宋体"/>
                <w:sz w:val="24"/>
                <w:lang w:val="en-US" w:eastAsia="zh-CN"/>
              </w:rPr>
              <w:t>20</w:t>
            </w:r>
            <w:r>
              <w:rPr>
                <w:rFonts w:hint="eastAsia" w:ascii="宋体" w:hAnsi="宋体" w:cs="宋体"/>
                <w:sz w:val="24"/>
              </w:rPr>
              <w:t>分，每缺少一项扣</w:t>
            </w:r>
            <w:r>
              <w:rPr>
                <w:rFonts w:hint="eastAsia" w:ascii="宋体" w:hAnsi="宋体" w:cs="宋体"/>
                <w:sz w:val="24"/>
                <w:lang w:val="en-US" w:eastAsia="zh-CN"/>
              </w:rPr>
              <w:t>2</w:t>
            </w:r>
            <w:r>
              <w:rPr>
                <w:rFonts w:hint="eastAsia" w:ascii="宋体" w:hAnsi="宋体" w:cs="宋体"/>
                <w:sz w:val="24"/>
              </w:rPr>
              <w:t>分。</w:t>
            </w:r>
          </w:p>
          <w:p w14:paraId="2396C973">
            <w:pPr>
              <w:spacing w:line="360" w:lineRule="auto"/>
              <w:jc w:val="left"/>
              <w:rPr>
                <w:rFonts w:hint="eastAsia" w:ascii="宋体" w:hAnsi="宋体" w:eastAsia="宋体" w:cs="宋体"/>
                <w:b/>
                <w:color w:val="auto"/>
                <w:kern w:val="2"/>
                <w:sz w:val="24"/>
                <w:szCs w:val="24"/>
                <w:highlight w:val="none"/>
                <w:lang w:val="en-US" w:eastAsia="zh-CN" w:bidi="ar-SA"/>
              </w:rPr>
            </w:pPr>
            <w:r>
              <w:rPr>
                <w:rFonts w:hint="eastAsia" w:ascii="宋体" w:hAnsi="宋体" w:cs="宋体"/>
                <w:b/>
                <w:sz w:val="24"/>
              </w:rPr>
              <w:t>注：中标后提供发票原件给业主备查，提供虚假材料的，按政府采购相关规定处罚。</w:t>
            </w:r>
          </w:p>
        </w:tc>
      </w:tr>
      <w:tr w14:paraId="2BE245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50" w:hRule="atLeast"/>
          <w:jc w:val="center"/>
        </w:trPr>
        <w:tc>
          <w:tcPr>
            <w:tcW w:w="231" w:type="pct"/>
            <w:tcBorders>
              <w:top w:val="single" w:color="auto" w:sz="4" w:space="0"/>
              <w:right w:val="single" w:color="auto" w:sz="4" w:space="0"/>
            </w:tcBorders>
            <w:noWrap/>
            <w:vAlign w:val="center"/>
          </w:tcPr>
          <w:p w14:paraId="0948A4E1">
            <w:pPr>
              <w:adjustRightInd w:val="0"/>
              <w:snapToGrid w:val="0"/>
              <w:spacing w:before="156" w:beforeLines="50"/>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3</w:t>
            </w:r>
          </w:p>
        </w:tc>
        <w:tc>
          <w:tcPr>
            <w:tcW w:w="722" w:type="pct"/>
            <w:vMerge w:val="continue"/>
            <w:tcBorders>
              <w:left w:val="single" w:color="auto" w:sz="4" w:space="0"/>
            </w:tcBorders>
            <w:noWrap/>
            <w:vAlign w:val="center"/>
          </w:tcPr>
          <w:p w14:paraId="73716C39">
            <w:pPr>
              <w:spacing w:line="360" w:lineRule="auto"/>
              <w:jc w:val="center"/>
              <w:rPr>
                <w:rFonts w:hint="eastAsia" w:ascii="宋体" w:hAnsi="宋体" w:eastAsia="宋体" w:cs="宋体"/>
                <w:color w:val="auto"/>
                <w:sz w:val="24"/>
              </w:rPr>
            </w:pPr>
          </w:p>
        </w:tc>
        <w:tc>
          <w:tcPr>
            <w:tcW w:w="866" w:type="dxa"/>
            <w:tcBorders>
              <w:top w:val="single" w:color="auto" w:sz="4" w:space="0"/>
            </w:tcBorders>
            <w:noWrap/>
            <w:vAlign w:val="center"/>
          </w:tcPr>
          <w:p w14:paraId="589DE253">
            <w:pPr>
              <w:spacing w:line="360" w:lineRule="auto"/>
              <w:jc w:val="center"/>
              <w:rPr>
                <w:rFonts w:hint="eastAsia" w:ascii="宋体" w:hAnsi="宋体" w:eastAsia="宋体" w:cs="宋体"/>
                <w:color w:val="auto"/>
                <w:sz w:val="24"/>
              </w:rPr>
            </w:pPr>
            <w:r>
              <w:rPr>
                <w:rFonts w:hint="eastAsia" w:ascii="宋体" w:hAnsi="宋体"/>
                <w:sz w:val="24"/>
                <w:lang w:bidi="en-US"/>
              </w:rPr>
              <w:t>投标人业绩</w:t>
            </w:r>
          </w:p>
        </w:tc>
        <w:tc>
          <w:tcPr>
            <w:tcW w:w="744" w:type="dxa"/>
            <w:tcBorders>
              <w:right w:val="single" w:color="auto" w:sz="4" w:space="0"/>
            </w:tcBorders>
            <w:noWrap/>
            <w:vAlign w:val="center"/>
          </w:tcPr>
          <w:p w14:paraId="75E2D189">
            <w:pPr>
              <w:widowControl/>
              <w:spacing w:line="360" w:lineRule="auto"/>
              <w:jc w:val="center"/>
              <w:rPr>
                <w:rFonts w:ascii="宋体" w:hAnsi="宋体" w:eastAsia="宋体" w:cs="宋体"/>
                <w:color w:val="auto"/>
                <w:sz w:val="24"/>
                <w:highlight w:val="none"/>
              </w:rPr>
            </w:pPr>
            <w:r>
              <w:rPr>
                <w:rFonts w:hint="eastAsia" w:ascii="宋体" w:hAnsi="宋体"/>
                <w:bCs/>
                <w:sz w:val="24"/>
                <w:lang w:val="en-US" w:eastAsia="zh-CN"/>
              </w:rPr>
              <w:t>60</w:t>
            </w:r>
            <w:r>
              <w:rPr>
                <w:rFonts w:hint="eastAsia" w:ascii="宋体" w:hAnsi="宋体"/>
                <w:bCs/>
                <w:sz w:val="24"/>
              </w:rPr>
              <w:t>分</w:t>
            </w:r>
          </w:p>
        </w:tc>
        <w:tc>
          <w:tcPr>
            <w:tcW w:w="6594" w:type="dxa"/>
            <w:tcBorders>
              <w:left w:val="single" w:color="auto" w:sz="4" w:space="0"/>
            </w:tcBorders>
            <w:noWrap/>
            <w:vAlign w:val="center"/>
          </w:tcPr>
          <w:p w14:paraId="392276D6">
            <w:pPr>
              <w:widowControl/>
              <w:jc w:val="left"/>
              <w:rPr>
                <w:rFonts w:ascii="宋体" w:hAnsi="宋体" w:cs="宋体"/>
                <w:kern w:val="0"/>
                <w:sz w:val="24"/>
              </w:rPr>
            </w:pPr>
            <w:r>
              <w:rPr>
                <w:rFonts w:hint="eastAsia" w:ascii="宋体" w:hAnsi="宋体" w:cs="宋体"/>
                <w:kern w:val="0"/>
                <w:sz w:val="24"/>
              </w:rPr>
              <w:t>202</w:t>
            </w:r>
            <w:r>
              <w:rPr>
                <w:rFonts w:hint="eastAsia" w:ascii="宋体" w:hAnsi="宋体" w:cs="宋体"/>
                <w:kern w:val="0"/>
                <w:sz w:val="24"/>
                <w:lang w:val="en-US" w:eastAsia="zh-CN"/>
              </w:rPr>
              <w:t>3</w:t>
            </w:r>
            <w:r>
              <w:rPr>
                <w:rFonts w:hint="eastAsia" w:ascii="宋体" w:hAnsi="宋体" w:cs="宋体"/>
                <w:kern w:val="0"/>
                <w:sz w:val="24"/>
              </w:rPr>
              <w:t>年</w:t>
            </w:r>
            <w:r>
              <w:rPr>
                <w:rFonts w:hint="eastAsia" w:ascii="宋体" w:hAnsi="宋体" w:cs="宋体"/>
                <w:kern w:val="0"/>
                <w:sz w:val="24"/>
                <w:lang w:val="en-US" w:eastAsia="zh-CN"/>
              </w:rPr>
              <w:t>6</w:t>
            </w:r>
            <w:r>
              <w:rPr>
                <w:rFonts w:hint="eastAsia" w:ascii="宋体" w:hAnsi="宋体" w:cs="宋体"/>
                <w:kern w:val="0"/>
                <w:sz w:val="24"/>
              </w:rPr>
              <w:t>月1日以来（以合同签订时间为准），投标人具有公寓家具供货安装项目业绩，每提供一个项目业绩得 1</w:t>
            </w:r>
            <w:r>
              <w:rPr>
                <w:rFonts w:hint="eastAsia" w:ascii="宋体" w:hAnsi="宋体" w:cs="宋体"/>
                <w:kern w:val="0"/>
                <w:sz w:val="24"/>
                <w:lang w:val="en-US" w:eastAsia="zh-CN"/>
              </w:rPr>
              <w:t>5</w:t>
            </w:r>
            <w:r>
              <w:rPr>
                <w:rFonts w:hint="eastAsia" w:ascii="宋体" w:hAnsi="宋体" w:cs="宋体"/>
                <w:kern w:val="0"/>
                <w:sz w:val="24"/>
              </w:rPr>
              <w:t xml:space="preserve"> 分，满分</w:t>
            </w:r>
            <w:r>
              <w:rPr>
                <w:rFonts w:hint="eastAsia" w:ascii="宋体" w:hAnsi="宋体" w:cs="宋体"/>
                <w:kern w:val="0"/>
                <w:sz w:val="24"/>
                <w:lang w:val="en-US" w:eastAsia="zh-CN"/>
              </w:rPr>
              <w:t>60</w:t>
            </w:r>
            <w:r>
              <w:rPr>
                <w:rFonts w:hint="eastAsia" w:ascii="宋体" w:hAnsi="宋体" w:cs="宋体"/>
                <w:kern w:val="0"/>
                <w:sz w:val="24"/>
              </w:rPr>
              <w:t xml:space="preserve">分。 </w:t>
            </w:r>
          </w:p>
          <w:p w14:paraId="5A7907ED">
            <w:pPr>
              <w:widowControl/>
              <w:jc w:val="left"/>
              <w:rPr>
                <w:rFonts w:hint="eastAsia" w:ascii="宋体" w:hAnsi="宋体" w:eastAsia="宋体" w:cs="宋体"/>
                <w:color w:val="auto"/>
                <w:sz w:val="24"/>
                <w:highlight w:val="none"/>
              </w:rPr>
            </w:pPr>
            <w:r>
              <w:rPr>
                <w:rFonts w:hint="eastAsia" w:ascii="宋体" w:hAnsi="宋体" w:cs="宋体"/>
                <w:b/>
                <w:bCs/>
                <w:kern w:val="0"/>
                <w:sz w:val="24"/>
              </w:rPr>
              <w:t>注：投标文件中提供业绩合同和验收证明扫描件，如合同中无法体现签订时间、供货内容、产品数量等关键评审因素的，须另提供业主单位出具的相关证明材料扫描件。</w:t>
            </w:r>
          </w:p>
        </w:tc>
      </w:tr>
      <w:tr w14:paraId="6194C4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231" w:type="pct"/>
            <w:tcBorders>
              <w:right w:val="single" w:color="auto" w:sz="4" w:space="0"/>
            </w:tcBorders>
            <w:noWrap/>
            <w:vAlign w:val="center"/>
          </w:tcPr>
          <w:p w14:paraId="0EF9EA61">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w:t>
            </w:r>
          </w:p>
        </w:tc>
        <w:tc>
          <w:tcPr>
            <w:tcW w:w="4768" w:type="pct"/>
            <w:gridSpan w:val="4"/>
            <w:tcBorders>
              <w:left w:val="single" w:color="auto" w:sz="4" w:space="0"/>
            </w:tcBorders>
            <w:noWrap/>
            <w:vAlign w:val="center"/>
          </w:tcPr>
          <w:p w14:paraId="76BE0263">
            <w:pPr>
              <w:adjustRightInd w:val="0"/>
              <w:snapToGrid w:val="0"/>
              <w:rPr>
                <w:rFonts w:hint="eastAsia" w:ascii="宋体" w:hAnsi="宋体" w:eastAsia="宋体" w:cs="宋体"/>
                <w:color w:val="auto"/>
                <w:sz w:val="24"/>
              </w:rPr>
            </w:pPr>
            <w:r>
              <w:rPr>
                <w:rFonts w:hint="eastAsia" w:ascii="宋体" w:hAnsi="宋体" w:eastAsia="宋体" w:cs="宋体"/>
                <w:color w:val="auto"/>
                <w:sz w:val="24"/>
              </w:rPr>
              <w:t>F</w:t>
            </w:r>
            <w:r>
              <w:rPr>
                <w:rFonts w:hint="eastAsia" w:ascii="宋体" w:hAnsi="宋体" w:eastAsia="宋体" w:cs="宋体"/>
                <w:color w:val="auto"/>
                <w:sz w:val="24"/>
                <w:vertAlign w:val="subscript"/>
              </w:rPr>
              <w:t>3</w:t>
            </w:r>
            <w:r>
              <w:rPr>
                <w:rFonts w:hint="eastAsia" w:ascii="宋体" w:hAnsi="宋体" w:eastAsia="宋体" w:cs="宋体"/>
                <w:color w:val="auto"/>
                <w:sz w:val="24"/>
              </w:rPr>
              <w:t>=F</w:t>
            </w:r>
          </w:p>
        </w:tc>
      </w:tr>
    </w:tbl>
    <w:p w14:paraId="5C9DF523">
      <w:pPr>
        <w:keepNext/>
        <w:keepLines/>
        <w:spacing w:before="260" w:after="260" w:line="416" w:lineRule="auto"/>
        <w:jc w:val="center"/>
        <w:outlineLvl w:val="2"/>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br w:type="page"/>
      </w:r>
      <w:bookmarkStart w:id="148" w:name="_Toc31409"/>
      <w:r>
        <w:rPr>
          <w:rFonts w:hint="eastAsia" w:ascii="Times New Roman" w:hAnsi="Times New Roman" w:eastAsia="宋体" w:cs="Times New Roman"/>
          <w:b/>
          <w:bCs/>
          <w:color w:val="auto"/>
          <w:kern w:val="0"/>
          <w:sz w:val="24"/>
          <w:szCs w:val="32"/>
        </w:rPr>
        <w:t>附表1.3技术部分评审标准表</w:t>
      </w:r>
      <w:bookmarkEnd w:id="148"/>
    </w:p>
    <w:tbl>
      <w:tblPr>
        <w:tblStyle w:val="44"/>
        <w:tblW w:w="5201"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19"/>
        <w:gridCol w:w="1504"/>
        <w:gridCol w:w="912"/>
        <w:gridCol w:w="753"/>
        <w:gridCol w:w="6758"/>
      </w:tblGrid>
      <w:tr w14:paraId="3CFBBE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93" w:type="pct"/>
            <w:tcBorders>
              <w:right w:val="single" w:color="auto" w:sz="4" w:space="0"/>
            </w:tcBorders>
            <w:noWrap/>
            <w:vAlign w:val="center"/>
          </w:tcPr>
          <w:p w14:paraId="3142CE68">
            <w:pPr>
              <w:adjustRightInd w:val="0"/>
              <w:snapToGrid w:val="0"/>
              <w:jc w:val="center"/>
              <w:rPr>
                <w:rFonts w:hint="eastAsia" w:ascii="宋体" w:hAnsi="宋体" w:eastAsia="宋体" w:cs="宋体"/>
                <w:b/>
                <w:color w:val="auto"/>
                <w:sz w:val="24"/>
              </w:rPr>
            </w:pPr>
            <w:r>
              <w:rPr>
                <w:rFonts w:hint="eastAsia" w:ascii="宋体" w:hAnsi="宋体" w:eastAsia="宋体" w:cs="宋体"/>
                <w:b/>
                <w:color w:val="auto"/>
                <w:sz w:val="24"/>
              </w:rPr>
              <w:t>序号</w:t>
            </w:r>
          </w:p>
        </w:tc>
        <w:tc>
          <w:tcPr>
            <w:tcW w:w="713" w:type="pct"/>
            <w:tcBorders>
              <w:left w:val="single" w:color="auto" w:sz="4" w:space="0"/>
              <w:right w:val="single" w:color="auto" w:sz="4" w:space="0"/>
            </w:tcBorders>
            <w:noWrap/>
            <w:vAlign w:val="center"/>
          </w:tcPr>
          <w:p w14:paraId="05F24242">
            <w:pPr>
              <w:adjustRightInd w:val="0"/>
              <w:snapToGrid w:val="0"/>
              <w:jc w:val="center"/>
              <w:rPr>
                <w:rFonts w:hint="eastAsia" w:ascii="宋体" w:hAnsi="宋体" w:eastAsia="宋体" w:cs="宋体"/>
                <w:b/>
                <w:color w:val="auto"/>
                <w:sz w:val="24"/>
              </w:rPr>
            </w:pPr>
            <w:r>
              <w:rPr>
                <w:rFonts w:hint="eastAsia" w:ascii="宋体" w:hAnsi="宋体" w:eastAsia="宋体" w:cs="宋体"/>
                <w:b/>
                <w:color w:val="auto"/>
                <w:sz w:val="24"/>
              </w:rPr>
              <w:t>评标因素</w:t>
            </w:r>
          </w:p>
          <w:p w14:paraId="06F499C0">
            <w:pPr>
              <w:adjustRightInd w:val="0"/>
              <w:snapToGrid w:val="0"/>
              <w:jc w:val="center"/>
              <w:rPr>
                <w:rFonts w:hint="eastAsia" w:ascii="宋体" w:hAnsi="宋体" w:eastAsia="宋体" w:cs="宋体"/>
                <w:b/>
                <w:color w:val="auto"/>
                <w:sz w:val="24"/>
              </w:rPr>
            </w:pPr>
            <w:r>
              <w:rPr>
                <w:rFonts w:hint="eastAsia" w:ascii="宋体" w:hAnsi="宋体" w:eastAsia="宋体" w:cs="宋体"/>
                <w:b/>
                <w:color w:val="auto"/>
                <w:sz w:val="24"/>
              </w:rPr>
              <w:t>（分值）</w:t>
            </w:r>
          </w:p>
        </w:tc>
        <w:tc>
          <w:tcPr>
            <w:tcW w:w="3993" w:type="pct"/>
            <w:gridSpan w:val="3"/>
            <w:tcBorders>
              <w:left w:val="single" w:color="auto" w:sz="4" w:space="0"/>
            </w:tcBorders>
            <w:noWrap/>
            <w:vAlign w:val="center"/>
          </w:tcPr>
          <w:p w14:paraId="48486D44">
            <w:pPr>
              <w:adjustRightInd w:val="0"/>
              <w:snapToGrid w:val="0"/>
              <w:jc w:val="center"/>
              <w:rPr>
                <w:rFonts w:hint="eastAsia" w:ascii="宋体" w:hAnsi="宋体" w:eastAsia="宋体" w:cs="宋体"/>
                <w:b/>
                <w:color w:val="auto"/>
                <w:sz w:val="24"/>
              </w:rPr>
            </w:pPr>
            <w:r>
              <w:rPr>
                <w:rFonts w:hint="eastAsia" w:ascii="宋体" w:hAnsi="宋体" w:eastAsia="宋体" w:cs="宋体"/>
                <w:b/>
                <w:color w:val="auto"/>
                <w:sz w:val="24"/>
              </w:rPr>
              <w:t>评标标准</w:t>
            </w:r>
          </w:p>
        </w:tc>
      </w:tr>
      <w:tr w14:paraId="6BE462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43" w:hRule="atLeast"/>
          <w:jc w:val="center"/>
        </w:trPr>
        <w:tc>
          <w:tcPr>
            <w:tcW w:w="293" w:type="pct"/>
            <w:tcBorders>
              <w:right w:val="single" w:color="auto" w:sz="4" w:space="0"/>
            </w:tcBorders>
            <w:noWrap/>
            <w:vAlign w:val="center"/>
          </w:tcPr>
          <w:p w14:paraId="0B64B855">
            <w:pPr>
              <w:adjustRightInd w:val="0"/>
              <w:snapToGrid w:val="0"/>
              <w:spacing w:before="156" w:beforeLines="50"/>
              <w:jc w:val="center"/>
              <w:rPr>
                <w:rFonts w:hint="eastAsia" w:ascii="宋体" w:hAnsi="宋体" w:eastAsia="宋体" w:cs="宋体"/>
                <w:color w:val="auto"/>
                <w:sz w:val="24"/>
              </w:rPr>
            </w:pPr>
            <w:r>
              <w:rPr>
                <w:rFonts w:hint="eastAsia" w:ascii="宋体" w:hAnsi="宋体" w:eastAsia="宋体" w:cs="宋体"/>
                <w:color w:val="auto"/>
                <w:sz w:val="24"/>
              </w:rPr>
              <w:t>1</w:t>
            </w:r>
          </w:p>
        </w:tc>
        <w:tc>
          <w:tcPr>
            <w:tcW w:w="713" w:type="pct"/>
            <w:vMerge w:val="restart"/>
            <w:tcBorders>
              <w:left w:val="single" w:color="auto" w:sz="4" w:space="0"/>
            </w:tcBorders>
            <w:noWrap/>
            <w:vAlign w:val="center"/>
          </w:tcPr>
          <w:p w14:paraId="618123FE">
            <w:pPr>
              <w:adjustRightInd w:val="0"/>
              <w:snapToGrid w:val="0"/>
              <w:jc w:val="center"/>
              <w:rPr>
                <w:rFonts w:hint="eastAsia" w:ascii="宋体" w:hAnsi="宋体" w:eastAsia="宋体" w:cs="宋体"/>
                <w:color w:val="auto"/>
                <w:sz w:val="24"/>
              </w:rPr>
            </w:pPr>
            <w:r>
              <w:rPr>
                <w:rFonts w:hint="eastAsia" w:ascii="宋体" w:hAnsi="宋体" w:eastAsia="宋体" w:cs="宋体"/>
                <w:color w:val="auto"/>
                <w:kern w:val="0"/>
                <w:sz w:val="24"/>
                <w:lang w:val="ru-RU" w:eastAsia="ru-RU"/>
              </w:rPr>
              <w:t>技术</w:t>
            </w:r>
            <w:r>
              <w:rPr>
                <w:rFonts w:hint="eastAsia" w:ascii="宋体" w:hAnsi="宋体" w:eastAsia="宋体" w:cs="宋体"/>
                <w:color w:val="auto"/>
                <w:sz w:val="24"/>
              </w:rPr>
              <w:t>评价项（100分）</w:t>
            </w:r>
          </w:p>
        </w:tc>
        <w:tc>
          <w:tcPr>
            <w:tcW w:w="432" w:type="pct"/>
            <w:noWrap/>
            <w:vAlign w:val="center"/>
          </w:tcPr>
          <w:p w14:paraId="6B7F962A">
            <w:pPr>
              <w:spacing w:line="360" w:lineRule="auto"/>
              <w:jc w:val="center"/>
              <w:rPr>
                <w:rFonts w:hint="eastAsia" w:ascii="宋体" w:hAnsi="宋体" w:eastAsia="宋体" w:cs="宋体"/>
                <w:color w:val="auto"/>
                <w:sz w:val="24"/>
              </w:rPr>
            </w:pPr>
            <w:r>
              <w:rPr>
                <w:rFonts w:hint="eastAsia" w:ascii="宋体" w:hAnsi="宋体"/>
                <w:bCs/>
                <w:sz w:val="24"/>
              </w:rPr>
              <w:t>产品技术参数响应</w:t>
            </w:r>
          </w:p>
        </w:tc>
        <w:tc>
          <w:tcPr>
            <w:tcW w:w="357" w:type="pct"/>
            <w:tcBorders>
              <w:right w:val="single" w:color="auto" w:sz="4" w:space="0"/>
            </w:tcBorders>
            <w:noWrap/>
            <w:vAlign w:val="center"/>
          </w:tcPr>
          <w:p w14:paraId="7758DBC9">
            <w:pPr>
              <w:spacing w:line="360" w:lineRule="auto"/>
              <w:jc w:val="center"/>
              <w:rPr>
                <w:rFonts w:ascii="宋体" w:hAnsi="宋体" w:eastAsia="宋体" w:cs="宋体"/>
                <w:color w:val="auto"/>
                <w:sz w:val="24"/>
              </w:rPr>
            </w:pPr>
            <w:r>
              <w:rPr>
                <w:rFonts w:hint="eastAsia" w:ascii="宋体" w:hAnsi="宋体"/>
                <w:bCs/>
                <w:sz w:val="24"/>
                <w:highlight w:val="none"/>
              </w:rPr>
              <w:t>40分</w:t>
            </w:r>
          </w:p>
        </w:tc>
        <w:tc>
          <w:tcPr>
            <w:tcW w:w="3204" w:type="pct"/>
            <w:tcBorders>
              <w:left w:val="single" w:color="auto" w:sz="4" w:space="0"/>
            </w:tcBorders>
            <w:noWrap/>
            <w:vAlign w:val="center"/>
          </w:tcPr>
          <w:p w14:paraId="092E941D">
            <w:pPr>
              <w:spacing w:line="360" w:lineRule="auto"/>
              <w:jc w:val="left"/>
              <w:rPr>
                <w:rFonts w:ascii="宋体" w:hAnsi="宋体"/>
                <w:bCs/>
                <w:sz w:val="24"/>
              </w:rPr>
            </w:pPr>
            <w:r>
              <w:rPr>
                <w:rFonts w:hint="eastAsia" w:ascii="宋体" w:hAnsi="宋体"/>
                <w:bCs/>
                <w:sz w:val="24"/>
              </w:rPr>
              <w:t>根据技术参数及要求的响应情况进行综合打分，所投产品全部参数及要求完全满足招标文件的，得基础分40分，如</w:t>
            </w:r>
            <w:r>
              <w:rPr>
                <w:rFonts w:ascii="宋体" w:hAnsi="宋体"/>
                <w:bCs/>
                <w:sz w:val="24"/>
              </w:rPr>
              <w:t>所投</w:t>
            </w:r>
            <w:r>
              <w:rPr>
                <w:rFonts w:ascii="宋体" w:hAnsi="宋体" w:cs="Arial"/>
                <w:bCs/>
                <w:sz w:val="24"/>
              </w:rPr>
              <w:t>产品</w:t>
            </w:r>
            <w:r>
              <w:rPr>
                <w:rFonts w:hint="eastAsia" w:ascii="宋体" w:hAnsi="宋体" w:cs="Arial"/>
                <w:bCs/>
                <w:sz w:val="24"/>
              </w:rPr>
              <w:t>技术参数</w:t>
            </w:r>
            <w:r>
              <w:rPr>
                <w:rFonts w:hint="eastAsia" w:ascii="宋体" w:hAnsi="宋体"/>
                <w:bCs/>
                <w:sz w:val="24"/>
              </w:rPr>
              <w:t>及要求</w:t>
            </w:r>
            <w:r>
              <w:rPr>
                <w:rFonts w:hint="eastAsia" w:ascii="宋体" w:hAnsi="宋体" w:cs="Arial"/>
                <w:bCs/>
                <w:sz w:val="24"/>
              </w:rPr>
              <w:t>不满足</w:t>
            </w:r>
            <w:r>
              <w:rPr>
                <w:rFonts w:ascii="宋体" w:hAnsi="宋体" w:cs="Arial"/>
                <w:bCs/>
                <w:sz w:val="24"/>
              </w:rPr>
              <w:t>招标文件中</w:t>
            </w:r>
            <w:r>
              <w:rPr>
                <w:rFonts w:hint="eastAsia" w:ascii="宋体" w:hAnsi="宋体"/>
                <w:bCs/>
                <w:sz w:val="24"/>
              </w:rPr>
              <w:t>的▲条款要求，每一项负偏离</w:t>
            </w:r>
            <w:r>
              <w:rPr>
                <w:rFonts w:ascii="宋体" w:hAnsi="宋体"/>
                <w:bCs/>
                <w:sz w:val="24"/>
              </w:rPr>
              <w:t>扣</w:t>
            </w:r>
            <w:r>
              <w:rPr>
                <w:rFonts w:hint="eastAsia" w:ascii="宋体" w:hAnsi="宋体"/>
                <w:bCs/>
                <w:sz w:val="24"/>
                <w:lang w:val="en-US" w:eastAsia="zh-CN"/>
              </w:rPr>
              <w:t>2</w:t>
            </w:r>
            <w:r>
              <w:rPr>
                <w:rFonts w:hint="eastAsia" w:ascii="宋体" w:hAnsi="宋体"/>
                <w:bCs/>
                <w:sz w:val="24"/>
              </w:rPr>
              <w:t>分；如</w:t>
            </w:r>
            <w:r>
              <w:rPr>
                <w:rFonts w:ascii="宋体" w:hAnsi="宋体"/>
                <w:bCs/>
                <w:sz w:val="24"/>
              </w:rPr>
              <w:t>所投</w:t>
            </w:r>
            <w:r>
              <w:rPr>
                <w:rFonts w:ascii="宋体" w:hAnsi="宋体" w:cs="Arial"/>
                <w:bCs/>
                <w:sz w:val="24"/>
              </w:rPr>
              <w:t>产品</w:t>
            </w:r>
            <w:r>
              <w:rPr>
                <w:rFonts w:hint="eastAsia" w:ascii="宋体" w:hAnsi="宋体" w:cs="Arial"/>
                <w:bCs/>
                <w:sz w:val="24"/>
              </w:rPr>
              <w:t>技术参数</w:t>
            </w:r>
            <w:r>
              <w:rPr>
                <w:rFonts w:hint="eastAsia" w:ascii="宋体" w:hAnsi="宋体"/>
                <w:bCs/>
                <w:sz w:val="24"/>
              </w:rPr>
              <w:t>及要求</w:t>
            </w:r>
            <w:r>
              <w:rPr>
                <w:rFonts w:hint="eastAsia" w:ascii="宋体" w:hAnsi="宋体" w:cs="Arial"/>
                <w:bCs/>
                <w:sz w:val="24"/>
              </w:rPr>
              <w:t>不满足</w:t>
            </w:r>
            <w:r>
              <w:rPr>
                <w:rFonts w:ascii="宋体" w:hAnsi="宋体" w:cs="Arial"/>
                <w:bCs/>
                <w:sz w:val="24"/>
              </w:rPr>
              <w:t>招标文件中</w:t>
            </w:r>
            <w:r>
              <w:rPr>
                <w:rFonts w:hint="eastAsia" w:ascii="宋体" w:hAnsi="宋体"/>
                <w:bCs/>
                <w:sz w:val="24"/>
              </w:rPr>
              <w:t>的其他条款要求，每一项负偏离</w:t>
            </w:r>
            <w:r>
              <w:rPr>
                <w:rFonts w:ascii="宋体" w:hAnsi="宋体"/>
                <w:bCs/>
                <w:sz w:val="24"/>
              </w:rPr>
              <w:t>扣</w:t>
            </w:r>
            <w:r>
              <w:rPr>
                <w:rFonts w:hint="eastAsia" w:ascii="宋体" w:hAnsi="宋体"/>
                <w:bCs/>
                <w:sz w:val="24"/>
              </w:rPr>
              <w:t>1分扣完为止。</w:t>
            </w:r>
          </w:p>
          <w:p w14:paraId="1BA746F8">
            <w:pPr>
              <w:spacing w:line="360" w:lineRule="auto"/>
              <w:jc w:val="left"/>
              <w:rPr>
                <w:rFonts w:hint="eastAsia" w:ascii="宋体" w:hAnsi="宋体" w:cs="宋体"/>
                <w:b/>
                <w:bCs/>
                <w:color w:val="auto"/>
                <w:sz w:val="24"/>
                <w:lang w:val="en-US" w:eastAsia="zh-CN"/>
              </w:rPr>
            </w:pPr>
            <w:r>
              <w:rPr>
                <w:rFonts w:hint="eastAsia" w:ascii="宋体" w:hAnsi="宋体"/>
                <w:b/>
                <w:bCs/>
                <w:sz w:val="24"/>
              </w:rPr>
              <w:t>注</w:t>
            </w:r>
            <w:r>
              <w:rPr>
                <w:rFonts w:ascii="宋体" w:hAnsi="宋体"/>
                <w:b/>
                <w:bCs/>
                <w:sz w:val="24"/>
              </w:rPr>
              <w:t>：以投标响应表及采购需求中要求提供的证明材料作为评审依据。</w:t>
            </w:r>
          </w:p>
        </w:tc>
      </w:tr>
      <w:tr w14:paraId="691FF6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293" w:type="pct"/>
            <w:tcBorders>
              <w:right w:val="single" w:color="auto" w:sz="4" w:space="0"/>
            </w:tcBorders>
            <w:noWrap/>
            <w:vAlign w:val="center"/>
          </w:tcPr>
          <w:p w14:paraId="43406B76">
            <w:pPr>
              <w:adjustRightInd w:val="0"/>
              <w:snapToGrid w:val="0"/>
              <w:spacing w:before="156" w:beforeLines="50"/>
              <w:jc w:val="center"/>
              <w:rPr>
                <w:rFonts w:ascii="宋体" w:hAnsi="宋体" w:eastAsia="宋体" w:cs="宋体"/>
                <w:color w:val="auto"/>
                <w:sz w:val="24"/>
              </w:rPr>
            </w:pPr>
            <w:r>
              <w:rPr>
                <w:rFonts w:hint="eastAsia" w:ascii="宋体" w:hAnsi="宋体" w:eastAsia="宋体" w:cs="宋体"/>
                <w:color w:val="auto"/>
                <w:sz w:val="24"/>
              </w:rPr>
              <w:t>2</w:t>
            </w:r>
          </w:p>
        </w:tc>
        <w:tc>
          <w:tcPr>
            <w:tcW w:w="713" w:type="pct"/>
            <w:vMerge w:val="continue"/>
            <w:tcBorders>
              <w:left w:val="single" w:color="auto" w:sz="4" w:space="0"/>
            </w:tcBorders>
            <w:noWrap/>
            <w:vAlign w:val="center"/>
          </w:tcPr>
          <w:p w14:paraId="4A935B0C">
            <w:pPr>
              <w:adjustRightInd w:val="0"/>
              <w:snapToGrid w:val="0"/>
              <w:jc w:val="center"/>
              <w:rPr>
                <w:rFonts w:hint="eastAsia" w:ascii="宋体" w:hAnsi="宋体" w:eastAsia="宋体" w:cs="宋体"/>
                <w:color w:val="auto"/>
                <w:kern w:val="0"/>
                <w:sz w:val="24"/>
                <w:lang w:val="ru-RU" w:eastAsia="ru-RU"/>
              </w:rPr>
            </w:pPr>
          </w:p>
        </w:tc>
        <w:tc>
          <w:tcPr>
            <w:tcW w:w="432" w:type="pct"/>
            <w:noWrap/>
            <w:vAlign w:val="center"/>
          </w:tcPr>
          <w:p w14:paraId="315101F3">
            <w:pPr>
              <w:spacing w:line="360" w:lineRule="auto"/>
              <w:jc w:val="center"/>
              <w:rPr>
                <w:rFonts w:hint="eastAsia" w:ascii="宋体" w:hAnsi="宋体" w:eastAsia="宋体" w:cs="宋体"/>
                <w:color w:val="auto"/>
                <w:sz w:val="24"/>
              </w:rPr>
            </w:pPr>
            <w:r>
              <w:rPr>
                <w:rFonts w:hint="eastAsia" w:ascii="宋体" w:hAnsi="宋体"/>
                <w:bCs/>
                <w:sz w:val="24"/>
              </w:rPr>
              <w:t>样品</w:t>
            </w:r>
          </w:p>
        </w:tc>
        <w:tc>
          <w:tcPr>
            <w:tcW w:w="357" w:type="pct"/>
            <w:tcBorders>
              <w:right w:val="single" w:color="auto" w:sz="4" w:space="0"/>
            </w:tcBorders>
            <w:noWrap/>
            <w:vAlign w:val="center"/>
          </w:tcPr>
          <w:p w14:paraId="54038BCD">
            <w:pPr>
              <w:spacing w:line="360" w:lineRule="auto"/>
              <w:jc w:val="center"/>
              <w:rPr>
                <w:rFonts w:ascii="宋体" w:hAnsi="宋体" w:eastAsia="宋体" w:cs="宋体"/>
                <w:color w:val="auto"/>
                <w:sz w:val="24"/>
              </w:rPr>
            </w:pPr>
            <w:r>
              <w:rPr>
                <w:rFonts w:hint="eastAsia" w:ascii="宋体" w:hAnsi="宋体"/>
                <w:bCs/>
                <w:sz w:val="24"/>
              </w:rPr>
              <w:t>15分</w:t>
            </w:r>
          </w:p>
        </w:tc>
        <w:tc>
          <w:tcPr>
            <w:tcW w:w="3204" w:type="pct"/>
            <w:tcBorders>
              <w:left w:val="single" w:color="auto" w:sz="4" w:space="0"/>
            </w:tcBorders>
            <w:noWrap/>
            <w:vAlign w:val="center"/>
          </w:tcPr>
          <w:p w14:paraId="03966CE8">
            <w:pPr>
              <w:spacing w:line="360" w:lineRule="auto"/>
              <w:jc w:val="left"/>
              <w:rPr>
                <w:rFonts w:hint="eastAsia" w:ascii="宋体" w:hAnsi="宋体" w:eastAsia="宋体" w:cs="Arial"/>
                <w:bCs/>
                <w:sz w:val="24"/>
              </w:rPr>
            </w:pPr>
            <w:r>
              <w:rPr>
                <w:rFonts w:hint="eastAsia" w:ascii="宋体" w:hAnsi="宋体" w:eastAsia="宋体" w:cs="Arial"/>
                <w:bCs/>
                <w:sz w:val="24"/>
              </w:rPr>
              <w:t>1、投标人按招标文件要求的规格、数量和品类完整提供样品实物的，计5分，每缺一样扣1分，扣完为止；</w:t>
            </w:r>
          </w:p>
          <w:p w14:paraId="55A8AA68">
            <w:pPr>
              <w:spacing w:line="360" w:lineRule="auto"/>
              <w:jc w:val="left"/>
              <w:rPr>
                <w:rFonts w:hint="eastAsia" w:ascii="宋体" w:hAnsi="宋体" w:eastAsia="宋体" w:cs="Arial"/>
                <w:bCs/>
                <w:sz w:val="24"/>
              </w:rPr>
            </w:pPr>
            <w:r>
              <w:rPr>
                <w:rFonts w:hint="eastAsia" w:ascii="宋体" w:hAnsi="宋体" w:eastAsia="宋体" w:cs="Arial"/>
                <w:bCs/>
                <w:sz w:val="24"/>
              </w:rPr>
              <w:t>2、样品的材质工艺与表面处理，包括安全工艺（防磕碰）、表面涂层（喷涂、贴面）以及五金配件的质量。样品表面处理精细，封边牢固，五金件顺畅，完全无安全隐患的得 5分。存在以下问题的每处扣1分，扣完为止：</w:t>
            </w:r>
          </w:p>
          <w:p w14:paraId="38F9A09B">
            <w:pPr>
              <w:spacing w:line="360" w:lineRule="auto"/>
              <w:jc w:val="left"/>
              <w:rPr>
                <w:rFonts w:hint="eastAsia" w:ascii="宋体" w:hAnsi="宋体" w:eastAsia="宋体" w:cs="Arial"/>
                <w:bCs/>
                <w:sz w:val="24"/>
              </w:rPr>
            </w:pPr>
            <w:r>
              <w:rPr>
                <w:rFonts w:hint="eastAsia" w:ascii="宋体" w:hAnsi="宋体" w:eastAsia="宋体" w:cs="Arial"/>
                <w:bCs/>
                <w:sz w:val="24"/>
              </w:rPr>
              <w:t xml:space="preserve">  ·安全隐患：学生易接触部位存在尖角、锐边、毛刺、未做倒角处理，或床头护栏高度/间隙不符合安全标准的；</w:t>
            </w:r>
          </w:p>
          <w:p w14:paraId="1A018EBE">
            <w:pPr>
              <w:spacing w:line="360" w:lineRule="auto"/>
              <w:jc w:val="left"/>
              <w:rPr>
                <w:rFonts w:hint="eastAsia" w:ascii="宋体" w:hAnsi="宋体" w:eastAsia="宋体" w:cs="Arial"/>
                <w:bCs/>
                <w:sz w:val="24"/>
              </w:rPr>
            </w:pPr>
            <w:r>
              <w:rPr>
                <w:rFonts w:hint="eastAsia" w:ascii="宋体" w:hAnsi="宋体" w:eastAsia="宋体" w:cs="Arial"/>
                <w:bCs/>
                <w:sz w:val="24"/>
              </w:rPr>
              <w:t xml:space="preserve">  ·封边贴面：木质板材封边有脱胶、起泡、漏胶或开裂现象的；</w:t>
            </w:r>
          </w:p>
          <w:p w14:paraId="2AEF5213">
            <w:pPr>
              <w:spacing w:line="360" w:lineRule="auto"/>
              <w:jc w:val="left"/>
              <w:rPr>
                <w:rFonts w:hint="eastAsia" w:ascii="宋体" w:hAnsi="宋体" w:eastAsia="宋体" w:cs="Arial"/>
                <w:bCs/>
                <w:sz w:val="24"/>
              </w:rPr>
            </w:pPr>
            <w:r>
              <w:rPr>
                <w:rFonts w:hint="eastAsia" w:ascii="宋体" w:hAnsi="宋体" w:eastAsia="宋体" w:cs="Arial"/>
                <w:bCs/>
                <w:sz w:val="24"/>
              </w:rPr>
              <w:t xml:space="preserve">  ·表面喷涂：金属件焊接处有漏焊、虚焊、明显焊疤，或表面喷塑涂层有划痕、气泡、起皮、露底现象的；</w:t>
            </w:r>
          </w:p>
          <w:p w14:paraId="42AD979D">
            <w:pPr>
              <w:spacing w:line="360" w:lineRule="auto"/>
              <w:jc w:val="left"/>
              <w:rPr>
                <w:rFonts w:hint="eastAsia" w:ascii="宋体" w:hAnsi="宋体" w:eastAsia="宋体" w:cs="Arial"/>
                <w:bCs/>
                <w:sz w:val="24"/>
              </w:rPr>
            </w:pPr>
            <w:r>
              <w:rPr>
                <w:rFonts w:hint="eastAsia" w:ascii="宋体" w:hAnsi="宋体" w:eastAsia="宋体" w:cs="Arial"/>
                <w:bCs/>
                <w:sz w:val="24"/>
              </w:rPr>
              <w:t xml:space="preserve">  ·五金铰链：柜门铰链、抽屉导轨等五金件推拉有卡顿、异响，或安装松动的。</w:t>
            </w:r>
          </w:p>
          <w:p w14:paraId="35F15823">
            <w:pPr>
              <w:spacing w:line="360" w:lineRule="auto"/>
              <w:jc w:val="left"/>
              <w:rPr>
                <w:rFonts w:hint="eastAsia" w:ascii="宋体" w:hAnsi="宋体" w:eastAsia="宋体" w:cs="Arial"/>
                <w:bCs/>
                <w:sz w:val="24"/>
              </w:rPr>
            </w:pPr>
            <w:r>
              <w:rPr>
                <w:rFonts w:hint="eastAsia" w:ascii="宋体" w:hAnsi="宋体" w:eastAsia="宋体" w:cs="Arial"/>
                <w:bCs/>
                <w:sz w:val="24"/>
                <w:lang w:val="en-US" w:eastAsia="zh-CN"/>
              </w:rPr>
              <w:t>3、</w:t>
            </w:r>
            <w:r>
              <w:rPr>
                <w:rFonts w:hint="eastAsia" w:ascii="宋体" w:hAnsi="宋体" w:eastAsia="宋体" w:cs="Arial"/>
                <w:bCs/>
                <w:sz w:val="24"/>
              </w:rPr>
              <w:t>样品人性化设计与功能实操，包括在学校实际使用场景中的功能性、舒适度及环保感官（气味）。样品功能完全满足学校使用需求，人体工学设计舒适，无任何刺激性气味的得 5分。存在以下问题的每处扣1分，扣完为止：</w:t>
            </w:r>
          </w:p>
          <w:p w14:paraId="6435A2BD">
            <w:pPr>
              <w:spacing w:line="360" w:lineRule="auto"/>
              <w:jc w:val="left"/>
              <w:rPr>
                <w:rFonts w:hint="eastAsia" w:ascii="宋体" w:hAnsi="宋体" w:eastAsia="宋体" w:cs="Arial"/>
                <w:bCs/>
                <w:sz w:val="24"/>
              </w:rPr>
            </w:pPr>
            <w:r>
              <w:rPr>
                <w:rFonts w:hint="eastAsia" w:ascii="宋体" w:hAnsi="宋体" w:eastAsia="宋体" w:cs="Arial"/>
                <w:bCs/>
                <w:sz w:val="24"/>
              </w:rPr>
              <w:t xml:space="preserve">  ·环保感官：打开抽屉或柜门时，有明显刺鼻、熏眼等刺激性气味的；</w:t>
            </w:r>
          </w:p>
          <w:p w14:paraId="155CEBBF">
            <w:pPr>
              <w:spacing w:line="360" w:lineRule="auto"/>
              <w:jc w:val="left"/>
              <w:rPr>
                <w:rFonts w:hint="eastAsia" w:ascii="宋体" w:hAnsi="宋体" w:eastAsia="宋体" w:cs="Arial"/>
                <w:bCs/>
                <w:sz w:val="24"/>
              </w:rPr>
            </w:pPr>
            <w:r>
              <w:rPr>
                <w:rFonts w:hint="eastAsia" w:ascii="宋体" w:hAnsi="宋体" w:eastAsia="宋体" w:cs="Arial"/>
                <w:bCs/>
                <w:sz w:val="24"/>
              </w:rPr>
              <w:t xml:space="preserve">  ·功能缺陷：课桌椅高度调节功能卡顿、操作困难，或床底储物柜/鞋架设计不合理的；</w:t>
            </w:r>
          </w:p>
          <w:p w14:paraId="36B3C63F">
            <w:pPr>
              <w:spacing w:line="360" w:lineRule="auto"/>
              <w:jc w:val="left"/>
              <w:rPr>
                <w:rFonts w:hint="eastAsia" w:ascii="宋体" w:hAnsi="宋体" w:eastAsia="宋体" w:cs="宋体"/>
                <w:color w:val="auto"/>
                <w:sz w:val="24"/>
              </w:rPr>
            </w:pPr>
            <w:r>
              <w:rPr>
                <w:rFonts w:hint="eastAsia" w:ascii="宋体" w:hAnsi="宋体" w:eastAsia="宋体" w:cs="Arial"/>
                <w:bCs/>
                <w:sz w:val="24"/>
              </w:rPr>
              <w:t xml:space="preserve">  ·防噪耐磨：桌椅脚垫（马蹄垫）材质劣质、易脱落，或防滑防噪音效果差的。</w:t>
            </w:r>
          </w:p>
        </w:tc>
      </w:tr>
      <w:tr w14:paraId="537305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293" w:type="pct"/>
            <w:tcBorders>
              <w:right w:val="single" w:color="auto" w:sz="4" w:space="0"/>
            </w:tcBorders>
            <w:noWrap/>
            <w:vAlign w:val="center"/>
          </w:tcPr>
          <w:p w14:paraId="7CD7E723">
            <w:pPr>
              <w:adjustRightInd w:val="0"/>
              <w:snapToGrid w:val="0"/>
              <w:spacing w:before="156" w:beforeLines="50"/>
              <w:jc w:val="center"/>
              <w:rPr>
                <w:rFonts w:hint="eastAsia" w:ascii="宋体" w:hAnsi="宋体" w:eastAsia="宋体" w:cs="宋体"/>
                <w:color w:val="auto"/>
                <w:sz w:val="24"/>
              </w:rPr>
            </w:pPr>
          </w:p>
        </w:tc>
        <w:tc>
          <w:tcPr>
            <w:tcW w:w="713" w:type="pct"/>
            <w:vMerge w:val="continue"/>
            <w:tcBorders>
              <w:left w:val="single" w:color="auto" w:sz="4" w:space="0"/>
            </w:tcBorders>
            <w:noWrap/>
            <w:vAlign w:val="center"/>
          </w:tcPr>
          <w:p w14:paraId="463966EF">
            <w:pPr>
              <w:adjustRightInd w:val="0"/>
              <w:snapToGrid w:val="0"/>
              <w:jc w:val="center"/>
              <w:rPr>
                <w:rFonts w:hint="eastAsia" w:ascii="宋体" w:hAnsi="宋体" w:eastAsia="宋体" w:cs="宋体"/>
                <w:color w:val="auto"/>
                <w:kern w:val="0"/>
                <w:sz w:val="24"/>
                <w:lang w:val="ru-RU" w:eastAsia="ru-RU"/>
              </w:rPr>
            </w:pPr>
          </w:p>
        </w:tc>
        <w:tc>
          <w:tcPr>
            <w:tcW w:w="432" w:type="pct"/>
            <w:noWrap/>
            <w:vAlign w:val="center"/>
          </w:tcPr>
          <w:p w14:paraId="762D95A9">
            <w:pPr>
              <w:widowControl/>
              <w:spacing w:line="360" w:lineRule="auto"/>
              <w:jc w:val="center"/>
              <w:rPr>
                <w:rFonts w:hint="eastAsia" w:ascii="宋体" w:hAnsi="宋体" w:eastAsia="宋体" w:cs="宋体"/>
                <w:color w:val="auto"/>
                <w:sz w:val="24"/>
              </w:rPr>
            </w:pPr>
            <w:r>
              <w:rPr>
                <w:rFonts w:hint="eastAsia" w:ascii="宋体" w:hAnsi="宋体" w:cs="宋体"/>
                <w:kern w:val="0"/>
                <w:sz w:val="24"/>
              </w:rPr>
              <w:t>项目实施方案分</w:t>
            </w:r>
          </w:p>
        </w:tc>
        <w:tc>
          <w:tcPr>
            <w:tcW w:w="357" w:type="pct"/>
            <w:tcBorders>
              <w:right w:val="single" w:color="auto" w:sz="4" w:space="0"/>
            </w:tcBorders>
            <w:noWrap/>
            <w:vAlign w:val="center"/>
          </w:tcPr>
          <w:p w14:paraId="050593B1">
            <w:pPr>
              <w:spacing w:line="360" w:lineRule="auto"/>
              <w:jc w:val="center"/>
              <w:rPr>
                <w:rFonts w:hint="eastAsia" w:ascii="宋体" w:hAnsi="宋体" w:cs="宋体"/>
                <w:color w:val="auto"/>
                <w:sz w:val="24"/>
                <w:lang w:val="en-US" w:eastAsia="zh-CN"/>
              </w:rPr>
            </w:pPr>
            <w:r>
              <w:rPr>
                <w:rFonts w:hint="eastAsia" w:ascii="宋体" w:hAnsi="宋体"/>
                <w:bCs/>
                <w:sz w:val="24"/>
                <w:highlight w:val="none"/>
              </w:rPr>
              <w:t>30分</w:t>
            </w:r>
          </w:p>
        </w:tc>
        <w:tc>
          <w:tcPr>
            <w:tcW w:w="3204" w:type="pct"/>
            <w:tcBorders>
              <w:left w:val="single" w:color="auto" w:sz="4" w:space="0"/>
            </w:tcBorders>
            <w:noWrap/>
            <w:vAlign w:val="center"/>
          </w:tcPr>
          <w:p w14:paraId="5CAEC236">
            <w:pPr>
              <w:spacing w:line="360" w:lineRule="auto"/>
              <w:jc w:val="left"/>
              <w:rPr>
                <w:rFonts w:hint="eastAsia" w:ascii="宋体" w:hAnsi="宋体" w:eastAsia="宋体" w:cs="Arial"/>
                <w:bCs/>
                <w:sz w:val="24"/>
              </w:rPr>
            </w:pPr>
            <w:r>
              <w:rPr>
                <w:rFonts w:hint="eastAsia" w:ascii="宋体" w:hAnsi="宋体" w:eastAsia="宋体" w:cs="Arial"/>
                <w:bCs/>
                <w:sz w:val="24"/>
              </w:rPr>
              <w:t>投标人针对本项目的项目实施方案，包括进度计划与保障措施、人力资源配置与技术力量安排、现场安装与调试方案、质量管理体系与成品保护措施、验收标准与应急预案。投标人提供的以上内容符合采购需求且具有落地性的，每项计</w:t>
            </w:r>
            <w:r>
              <w:rPr>
                <w:rFonts w:hint="eastAsia" w:ascii="宋体" w:hAnsi="宋体" w:eastAsia="宋体" w:cs="Arial"/>
                <w:bCs/>
                <w:sz w:val="24"/>
                <w:lang w:val="en-US" w:eastAsia="zh-CN"/>
              </w:rPr>
              <w:t>6</w:t>
            </w:r>
            <w:r>
              <w:rPr>
                <w:rFonts w:hint="eastAsia" w:ascii="宋体" w:hAnsi="宋体" w:eastAsia="宋体" w:cs="Arial"/>
                <w:bCs/>
                <w:sz w:val="24"/>
              </w:rPr>
              <w:t>分。每有一处内容存在缺陷的扣1分，最多扣完30分为止。</w:t>
            </w:r>
          </w:p>
          <w:p w14:paraId="6F2DDEF4">
            <w:pPr>
              <w:spacing w:line="360" w:lineRule="auto"/>
              <w:jc w:val="left"/>
              <w:rPr>
                <w:rFonts w:hint="eastAsia" w:ascii="宋体" w:hAnsi="宋体" w:eastAsia="宋体" w:cs="宋体"/>
                <w:color w:val="auto"/>
                <w:sz w:val="24"/>
              </w:rPr>
            </w:pPr>
            <w:r>
              <w:rPr>
                <w:rFonts w:hint="eastAsia" w:ascii="宋体" w:hAnsi="宋体" w:eastAsia="宋体" w:cs="Arial"/>
                <w:bCs/>
                <w:sz w:val="24"/>
              </w:rPr>
              <w:t>缺陷是指：方案内容与项目需求不一致或关联性不强；涉及的技术规范标准等与国家或行业标准或采购文件要求不一致；各子项中要求包含的内容部分缺失，工作成效无法达到预期要求，条理不清晰；方案内容与实际实施存在差异性；语义表述不清，前后矛盾，存在歧义、混乱，内容不充实等。</w:t>
            </w:r>
          </w:p>
        </w:tc>
      </w:tr>
      <w:tr w14:paraId="0BF170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293" w:type="pct"/>
            <w:tcBorders>
              <w:right w:val="single" w:color="auto" w:sz="4" w:space="0"/>
            </w:tcBorders>
            <w:noWrap/>
            <w:vAlign w:val="center"/>
          </w:tcPr>
          <w:p w14:paraId="24EEC92D">
            <w:pPr>
              <w:adjustRightInd w:val="0"/>
              <w:snapToGrid w:val="0"/>
              <w:spacing w:before="156" w:beforeLines="50"/>
              <w:jc w:val="center"/>
              <w:rPr>
                <w:rFonts w:hint="eastAsia" w:ascii="宋体" w:hAnsi="宋体" w:eastAsia="宋体" w:cs="宋体"/>
                <w:color w:val="auto"/>
                <w:sz w:val="24"/>
              </w:rPr>
            </w:pPr>
          </w:p>
        </w:tc>
        <w:tc>
          <w:tcPr>
            <w:tcW w:w="713" w:type="pct"/>
            <w:vMerge w:val="continue"/>
            <w:tcBorders>
              <w:left w:val="single" w:color="auto" w:sz="4" w:space="0"/>
            </w:tcBorders>
            <w:noWrap/>
            <w:vAlign w:val="center"/>
          </w:tcPr>
          <w:p w14:paraId="62A21E4B">
            <w:pPr>
              <w:adjustRightInd w:val="0"/>
              <w:snapToGrid w:val="0"/>
              <w:jc w:val="center"/>
              <w:rPr>
                <w:rFonts w:hint="eastAsia" w:ascii="宋体" w:hAnsi="宋体" w:eastAsia="宋体" w:cs="宋体"/>
                <w:color w:val="auto"/>
                <w:kern w:val="0"/>
                <w:sz w:val="24"/>
                <w:lang w:val="ru-RU" w:eastAsia="ru-RU"/>
              </w:rPr>
            </w:pPr>
          </w:p>
        </w:tc>
        <w:tc>
          <w:tcPr>
            <w:tcW w:w="432" w:type="pct"/>
            <w:noWrap/>
            <w:vAlign w:val="center"/>
          </w:tcPr>
          <w:p w14:paraId="10DF55B0">
            <w:pPr>
              <w:widowControl/>
              <w:spacing w:line="360" w:lineRule="auto"/>
              <w:jc w:val="center"/>
              <w:rPr>
                <w:rFonts w:hint="eastAsia" w:ascii="宋体" w:hAnsi="宋体" w:eastAsia="宋体" w:cs="宋体"/>
                <w:color w:val="auto"/>
                <w:sz w:val="24"/>
              </w:rPr>
            </w:pPr>
            <w:r>
              <w:rPr>
                <w:rFonts w:hint="eastAsia" w:ascii="宋体" w:hAnsi="宋体" w:eastAsia="宋体" w:cs="宋体"/>
                <w:kern w:val="0"/>
                <w:sz w:val="24"/>
              </w:rPr>
              <w:t>售后服务方案</w:t>
            </w:r>
          </w:p>
        </w:tc>
        <w:tc>
          <w:tcPr>
            <w:tcW w:w="357" w:type="pct"/>
            <w:tcBorders>
              <w:right w:val="single" w:color="auto" w:sz="4" w:space="0"/>
            </w:tcBorders>
            <w:noWrap/>
            <w:vAlign w:val="center"/>
          </w:tcPr>
          <w:p w14:paraId="44071768">
            <w:pPr>
              <w:spacing w:line="360" w:lineRule="auto"/>
              <w:jc w:val="center"/>
              <w:rPr>
                <w:rFonts w:hint="eastAsia" w:ascii="宋体" w:hAnsi="宋体" w:cs="宋体"/>
                <w:color w:val="auto"/>
                <w:sz w:val="24"/>
                <w:lang w:val="en-US" w:eastAsia="zh-CN"/>
              </w:rPr>
            </w:pPr>
            <w:r>
              <w:rPr>
                <w:rFonts w:hint="eastAsia" w:ascii="宋体" w:hAnsi="宋体"/>
                <w:bCs/>
                <w:sz w:val="24"/>
                <w:highlight w:val="none"/>
              </w:rPr>
              <w:t>15分</w:t>
            </w:r>
          </w:p>
        </w:tc>
        <w:tc>
          <w:tcPr>
            <w:tcW w:w="3204" w:type="pct"/>
            <w:tcBorders>
              <w:left w:val="single" w:color="auto" w:sz="4" w:space="0"/>
            </w:tcBorders>
            <w:noWrap/>
            <w:vAlign w:val="center"/>
          </w:tcPr>
          <w:p w14:paraId="46725AE1">
            <w:pPr>
              <w:spacing w:line="360" w:lineRule="auto"/>
              <w:jc w:val="left"/>
              <w:rPr>
                <w:rFonts w:hint="eastAsia" w:ascii="宋体" w:hAnsi="宋体" w:eastAsia="宋体" w:cs="Arial"/>
                <w:bCs/>
                <w:sz w:val="24"/>
              </w:rPr>
            </w:pPr>
            <w:r>
              <w:rPr>
                <w:rFonts w:hint="eastAsia" w:ascii="宋体" w:hAnsi="宋体" w:eastAsia="宋体" w:cs="Arial"/>
                <w:bCs/>
                <w:sz w:val="24"/>
              </w:rPr>
              <w:t>投标人针对本项目的售后服务标准、售后响应、不合格货物的处理。</w:t>
            </w:r>
          </w:p>
          <w:p w14:paraId="14476576">
            <w:pPr>
              <w:spacing w:line="360" w:lineRule="auto"/>
              <w:jc w:val="left"/>
              <w:rPr>
                <w:rFonts w:hint="eastAsia" w:ascii="宋体" w:hAnsi="宋体" w:eastAsia="宋体" w:cs="Arial"/>
                <w:bCs/>
                <w:sz w:val="24"/>
              </w:rPr>
            </w:pPr>
            <w:r>
              <w:rPr>
                <w:rFonts w:hint="eastAsia" w:ascii="宋体" w:hAnsi="宋体" w:eastAsia="宋体" w:cs="Arial"/>
                <w:bCs/>
                <w:sz w:val="24"/>
              </w:rPr>
              <w:t>投标人提供的以上内容符合采购需求且具有落地性的，每项计5分。每有一处内容存在缺陷的扣1分，最多扣完15分为止。</w:t>
            </w:r>
          </w:p>
          <w:p w14:paraId="0822AF30">
            <w:pPr>
              <w:spacing w:line="360" w:lineRule="auto"/>
              <w:jc w:val="left"/>
              <w:rPr>
                <w:rFonts w:hint="eastAsia" w:ascii="宋体" w:hAnsi="宋体" w:eastAsia="宋体" w:cs="宋体"/>
                <w:color w:val="auto"/>
                <w:sz w:val="24"/>
              </w:rPr>
            </w:pPr>
            <w:r>
              <w:rPr>
                <w:rFonts w:hint="eastAsia" w:ascii="宋体" w:hAnsi="宋体" w:eastAsia="宋体" w:cs="Arial"/>
                <w:bCs/>
                <w:sz w:val="24"/>
              </w:rPr>
              <w:t>缺陷是指：方案内容与项目需求不一致或关联性不强；涉及的技术规范标准等与国家或行业标准或采购文件要求不一致；各子项中要求包含的内容部分缺失，工作成效无法达到预期要求，条理不清晰；方案内容与实际实施存在差异性；语义表述不清，前后矛盾，存在歧义、混乱，内容不充实等。</w:t>
            </w:r>
          </w:p>
        </w:tc>
      </w:tr>
      <w:tr w14:paraId="792F1E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51" w:hRule="atLeast"/>
          <w:jc w:val="center"/>
        </w:trPr>
        <w:tc>
          <w:tcPr>
            <w:tcW w:w="293" w:type="pct"/>
            <w:tcBorders>
              <w:right w:val="single" w:color="auto" w:sz="4" w:space="0"/>
            </w:tcBorders>
            <w:noWrap/>
            <w:vAlign w:val="center"/>
          </w:tcPr>
          <w:p w14:paraId="107CEAEB">
            <w:pPr>
              <w:adjustRightInd w:val="0"/>
              <w:snapToGrid w:val="0"/>
              <w:spacing w:before="156" w:beforeLines="50"/>
              <w:jc w:val="center"/>
              <w:rPr>
                <w:rFonts w:hint="eastAsia" w:ascii="宋体" w:hAnsi="宋体" w:eastAsia="宋体" w:cs="宋体"/>
                <w:color w:val="auto"/>
                <w:sz w:val="24"/>
              </w:rPr>
            </w:pPr>
            <w:r>
              <w:rPr>
                <w:rFonts w:hint="eastAsia" w:ascii="宋体" w:hAnsi="宋体" w:eastAsia="宋体" w:cs="宋体"/>
                <w:color w:val="auto"/>
                <w:sz w:val="24"/>
              </w:rPr>
              <w:t>2</w:t>
            </w:r>
          </w:p>
        </w:tc>
        <w:tc>
          <w:tcPr>
            <w:tcW w:w="713" w:type="pct"/>
            <w:tcBorders>
              <w:left w:val="single" w:color="auto" w:sz="4" w:space="0"/>
            </w:tcBorders>
            <w:noWrap/>
            <w:vAlign w:val="center"/>
          </w:tcPr>
          <w:p w14:paraId="6A737F95">
            <w:pPr>
              <w:adjustRightInd w:val="0"/>
              <w:snapToGrid w:val="0"/>
              <w:spacing w:line="500" w:lineRule="exact"/>
              <w:jc w:val="center"/>
              <w:rPr>
                <w:rFonts w:hint="eastAsia" w:ascii="宋体" w:hAnsi="宋体" w:eastAsia="宋体" w:cs="宋体"/>
                <w:color w:val="auto"/>
                <w:sz w:val="24"/>
              </w:rPr>
            </w:pPr>
            <w:r>
              <w:rPr>
                <w:rFonts w:hint="eastAsia" w:ascii="宋体" w:hAnsi="宋体" w:eastAsia="宋体" w:cs="宋体"/>
                <w:color w:val="auto"/>
                <w:sz w:val="24"/>
              </w:rPr>
              <w:t>优先采购加分（F</w:t>
            </w:r>
            <w:r>
              <w:rPr>
                <w:rFonts w:hint="eastAsia" w:ascii="宋体" w:hAnsi="宋体" w:eastAsia="宋体" w:cs="宋体"/>
                <w:color w:val="auto"/>
                <w:sz w:val="24"/>
                <w:vertAlign w:val="subscript"/>
              </w:rPr>
              <w:t>优先采购加分</w:t>
            </w:r>
            <w:r>
              <w:rPr>
                <w:rFonts w:hint="eastAsia" w:ascii="宋体" w:hAnsi="宋体" w:eastAsia="宋体" w:cs="宋体"/>
                <w:color w:val="auto"/>
                <w:sz w:val="24"/>
              </w:rPr>
              <w:t>）</w:t>
            </w:r>
          </w:p>
        </w:tc>
        <w:tc>
          <w:tcPr>
            <w:tcW w:w="3993" w:type="pct"/>
            <w:gridSpan w:val="3"/>
            <w:tcBorders>
              <w:bottom w:val="single" w:color="auto" w:sz="4" w:space="0"/>
            </w:tcBorders>
            <w:noWrap/>
            <w:vAlign w:val="center"/>
          </w:tcPr>
          <w:p w14:paraId="3ECDBC1E">
            <w:pPr>
              <w:autoSpaceDE w:val="0"/>
              <w:autoSpaceDN w:val="0"/>
              <w:adjustRightInd w:val="0"/>
              <w:spacing w:line="500" w:lineRule="exact"/>
              <w:rPr>
                <w:rFonts w:hint="eastAsia" w:ascii="宋体" w:hAnsi="宋体" w:eastAsia="宋体" w:cs="宋体"/>
                <w:color w:val="auto"/>
                <w:sz w:val="24"/>
              </w:rPr>
            </w:pPr>
            <w:r>
              <w:rPr>
                <w:rFonts w:hint="eastAsia" w:ascii="宋体" w:hAnsi="宋体" w:eastAsia="宋体" w:cs="宋体"/>
                <w:bCs/>
                <w:color w:val="auto"/>
                <w:sz w:val="24"/>
              </w:rPr>
              <w:t>2、所投产品有《节能产品认证证书》（复印件）、《环境标志产品认证证书》（复印件），应对价格分给予总分值的4%-8%幅度不等的加分，本项目加分比例为</w:t>
            </w:r>
            <w:r>
              <w:rPr>
                <w:rFonts w:hint="eastAsia" w:ascii="宋体" w:hAnsi="宋体" w:eastAsia="宋体" w:cs="宋体"/>
                <w:bCs/>
                <w:color w:val="auto"/>
                <w:sz w:val="24"/>
                <w:u w:val="single"/>
              </w:rPr>
              <w:t xml:space="preserve"> 4 </w:t>
            </w:r>
            <w:r>
              <w:rPr>
                <w:rFonts w:hint="eastAsia" w:ascii="宋体" w:hAnsi="宋体" w:eastAsia="宋体" w:cs="宋体"/>
                <w:bCs/>
                <w:color w:val="auto"/>
                <w:sz w:val="24"/>
              </w:rPr>
              <w:t>%。</w:t>
            </w:r>
          </w:p>
        </w:tc>
      </w:tr>
      <w:tr w14:paraId="3FEB8D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293" w:type="pct"/>
            <w:tcBorders>
              <w:right w:val="single" w:color="auto" w:sz="4" w:space="0"/>
            </w:tcBorders>
            <w:noWrap/>
            <w:vAlign w:val="center"/>
          </w:tcPr>
          <w:p w14:paraId="7F564A1B">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w:t>
            </w:r>
          </w:p>
        </w:tc>
        <w:tc>
          <w:tcPr>
            <w:tcW w:w="4706" w:type="pct"/>
            <w:gridSpan w:val="4"/>
            <w:tcBorders>
              <w:left w:val="single" w:color="auto" w:sz="4" w:space="0"/>
            </w:tcBorders>
            <w:noWrap/>
            <w:vAlign w:val="center"/>
          </w:tcPr>
          <w:p w14:paraId="7C6D9215">
            <w:pPr>
              <w:adjustRightInd w:val="0"/>
              <w:snapToGrid w:val="0"/>
              <w:rPr>
                <w:rFonts w:hint="eastAsia" w:ascii="宋体" w:hAnsi="宋体" w:eastAsia="宋体" w:cs="宋体"/>
                <w:color w:val="auto"/>
                <w:sz w:val="24"/>
              </w:rPr>
            </w:pPr>
            <w:r>
              <w:rPr>
                <w:rFonts w:hint="eastAsia" w:ascii="宋体" w:hAnsi="宋体" w:eastAsia="宋体" w:cs="宋体"/>
                <w:color w:val="auto"/>
                <w:sz w:val="24"/>
              </w:rPr>
              <w:t>F</w:t>
            </w:r>
            <w:r>
              <w:rPr>
                <w:rFonts w:hint="eastAsia" w:ascii="宋体" w:hAnsi="宋体" w:eastAsia="宋体" w:cs="宋体"/>
                <w:color w:val="auto"/>
                <w:sz w:val="24"/>
                <w:vertAlign w:val="subscript"/>
              </w:rPr>
              <w:t>2</w:t>
            </w:r>
            <w:r>
              <w:rPr>
                <w:rFonts w:hint="eastAsia" w:ascii="宋体" w:hAnsi="宋体" w:eastAsia="宋体" w:cs="宋体"/>
                <w:color w:val="auto"/>
                <w:sz w:val="24"/>
              </w:rPr>
              <w:t>=F+ F</w:t>
            </w:r>
            <w:r>
              <w:rPr>
                <w:rFonts w:hint="eastAsia" w:ascii="宋体" w:hAnsi="宋体" w:eastAsia="宋体" w:cs="宋体"/>
                <w:color w:val="auto"/>
                <w:sz w:val="24"/>
                <w:vertAlign w:val="subscript"/>
              </w:rPr>
              <w:t>优先采购加分</w:t>
            </w:r>
          </w:p>
        </w:tc>
      </w:tr>
    </w:tbl>
    <w:p w14:paraId="409C9937">
      <w:pPr>
        <w:rPr>
          <w:rFonts w:hint="eastAsia" w:ascii="宋体" w:hAnsi="宋体" w:eastAsia="宋体" w:cs="宋体"/>
          <w:b/>
          <w:bCs/>
          <w:color w:val="auto"/>
          <w:sz w:val="24"/>
        </w:rPr>
      </w:pPr>
    </w:p>
    <w:p w14:paraId="33AB78EF">
      <w:pPr>
        <w:spacing w:line="360" w:lineRule="auto"/>
        <w:rPr>
          <w:rFonts w:hint="eastAsia" w:ascii="宋体" w:hAnsi="宋体" w:eastAsia="宋体" w:cs="宋体"/>
          <w:color w:val="auto"/>
        </w:rPr>
      </w:pPr>
      <w:r>
        <w:rPr>
          <w:rFonts w:hint="eastAsia" w:ascii="宋体" w:hAnsi="宋体" w:eastAsia="宋体" w:cs="宋体"/>
          <w:b/>
          <w:bCs/>
          <w:color w:val="auto"/>
          <w:sz w:val="24"/>
        </w:rPr>
        <w:t>注：评审标准表中材料均为复印件加盖投标人公章，所有原件中标后，签订合同时备查，如弄虚作假，取消中标资格并报财政监管部门备案。</w:t>
      </w:r>
    </w:p>
    <w:p w14:paraId="51A79585">
      <w:pPr>
        <w:outlineLvl w:val="1"/>
        <w:rPr>
          <w:rFonts w:hint="eastAsia" w:ascii="宋体" w:hAnsi="宋体" w:eastAsia="宋体" w:cs="宋体"/>
          <w:b/>
          <w:bCs/>
          <w:color w:val="auto"/>
          <w:sz w:val="24"/>
          <w:szCs w:val="24"/>
        </w:rPr>
      </w:pPr>
    </w:p>
    <w:p w14:paraId="370818D5">
      <w:pPr>
        <w:outlineLvl w:val="1"/>
        <w:rPr>
          <w:rFonts w:hint="eastAsia" w:ascii="宋体" w:hAnsi="宋体" w:eastAsia="宋体" w:cs="宋体"/>
          <w:b/>
          <w:bCs/>
          <w:color w:val="auto"/>
          <w:sz w:val="24"/>
          <w:szCs w:val="24"/>
        </w:rPr>
      </w:pPr>
      <w:bookmarkStart w:id="149" w:name="_Toc13772"/>
      <w:bookmarkStart w:id="150" w:name="_Toc10646"/>
      <w:bookmarkStart w:id="151" w:name="_Toc5876"/>
    </w:p>
    <w:p w14:paraId="1480A02F">
      <w:pPr>
        <w:outlineLvl w:val="1"/>
        <w:rPr>
          <w:rFonts w:hint="eastAsia" w:ascii="宋体" w:hAnsi="宋体" w:eastAsia="宋体" w:cs="宋体"/>
          <w:b/>
          <w:bCs/>
          <w:color w:val="auto"/>
          <w:sz w:val="24"/>
          <w:szCs w:val="24"/>
        </w:rPr>
      </w:pPr>
      <w:r>
        <w:rPr>
          <w:rFonts w:hint="eastAsia" w:ascii="宋体" w:hAnsi="宋体" w:eastAsia="宋体" w:cs="宋体"/>
          <w:b/>
          <w:bCs/>
          <w:color w:val="auto"/>
          <w:sz w:val="24"/>
          <w:szCs w:val="24"/>
        </w:rPr>
        <w:t>其它说明：</w:t>
      </w:r>
      <w:bookmarkEnd w:id="139"/>
      <w:bookmarkEnd w:id="140"/>
      <w:bookmarkEnd w:id="141"/>
      <w:bookmarkEnd w:id="142"/>
      <w:bookmarkEnd w:id="143"/>
      <w:bookmarkEnd w:id="144"/>
      <w:bookmarkEnd w:id="145"/>
      <w:bookmarkEnd w:id="149"/>
      <w:bookmarkEnd w:id="150"/>
      <w:bookmarkEnd w:id="151"/>
    </w:p>
    <w:p w14:paraId="13AF04E3">
      <w:pPr>
        <w:spacing w:line="360" w:lineRule="auto"/>
        <w:ind w:firstLine="420" w:firstLineChars="0"/>
        <w:outlineLvl w:val="1"/>
        <w:rPr>
          <w:rFonts w:hint="eastAsia" w:ascii="宋体" w:hAnsi="宋体" w:eastAsia="宋体" w:cs="宋体"/>
          <w:b/>
          <w:bCs/>
          <w:color w:val="auto"/>
          <w:szCs w:val="21"/>
        </w:rPr>
      </w:pPr>
      <w:bookmarkStart w:id="152" w:name="_Toc28833"/>
      <w:bookmarkStart w:id="153" w:name="_Toc13600"/>
      <w:bookmarkStart w:id="154" w:name="_Toc16364"/>
      <w:bookmarkStart w:id="155" w:name="_Toc15648"/>
      <w:bookmarkStart w:id="156" w:name="_Toc27425"/>
      <w:bookmarkStart w:id="157" w:name="_Toc26161"/>
      <w:bookmarkStart w:id="158" w:name="_Toc19520"/>
      <w:bookmarkStart w:id="159" w:name="_Toc305"/>
      <w:bookmarkStart w:id="160" w:name="_Toc6827"/>
      <w:bookmarkStart w:id="161" w:name="_Toc32323"/>
      <w:r>
        <w:rPr>
          <w:rFonts w:hint="eastAsia" w:ascii="宋体" w:hAnsi="宋体" w:eastAsia="宋体" w:cs="宋体"/>
          <w:color w:val="auto"/>
          <w:kern w:val="0"/>
          <w:sz w:val="24"/>
          <w:lang w:val="en-US" w:eastAsia="zh-CN"/>
        </w:rPr>
        <w:t>1、</w:t>
      </w:r>
      <w:r>
        <w:rPr>
          <w:rFonts w:hint="eastAsia" w:ascii="宋体" w:hAnsi="宋体" w:eastAsia="宋体" w:cs="宋体"/>
          <w:color w:val="auto"/>
          <w:kern w:val="0"/>
          <w:sz w:val="24"/>
          <w:lang w:eastAsia="zh-CN"/>
        </w:rPr>
        <w:t>供应商</w:t>
      </w:r>
      <w:r>
        <w:rPr>
          <w:rFonts w:hint="eastAsia" w:ascii="宋体" w:hAnsi="宋体" w:eastAsia="宋体" w:cs="宋体"/>
          <w:color w:val="auto"/>
          <w:kern w:val="0"/>
          <w:sz w:val="24"/>
        </w:rPr>
        <w:t>参与政府采购应提供真实有效的证明材料，应当诚信守法、公平竞争。（包括但不限于虚假技术参数响应、虚假制造商产品彩页、虚假业绩、虚假证书等）、隐瞒失信信息等谋取中标的行为，一经发现，将取消中标资格并报行政监管部门严肃查处。</w:t>
      </w:r>
      <w:bookmarkEnd w:id="152"/>
      <w:bookmarkEnd w:id="153"/>
      <w:bookmarkEnd w:id="154"/>
    </w:p>
    <w:p w14:paraId="7205E698">
      <w:pPr>
        <w:spacing w:line="360" w:lineRule="auto"/>
        <w:ind w:firstLine="420" w:firstLineChars="0"/>
        <w:outlineLvl w:val="1"/>
        <w:rPr>
          <w:rFonts w:hint="eastAsia" w:ascii="宋体" w:hAnsi="宋体" w:eastAsia="宋体" w:cs="宋体"/>
          <w:color w:val="auto"/>
          <w:sz w:val="24"/>
          <w:szCs w:val="24"/>
        </w:rPr>
      </w:pPr>
      <w:bookmarkStart w:id="162" w:name="_Toc30418"/>
      <w:bookmarkStart w:id="163" w:name="_Toc1261"/>
      <w:bookmarkStart w:id="164" w:name="_Toc27761"/>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rPr>
        <w:t>推荐中标候选人计算方法具体解释</w:t>
      </w:r>
      <w:bookmarkEnd w:id="155"/>
      <w:bookmarkEnd w:id="156"/>
      <w:bookmarkEnd w:id="157"/>
      <w:bookmarkEnd w:id="158"/>
      <w:bookmarkEnd w:id="159"/>
      <w:bookmarkEnd w:id="160"/>
      <w:bookmarkEnd w:id="161"/>
      <w:bookmarkEnd w:id="162"/>
      <w:bookmarkEnd w:id="163"/>
      <w:bookmarkEnd w:id="164"/>
    </w:p>
    <w:p w14:paraId="1F2F25DA">
      <w:pPr>
        <w:pStyle w:val="16"/>
        <w:spacing w:after="0" w:line="360" w:lineRule="auto"/>
        <w:ind w:firstLine="420" w:firstLineChars="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的综合得分为：所有评标委员会成员对其的评标的综合得分；</w:t>
      </w:r>
    </w:p>
    <w:p w14:paraId="6C1417F8">
      <w:pPr>
        <w:pStyle w:val="16"/>
        <w:spacing w:after="0" w:line="360" w:lineRule="auto"/>
        <w:ind w:firstLine="420" w:firstLineChars="0"/>
        <w:rPr>
          <w:rFonts w:hint="eastAsia" w:ascii="宋体" w:hAnsi="宋体" w:eastAsia="宋体" w:cs="宋体"/>
          <w:color w:val="auto"/>
          <w:sz w:val="24"/>
          <w:szCs w:val="24"/>
        </w:rPr>
      </w:pPr>
      <w:r>
        <w:rPr>
          <w:rFonts w:hint="eastAsia" w:ascii="宋体" w:hAnsi="宋体" w:eastAsia="宋体" w:cs="宋体"/>
          <w:color w:val="auto"/>
          <w:sz w:val="24"/>
          <w:szCs w:val="24"/>
        </w:rPr>
        <w:t>2）计算过程中，计算结果保留2位小数，第三位小数四舍五入。</w:t>
      </w:r>
    </w:p>
    <w:p w14:paraId="1AF5B90E">
      <w:pPr>
        <w:pStyle w:val="16"/>
        <w:spacing w:after="0" w:line="360" w:lineRule="auto"/>
        <w:ind w:firstLine="420" w:firstLineChars="0"/>
        <w:rPr>
          <w:rFonts w:hint="eastAsia" w:ascii="宋体" w:hAnsi="宋体" w:eastAsia="宋体" w:cs="宋体"/>
          <w:color w:val="auto"/>
          <w:sz w:val="24"/>
          <w:szCs w:val="24"/>
        </w:rPr>
      </w:pPr>
      <w:r>
        <w:rPr>
          <w:rFonts w:hint="eastAsia" w:ascii="宋体" w:hAnsi="宋体" w:eastAsia="宋体" w:cs="宋体"/>
          <w:color w:val="auto"/>
          <w:sz w:val="24"/>
          <w:szCs w:val="24"/>
        </w:rPr>
        <w:t>3）评标结果按评审后得分由高到低顺序排列。得分相同的，按投标报价由低到高顺序排列。得分且投标报价相同的并列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投标文件满足招标文件全部实质性要求，且按照评审因素的量化指标评审得分</w:t>
      </w:r>
      <w:r>
        <w:rPr>
          <w:rFonts w:hint="eastAsia" w:ascii="宋体" w:hAnsi="宋体" w:eastAsia="宋体" w:cs="宋体"/>
          <w:color w:val="auto"/>
          <w:sz w:val="24"/>
          <w:szCs w:val="24"/>
          <w:lang w:eastAsia="zh-CN"/>
        </w:rPr>
        <w:t>最高的为第一中标候选人</w:t>
      </w:r>
      <w:r>
        <w:rPr>
          <w:rFonts w:hint="eastAsia" w:ascii="宋体" w:hAnsi="宋体" w:eastAsia="宋体" w:cs="宋体"/>
          <w:color w:val="auto"/>
          <w:sz w:val="24"/>
          <w:szCs w:val="24"/>
        </w:rPr>
        <w:t>。</w:t>
      </w:r>
    </w:p>
    <w:p w14:paraId="39D3676E">
      <w:pPr>
        <w:pStyle w:val="16"/>
        <w:spacing w:after="0" w:line="440" w:lineRule="exact"/>
        <w:ind w:firstLine="420" w:firstLineChars="0"/>
        <w:outlineLvl w:val="1"/>
        <w:rPr>
          <w:rFonts w:hint="eastAsia" w:ascii="宋体" w:hAnsi="宋体" w:eastAsia="宋体" w:cs="宋体"/>
          <w:b/>
          <w:bCs/>
          <w:color w:val="auto"/>
          <w:sz w:val="24"/>
          <w:szCs w:val="24"/>
        </w:rPr>
      </w:pPr>
      <w:bookmarkStart w:id="165" w:name="_Toc31675"/>
      <w:bookmarkStart w:id="166" w:name="_Toc11988"/>
      <w:bookmarkStart w:id="167" w:name="_Toc19099"/>
      <w:bookmarkStart w:id="168" w:name="_Toc28616"/>
      <w:bookmarkStart w:id="169" w:name="_Toc13572"/>
      <w:bookmarkStart w:id="170" w:name="_Toc8474"/>
      <w:bookmarkStart w:id="171" w:name="_Toc14825"/>
      <w:bookmarkStart w:id="172" w:name="_Toc1093"/>
      <w:bookmarkStart w:id="173" w:name="_Toc27197"/>
      <w:bookmarkStart w:id="174" w:name="_Toc27975"/>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、推荐的中标候选人数</w:t>
      </w:r>
      <w:bookmarkEnd w:id="165"/>
      <w:bookmarkEnd w:id="166"/>
      <w:bookmarkEnd w:id="167"/>
      <w:bookmarkEnd w:id="168"/>
      <w:bookmarkEnd w:id="169"/>
      <w:bookmarkEnd w:id="170"/>
      <w:bookmarkEnd w:id="171"/>
      <w:bookmarkEnd w:id="172"/>
      <w:bookmarkEnd w:id="173"/>
      <w:bookmarkEnd w:id="174"/>
    </w:p>
    <w:p w14:paraId="397250A8">
      <w:pPr>
        <w:pStyle w:val="16"/>
        <w:spacing w:after="0" w:line="440" w:lineRule="exact"/>
        <w:ind w:firstLine="420" w:firstLineChars="0"/>
        <w:outlineLvl w:val="1"/>
        <w:rPr>
          <w:rFonts w:hint="eastAsia" w:ascii="宋体" w:hAnsi="宋体" w:eastAsia="宋体" w:cs="宋体"/>
          <w:color w:val="auto"/>
          <w:sz w:val="24"/>
          <w:szCs w:val="24"/>
        </w:rPr>
      </w:pPr>
      <w:bookmarkStart w:id="175" w:name="_Toc2274"/>
      <w:bookmarkStart w:id="176" w:name="_Toc24583"/>
      <w:bookmarkStart w:id="177" w:name="_Toc3851"/>
      <w:bookmarkStart w:id="178" w:name="_Toc26862"/>
      <w:bookmarkStart w:id="179" w:name="_Toc20091"/>
      <w:bookmarkStart w:id="180" w:name="_Toc21345"/>
      <w:bookmarkStart w:id="181" w:name="_Toc19268"/>
      <w:bookmarkStart w:id="182" w:name="_Toc32105"/>
      <w:bookmarkStart w:id="183" w:name="_Toc4752"/>
      <w:bookmarkStart w:id="184" w:name="_Toc27193"/>
      <w:r>
        <w:rPr>
          <w:rFonts w:hint="eastAsia" w:ascii="宋体" w:hAnsi="宋体" w:eastAsia="宋体" w:cs="宋体"/>
          <w:color w:val="auto"/>
          <w:sz w:val="24"/>
          <w:szCs w:val="24"/>
        </w:rPr>
        <w:t>最终得分排名前三名的为中标候选人，第一名的为</w:t>
      </w:r>
      <w:r>
        <w:rPr>
          <w:rFonts w:hint="eastAsia" w:ascii="宋体" w:hAnsi="宋体" w:eastAsia="宋体" w:cs="宋体"/>
          <w:color w:val="auto"/>
          <w:sz w:val="24"/>
          <w:szCs w:val="24"/>
          <w:lang w:eastAsia="zh-CN"/>
        </w:rPr>
        <w:t>中标投标人</w:t>
      </w:r>
      <w:r>
        <w:rPr>
          <w:rFonts w:hint="eastAsia" w:ascii="宋体" w:hAnsi="宋体" w:eastAsia="宋体" w:cs="宋体"/>
          <w:color w:val="auto"/>
          <w:sz w:val="24"/>
          <w:szCs w:val="24"/>
        </w:rPr>
        <w:t>。</w:t>
      </w:r>
      <w:bookmarkEnd w:id="175"/>
      <w:bookmarkEnd w:id="176"/>
      <w:bookmarkEnd w:id="177"/>
      <w:bookmarkEnd w:id="178"/>
      <w:bookmarkEnd w:id="179"/>
      <w:bookmarkEnd w:id="180"/>
      <w:bookmarkEnd w:id="181"/>
      <w:bookmarkEnd w:id="182"/>
      <w:bookmarkEnd w:id="183"/>
      <w:bookmarkEnd w:id="184"/>
    </w:p>
    <w:p w14:paraId="4CF5540E">
      <w:pPr>
        <w:pStyle w:val="17"/>
        <w:rPr>
          <w:rFonts w:hint="eastAsia" w:ascii="宋体" w:hAnsi="宋体" w:eastAsia="宋体" w:cs="宋体"/>
          <w:color w:val="auto"/>
        </w:rPr>
      </w:pPr>
    </w:p>
    <w:p w14:paraId="13E8DA77">
      <w:pPr>
        <w:pStyle w:val="18"/>
        <w:rPr>
          <w:rFonts w:hint="eastAsia" w:ascii="宋体" w:hAnsi="宋体" w:eastAsia="宋体" w:cs="宋体"/>
          <w:color w:val="auto"/>
        </w:rPr>
      </w:pPr>
    </w:p>
    <w:p w14:paraId="6FAC5C0A">
      <w:pPr>
        <w:rPr>
          <w:rFonts w:hint="eastAsia" w:ascii="宋体" w:hAnsi="宋体" w:eastAsia="宋体" w:cs="宋体"/>
          <w:color w:val="auto"/>
        </w:rPr>
      </w:pPr>
    </w:p>
    <w:p w14:paraId="42AB8054">
      <w:pPr>
        <w:rPr>
          <w:rFonts w:hint="eastAsia" w:ascii="宋体" w:hAnsi="宋体" w:eastAsia="宋体" w:cs="宋体"/>
          <w:color w:val="auto"/>
        </w:rPr>
      </w:pPr>
    </w:p>
    <w:p w14:paraId="54195665">
      <w:pPr>
        <w:rPr>
          <w:rFonts w:hint="eastAsia" w:ascii="宋体" w:hAnsi="宋体" w:eastAsia="宋体" w:cs="宋体"/>
          <w:color w:val="auto"/>
        </w:rPr>
      </w:pPr>
    </w:p>
    <w:p w14:paraId="3B2076E6">
      <w:pPr>
        <w:rPr>
          <w:rFonts w:hint="eastAsia" w:ascii="宋体" w:hAnsi="宋体" w:eastAsia="宋体" w:cs="宋体"/>
          <w:color w:val="auto"/>
        </w:rPr>
      </w:pPr>
    </w:p>
    <w:p w14:paraId="6A8AB717">
      <w:pPr>
        <w:rPr>
          <w:rFonts w:hint="eastAsia" w:ascii="宋体" w:hAnsi="宋体" w:eastAsia="宋体" w:cs="宋体"/>
          <w:color w:val="auto"/>
        </w:rPr>
      </w:pPr>
    </w:p>
    <w:p w14:paraId="33B82BDA">
      <w:pPr>
        <w:rPr>
          <w:rFonts w:hint="eastAsia" w:ascii="宋体" w:hAnsi="宋体" w:eastAsia="宋体" w:cs="宋体"/>
          <w:color w:val="auto"/>
        </w:rPr>
      </w:pPr>
    </w:p>
    <w:p w14:paraId="4E82DF39">
      <w:pPr>
        <w:rPr>
          <w:rFonts w:hint="eastAsia" w:ascii="宋体" w:hAnsi="宋体" w:eastAsia="宋体" w:cs="宋体"/>
          <w:color w:val="auto"/>
        </w:rPr>
      </w:pPr>
    </w:p>
    <w:p w14:paraId="14F351CC">
      <w:pPr>
        <w:rPr>
          <w:rFonts w:hint="eastAsia" w:ascii="宋体" w:hAnsi="宋体" w:eastAsia="宋体" w:cs="宋体"/>
          <w:color w:val="auto"/>
        </w:rPr>
      </w:pPr>
    </w:p>
    <w:p w14:paraId="782B1CC3">
      <w:pPr>
        <w:rPr>
          <w:rFonts w:hint="eastAsia" w:ascii="宋体" w:hAnsi="宋体" w:eastAsia="宋体" w:cs="宋体"/>
          <w:color w:val="auto"/>
        </w:rPr>
      </w:pPr>
    </w:p>
    <w:p w14:paraId="1C523731">
      <w:pPr>
        <w:rPr>
          <w:rFonts w:hint="eastAsia" w:ascii="宋体" w:hAnsi="宋体" w:eastAsia="宋体" w:cs="宋体"/>
          <w:color w:val="auto"/>
        </w:rPr>
      </w:pPr>
    </w:p>
    <w:p w14:paraId="1700E12E">
      <w:pPr>
        <w:rPr>
          <w:rFonts w:hint="eastAsia" w:ascii="宋体" w:hAnsi="宋体" w:eastAsia="宋体" w:cs="宋体"/>
          <w:color w:val="auto"/>
        </w:rPr>
      </w:pPr>
    </w:p>
    <w:p w14:paraId="647CC00E">
      <w:pPr>
        <w:rPr>
          <w:rFonts w:hint="eastAsia" w:ascii="宋体" w:hAnsi="宋体" w:eastAsia="宋体" w:cs="宋体"/>
          <w:color w:val="auto"/>
        </w:rPr>
      </w:pPr>
    </w:p>
    <w:p w14:paraId="20ED4B74">
      <w:pPr>
        <w:rPr>
          <w:rFonts w:hint="eastAsia" w:ascii="宋体" w:hAnsi="宋体" w:eastAsia="宋体" w:cs="宋体"/>
          <w:color w:val="auto"/>
        </w:rPr>
      </w:pPr>
      <w:r>
        <w:rPr>
          <w:rFonts w:hint="eastAsia" w:ascii="宋体" w:hAnsi="宋体" w:eastAsia="宋体" w:cs="宋体"/>
          <w:color w:val="auto"/>
        </w:rPr>
        <w:br w:type="page"/>
      </w:r>
    </w:p>
    <w:p w14:paraId="24A6A82D">
      <w:pPr>
        <w:rPr>
          <w:rFonts w:hint="eastAsia" w:ascii="宋体" w:hAnsi="宋体" w:eastAsia="宋体" w:cs="宋体"/>
          <w:color w:val="auto"/>
        </w:rPr>
        <w:sectPr>
          <w:headerReference r:id="rId7" w:type="default"/>
          <w:footerReference r:id="rId8" w:type="default"/>
          <w:pgSz w:w="11906" w:h="16838"/>
          <w:pgMar w:top="1417" w:right="850" w:bottom="1417" w:left="1134" w:header="567" w:footer="709" w:gutter="0"/>
          <w:pgBorders>
            <w:top w:val="none" w:sz="0" w:space="0"/>
            <w:left w:val="none" w:sz="0" w:space="0"/>
            <w:bottom w:val="none" w:sz="0" w:space="0"/>
            <w:right w:val="none" w:sz="0" w:space="0"/>
          </w:pgBorders>
          <w:pgNumType w:fmt="decimal" w:start="1"/>
          <w:cols w:space="720" w:num="1"/>
          <w:docGrid w:type="lines" w:linePitch="312" w:charSpace="0"/>
        </w:sectPr>
      </w:pPr>
    </w:p>
    <w:p w14:paraId="30FB8FF8">
      <w:pPr>
        <w:pStyle w:val="2"/>
        <w:numPr>
          <w:ilvl w:val="0"/>
          <w:numId w:val="7"/>
        </w:numPr>
        <w:bidi w:val="0"/>
        <w:rPr>
          <w:rFonts w:hint="eastAsia" w:ascii="宋体" w:hAnsi="宋体" w:eastAsia="宋体" w:cs="宋体"/>
        </w:rPr>
      </w:pPr>
      <w:bookmarkStart w:id="185" w:name="_Toc16850"/>
      <w:bookmarkStart w:id="186" w:name="_Toc21892"/>
      <w:bookmarkStart w:id="187" w:name="_Toc13858"/>
      <w:bookmarkStart w:id="188" w:name="_Toc9586"/>
      <w:bookmarkStart w:id="189" w:name="_Toc19854"/>
      <w:bookmarkStart w:id="190" w:name="_Toc18792"/>
      <w:r>
        <w:rPr>
          <w:rFonts w:hint="eastAsia" w:ascii="宋体" w:hAnsi="宋体" w:eastAsia="宋体" w:cs="宋体"/>
        </w:rPr>
        <w:t>采购需求</w:t>
      </w:r>
      <w:bookmarkEnd w:id="185"/>
      <w:bookmarkEnd w:id="186"/>
      <w:bookmarkEnd w:id="187"/>
      <w:bookmarkEnd w:id="188"/>
      <w:bookmarkEnd w:id="189"/>
      <w:bookmarkEnd w:id="190"/>
      <w:bookmarkStart w:id="191" w:name="_Toc25453"/>
      <w:bookmarkStart w:id="192" w:name="_Toc32759"/>
      <w:bookmarkStart w:id="193" w:name="_Toc2543"/>
      <w:bookmarkStart w:id="194" w:name="_Toc2590"/>
    </w:p>
    <w:p w14:paraId="721746B0">
      <w:pPr>
        <w:keepNext/>
        <w:keepLines/>
        <w:adjustRightInd w:val="0"/>
        <w:snapToGrid w:val="0"/>
        <w:spacing w:before="156" w:beforeLines="50" w:line="360" w:lineRule="auto"/>
        <w:jc w:val="center"/>
        <w:outlineLvl w:val="1"/>
        <w:rPr>
          <w:rFonts w:hint="eastAsia" w:ascii="仿宋" w:hAnsi="仿宋" w:eastAsia="仿宋" w:cs="仿宋"/>
          <w:b/>
          <w:bCs/>
          <w:sz w:val="28"/>
          <w:szCs w:val="28"/>
        </w:rPr>
      </w:pPr>
      <w:bookmarkStart w:id="195" w:name="EB1b8d45a415554a6da5d1418410354abb"/>
      <w:bookmarkEnd w:id="195"/>
      <w:bookmarkStart w:id="196" w:name="EB74820e6ff4df45b498e42ebb44a881cc"/>
      <w:bookmarkEnd w:id="196"/>
      <w:bookmarkStart w:id="197" w:name="_Toc3070"/>
      <w:bookmarkStart w:id="198" w:name="EB90aa937564e642cd807793a91dd25f34"/>
      <w:r>
        <w:rPr>
          <w:rFonts w:hint="eastAsia" w:ascii="仿宋" w:hAnsi="仿宋" w:eastAsia="仿宋" w:cs="仿宋"/>
          <w:b/>
          <w:bCs/>
          <w:sz w:val="28"/>
          <w:szCs w:val="28"/>
        </w:rPr>
        <w:t>第一节 采购清单一览表</w:t>
      </w:r>
      <w:bookmarkEnd w:id="197"/>
    </w:p>
    <w:tbl>
      <w:tblPr>
        <w:tblStyle w:val="44"/>
        <w:tblW w:w="857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2"/>
        <w:gridCol w:w="900"/>
        <w:gridCol w:w="2014"/>
        <w:gridCol w:w="1246"/>
        <w:gridCol w:w="1246"/>
        <w:gridCol w:w="1246"/>
        <w:gridCol w:w="1248"/>
      </w:tblGrid>
      <w:tr w14:paraId="157833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0" w:hRule="atLeast"/>
          <w:jc w:val="center"/>
        </w:trPr>
        <w:tc>
          <w:tcPr>
            <w:tcW w:w="672" w:type="dxa"/>
            <w:noWrap w:val="0"/>
            <w:vAlign w:val="center"/>
          </w:tcPr>
          <w:p w14:paraId="705068AD">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包号</w:t>
            </w:r>
          </w:p>
        </w:tc>
        <w:tc>
          <w:tcPr>
            <w:tcW w:w="900" w:type="dxa"/>
            <w:noWrap w:val="0"/>
            <w:vAlign w:val="center"/>
          </w:tcPr>
          <w:p w14:paraId="430DE5C8">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品目号</w:t>
            </w:r>
          </w:p>
        </w:tc>
        <w:tc>
          <w:tcPr>
            <w:tcW w:w="2014" w:type="dxa"/>
            <w:noWrap w:val="0"/>
            <w:vAlign w:val="center"/>
          </w:tcPr>
          <w:p w14:paraId="17E727F8">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标的名称</w:t>
            </w:r>
          </w:p>
        </w:tc>
        <w:tc>
          <w:tcPr>
            <w:tcW w:w="1246" w:type="dxa"/>
            <w:tcBorders>
              <w:left w:val="single" w:color="auto" w:sz="4" w:space="0"/>
            </w:tcBorders>
            <w:noWrap w:val="0"/>
            <w:vAlign w:val="center"/>
          </w:tcPr>
          <w:p w14:paraId="502D0D24">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数量</w:t>
            </w:r>
          </w:p>
        </w:tc>
        <w:tc>
          <w:tcPr>
            <w:tcW w:w="1246" w:type="dxa"/>
            <w:tcBorders>
              <w:left w:val="single" w:color="auto" w:sz="4" w:space="0"/>
            </w:tcBorders>
            <w:noWrap w:val="0"/>
            <w:vAlign w:val="center"/>
          </w:tcPr>
          <w:p w14:paraId="4909DAF9">
            <w:pPr>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szCs w:val="21"/>
              </w:rPr>
              <w:t>是否进口</w:t>
            </w:r>
          </w:p>
        </w:tc>
        <w:tc>
          <w:tcPr>
            <w:tcW w:w="1246" w:type="dxa"/>
            <w:noWrap w:val="0"/>
            <w:vAlign w:val="center"/>
          </w:tcPr>
          <w:p w14:paraId="7ED8C2CE">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预算单价</w:t>
            </w:r>
          </w:p>
        </w:tc>
        <w:tc>
          <w:tcPr>
            <w:tcW w:w="1248" w:type="dxa"/>
            <w:noWrap w:val="0"/>
            <w:vAlign w:val="center"/>
          </w:tcPr>
          <w:p w14:paraId="1FE22927">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预算总价</w:t>
            </w:r>
          </w:p>
        </w:tc>
      </w:tr>
      <w:tr w14:paraId="7CEE8B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0" w:hRule="atLeast"/>
          <w:jc w:val="center"/>
        </w:trPr>
        <w:tc>
          <w:tcPr>
            <w:tcW w:w="672" w:type="dxa"/>
            <w:vMerge w:val="restart"/>
            <w:noWrap w:val="0"/>
            <w:vAlign w:val="center"/>
          </w:tcPr>
          <w:p w14:paraId="5A6518C1">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1</w:t>
            </w:r>
          </w:p>
        </w:tc>
        <w:tc>
          <w:tcPr>
            <w:tcW w:w="900" w:type="dxa"/>
            <w:noWrap w:val="0"/>
            <w:vAlign w:val="center"/>
          </w:tcPr>
          <w:p w14:paraId="7A97849F">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1</w:t>
            </w:r>
          </w:p>
        </w:tc>
        <w:tc>
          <w:tcPr>
            <w:tcW w:w="2014" w:type="dxa"/>
            <w:noWrap w:val="0"/>
            <w:vAlign w:val="center"/>
          </w:tcPr>
          <w:p w14:paraId="14E4259E">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二联四人上下铺</w:t>
            </w:r>
          </w:p>
        </w:tc>
        <w:tc>
          <w:tcPr>
            <w:tcW w:w="1246" w:type="dxa"/>
            <w:tcBorders>
              <w:left w:val="single" w:color="auto" w:sz="4" w:space="0"/>
            </w:tcBorders>
            <w:noWrap w:val="0"/>
            <w:vAlign w:val="center"/>
          </w:tcPr>
          <w:p w14:paraId="5D3494BF">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370组</w:t>
            </w:r>
          </w:p>
        </w:tc>
        <w:tc>
          <w:tcPr>
            <w:tcW w:w="1246" w:type="dxa"/>
            <w:tcBorders>
              <w:left w:val="single" w:color="auto" w:sz="4" w:space="0"/>
            </w:tcBorders>
            <w:noWrap w:val="0"/>
            <w:vAlign w:val="center"/>
          </w:tcPr>
          <w:p w14:paraId="16954BF8">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否</w:t>
            </w:r>
          </w:p>
        </w:tc>
        <w:tc>
          <w:tcPr>
            <w:tcW w:w="1246" w:type="dxa"/>
            <w:noWrap w:val="0"/>
            <w:vAlign w:val="center"/>
          </w:tcPr>
          <w:p w14:paraId="0990E055">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1980元</w:t>
            </w:r>
          </w:p>
        </w:tc>
        <w:tc>
          <w:tcPr>
            <w:tcW w:w="1248" w:type="dxa"/>
            <w:noWrap w:val="0"/>
            <w:vAlign w:val="center"/>
          </w:tcPr>
          <w:p w14:paraId="3952477B">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732600元</w:t>
            </w:r>
          </w:p>
        </w:tc>
      </w:tr>
      <w:tr w14:paraId="091A26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0" w:hRule="atLeast"/>
          <w:jc w:val="center"/>
        </w:trPr>
        <w:tc>
          <w:tcPr>
            <w:tcW w:w="672" w:type="dxa"/>
            <w:vMerge w:val="continue"/>
            <w:noWrap w:val="0"/>
            <w:vAlign w:val="center"/>
          </w:tcPr>
          <w:p w14:paraId="3558CF96">
            <w:pPr>
              <w:adjustRightInd w:val="0"/>
              <w:snapToGrid w:val="0"/>
              <w:spacing w:before="156" w:beforeLines="50" w:line="360" w:lineRule="auto"/>
              <w:jc w:val="center"/>
              <w:rPr>
                <w:rFonts w:hint="eastAsia" w:ascii="仿宋" w:hAnsi="仿宋" w:eastAsia="仿宋" w:cs="仿宋"/>
                <w:color w:val="auto"/>
                <w:szCs w:val="21"/>
              </w:rPr>
            </w:pPr>
          </w:p>
        </w:tc>
        <w:tc>
          <w:tcPr>
            <w:tcW w:w="900" w:type="dxa"/>
            <w:noWrap w:val="0"/>
            <w:vAlign w:val="center"/>
          </w:tcPr>
          <w:p w14:paraId="7C9FF363">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2</w:t>
            </w:r>
          </w:p>
        </w:tc>
        <w:tc>
          <w:tcPr>
            <w:tcW w:w="2014" w:type="dxa"/>
            <w:noWrap w:val="0"/>
            <w:vAlign w:val="center"/>
          </w:tcPr>
          <w:p w14:paraId="25E37E14">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单联上下床</w:t>
            </w:r>
          </w:p>
        </w:tc>
        <w:tc>
          <w:tcPr>
            <w:tcW w:w="1246" w:type="dxa"/>
            <w:tcBorders>
              <w:left w:val="single" w:color="auto" w:sz="4" w:space="0"/>
            </w:tcBorders>
            <w:noWrap w:val="0"/>
            <w:vAlign w:val="center"/>
          </w:tcPr>
          <w:p w14:paraId="60000BD3">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370组</w:t>
            </w:r>
          </w:p>
        </w:tc>
        <w:tc>
          <w:tcPr>
            <w:tcW w:w="1246" w:type="dxa"/>
            <w:tcBorders>
              <w:left w:val="single" w:color="auto" w:sz="4" w:space="0"/>
            </w:tcBorders>
            <w:noWrap w:val="0"/>
            <w:vAlign w:val="center"/>
          </w:tcPr>
          <w:p w14:paraId="59BD220F">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否</w:t>
            </w:r>
          </w:p>
        </w:tc>
        <w:tc>
          <w:tcPr>
            <w:tcW w:w="1246" w:type="dxa"/>
            <w:noWrap w:val="0"/>
            <w:vAlign w:val="center"/>
          </w:tcPr>
          <w:p w14:paraId="0D8DEB45">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1200元</w:t>
            </w:r>
          </w:p>
        </w:tc>
        <w:tc>
          <w:tcPr>
            <w:tcW w:w="1248" w:type="dxa"/>
            <w:noWrap w:val="0"/>
            <w:vAlign w:val="center"/>
          </w:tcPr>
          <w:p w14:paraId="1BCCB073">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444000元</w:t>
            </w:r>
          </w:p>
        </w:tc>
      </w:tr>
      <w:tr w14:paraId="6D4D2C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0" w:hRule="atLeast"/>
          <w:jc w:val="center"/>
        </w:trPr>
        <w:tc>
          <w:tcPr>
            <w:tcW w:w="672" w:type="dxa"/>
            <w:vMerge w:val="continue"/>
            <w:noWrap w:val="0"/>
            <w:vAlign w:val="center"/>
          </w:tcPr>
          <w:p w14:paraId="31F496D6">
            <w:pPr>
              <w:adjustRightInd w:val="0"/>
              <w:snapToGrid w:val="0"/>
              <w:spacing w:before="156" w:beforeLines="50" w:line="360" w:lineRule="auto"/>
              <w:jc w:val="center"/>
              <w:rPr>
                <w:rFonts w:hint="eastAsia" w:ascii="仿宋" w:hAnsi="仿宋" w:eastAsia="仿宋" w:cs="仿宋"/>
                <w:color w:val="auto"/>
                <w:szCs w:val="21"/>
              </w:rPr>
            </w:pPr>
          </w:p>
        </w:tc>
        <w:tc>
          <w:tcPr>
            <w:tcW w:w="900" w:type="dxa"/>
            <w:noWrap w:val="0"/>
            <w:vAlign w:val="center"/>
          </w:tcPr>
          <w:p w14:paraId="68FBD297">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3</w:t>
            </w:r>
          </w:p>
        </w:tc>
        <w:tc>
          <w:tcPr>
            <w:tcW w:w="2014" w:type="dxa"/>
            <w:noWrap w:val="0"/>
            <w:vAlign w:val="center"/>
          </w:tcPr>
          <w:p w14:paraId="56E5A66B">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方凳</w:t>
            </w:r>
          </w:p>
        </w:tc>
        <w:tc>
          <w:tcPr>
            <w:tcW w:w="1246" w:type="dxa"/>
            <w:tcBorders>
              <w:left w:val="single" w:color="auto" w:sz="4" w:space="0"/>
            </w:tcBorders>
            <w:noWrap w:val="0"/>
            <w:vAlign w:val="center"/>
          </w:tcPr>
          <w:p w14:paraId="35F27D1E">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2220张</w:t>
            </w:r>
          </w:p>
        </w:tc>
        <w:tc>
          <w:tcPr>
            <w:tcW w:w="1246" w:type="dxa"/>
            <w:tcBorders>
              <w:left w:val="single" w:color="auto" w:sz="4" w:space="0"/>
            </w:tcBorders>
            <w:noWrap w:val="0"/>
            <w:vAlign w:val="center"/>
          </w:tcPr>
          <w:p w14:paraId="25C0AD54">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否</w:t>
            </w:r>
          </w:p>
        </w:tc>
        <w:tc>
          <w:tcPr>
            <w:tcW w:w="1246" w:type="dxa"/>
            <w:noWrap w:val="0"/>
            <w:vAlign w:val="center"/>
          </w:tcPr>
          <w:p w14:paraId="3EFB86C6">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lang w:val="en-US" w:eastAsia="zh-CN"/>
              </w:rPr>
              <w:t>50</w:t>
            </w:r>
            <w:r>
              <w:rPr>
                <w:rFonts w:hint="eastAsia" w:ascii="仿宋" w:hAnsi="仿宋" w:eastAsia="仿宋" w:cs="仿宋"/>
                <w:color w:val="auto"/>
                <w:szCs w:val="21"/>
              </w:rPr>
              <w:t>元</w:t>
            </w:r>
          </w:p>
        </w:tc>
        <w:tc>
          <w:tcPr>
            <w:tcW w:w="1248" w:type="dxa"/>
            <w:noWrap w:val="0"/>
            <w:vAlign w:val="center"/>
          </w:tcPr>
          <w:p w14:paraId="2650D6F9">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lang w:val="en-US" w:eastAsia="zh-CN"/>
              </w:rPr>
              <w:t>11000</w:t>
            </w:r>
            <w:r>
              <w:rPr>
                <w:rFonts w:hint="eastAsia" w:ascii="仿宋" w:hAnsi="仿宋" w:eastAsia="仿宋" w:cs="仿宋"/>
                <w:color w:val="auto"/>
                <w:szCs w:val="21"/>
              </w:rPr>
              <w:t>元</w:t>
            </w:r>
          </w:p>
        </w:tc>
      </w:tr>
      <w:tr w14:paraId="551D5B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0" w:hRule="atLeast"/>
          <w:jc w:val="center"/>
        </w:trPr>
        <w:tc>
          <w:tcPr>
            <w:tcW w:w="672" w:type="dxa"/>
            <w:vMerge w:val="continue"/>
            <w:noWrap w:val="0"/>
            <w:vAlign w:val="center"/>
          </w:tcPr>
          <w:p w14:paraId="60A2D97D">
            <w:pPr>
              <w:adjustRightInd w:val="0"/>
              <w:snapToGrid w:val="0"/>
              <w:spacing w:before="156" w:beforeLines="50" w:line="360" w:lineRule="auto"/>
              <w:jc w:val="center"/>
              <w:rPr>
                <w:rFonts w:hint="eastAsia" w:ascii="仿宋" w:hAnsi="仿宋" w:eastAsia="仿宋" w:cs="仿宋"/>
                <w:color w:val="auto"/>
                <w:szCs w:val="21"/>
              </w:rPr>
            </w:pPr>
          </w:p>
        </w:tc>
        <w:tc>
          <w:tcPr>
            <w:tcW w:w="900" w:type="dxa"/>
            <w:noWrap w:val="0"/>
            <w:vAlign w:val="center"/>
          </w:tcPr>
          <w:p w14:paraId="33CF0C4F">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4</w:t>
            </w:r>
          </w:p>
        </w:tc>
        <w:tc>
          <w:tcPr>
            <w:tcW w:w="2014" w:type="dxa"/>
            <w:noWrap w:val="0"/>
            <w:vAlign w:val="center"/>
          </w:tcPr>
          <w:p w14:paraId="700FFF50">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储物柜</w:t>
            </w:r>
          </w:p>
        </w:tc>
        <w:tc>
          <w:tcPr>
            <w:tcW w:w="1246" w:type="dxa"/>
            <w:tcBorders>
              <w:left w:val="single" w:color="auto" w:sz="4" w:space="0"/>
            </w:tcBorders>
            <w:noWrap w:val="0"/>
            <w:vAlign w:val="center"/>
          </w:tcPr>
          <w:p w14:paraId="1C702B2C">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370个</w:t>
            </w:r>
          </w:p>
        </w:tc>
        <w:tc>
          <w:tcPr>
            <w:tcW w:w="1246" w:type="dxa"/>
            <w:tcBorders>
              <w:left w:val="single" w:color="auto" w:sz="4" w:space="0"/>
            </w:tcBorders>
            <w:noWrap w:val="0"/>
            <w:vAlign w:val="center"/>
          </w:tcPr>
          <w:p w14:paraId="2043E368">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否</w:t>
            </w:r>
          </w:p>
        </w:tc>
        <w:tc>
          <w:tcPr>
            <w:tcW w:w="1246" w:type="dxa"/>
            <w:noWrap w:val="0"/>
            <w:vAlign w:val="center"/>
          </w:tcPr>
          <w:p w14:paraId="5B99200C">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lang w:val="en-US" w:eastAsia="zh-CN"/>
              </w:rPr>
              <w:t>20</w:t>
            </w:r>
            <w:r>
              <w:rPr>
                <w:rFonts w:hint="eastAsia" w:ascii="仿宋" w:hAnsi="仿宋" w:eastAsia="仿宋" w:cs="仿宋"/>
                <w:color w:val="auto"/>
                <w:szCs w:val="21"/>
              </w:rPr>
              <w:t>0元</w:t>
            </w:r>
          </w:p>
        </w:tc>
        <w:tc>
          <w:tcPr>
            <w:tcW w:w="1248" w:type="dxa"/>
            <w:noWrap w:val="0"/>
            <w:vAlign w:val="center"/>
          </w:tcPr>
          <w:p w14:paraId="1FFF7FDC">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lang w:val="en-US" w:eastAsia="zh-CN"/>
              </w:rPr>
              <w:t>444000</w:t>
            </w:r>
            <w:r>
              <w:rPr>
                <w:rFonts w:hint="eastAsia" w:ascii="仿宋" w:hAnsi="仿宋" w:eastAsia="仿宋" w:cs="仿宋"/>
                <w:color w:val="auto"/>
                <w:szCs w:val="21"/>
              </w:rPr>
              <w:t>元</w:t>
            </w:r>
          </w:p>
        </w:tc>
      </w:tr>
      <w:tr w14:paraId="242E5E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0" w:hRule="atLeast"/>
          <w:jc w:val="center"/>
        </w:trPr>
        <w:tc>
          <w:tcPr>
            <w:tcW w:w="672" w:type="dxa"/>
            <w:vMerge w:val="continue"/>
            <w:noWrap w:val="0"/>
            <w:vAlign w:val="center"/>
          </w:tcPr>
          <w:p w14:paraId="5432E1C0">
            <w:pPr>
              <w:adjustRightInd w:val="0"/>
              <w:snapToGrid w:val="0"/>
              <w:spacing w:before="156" w:beforeLines="50" w:line="360" w:lineRule="auto"/>
              <w:jc w:val="center"/>
              <w:rPr>
                <w:rFonts w:hint="eastAsia" w:ascii="仿宋" w:hAnsi="仿宋" w:eastAsia="仿宋" w:cs="仿宋"/>
                <w:color w:val="auto"/>
                <w:szCs w:val="21"/>
              </w:rPr>
            </w:pPr>
          </w:p>
        </w:tc>
        <w:tc>
          <w:tcPr>
            <w:tcW w:w="900" w:type="dxa"/>
            <w:noWrap w:val="0"/>
            <w:vAlign w:val="center"/>
          </w:tcPr>
          <w:p w14:paraId="0005CED0">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5</w:t>
            </w:r>
          </w:p>
        </w:tc>
        <w:tc>
          <w:tcPr>
            <w:tcW w:w="2014" w:type="dxa"/>
            <w:noWrap w:val="0"/>
            <w:vAlign w:val="center"/>
          </w:tcPr>
          <w:p w14:paraId="12C845BA">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行礼架</w:t>
            </w:r>
          </w:p>
        </w:tc>
        <w:tc>
          <w:tcPr>
            <w:tcW w:w="1246" w:type="dxa"/>
            <w:tcBorders>
              <w:left w:val="single" w:color="auto" w:sz="4" w:space="0"/>
            </w:tcBorders>
            <w:noWrap w:val="0"/>
            <w:vAlign w:val="center"/>
          </w:tcPr>
          <w:p w14:paraId="0349CC8B">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370组</w:t>
            </w:r>
          </w:p>
        </w:tc>
        <w:tc>
          <w:tcPr>
            <w:tcW w:w="1246" w:type="dxa"/>
            <w:tcBorders>
              <w:left w:val="single" w:color="auto" w:sz="4" w:space="0"/>
            </w:tcBorders>
            <w:noWrap w:val="0"/>
            <w:vAlign w:val="center"/>
          </w:tcPr>
          <w:p w14:paraId="61B939EB">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否</w:t>
            </w:r>
          </w:p>
        </w:tc>
        <w:tc>
          <w:tcPr>
            <w:tcW w:w="1246" w:type="dxa"/>
            <w:noWrap w:val="0"/>
            <w:vAlign w:val="center"/>
          </w:tcPr>
          <w:p w14:paraId="2115B030">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lang w:val="en-US" w:eastAsia="zh-CN"/>
              </w:rPr>
              <w:t>980</w:t>
            </w:r>
            <w:r>
              <w:rPr>
                <w:rFonts w:hint="eastAsia" w:ascii="仿宋" w:hAnsi="仿宋" w:eastAsia="仿宋" w:cs="仿宋"/>
                <w:color w:val="auto"/>
                <w:szCs w:val="21"/>
              </w:rPr>
              <w:t>元</w:t>
            </w:r>
          </w:p>
        </w:tc>
        <w:tc>
          <w:tcPr>
            <w:tcW w:w="1248" w:type="dxa"/>
            <w:noWrap w:val="0"/>
            <w:vAlign w:val="center"/>
          </w:tcPr>
          <w:p w14:paraId="315C8783">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lang w:val="en-US" w:eastAsia="zh-CN"/>
              </w:rPr>
              <w:t>3626</w:t>
            </w:r>
            <w:r>
              <w:rPr>
                <w:rFonts w:hint="eastAsia" w:ascii="仿宋" w:hAnsi="仿宋" w:eastAsia="仿宋" w:cs="仿宋"/>
                <w:color w:val="auto"/>
                <w:szCs w:val="21"/>
              </w:rPr>
              <w:t>00元</w:t>
            </w:r>
          </w:p>
        </w:tc>
      </w:tr>
      <w:tr w14:paraId="27A2C4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0" w:hRule="atLeast"/>
          <w:jc w:val="center"/>
        </w:trPr>
        <w:tc>
          <w:tcPr>
            <w:tcW w:w="672" w:type="dxa"/>
            <w:vMerge w:val="continue"/>
            <w:noWrap w:val="0"/>
            <w:vAlign w:val="center"/>
          </w:tcPr>
          <w:p w14:paraId="1B8A3C0D">
            <w:pPr>
              <w:adjustRightInd w:val="0"/>
              <w:snapToGrid w:val="0"/>
              <w:spacing w:before="156" w:beforeLines="50" w:line="360" w:lineRule="auto"/>
              <w:jc w:val="center"/>
              <w:rPr>
                <w:rFonts w:hint="eastAsia" w:ascii="仿宋" w:hAnsi="仿宋" w:eastAsia="仿宋" w:cs="仿宋"/>
                <w:color w:val="auto"/>
                <w:szCs w:val="21"/>
              </w:rPr>
            </w:pPr>
          </w:p>
        </w:tc>
        <w:tc>
          <w:tcPr>
            <w:tcW w:w="900" w:type="dxa"/>
            <w:noWrap w:val="0"/>
            <w:vAlign w:val="center"/>
          </w:tcPr>
          <w:p w14:paraId="6003C1B3">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6</w:t>
            </w:r>
          </w:p>
        </w:tc>
        <w:tc>
          <w:tcPr>
            <w:tcW w:w="2014" w:type="dxa"/>
            <w:noWrap w:val="0"/>
            <w:vAlign w:val="center"/>
          </w:tcPr>
          <w:p w14:paraId="3064E9B0">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宿管床</w:t>
            </w:r>
          </w:p>
        </w:tc>
        <w:tc>
          <w:tcPr>
            <w:tcW w:w="1246" w:type="dxa"/>
            <w:tcBorders>
              <w:left w:val="single" w:color="auto" w:sz="4" w:space="0"/>
            </w:tcBorders>
            <w:noWrap w:val="0"/>
            <w:vAlign w:val="center"/>
          </w:tcPr>
          <w:p w14:paraId="6D2B31FE">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2张</w:t>
            </w:r>
          </w:p>
        </w:tc>
        <w:tc>
          <w:tcPr>
            <w:tcW w:w="1246" w:type="dxa"/>
            <w:tcBorders>
              <w:left w:val="single" w:color="auto" w:sz="4" w:space="0"/>
            </w:tcBorders>
            <w:noWrap w:val="0"/>
            <w:vAlign w:val="center"/>
          </w:tcPr>
          <w:p w14:paraId="54605A34">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否</w:t>
            </w:r>
          </w:p>
        </w:tc>
        <w:tc>
          <w:tcPr>
            <w:tcW w:w="1246" w:type="dxa"/>
            <w:noWrap w:val="0"/>
            <w:vAlign w:val="center"/>
          </w:tcPr>
          <w:p w14:paraId="0E373EE0">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950元</w:t>
            </w:r>
          </w:p>
        </w:tc>
        <w:tc>
          <w:tcPr>
            <w:tcW w:w="1248" w:type="dxa"/>
            <w:noWrap w:val="0"/>
            <w:vAlign w:val="center"/>
          </w:tcPr>
          <w:p w14:paraId="4AC6CC83">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1900元</w:t>
            </w:r>
          </w:p>
        </w:tc>
      </w:tr>
      <w:tr w14:paraId="3BFFCC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0" w:hRule="atLeast"/>
          <w:jc w:val="center"/>
        </w:trPr>
        <w:tc>
          <w:tcPr>
            <w:tcW w:w="672" w:type="dxa"/>
            <w:vMerge w:val="continue"/>
            <w:noWrap w:val="0"/>
            <w:vAlign w:val="center"/>
          </w:tcPr>
          <w:p w14:paraId="1F941B1C">
            <w:pPr>
              <w:adjustRightInd w:val="0"/>
              <w:snapToGrid w:val="0"/>
              <w:spacing w:before="156" w:beforeLines="50" w:line="360" w:lineRule="auto"/>
              <w:jc w:val="center"/>
              <w:rPr>
                <w:rFonts w:hint="eastAsia" w:ascii="仿宋" w:hAnsi="仿宋" w:eastAsia="仿宋" w:cs="仿宋"/>
                <w:color w:val="auto"/>
                <w:szCs w:val="21"/>
              </w:rPr>
            </w:pPr>
          </w:p>
        </w:tc>
        <w:tc>
          <w:tcPr>
            <w:tcW w:w="900" w:type="dxa"/>
            <w:noWrap w:val="0"/>
            <w:vAlign w:val="center"/>
          </w:tcPr>
          <w:p w14:paraId="647149B7">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7</w:t>
            </w:r>
          </w:p>
        </w:tc>
        <w:tc>
          <w:tcPr>
            <w:tcW w:w="2014" w:type="dxa"/>
            <w:noWrap w:val="0"/>
            <w:vAlign w:val="center"/>
          </w:tcPr>
          <w:p w14:paraId="0086EA2B">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宿管书桌</w:t>
            </w:r>
          </w:p>
        </w:tc>
        <w:tc>
          <w:tcPr>
            <w:tcW w:w="1246" w:type="dxa"/>
            <w:tcBorders>
              <w:left w:val="single" w:color="auto" w:sz="4" w:space="0"/>
            </w:tcBorders>
            <w:noWrap w:val="0"/>
            <w:vAlign w:val="center"/>
          </w:tcPr>
          <w:p w14:paraId="03206B6E">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2张</w:t>
            </w:r>
          </w:p>
        </w:tc>
        <w:tc>
          <w:tcPr>
            <w:tcW w:w="1246" w:type="dxa"/>
            <w:tcBorders>
              <w:left w:val="single" w:color="auto" w:sz="4" w:space="0"/>
            </w:tcBorders>
            <w:noWrap w:val="0"/>
            <w:vAlign w:val="center"/>
          </w:tcPr>
          <w:p w14:paraId="1AC90C1E">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否</w:t>
            </w:r>
          </w:p>
        </w:tc>
        <w:tc>
          <w:tcPr>
            <w:tcW w:w="1246" w:type="dxa"/>
            <w:noWrap w:val="0"/>
            <w:vAlign w:val="center"/>
          </w:tcPr>
          <w:p w14:paraId="445BB6A0">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lang w:val="en-US" w:eastAsia="zh-CN"/>
              </w:rPr>
              <w:t>400</w:t>
            </w:r>
            <w:r>
              <w:rPr>
                <w:rFonts w:hint="eastAsia" w:ascii="仿宋" w:hAnsi="仿宋" w:eastAsia="仿宋" w:cs="仿宋"/>
                <w:color w:val="auto"/>
                <w:szCs w:val="21"/>
              </w:rPr>
              <w:t>元</w:t>
            </w:r>
          </w:p>
        </w:tc>
        <w:tc>
          <w:tcPr>
            <w:tcW w:w="1248" w:type="dxa"/>
            <w:noWrap w:val="0"/>
            <w:vAlign w:val="center"/>
          </w:tcPr>
          <w:p w14:paraId="2D748DD4">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lang w:val="en-US" w:eastAsia="zh-CN"/>
              </w:rPr>
              <w:t>800</w:t>
            </w:r>
            <w:r>
              <w:rPr>
                <w:rFonts w:hint="eastAsia" w:ascii="仿宋" w:hAnsi="仿宋" w:eastAsia="仿宋" w:cs="仿宋"/>
                <w:color w:val="auto"/>
                <w:szCs w:val="21"/>
              </w:rPr>
              <w:t>元</w:t>
            </w:r>
          </w:p>
        </w:tc>
      </w:tr>
      <w:tr w14:paraId="627131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0" w:hRule="atLeast"/>
          <w:jc w:val="center"/>
        </w:trPr>
        <w:tc>
          <w:tcPr>
            <w:tcW w:w="672" w:type="dxa"/>
            <w:vMerge w:val="continue"/>
            <w:noWrap w:val="0"/>
            <w:vAlign w:val="center"/>
          </w:tcPr>
          <w:p w14:paraId="3C8EAC62">
            <w:pPr>
              <w:adjustRightInd w:val="0"/>
              <w:snapToGrid w:val="0"/>
              <w:spacing w:before="156" w:beforeLines="50" w:line="360" w:lineRule="auto"/>
              <w:jc w:val="center"/>
              <w:rPr>
                <w:rFonts w:hint="eastAsia" w:ascii="仿宋" w:hAnsi="仿宋" w:eastAsia="仿宋" w:cs="仿宋"/>
                <w:color w:val="auto"/>
                <w:szCs w:val="21"/>
              </w:rPr>
            </w:pPr>
          </w:p>
        </w:tc>
        <w:tc>
          <w:tcPr>
            <w:tcW w:w="900" w:type="dxa"/>
            <w:noWrap w:val="0"/>
            <w:vAlign w:val="center"/>
          </w:tcPr>
          <w:p w14:paraId="20A00F66">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8</w:t>
            </w:r>
          </w:p>
        </w:tc>
        <w:tc>
          <w:tcPr>
            <w:tcW w:w="2014" w:type="dxa"/>
            <w:noWrap w:val="0"/>
            <w:vAlign w:val="center"/>
          </w:tcPr>
          <w:p w14:paraId="2B253AC1">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椅子</w:t>
            </w:r>
          </w:p>
        </w:tc>
        <w:tc>
          <w:tcPr>
            <w:tcW w:w="1246" w:type="dxa"/>
            <w:tcBorders>
              <w:left w:val="single" w:color="auto" w:sz="4" w:space="0"/>
            </w:tcBorders>
            <w:noWrap w:val="0"/>
            <w:vAlign w:val="center"/>
          </w:tcPr>
          <w:p w14:paraId="3D2F1D72">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2张</w:t>
            </w:r>
          </w:p>
        </w:tc>
        <w:tc>
          <w:tcPr>
            <w:tcW w:w="1246" w:type="dxa"/>
            <w:tcBorders>
              <w:left w:val="single" w:color="auto" w:sz="4" w:space="0"/>
            </w:tcBorders>
            <w:noWrap w:val="0"/>
            <w:vAlign w:val="center"/>
          </w:tcPr>
          <w:p w14:paraId="05A829BC">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否</w:t>
            </w:r>
          </w:p>
        </w:tc>
        <w:tc>
          <w:tcPr>
            <w:tcW w:w="1246" w:type="dxa"/>
            <w:noWrap w:val="0"/>
            <w:vAlign w:val="center"/>
          </w:tcPr>
          <w:p w14:paraId="5B5ED705">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95元</w:t>
            </w:r>
          </w:p>
        </w:tc>
        <w:tc>
          <w:tcPr>
            <w:tcW w:w="1248" w:type="dxa"/>
            <w:noWrap w:val="0"/>
            <w:vAlign w:val="center"/>
          </w:tcPr>
          <w:p w14:paraId="6B354858">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190元</w:t>
            </w:r>
          </w:p>
        </w:tc>
      </w:tr>
      <w:tr w14:paraId="14DC4B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0" w:hRule="atLeast"/>
          <w:jc w:val="center"/>
        </w:trPr>
        <w:tc>
          <w:tcPr>
            <w:tcW w:w="672" w:type="dxa"/>
            <w:vMerge w:val="continue"/>
            <w:noWrap w:val="0"/>
            <w:vAlign w:val="center"/>
          </w:tcPr>
          <w:p w14:paraId="1D750726">
            <w:pPr>
              <w:adjustRightInd w:val="0"/>
              <w:snapToGrid w:val="0"/>
              <w:spacing w:before="156" w:beforeLines="50" w:line="360" w:lineRule="auto"/>
              <w:jc w:val="center"/>
              <w:rPr>
                <w:rFonts w:hint="eastAsia" w:ascii="仿宋" w:hAnsi="仿宋" w:eastAsia="仿宋" w:cs="仿宋"/>
                <w:color w:val="auto"/>
                <w:szCs w:val="21"/>
              </w:rPr>
            </w:pPr>
          </w:p>
        </w:tc>
        <w:tc>
          <w:tcPr>
            <w:tcW w:w="900" w:type="dxa"/>
            <w:noWrap w:val="0"/>
            <w:vAlign w:val="center"/>
          </w:tcPr>
          <w:p w14:paraId="26E280A8">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9</w:t>
            </w:r>
          </w:p>
        </w:tc>
        <w:tc>
          <w:tcPr>
            <w:tcW w:w="2014" w:type="dxa"/>
            <w:noWrap w:val="0"/>
            <w:vAlign w:val="center"/>
          </w:tcPr>
          <w:p w14:paraId="09EE8368">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衣柜</w:t>
            </w:r>
          </w:p>
        </w:tc>
        <w:tc>
          <w:tcPr>
            <w:tcW w:w="1246" w:type="dxa"/>
            <w:tcBorders>
              <w:left w:val="single" w:color="auto" w:sz="4" w:space="0"/>
            </w:tcBorders>
            <w:noWrap w:val="0"/>
            <w:vAlign w:val="center"/>
          </w:tcPr>
          <w:p w14:paraId="7833BECE">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2个</w:t>
            </w:r>
          </w:p>
        </w:tc>
        <w:tc>
          <w:tcPr>
            <w:tcW w:w="1246" w:type="dxa"/>
            <w:tcBorders>
              <w:left w:val="single" w:color="auto" w:sz="4" w:space="0"/>
            </w:tcBorders>
            <w:noWrap w:val="0"/>
            <w:vAlign w:val="center"/>
          </w:tcPr>
          <w:p w14:paraId="343E627A">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否</w:t>
            </w:r>
          </w:p>
        </w:tc>
        <w:tc>
          <w:tcPr>
            <w:tcW w:w="1246" w:type="dxa"/>
            <w:noWrap w:val="0"/>
            <w:vAlign w:val="center"/>
          </w:tcPr>
          <w:p w14:paraId="370F640A">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450元</w:t>
            </w:r>
          </w:p>
        </w:tc>
        <w:tc>
          <w:tcPr>
            <w:tcW w:w="1248" w:type="dxa"/>
            <w:noWrap w:val="0"/>
            <w:vAlign w:val="center"/>
          </w:tcPr>
          <w:p w14:paraId="56854C93">
            <w:pPr>
              <w:adjustRightInd w:val="0"/>
              <w:snapToGrid w:val="0"/>
              <w:spacing w:before="156" w:beforeLines="50" w:line="360" w:lineRule="auto"/>
              <w:jc w:val="center"/>
              <w:rPr>
                <w:rFonts w:hint="eastAsia" w:ascii="仿宋" w:hAnsi="仿宋" w:eastAsia="仿宋" w:cs="仿宋"/>
                <w:color w:val="auto"/>
                <w:szCs w:val="21"/>
              </w:rPr>
            </w:pPr>
            <w:r>
              <w:rPr>
                <w:rFonts w:hint="eastAsia" w:ascii="仿宋" w:hAnsi="仿宋" w:eastAsia="仿宋" w:cs="仿宋"/>
                <w:color w:val="auto"/>
                <w:szCs w:val="21"/>
              </w:rPr>
              <w:t>900元</w:t>
            </w:r>
          </w:p>
        </w:tc>
      </w:tr>
      <w:tr w14:paraId="5CF2EF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0" w:hRule="atLeast"/>
          <w:jc w:val="center"/>
        </w:trPr>
        <w:tc>
          <w:tcPr>
            <w:tcW w:w="7324" w:type="dxa"/>
            <w:gridSpan w:val="6"/>
            <w:noWrap w:val="0"/>
            <w:vAlign w:val="center"/>
          </w:tcPr>
          <w:p w14:paraId="2459BDC9">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合计</w:t>
            </w:r>
          </w:p>
        </w:tc>
        <w:tc>
          <w:tcPr>
            <w:tcW w:w="1248" w:type="dxa"/>
            <w:noWrap w:val="0"/>
            <w:vAlign w:val="center"/>
          </w:tcPr>
          <w:p w14:paraId="49B5EE8E">
            <w:pPr>
              <w:adjustRightInd w:val="0"/>
              <w:snapToGrid w:val="0"/>
              <w:spacing w:before="156" w:beforeLines="50" w:line="360" w:lineRule="auto"/>
              <w:jc w:val="center"/>
              <w:rPr>
                <w:rFonts w:ascii="仿宋" w:hAnsi="仿宋" w:eastAsia="仿宋" w:cs="仿宋"/>
                <w:color w:val="auto"/>
                <w:szCs w:val="21"/>
              </w:rPr>
            </w:pPr>
            <w:r>
              <w:rPr>
                <w:rFonts w:hint="eastAsia" w:ascii="仿宋" w:hAnsi="仿宋" w:eastAsia="仿宋" w:cs="仿宋"/>
                <w:color w:val="auto"/>
                <w:szCs w:val="21"/>
              </w:rPr>
              <w:t>2</w:t>
            </w:r>
            <w:r>
              <w:rPr>
                <w:rFonts w:hint="eastAsia" w:ascii="仿宋" w:hAnsi="仿宋" w:eastAsia="仿宋" w:cs="仿宋"/>
                <w:color w:val="auto"/>
                <w:szCs w:val="21"/>
                <w:lang w:val="en-US" w:eastAsia="zh-CN"/>
              </w:rPr>
              <w:t>097990</w:t>
            </w:r>
            <w:r>
              <w:rPr>
                <w:rFonts w:hint="eastAsia" w:ascii="仿宋" w:hAnsi="仿宋" w:eastAsia="仿宋" w:cs="仿宋"/>
                <w:color w:val="auto"/>
                <w:szCs w:val="21"/>
              </w:rPr>
              <w:t>元</w:t>
            </w:r>
          </w:p>
        </w:tc>
      </w:tr>
    </w:tbl>
    <w:p w14:paraId="2CA5014B">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注：1.“包”为最小合同单位（最小投标单位）。每“包”内容应细化到具体品目（如果分品目的）。</w:t>
      </w:r>
    </w:p>
    <w:p w14:paraId="11C6D5B4">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2.投标人必须对一个完整、独立的包进行投标，不得仅对一个包中的部分品目投标，否则</w:t>
      </w:r>
      <w:r>
        <w:rPr>
          <w:rFonts w:hint="eastAsia" w:ascii="仿宋" w:hAnsi="仿宋" w:eastAsia="仿宋" w:cs="仿宋"/>
          <w:b/>
          <w:szCs w:val="21"/>
        </w:rPr>
        <w:t>投标无效。</w:t>
      </w:r>
    </w:p>
    <w:p w14:paraId="47845966">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szCs w:val="21"/>
        </w:rPr>
        <w:t>3.货物的主要技术参数或规格：</w:t>
      </w:r>
      <w:r>
        <w:rPr>
          <w:rFonts w:hint="eastAsia" w:ascii="仿宋" w:hAnsi="仿宋" w:eastAsia="仿宋" w:cs="仿宋"/>
          <w:kern w:val="0"/>
          <w:szCs w:val="21"/>
        </w:rPr>
        <w:t>详见“技术要求”中的具体技术参数。</w:t>
      </w:r>
    </w:p>
    <w:p w14:paraId="15E4AC57">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bCs/>
          <w:kern w:val="0"/>
          <w:szCs w:val="21"/>
        </w:rPr>
        <w:t>4.投标人应</w:t>
      </w:r>
      <w:r>
        <w:rPr>
          <w:rFonts w:hint="eastAsia" w:ascii="仿宋" w:hAnsi="仿宋" w:eastAsia="仿宋" w:cs="仿宋"/>
          <w:kern w:val="0"/>
          <w:szCs w:val="21"/>
        </w:rPr>
        <w:t>在投标文件《分项报价明细表》中按</w:t>
      </w:r>
      <w:r>
        <w:rPr>
          <w:rFonts w:hint="eastAsia" w:ascii="仿宋" w:hAnsi="仿宋" w:eastAsia="仿宋" w:cs="仿宋"/>
          <w:szCs w:val="21"/>
        </w:rPr>
        <w:t>分项项目名称（包括条目号/品目名称）</w:t>
      </w:r>
      <w:r>
        <w:rPr>
          <w:rFonts w:hint="eastAsia" w:ascii="仿宋" w:hAnsi="仿宋" w:eastAsia="仿宋" w:cs="仿宋"/>
          <w:kern w:val="0"/>
          <w:szCs w:val="21"/>
        </w:rPr>
        <w:t>顺序逐项填写，且每个品目中的条目均需按招标文件规定报价。如有缺项、漏项，其</w:t>
      </w:r>
      <w:r>
        <w:rPr>
          <w:rFonts w:hint="eastAsia" w:ascii="仿宋" w:hAnsi="仿宋" w:eastAsia="仿宋" w:cs="仿宋"/>
          <w:b/>
          <w:kern w:val="0"/>
          <w:szCs w:val="21"/>
        </w:rPr>
        <w:t>投标无效</w:t>
      </w:r>
      <w:r>
        <w:rPr>
          <w:rFonts w:hint="eastAsia" w:ascii="仿宋" w:hAnsi="仿宋" w:eastAsia="仿宋" w:cs="仿宋"/>
          <w:kern w:val="0"/>
          <w:szCs w:val="21"/>
        </w:rPr>
        <w:t>。</w:t>
      </w:r>
    </w:p>
    <w:p w14:paraId="0FBD3EE0">
      <w:pPr>
        <w:rPr>
          <w:rFonts w:hint="eastAsia" w:ascii="仿宋" w:hAnsi="仿宋" w:eastAsia="仿宋" w:cs="仿宋"/>
          <w:kern w:val="0"/>
          <w:szCs w:val="21"/>
        </w:rPr>
      </w:pPr>
    </w:p>
    <w:p w14:paraId="6F71C7F9">
      <w:pPr>
        <w:keepNext/>
        <w:keepLines/>
        <w:adjustRightInd w:val="0"/>
        <w:snapToGrid w:val="0"/>
        <w:spacing w:before="156" w:beforeLines="50" w:line="360" w:lineRule="auto"/>
        <w:jc w:val="center"/>
        <w:outlineLvl w:val="1"/>
        <w:rPr>
          <w:rFonts w:hint="eastAsia" w:ascii="仿宋" w:hAnsi="仿宋" w:eastAsia="仿宋" w:cs="仿宋"/>
          <w:b/>
          <w:bCs/>
          <w:sz w:val="28"/>
          <w:szCs w:val="28"/>
        </w:rPr>
      </w:pPr>
      <w:bookmarkStart w:id="199" w:name="_Toc13301"/>
      <w:r>
        <w:rPr>
          <w:rFonts w:hint="eastAsia" w:ascii="仿宋" w:hAnsi="仿宋" w:eastAsia="仿宋" w:cs="仿宋"/>
          <w:b/>
          <w:bCs/>
          <w:sz w:val="28"/>
          <w:szCs w:val="28"/>
        </w:rPr>
        <w:t>第二节 技术要求</w:t>
      </w:r>
      <w:bookmarkEnd w:id="199"/>
    </w:p>
    <w:tbl>
      <w:tblPr>
        <w:tblStyle w:val="44"/>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1121"/>
        <w:gridCol w:w="4605"/>
        <w:gridCol w:w="2376"/>
      </w:tblGrid>
      <w:tr w14:paraId="439B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5B5FFE3E">
            <w:pPr>
              <w:rPr>
                <w:rFonts w:ascii="仿宋" w:hAnsi="仿宋" w:eastAsia="仿宋" w:cs="仿宋"/>
                <w:szCs w:val="21"/>
              </w:rPr>
            </w:pPr>
            <w:r>
              <w:rPr>
                <w:rFonts w:hint="eastAsia" w:ascii="仿宋" w:hAnsi="仿宋" w:eastAsia="仿宋" w:cs="仿宋"/>
                <w:szCs w:val="21"/>
              </w:rPr>
              <w:t>品目</w:t>
            </w:r>
          </w:p>
        </w:tc>
        <w:tc>
          <w:tcPr>
            <w:tcW w:w="1122" w:type="dxa"/>
            <w:noWrap w:val="0"/>
            <w:vAlign w:val="top"/>
          </w:tcPr>
          <w:p w14:paraId="58466248">
            <w:pPr>
              <w:rPr>
                <w:rFonts w:ascii="仿宋" w:hAnsi="仿宋" w:eastAsia="仿宋" w:cs="仿宋"/>
                <w:szCs w:val="21"/>
              </w:rPr>
            </w:pPr>
            <w:r>
              <w:rPr>
                <w:rFonts w:hint="eastAsia" w:ascii="仿宋" w:hAnsi="仿宋" w:eastAsia="仿宋" w:cs="仿宋"/>
                <w:szCs w:val="21"/>
              </w:rPr>
              <w:t>标的名称</w:t>
            </w:r>
          </w:p>
        </w:tc>
        <w:tc>
          <w:tcPr>
            <w:tcW w:w="4609" w:type="dxa"/>
            <w:noWrap w:val="0"/>
            <w:vAlign w:val="top"/>
          </w:tcPr>
          <w:p w14:paraId="235F855B">
            <w:pPr>
              <w:jc w:val="center"/>
              <w:rPr>
                <w:rFonts w:ascii="仿宋" w:hAnsi="仿宋" w:eastAsia="仿宋" w:cs="仿宋"/>
                <w:szCs w:val="21"/>
              </w:rPr>
            </w:pPr>
            <w:r>
              <w:rPr>
                <w:rFonts w:hint="eastAsia" w:ascii="仿宋" w:hAnsi="仿宋" w:eastAsia="仿宋" w:cs="仿宋"/>
                <w:szCs w:val="21"/>
              </w:rPr>
              <w:t>技术参数及要求</w:t>
            </w:r>
          </w:p>
        </w:tc>
        <w:tc>
          <w:tcPr>
            <w:tcW w:w="2370" w:type="dxa"/>
            <w:noWrap w:val="0"/>
            <w:vAlign w:val="top"/>
          </w:tcPr>
          <w:p w14:paraId="3FEBCCE7">
            <w:pPr>
              <w:jc w:val="center"/>
              <w:rPr>
                <w:rFonts w:ascii="仿宋" w:hAnsi="仿宋" w:eastAsia="仿宋" w:cs="仿宋"/>
                <w:szCs w:val="21"/>
              </w:rPr>
            </w:pPr>
            <w:r>
              <w:rPr>
                <w:rFonts w:hint="eastAsia" w:ascii="仿宋" w:hAnsi="仿宋" w:eastAsia="仿宋" w:cs="仿宋"/>
                <w:szCs w:val="21"/>
              </w:rPr>
              <w:t>参考图</w:t>
            </w:r>
          </w:p>
        </w:tc>
      </w:tr>
      <w:tr w14:paraId="61F1C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647" w:type="dxa"/>
            <w:noWrap w:val="0"/>
            <w:vAlign w:val="center"/>
          </w:tcPr>
          <w:p w14:paraId="079E4F26">
            <w:pPr>
              <w:jc w:val="center"/>
              <w:rPr>
                <w:rFonts w:ascii="仿宋" w:hAnsi="仿宋" w:eastAsia="仿宋" w:cs="仿宋"/>
                <w:szCs w:val="21"/>
              </w:rPr>
            </w:pPr>
            <w:r>
              <w:rPr>
                <w:rFonts w:hint="eastAsia" w:ascii="仿宋" w:hAnsi="仿宋" w:eastAsia="仿宋" w:cs="仿宋"/>
                <w:szCs w:val="21"/>
              </w:rPr>
              <w:t>1</w:t>
            </w:r>
          </w:p>
        </w:tc>
        <w:tc>
          <w:tcPr>
            <w:tcW w:w="1122" w:type="dxa"/>
            <w:noWrap w:val="0"/>
            <w:vAlign w:val="center"/>
          </w:tcPr>
          <w:p w14:paraId="1F1322DF">
            <w:pPr>
              <w:adjustRightInd w:val="0"/>
              <w:snapToGrid w:val="0"/>
              <w:spacing w:before="156" w:beforeLines="50" w:line="360" w:lineRule="auto"/>
              <w:jc w:val="center"/>
              <w:rPr>
                <w:rFonts w:hint="eastAsia" w:ascii="仿宋" w:hAnsi="仿宋" w:eastAsia="仿宋" w:cs="仿宋"/>
                <w:szCs w:val="21"/>
              </w:rPr>
            </w:pPr>
            <w:r>
              <w:rPr>
                <w:rFonts w:hint="eastAsia" w:ascii="仿宋" w:hAnsi="仿宋" w:eastAsia="仿宋" w:cs="仿宋"/>
                <w:szCs w:val="21"/>
              </w:rPr>
              <w:t>二联四人上下铺</w:t>
            </w:r>
          </w:p>
        </w:tc>
        <w:tc>
          <w:tcPr>
            <w:tcW w:w="4609" w:type="dxa"/>
            <w:noWrap w:val="0"/>
            <w:vAlign w:val="center"/>
          </w:tcPr>
          <w:p w14:paraId="0A7E60CC">
            <w:pPr>
              <w:adjustRightInd w:val="0"/>
              <w:snapToGrid w:val="0"/>
              <w:spacing w:line="280" w:lineRule="exact"/>
              <w:rPr>
                <w:rFonts w:ascii="仿宋" w:hAnsi="仿宋" w:eastAsia="仿宋" w:cs="仿宋"/>
                <w:szCs w:val="21"/>
              </w:rPr>
            </w:pPr>
            <w:r>
              <w:rPr>
                <w:rFonts w:hint="eastAsia" w:ascii="仿宋" w:hAnsi="仿宋" w:eastAsia="仿宋" w:cs="仿宋"/>
                <w:szCs w:val="21"/>
              </w:rPr>
              <w:t>各零件、组合件表面应光滑、平整、不得有尖角突起；焊接件应牢固，无焊渣、无虚焊、无焊穿、焊痕光滑平整；喷塑涂层不脱落，漆膜无橘皮，无流挂，无返锈，色泽均匀。整体规格两联四人位：4000*900*2100mm（不包含蚊帐杆尺寸）</w:t>
            </w:r>
          </w:p>
          <w:p w14:paraId="2510B29B">
            <w:pPr>
              <w:adjustRightInd w:val="0"/>
              <w:snapToGrid w:val="0"/>
              <w:spacing w:line="280" w:lineRule="exact"/>
              <w:rPr>
                <w:rFonts w:ascii="仿宋" w:hAnsi="仿宋" w:eastAsia="仿宋" w:cs="仿宋"/>
                <w:szCs w:val="21"/>
              </w:rPr>
            </w:pPr>
            <w:r>
              <w:rPr>
                <w:rFonts w:hint="eastAsia" w:ascii="仿宋" w:hAnsi="仿宋" w:eastAsia="仿宋" w:cs="仿宋"/>
                <w:szCs w:val="21"/>
              </w:rPr>
              <w:t>▲公寓组合床的外观、理化性能、力学性能、安装、重金属含量、产品寿命、甲醛释放量（mg/m</w:t>
            </w:r>
            <w:r>
              <w:rPr>
                <w:rFonts w:ascii="Calibri" w:hAnsi="Calibri" w:eastAsia="仿宋" w:cs="Calibri"/>
                <w:szCs w:val="21"/>
              </w:rPr>
              <w:t>³</w:t>
            </w:r>
            <w:r>
              <w:rPr>
                <w:rFonts w:hint="eastAsia" w:ascii="仿宋" w:hAnsi="仿宋" w:eastAsia="仿宋" w:cs="仿宋"/>
                <w:szCs w:val="21"/>
              </w:rPr>
              <w:t>）、苯、甲苯、二甲苯、TVOC、多环芳烃、金相检验、阻燃1级、抗拉强度、屈服强度、断后伸长率、化学成分、洛氏硬度、燃烧性能B1级均检测合格，投标文件中提供带有CMA或CNAS标志的抽样检测报告佐证。</w:t>
            </w:r>
          </w:p>
          <w:p w14:paraId="112E3E69">
            <w:pPr>
              <w:adjustRightInd w:val="0"/>
              <w:snapToGrid w:val="0"/>
              <w:spacing w:line="280" w:lineRule="exact"/>
              <w:rPr>
                <w:rFonts w:hint="eastAsia" w:ascii="仿宋" w:hAnsi="仿宋" w:eastAsia="仿宋" w:cs="仿宋"/>
                <w:szCs w:val="21"/>
              </w:rPr>
            </w:pPr>
            <w:r>
              <w:rPr>
                <w:rFonts w:hint="eastAsia" w:ascii="仿宋" w:hAnsi="仿宋" w:eastAsia="仿宋" w:cs="仿宋"/>
                <w:szCs w:val="21"/>
              </w:rPr>
              <w:t>▲塑粉的耐化学品能力、铅笔硬度、耐酸性、耐碱性、耐盐雾性、耐湿性、重金属元素含量（铅、镉、六价铬、汞、砷、钡、硒、锑、钴）、多氯联苯含量、粉末可爆性均检测合格，投标文件中提供带有CMA或CNAS标志的抽样检测报告佐证。▲紧固件的抗拉强度、断后伸长率、化学成分、最小拉力载荷、保证载荷、维氏硬度、规定塑性延伸强度、流动混合气体腐蚀试验、旋转弯曲疲劳试验（循环周次≥20万次）均检测合格，投标文件中提供带有CMA或CNAS标志的抽样检测报告佐证。</w:t>
            </w:r>
          </w:p>
          <w:p w14:paraId="44E24C26">
            <w:pPr>
              <w:numPr>
                <w:ilvl w:val="0"/>
                <w:numId w:val="8"/>
              </w:numPr>
              <w:adjustRightInd w:val="0"/>
              <w:snapToGrid w:val="0"/>
              <w:spacing w:line="280" w:lineRule="exact"/>
              <w:rPr>
                <w:rFonts w:ascii="仿宋" w:hAnsi="仿宋" w:eastAsia="仿宋" w:cs="仿宋"/>
                <w:szCs w:val="21"/>
              </w:rPr>
            </w:pPr>
            <w:r>
              <w:rPr>
                <w:rFonts w:hint="eastAsia" w:ascii="仿宋" w:hAnsi="仿宋" w:eastAsia="仿宋" w:cs="仿宋"/>
                <w:szCs w:val="21"/>
              </w:rPr>
              <w:t>立柱采用截面76*76mm壁厚为1.2mm的</w:t>
            </w:r>
            <w:r>
              <w:rPr>
                <w:rFonts w:hint="eastAsia" w:ascii="仿宋" w:hAnsi="仿宋" w:eastAsia="仿宋" w:cs="仿宋"/>
                <w:szCs w:val="21"/>
                <w:highlight w:val="none"/>
              </w:rPr>
              <w:t>高频焊接封口异型型材</w:t>
            </w:r>
            <w:r>
              <w:rPr>
                <w:rFonts w:hint="eastAsia" w:ascii="仿宋" w:hAnsi="仿宋" w:eastAsia="仿宋" w:cs="仿宋"/>
                <w:szCs w:val="21"/>
              </w:rPr>
              <w:t>，外口多段圆角避免使用时磕碰，</w:t>
            </w:r>
            <w:r>
              <w:rPr>
                <w:rFonts w:hint="eastAsia" w:ascii="仿宋" w:hAnsi="仿宋" w:eastAsia="仿宋" w:cs="仿宋"/>
                <w:szCs w:val="21"/>
                <w:highlight w:val="none"/>
              </w:rPr>
              <w:t>采用冷轧带钢，采用大型焊管设备经多道连续变形模辊压</w:t>
            </w:r>
            <w:r>
              <w:rPr>
                <w:rFonts w:hint="eastAsia" w:ascii="仿宋" w:hAnsi="仿宋" w:eastAsia="仿宋" w:cs="仿宋"/>
                <w:szCs w:val="21"/>
              </w:rPr>
              <w:t>、定径模挤成型，自动高频焊接成闭口型管材 。立柱端口采用 PP 塑料的静音上下塑料件。中立柱采用截面规格为40*80mm，壁厚为1.2mm的管材，立柱端口采用 PP 塑料的静音上下内塞。</w:t>
            </w:r>
          </w:p>
          <w:p w14:paraId="5B040D82">
            <w:pPr>
              <w:rPr>
                <w:rFonts w:hint="eastAsia"/>
              </w:rPr>
            </w:pPr>
            <w:r>
              <w:rPr>
                <w:rFonts w:hint="eastAsia" w:ascii="方正仿宋_GB2312" w:hAnsi="方正仿宋_GB2312" w:eastAsia="方正仿宋_GB2312" w:cs="方正仿宋_GB2312"/>
                <w:sz w:val="24"/>
              </w:rPr>
              <w:drawing>
                <wp:anchor distT="0" distB="0" distL="114300" distR="114300" simplePos="0" relativeHeight="251659264" behindDoc="0" locked="0" layoutInCell="1" allowOverlap="1">
                  <wp:simplePos x="0" y="0"/>
                  <wp:positionH relativeFrom="column">
                    <wp:posOffset>121920</wp:posOffset>
                  </wp:positionH>
                  <wp:positionV relativeFrom="paragraph">
                    <wp:posOffset>144780</wp:posOffset>
                  </wp:positionV>
                  <wp:extent cx="2590800" cy="2912110"/>
                  <wp:effectExtent l="0" t="0" r="0" b="2540"/>
                  <wp:wrapTopAndBottom/>
                  <wp:docPr id="9" name="图片 2" descr="b9934f6b05b31c4020cae23ec53c7b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b9934f6b05b31c4020cae23ec53c7b49"/>
                          <pic:cNvPicPr>
                            <a:picLocks noChangeAspect="1"/>
                          </pic:cNvPicPr>
                        </pic:nvPicPr>
                        <pic:blipFill>
                          <a:blip r:embed="rId10"/>
                          <a:stretch>
                            <a:fillRect/>
                          </a:stretch>
                        </pic:blipFill>
                        <pic:spPr>
                          <a:xfrm>
                            <a:off x="0" y="0"/>
                            <a:ext cx="2590800" cy="2912110"/>
                          </a:xfrm>
                          <a:prstGeom prst="rect">
                            <a:avLst/>
                          </a:prstGeom>
                          <a:noFill/>
                          <a:ln>
                            <a:noFill/>
                          </a:ln>
                        </pic:spPr>
                      </pic:pic>
                    </a:graphicData>
                  </a:graphic>
                </wp:anchor>
              </w:drawing>
            </w:r>
          </w:p>
          <w:p w14:paraId="259728B8">
            <w:pPr>
              <w:adjustRightInd w:val="0"/>
              <w:snapToGrid w:val="0"/>
              <w:spacing w:line="280" w:lineRule="exact"/>
              <w:ind w:firstLine="720" w:firstLineChars="300"/>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床立柱截面尺寸图</w:t>
            </w:r>
          </w:p>
          <w:p w14:paraId="3BF543F4">
            <w:pPr>
              <w:rPr>
                <w:rFonts w:hint="eastAsia"/>
              </w:rPr>
            </w:pPr>
            <w:r>
              <w:rPr>
                <w:rFonts w:hint="eastAsia" w:ascii="方正仿宋_GB2312" w:hAnsi="方正仿宋_GB2312" w:eastAsia="方正仿宋_GB2312" w:cs="方正仿宋_GB2312"/>
                <w:sz w:val="24"/>
              </w:rPr>
              <w:drawing>
                <wp:anchor distT="0" distB="0" distL="114300" distR="114300" simplePos="0" relativeHeight="251661312" behindDoc="0" locked="0" layoutInCell="1" allowOverlap="1">
                  <wp:simplePos x="0" y="0"/>
                  <wp:positionH relativeFrom="column">
                    <wp:posOffset>113665</wp:posOffset>
                  </wp:positionH>
                  <wp:positionV relativeFrom="paragraph">
                    <wp:posOffset>758190</wp:posOffset>
                  </wp:positionV>
                  <wp:extent cx="2585720" cy="2495550"/>
                  <wp:effectExtent l="0" t="0" r="5080" b="0"/>
                  <wp:wrapTopAndBottom/>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1"/>
                          <a:stretch>
                            <a:fillRect/>
                          </a:stretch>
                        </pic:blipFill>
                        <pic:spPr>
                          <a:xfrm>
                            <a:off x="0" y="0"/>
                            <a:ext cx="2585720" cy="2495550"/>
                          </a:xfrm>
                          <a:prstGeom prst="rect">
                            <a:avLst/>
                          </a:prstGeom>
                          <a:noFill/>
                          <a:ln>
                            <a:noFill/>
                          </a:ln>
                        </pic:spPr>
                      </pic:pic>
                    </a:graphicData>
                  </a:graphic>
                </wp:anchor>
              </w:drawing>
            </w:r>
            <w:r>
              <w:rPr>
                <w:rFonts w:hint="eastAsia" w:ascii="仿宋" w:hAnsi="仿宋" w:eastAsia="仿宋" w:cs="仿宋"/>
                <w:szCs w:val="21"/>
              </w:rPr>
              <w:t>▲床立柱的金属件外观、金属喷塑涂层理化性能（耐腐蚀≥500h、耐湿热≥500h）、力学性能（屈服强度、抗拉强度、断后伸长率）、化学成分（碳、硅、锰、磷、硫）、重金属含量未检出均检测合格，投标文件中提供带有CMA或CNAS标志的抽样检测报告佐证。</w:t>
            </w:r>
          </w:p>
          <w:p w14:paraId="35A0EA3F">
            <w:pPr>
              <w:numPr>
                <w:ilvl w:val="0"/>
                <w:numId w:val="8"/>
              </w:numPr>
              <w:adjustRightInd w:val="0"/>
              <w:snapToGrid w:val="0"/>
              <w:spacing w:line="280" w:lineRule="exact"/>
              <w:rPr>
                <w:rFonts w:ascii="仿宋" w:hAnsi="仿宋" w:eastAsia="仿宋" w:cs="仿宋"/>
                <w:szCs w:val="21"/>
              </w:rPr>
            </w:pPr>
            <w:r>
              <w:rPr>
                <w:rFonts w:hint="eastAsia" w:ascii="仿宋" w:hAnsi="仿宋" w:eastAsia="仿宋" w:cs="仿宋"/>
                <w:szCs w:val="21"/>
              </w:rPr>
              <w:t>横梁采用截面规格为93mm×34mm，壁厚为1.2mm的</w:t>
            </w:r>
            <w:r>
              <w:rPr>
                <w:rFonts w:hint="eastAsia" w:ascii="仿宋" w:hAnsi="仿宋" w:eastAsia="仿宋" w:cs="仿宋"/>
                <w:szCs w:val="21"/>
                <w:highlight w:val="none"/>
              </w:rPr>
              <w:t>高频焊接封口型管材</w:t>
            </w:r>
            <w:r>
              <w:rPr>
                <w:rFonts w:hint="eastAsia" w:ascii="仿宋" w:hAnsi="仿宋" w:eastAsia="仿宋" w:cs="仿宋"/>
                <w:szCs w:val="21"/>
              </w:rPr>
              <w:t>，型材</w:t>
            </w:r>
            <w:r>
              <w:rPr>
                <w:rFonts w:hint="eastAsia" w:ascii="仿宋" w:hAnsi="仿宋" w:eastAsia="仿宋" w:cs="仿宋"/>
                <w:szCs w:val="21"/>
                <w:highlight w:val="none"/>
              </w:rPr>
              <w:t>成型方式为冷轧钢板经成型线轧制而成</w:t>
            </w:r>
            <w:r>
              <w:rPr>
                <w:rFonts w:hint="eastAsia" w:ascii="仿宋" w:hAnsi="仿宋" w:eastAsia="仿宋" w:cs="仿宋"/>
                <w:szCs w:val="21"/>
              </w:rPr>
              <w:t>，中间一根凸起的加强筋，四边倒圆角，床挺前段倒较大的圆角。</w:t>
            </w:r>
          </w:p>
          <w:p w14:paraId="7641C8BB">
            <w:pPr>
              <w:rPr>
                <w:rFonts w:hint="eastAsia" w:ascii="仿宋" w:hAnsi="仿宋" w:eastAsia="仿宋" w:cs="仿宋"/>
                <w:szCs w:val="21"/>
              </w:rPr>
            </w:pPr>
            <w:r>
              <w:rPr>
                <w:rFonts w:hint="eastAsia" w:ascii="仿宋" w:hAnsi="仿宋" w:eastAsia="仿宋" w:cs="仿宋"/>
                <w:szCs w:val="21"/>
              </w:rPr>
              <w:t>▲床梁的金属件外观、力学性能（屈服强度、抗拉强度、断后伸长率）、化学成分（碳、硅、锰、磷、硫）、重金属含量未检出均检测合格，投标文件中提供带有CMA或CNAS标志的抽样检测报告佐证。</w:t>
            </w:r>
          </w:p>
          <w:p w14:paraId="62E42B69">
            <w:pPr>
              <w:adjustRightInd w:val="0"/>
              <w:snapToGrid w:val="0"/>
              <w:spacing w:line="280" w:lineRule="exact"/>
              <w:rPr>
                <w:rFonts w:hint="eastAsia" w:ascii="仿宋" w:hAnsi="仿宋" w:eastAsia="仿宋" w:cs="仿宋"/>
                <w:szCs w:val="21"/>
              </w:rPr>
            </w:pPr>
            <w:r>
              <w:rPr>
                <w:rFonts w:hint="eastAsia" w:ascii="方正仿宋_GB2312" w:hAnsi="方正仿宋_GB2312" w:eastAsia="方正仿宋_GB2312" w:cs="方正仿宋_GB2312"/>
                <w:sz w:val="24"/>
              </w:rPr>
              <w:drawing>
                <wp:anchor distT="0" distB="0" distL="114300" distR="114300" simplePos="0" relativeHeight="251660288" behindDoc="0" locked="0" layoutInCell="1" allowOverlap="1">
                  <wp:simplePos x="0" y="0"/>
                  <wp:positionH relativeFrom="column">
                    <wp:posOffset>718820</wp:posOffset>
                  </wp:positionH>
                  <wp:positionV relativeFrom="paragraph">
                    <wp:posOffset>118745</wp:posOffset>
                  </wp:positionV>
                  <wp:extent cx="1806575" cy="2665730"/>
                  <wp:effectExtent l="0" t="0" r="3175" b="1270"/>
                  <wp:wrapTopAndBottom/>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2"/>
                          <a:stretch>
                            <a:fillRect/>
                          </a:stretch>
                        </pic:blipFill>
                        <pic:spPr>
                          <a:xfrm>
                            <a:off x="0" y="0"/>
                            <a:ext cx="1806575" cy="2665730"/>
                          </a:xfrm>
                          <a:prstGeom prst="rect">
                            <a:avLst/>
                          </a:prstGeom>
                          <a:noFill/>
                          <a:ln>
                            <a:noFill/>
                          </a:ln>
                        </pic:spPr>
                      </pic:pic>
                    </a:graphicData>
                  </a:graphic>
                </wp:anchor>
              </w:drawing>
            </w:r>
          </w:p>
          <w:p w14:paraId="5A61AE91">
            <w:pPr>
              <w:adjustRightInd w:val="0"/>
              <w:snapToGrid w:val="0"/>
              <w:spacing w:line="280" w:lineRule="exact"/>
              <w:ind w:firstLine="1200" w:firstLineChars="500"/>
              <w:rPr>
                <w:rFonts w:hint="eastAsia" w:ascii="仿宋" w:hAnsi="仿宋" w:eastAsia="仿宋" w:cs="仿宋"/>
                <w:szCs w:val="21"/>
              </w:rPr>
            </w:pPr>
            <w:r>
              <w:rPr>
                <w:rFonts w:hint="eastAsia" w:ascii="方正仿宋_GB2312" w:hAnsi="方正仿宋_GB2312" w:eastAsia="方正仿宋_GB2312" w:cs="方正仿宋_GB2312"/>
                <w:bCs/>
                <w:sz w:val="24"/>
                <w:lang w:bidi="ar"/>
              </w:rPr>
              <w:t>床厅截面尺寸图</w:t>
            </w:r>
          </w:p>
          <w:p w14:paraId="5BD36DDF">
            <w:pPr>
              <w:adjustRightInd w:val="0"/>
              <w:snapToGrid w:val="0"/>
              <w:spacing w:line="280" w:lineRule="exact"/>
              <w:rPr>
                <w:rFonts w:hint="eastAsia" w:ascii="仿宋" w:hAnsi="仿宋" w:eastAsia="仿宋" w:cs="仿宋"/>
                <w:szCs w:val="21"/>
              </w:rPr>
            </w:pPr>
          </w:p>
          <w:p w14:paraId="59DD625B">
            <w:pPr>
              <w:numPr>
                <w:ilvl w:val="0"/>
                <w:numId w:val="8"/>
              </w:numPr>
              <w:adjustRightInd w:val="0"/>
              <w:snapToGrid w:val="0"/>
              <w:spacing w:line="280" w:lineRule="exact"/>
              <w:rPr>
                <w:rFonts w:hint="eastAsia" w:ascii="仿宋" w:hAnsi="仿宋" w:eastAsia="仿宋" w:cs="仿宋"/>
                <w:szCs w:val="21"/>
              </w:rPr>
            </w:pPr>
            <w:r>
              <w:rPr>
                <w:rFonts w:hint="eastAsia" w:ascii="仿宋" w:hAnsi="仿宋" w:eastAsia="仿宋" w:cs="仿宋"/>
                <w:szCs w:val="21"/>
              </w:rPr>
              <w:t>连接挂件结构：挂件采用下挂式连接（无螺栓），采用2mm 碳素冷轧钢板一次性冲压成型，</w:t>
            </w:r>
            <w:r>
              <w:rPr>
                <w:rFonts w:hint="eastAsia" w:ascii="仿宋" w:hAnsi="仿宋" w:eastAsia="仿宋" w:cs="仿宋"/>
                <w:szCs w:val="21"/>
                <w:highlight w:val="none"/>
              </w:rPr>
              <w:t>（</w:t>
            </w:r>
            <w:r>
              <w:rPr>
                <w:rFonts w:hint="eastAsia" w:ascii="仿宋" w:hAnsi="仿宋" w:eastAsia="仿宋" w:cs="仿宋"/>
                <w:szCs w:val="21"/>
                <w:highlight w:val="none"/>
                <w:lang w:eastAsia="zh-CN"/>
              </w:rPr>
              <w:t>★材料厚度不允许负偏离</w:t>
            </w:r>
            <w:r>
              <w:rPr>
                <w:rFonts w:hint="eastAsia" w:ascii="仿宋" w:hAnsi="仿宋" w:eastAsia="仿宋" w:cs="仿宋"/>
                <w:szCs w:val="21"/>
                <w:highlight w:val="none"/>
              </w:rPr>
              <w:t>）</w:t>
            </w:r>
            <w:r>
              <w:rPr>
                <w:rFonts w:hint="eastAsia" w:ascii="仿宋" w:hAnsi="仿宋" w:eastAsia="仿宋" w:cs="仿宋"/>
                <w:szCs w:val="21"/>
              </w:rPr>
              <w:t>，立柱上经数控冲床加工3个连接孔，通过与挂片无缝式下压连接，实现使用后</w:t>
            </w:r>
            <w:r>
              <w:rPr>
                <w:rFonts w:hint="eastAsia" w:ascii="仿宋" w:hAnsi="仿宋" w:eastAsia="仿宋" w:cs="仿宋"/>
                <w:szCs w:val="21"/>
                <w:highlight w:val="none"/>
              </w:rPr>
              <w:t>越用越紧</w:t>
            </w:r>
            <w:r>
              <w:rPr>
                <w:rFonts w:hint="eastAsia" w:ascii="仿宋" w:hAnsi="仿宋" w:eastAsia="仿宋" w:cs="仿宋"/>
                <w:szCs w:val="21"/>
              </w:rPr>
              <w:t>的状态。</w:t>
            </w:r>
          </w:p>
          <w:p w14:paraId="6C484E93">
            <w:pPr>
              <w:adjustRightInd w:val="0"/>
              <w:snapToGrid w:val="0"/>
              <w:spacing w:line="280" w:lineRule="exact"/>
              <w:ind w:firstLine="1470" w:firstLineChars="700"/>
              <w:rPr>
                <w:rFonts w:ascii="仿宋" w:hAnsi="仿宋" w:eastAsia="仿宋" w:cs="仿宋"/>
                <w:szCs w:val="21"/>
              </w:rPr>
            </w:pPr>
            <w:r>
              <w:drawing>
                <wp:anchor distT="0" distB="0" distL="114300" distR="114300" simplePos="0" relativeHeight="251672576" behindDoc="0" locked="0" layoutInCell="1" allowOverlap="1">
                  <wp:simplePos x="0" y="0"/>
                  <wp:positionH relativeFrom="column">
                    <wp:posOffset>76200</wp:posOffset>
                  </wp:positionH>
                  <wp:positionV relativeFrom="paragraph">
                    <wp:posOffset>41275</wp:posOffset>
                  </wp:positionV>
                  <wp:extent cx="2600325" cy="1217930"/>
                  <wp:effectExtent l="0" t="0" r="9525" b="1270"/>
                  <wp:wrapTopAndBottom/>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13"/>
                          <a:stretch>
                            <a:fillRect/>
                          </a:stretch>
                        </pic:blipFill>
                        <pic:spPr>
                          <a:xfrm>
                            <a:off x="0" y="0"/>
                            <a:ext cx="2600325" cy="1217930"/>
                          </a:xfrm>
                          <a:prstGeom prst="rect">
                            <a:avLst/>
                          </a:prstGeom>
                          <a:noFill/>
                          <a:ln>
                            <a:noFill/>
                          </a:ln>
                        </pic:spPr>
                      </pic:pic>
                    </a:graphicData>
                  </a:graphic>
                </wp:anchor>
              </w:drawing>
            </w:r>
            <w:r>
              <w:rPr>
                <w:rFonts w:hint="eastAsia" w:ascii="仿宋" w:hAnsi="仿宋" w:eastAsia="仿宋" w:cs="仿宋"/>
                <w:szCs w:val="21"/>
              </w:rPr>
              <w:t>卡件示意图</w:t>
            </w:r>
          </w:p>
          <w:p w14:paraId="4638DCBD">
            <w:r>
              <w:rPr>
                <w:rFonts w:hint="eastAsia" w:ascii="仿宋" w:hAnsi="仿宋" w:eastAsia="仿宋" w:cs="仿宋"/>
                <w:szCs w:val="21"/>
              </w:rPr>
              <w:t>▲连接挂件的力学性能（屈服强度、抗拉强度、断后伸长率）、理化性能、可溶性重金属含量、耐湿热≥500h、乙酸盐雾试验≥100h耐腐蚀等级达到10级均检测合格，投标文件中提供带有CMA或CNAS标志的抽样检测报告佐证。</w:t>
            </w:r>
          </w:p>
          <w:p w14:paraId="29C9D129">
            <w:pPr>
              <w:adjustRightInd w:val="0"/>
              <w:snapToGrid w:val="0"/>
              <w:spacing w:line="280" w:lineRule="exact"/>
              <w:rPr>
                <w:rFonts w:hint="eastAsia" w:ascii="仿宋" w:hAnsi="仿宋" w:eastAsia="仿宋" w:cs="仿宋"/>
                <w:szCs w:val="21"/>
              </w:rPr>
            </w:pPr>
            <w:r>
              <w:rPr>
                <w:rFonts w:hint="eastAsia" w:ascii="仿宋" w:hAnsi="仿宋" w:eastAsia="仿宋" w:cs="仿宋"/>
                <w:szCs w:val="21"/>
              </w:rPr>
              <w:t>4.床换：采用</w:t>
            </w:r>
            <w:r>
              <w:rPr>
                <w:rFonts w:hint="eastAsia" w:ascii="仿宋" w:hAnsi="仿宋" w:eastAsia="仿宋" w:cs="仿宋"/>
                <w:szCs w:val="21"/>
                <w:highlight w:val="none"/>
              </w:rPr>
              <w:t>高频</w:t>
            </w:r>
            <w:r>
              <w:rPr>
                <w:rFonts w:hint="eastAsia" w:ascii="仿宋" w:hAnsi="仿宋" w:eastAsia="仿宋" w:cs="仿宋"/>
                <w:szCs w:val="21"/>
              </w:rPr>
              <w:t>闭口异型管，规格:35mm*27mm*0.9mm，支撑两侧带有凹R3圆弧形加强筋，增加韧性，防止学生磕碰，上方为直边，宽度27mm，整体增加其牢固性。</w:t>
            </w:r>
          </w:p>
          <w:p w14:paraId="02890910">
            <w:pPr>
              <w:adjustRightInd w:val="0"/>
              <w:snapToGrid w:val="0"/>
              <w:spacing w:line="280" w:lineRule="exact"/>
              <w:rPr>
                <w:rFonts w:hint="eastAsia" w:ascii="仿宋" w:hAnsi="仿宋" w:eastAsia="仿宋" w:cs="仿宋"/>
                <w:szCs w:val="21"/>
              </w:rPr>
            </w:pPr>
          </w:p>
          <w:p w14:paraId="5823454F">
            <w:pPr>
              <w:adjustRightInd w:val="0"/>
              <w:snapToGrid w:val="0"/>
              <w:spacing w:line="280" w:lineRule="exact"/>
              <w:ind w:firstLine="1440" w:firstLineChars="600"/>
              <w:rPr>
                <w:rFonts w:hint="eastAsia" w:ascii="仿宋" w:hAnsi="仿宋" w:eastAsia="仿宋" w:cs="仿宋"/>
                <w:szCs w:val="21"/>
              </w:rPr>
            </w:pPr>
            <w:r>
              <w:rPr>
                <w:rFonts w:hint="eastAsia" w:ascii="方正仿宋_GB2312" w:hAnsi="方正仿宋_GB2312" w:eastAsia="方正仿宋_GB2312" w:cs="方正仿宋_GB2312"/>
                <w:sz w:val="24"/>
              </w:rPr>
              <w:drawing>
                <wp:anchor distT="0" distB="0" distL="114300" distR="114300" simplePos="0" relativeHeight="251673600" behindDoc="0" locked="0" layoutInCell="1" allowOverlap="1">
                  <wp:simplePos x="0" y="0"/>
                  <wp:positionH relativeFrom="column">
                    <wp:posOffset>46355</wp:posOffset>
                  </wp:positionH>
                  <wp:positionV relativeFrom="paragraph">
                    <wp:posOffset>2540</wp:posOffset>
                  </wp:positionV>
                  <wp:extent cx="2670175" cy="2319020"/>
                  <wp:effectExtent l="0" t="0" r="15875" b="5080"/>
                  <wp:wrapTopAndBottom/>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1"/>
                          <a:stretch>
                            <a:fillRect/>
                          </a:stretch>
                        </pic:blipFill>
                        <pic:spPr>
                          <a:xfrm>
                            <a:off x="0" y="0"/>
                            <a:ext cx="2670175" cy="2319020"/>
                          </a:xfrm>
                          <a:prstGeom prst="rect">
                            <a:avLst/>
                          </a:prstGeom>
                          <a:noFill/>
                          <a:ln>
                            <a:noFill/>
                          </a:ln>
                        </pic:spPr>
                      </pic:pic>
                    </a:graphicData>
                  </a:graphic>
                </wp:anchor>
              </w:drawing>
            </w:r>
            <w:r>
              <w:rPr>
                <w:rFonts w:hint="eastAsia" w:ascii="仿宋" w:hAnsi="仿宋" w:eastAsia="仿宋" w:cs="仿宋"/>
                <w:szCs w:val="21"/>
              </w:rPr>
              <w:t>床换截面尺寸图</w:t>
            </w:r>
          </w:p>
          <w:p w14:paraId="6C378F45">
            <w:pPr>
              <w:adjustRightInd w:val="0"/>
              <w:snapToGrid w:val="0"/>
              <w:spacing w:line="280" w:lineRule="exact"/>
              <w:ind w:firstLine="1260" w:firstLineChars="600"/>
              <w:rPr>
                <w:rFonts w:hint="eastAsia" w:ascii="仿宋" w:hAnsi="仿宋" w:eastAsia="仿宋" w:cs="仿宋"/>
                <w:szCs w:val="21"/>
              </w:rPr>
            </w:pPr>
          </w:p>
          <w:p w14:paraId="3D59E104">
            <w:pPr>
              <w:numPr>
                <w:ilvl w:val="0"/>
                <w:numId w:val="9"/>
              </w:numPr>
              <w:adjustRightInd w:val="0"/>
              <w:snapToGrid w:val="0"/>
              <w:spacing w:line="280" w:lineRule="exact"/>
              <w:rPr>
                <w:rFonts w:hint="eastAsia" w:ascii="仿宋" w:hAnsi="仿宋" w:eastAsia="仿宋" w:cs="仿宋"/>
                <w:szCs w:val="21"/>
                <w:highlight w:val="yellow"/>
              </w:rPr>
            </w:pPr>
            <w:r>
              <w:rPr>
                <w:rFonts w:hint="eastAsia" w:ascii="仿宋" w:hAnsi="仿宋" w:eastAsia="仿宋" w:cs="仿宋"/>
                <w:szCs w:val="21"/>
              </w:rPr>
              <w:t>前护栏规格：长1350*高350mm基材采用25*25*.1.2mm方管制作。下方镶嵌木板采用16mm厚刨花板制作，木板上开设三个装饰观察口装饰扣为塑料材质、</w:t>
            </w:r>
            <w:r>
              <w:rPr>
                <w:rFonts w:hint="eastAsia" w:ascii="仿宋" w:hAnsi="仿宋" w:eastAsia="仿宋" w:cs="仿宋"/>
                <w:szCs w:val="21"/>
                <w:highlight w:val="none"/>
              </w:rPr>
              <w:t>▲小装饰观察口（可选择开口或者封闭）尺寸为205*150mm。</w:t>
            </w:r>
          </w:p>
          <w:p w14:paraId="2C1B322F">
            <w:pPr>
              <w:adjustRightInd w:val="0"/>
              <w:snapToGrid w:val="0"/>
              <w:spacing w:line="280" w:lineRule="exact"/>
              <w:ind w:firstLine="1440" w:firstLineChars="600"/>
              <w:rPr>
                <w:rFonts w:ascii="仿宋" w:hAnsi="仿宋" w:eastAsia="仿宋" w:cs="仿宋"/>
                <w:szCs w:val="21"/>
                <w:highlight w:val="yellow"/>
              </w:rPr>
            </w:pPr>
            <w:r>
              <w:rPr>
                <w:rFonts w:hint="eastAsia" w:ascii="方正仿宋_GB2312" w:hAnsi="方正仿宋_GB2312" w:eastAsia="方正仿宋_GB2312" w:cs="方正仿宋_GB2312"/>
                <w:sz w:val="24"/>
              </w:rPr>
              <w:drawing>
                <wp:anchor distT="0" distB="0" distL="114300" distR="114300" simplePos="0" relativeHeight="251662336" behindDoc="0" locked="0" layoutInCell="1" allowOverlap="1">
                  <wp:simplePos x="0" y="0"/>
                  <wp:positionH relativeFrom="column">
                    <wp:posOffset>-19050</wp:posOffset>
                  </wp:positionH>
                  <wp:positionV relativeFrom="paragraph">
                    <wp:posOffset>-7958455</wp:posOffset>
                  </wp:positionV>
                  <wp:extent cx="1642745" cy="562610"/>
                  <wp:effectExtent l="0" t="0" r="14605" b="8890"/>
                  <wp:wrapTopAndBottom/>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14"/>
                          <a:stretch>
                            <a:fillRect/>
                          </a:stretch>
                        </pic:blipFill>
                        <pic:spPr>
                          <a:xfrm>
                            <a:off x="0" y="0"/>
                            <a:ext cx="1642745" cy="562610"/>
                          </a:xfrm>
                          <a:prstGeom prst="rect">
                            <a:avLst/>
                          </a:prstGeom>
                          <a:noFill/>
                          <a:ln>
                            <a:noFill/>
                          </a:ln>
                        </pic:spPr>
                      </pic:pic>
                    </a:graphicData>
                  </a:graphic>
                </wp:anchor>
              </w:drawing>
            </w:r>
            <w:r>
              <w:drawing>
                <wp:anchor distT="0" distB="0" distL="114300" distR="114300" simplePos="0" relativeHeight="251663360" behindDoc="0" locked="0" layoutInCell="1" allowOverlap="1">
                  <wp:simplePos x="0" y="0"/>
                  <wp:positionH relativeFrom="column">
                    <wp:posOffset>1660525</wp:posOffset>
                  </wp:positionH>
                  <wp:positionV relativeFrom="paragraph">
                    <wp:posOffset>-8134985</wp:posOffset>
                  </wp:positionV>
                  <wp:extent cx="1083310" cy="951865"/>
                  <wp:effectExtent l="0" t="0" r="2540" b="635"/>
                  <wp:wrapTopAndBottom/>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15"/>
                          <a:stretch>
                            <a:fillRect/>
                          </a:stretch>
                        </pic:blipFill>
                        <pic:spPr>
                          <a:xfrm>
                            <a:off x="0" y="0"/>
                            <a:ext cx="1083310" cy="951865"/>
                          </a:xfrm>
                          <a:prstGeom prst="rect">
                            <a:avLst/>
                          </a:prstGeom>
                          <a:noFill/>
                          <a:ln>
                            <a:noFill/>
                          </a:ln>
                        </pic:spPr>
                      </pic:pic>
                    </a:graphicData>
                  </a:graphic>
                </wp:anchor>
              </w:drawing>
            </w:r>
            <w:r>
              <w:rPr>
                <w:rFonts w:hint="eastAsia" w:ascii="仿宋" w:hAnsi="仿宋" w:eastAsia="仿宋" w:cs="仿宋"/>
                <w:szCs w:val="21"/>
              </w:rPr>
              <w:t>前护栏示意图</w:t>
            </w:r>
          </w:p>
          <w:p w14:paraId="5BBDB847">
            <w:pPr>
              <w:numPr>
                <w:ilvl w:val="0"/>
                <w:numId w:val="9"/>
              </w:numPr>
              <w:adjustRightInd w:val="0"/>
              <w:snapToGrid w:val="0"/>
              <w:spacing w:line="280" w:lineRule="exact"/>
              <w:rPr>
                <w:rFonts w:ascii="仿宋" w:hAnsi="仿宋" w:eastAsia="仿宋" w:cs="仿宋"/>
                <w:szCs w:val="21"/>
              </w:rPr>
            </w:pPr>
            <w:r>
              <w:rPr>
                <w:rFonts w:hint="eastAsia" w:ascii="仿宋" w:hAnsi="仿宋" w:eastAsia="仿宋" w:cs="仿宋"/>
                <w:szCs w:val="21"/>
              </w:rPr>
              <w:t>爬梯为四步设计，采用20*40*1.2mm，椭圆钢管，踏步板采用冷轧防滑钢板一次冲压成型规格360*100mm，中间带夜光防滑卡片规格：260*50mm。</w:t>
            </w:r>
          </w:p>
          <w:p w14:paraId="1B31E351">
            <w:pPr>
              <w:rPr>
                <w:rFonts w:hint="eastAsia"/>
              </w:rPr>
            </w:pPr>
            <w:r>
              <w:rPr>
                <w:rFonts w:hint="eastAsia" w:ascii="仿宋" w:hAnsi="仿宋" w:eastAsia="仿宋" w:cs="仿宋"/>
                <w:szCs w:val="21"/>
              </w:rPr>
              <w:t>▲冷轧钢板的抗拉强度、屈服强度、断后伸长率、化学成分、晶粒度、疲劳试验（循环周次≥20万次）、流动混合气体腐蚀试验、人工气候老化120h、旋转弯曲疲劳试验（循环周次≥20万次）均检测合格，投标文件中提供带有CMA或CNAS标志的抽样检测报告佐证。</w:t>
            </w:r>
          </w:p>
          <w:p w14:paraId="272F3A54">
            <w:pPr>
              <w:adjustRightInd w:val="0"/>
              <w:snapToGrid w:val="0"/>
              <w:spacing w:line="280" w:lineRule="exact"/>
              <w:ind w:firstLine="1440" w:firstLineChars="600"/>
              <w:rPr>
                <w:rFonts w:ascii="仿宋" w:hAnsi="仿宋" w:eastAsia="仿宋" w:cs="仿宋"/>
                <w:szCs w:val="21"/>
              </w:rPr>
            </w:pPr>
            <w:r>
              <w:rPr>
                <w:rFonts w:hint="eastAsia" w:ascii="方正仿宋_GB2312" w:hAnsi="方正仿宋_GB2312" w:eastAsia="方正仿宋_GB2312" w:cs="方正仿宋_GB2312"/>
                <w:sz w:val="24"/>
              </w:rPr>
              <w:drawing>
                <wp:anchor distT="0" distB="0" distL="114300" distR="114300" simplePos="0" relativeHeight="251664384" behindDoc="0" locked="0" layoutInCell="1" allowOverlap="1">
                  <wp:simplePos x="0" y="0"/>
                  <wp:positionH relativeFrom="column">
                    <wp:posOffset>191135</wp:posOffset>
                  </wp:positionH>
                  <wp:positionV relativeFrom="paragraph">
                    <wp:posOffset>54610</wp:posOffset>
                  </wp:positionV>
                  <wp:extent cx="2446020" cy="1215390"/>
                  <wp:effectExtent l="0" t="0" r="11430" b="3810"/>
                  <wp:wrapTopAndBottom/>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16"/>
                          <a:stretch>
                            <a:fillRect/>
                          </a:stretch>
                        </pic:blipFill>
                        <pic:spPr>
                          <a:xfrm>
                            <a:off x="0" y="0"/>
                            <a:ext cx="2446020" cy="1215390"/>
                          </a:xfrm>
                          <a:prstGeom prst="rect">
                            <a:avLst/>
                          </a:prstGeom>
                          <a:noFill/>
                          <a:ln>
                            <a:noFill/>
                          </a:ln>
                        </pic:spPr>
                      </pic:pic>
                    </a:graphicData>
                  </a:graphic>
                </wp:anchor>
              </w:drawing>
            </w:r>
            <w:r>
              <w:rPr>
                <w:rFonts w:hint="eastAsia" w:ascii="仿宋" w:hAnsi="仿宋" w:eastAsia="仿宋" w:cs="仿宋"/>
                <w:szCs w:val="21"/>
              </w:rPr>
              <w:t>踏步示意图</w:t>
            </w:r>
          </w:p>
          <w:p w14:paraId="34F3EAC4">
            <w:pPr>
              <w:adjustRightInd w:val="0"/>
              <w:snapToGrid w:val="0"/>
              <w:spacing w:line="280" w:lineRule="exact"/>
              <w:rPr>
                <w:rFonts w:hint="eastAsia" w:ascii="仿宋" w:hAnsi="仿宋" w:eastAsia="仿宋" w:cs="仿宋"/>
                <w:szCs w:val="21"/>
              </w:rPr>
            </w:pPr>
            <w:r>
              <w:rPr>
                <w:rFonts w:hint="eastAsia" w:ascii="仿宋" w:hAnsi="仿宋" w:eastAsia="仿宋" w:cs="仿宋"/>
                <w:szCs w:val="21"/>
              </w:rPr>
              <w:t xml:space="preserve">                               </w:t>
            </w:r>
          </w:p>
          <w:p w14:paraId="0F7686E0">
            <w:pPr>
              <w:adjustRightInd w:val="0"/>
              <w:snapToGrid w:val="0"/>
              <w:spacing w:line="280" w:lineRule="exact"/>
              <w:rPr>
                <w:rFonts w:hint="eastAsia" w:ascii="仿宋" w:hAnsi="仿宋" w:eastAsia="仿宋" w:cs="仿宋"/>
                <w:szCs w:val="21"/>
              </w:rPr>
            </w:pPr>
            <w:r>
              <w:rPr>
                <w:rFonts w:hint="eastAsia" w:ascii="仿宋" w:hAnsi="仿宋" w:eastAsia="仿宋" w:cs="仿宋"/>
                <w:szCs w:val="21"/>
              </w:rPr>
              <w:t>7.床头护栏中护栏采用25*25*1.2mm方管制作，下侧镶嵌16mm刨花板</w:t>
            </w:r>
          </w:p>
          <w:p w14:paraId="3335F88F">
            <w:pPr>
              <w:adjustRightInd w:val="0"/>
              <w:snapToGrid w:val="0"/>
              <w:spacing w:line="280" w:lineRule="exact"/>
              <w:rPr>
                <w:rFonts w:ascii="仿宋" w:hAnsi="仿宋" w:eastAsia="仿宋" w:cs="仿宋"/>
                <w:szCs w:val="21"/>
              </w:rPr>
            </w:pPr>
            <w:r>
              <w:rPr>
                <w:rFonts w:hint="eastAsia" w:ascii="仿宋" w:hAnsi="仿宋" w:eastAsia="仿宋" w:cs="仿宋"/>
                <w:szCs w:val="21"/>
              </w:rPr>
              <w:t>8.床板床铺板：采用双面刨光环保（杉）木条拼接而成，干燥、防虫处理，厚度15mm，下方采用4条加强筋，铺板与床架内空尺寸匹配.</w:t>
            </w:r>
          </w:p>
          <w:p w14:paraId="10684ACD">
            <w:pPr>
              <w:adjustRightInd w:val="0"/>
              <w:snapToGrid w:val="0"/>
              <w:spacing w:line="280" w:lineRule="exact"/>
              <w:rPr>
                <w:rFonts w:hint="eastAsia" w:ascii="仿宋" w:hAnsi="仿宋" w:eastAsia="仿宋" w:cs="仿宋"/>
                <w:szCs w:val="21"/>
              </w:rPr>
            </w:pPr>
            <w:r>
              <w:rPr>
                <w:rFonts w:hint="eastAsia" w:ascii="仿宋" w:hAnsi="仿宋" w:eastAsia="仿宋" w:cs="仿宋"/>
                <w:szCs w:val="21"/>
              </w:rPr>
              <w:t>▲杉木床板的含水率、吸水厚度膨胀率（2h）、耐光色牢度、表面耐冷热循环、气干密度、表面耐划痕、表面耐磨性能；苯、甲苯、二甲苯、氨释放量、TVOC含量均为未检出、甲醛释放量≤0.025mg/m3、树种鉴定均检测合格，投标文件中提供带有CMA或CNAS标志的抽样检测报告佐证。</w:t>
            </w:r>
          </w:p>
          <w:p w14:paraId="4DEBFFDA">
            <w:pPr>
              <w:adjustRightInd w:val="0"/>
              <w:snapToGrid w:val="0"/>
              <w:spacing w:line="280" w:lineRule="exact"/>
              <w:rPr>
                <w:rFonts w:hint="eastAsia" w:ascii="仿宋" w:hAnsi="仿宋" w:eastAsia="仿宋" w:cs="仿宋"/>
                <w:szCs w:val="21"/>
              </w:rPr>
            </w:pPr>
            <w:r>
              <w:rPr>
                <w:rFonts w:hint="eastAsia" w:ascii="仿宋" w:hAnsi="仿宋" w:eastAsia="仿宋" w:cs="仿宋"/>
                <w:szCs w:val="21"/>
              </w:rPr>
              <w:t>9.蚊帐杆规格≥￠19×1.0mm圆管。蚊帐杆底座内外套与立柱嵌入连接，结构牢固，不易拔出。</w:t>
            </w:r>
          </w:p>
        </w:tc>
        <w:tc>
          <w:tcPr>
            <w:tcW w:w="2370" w:type="dxa"/>
            <w:noWrap w:val="0"/>
            <w:vAlign w:val="center"/>
          </w:tcPr>
          <w:p w14:paraId="5DFFB79B">
            <w:pPr>
              <w:jc w:val="center"/>
              <w:rPr>
                <w:rFonts w:hint="eastAsia" w:ascii="仿宋" w:hAnsi="仿宋" w:eastAsia="仿宋" w:cs="仿宋"/>
                <w:szCs w:val="21"/>
              </w:rPr>
            </w:pPr>
            <w:r>
              <w:drawing>
                <wp:inline distT="0" distB="0" distL="114300" distR="114300">
                  <wp:extent cx="1343025" cy="1072515"/>
                  <wp:effectExtent l="0" t="0" r="9525" b="133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7"/>
                          <a:stretch>
                            <a:fillRect/>
                          </a:stretch>
                        </pic:blipFill>
                        <pic:spPr>
                          <a:xfrm>
                            <a:off x="0" y="0"/>
                            <a:ext cx="1343025" cy="1072515"/>
                          </a:xfrm>
                          <a:prstGeom prst="rect">
                            <a:avLst/>
                          </a:prstGeom>
                          <a:noFill/>
                          <a:ln>
                            <a:noFill/>
                          </a:ln>
                        </pic:spPr>
                      </pic:pic>
                    </a:graphicData>
                  </a:graphic>
                </wp:inline>
              </w:drawing>
            </w:r>
          </w:p>
        </w:tc>
      </w:tr>
      <w:tr w14:paraId="4303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center"/>
          </w:tcPr>
          <w:p w14:paraId="241BB895">
            <w:pPr>
              <w:jc w:val="center"/>
              <w:rPr>
                <w:rFonts w:ascii="仿宋" w:hAnsi="仿宋" w:eastAsia="仿宋" w:cs="仿宋"/>
                <w:szCs w:val="21"/>
              </w:rPr>
            </w:pPr>
            <w:r>
              <w:rPr>
                <w:rFonts w:hint="eastAsia" w:ascii="仿宋" w:hAnsi="仿宋" w:eastAsia="仿宋" w:cs="仿宋"/>
                <w:szCs w:val="21"/>
              </w:rPr>
              <w:t>2</w:t>
            </w:r>
          </w:p>
        </w:tc>
        <w:tc>
          <w:tcPr>
            <w:tcW w:w="1122" w:type="dxa"/>
            <w:noWrap w:val="0"/>
            <w:vAlign w:val="center"/>
          </w:tcPr>
          <w:p w14:paraId="343FA685">
            <w:pPr>
              <w:adjustRightInd w:val="0"/>
              <w:snapToGrid w:val="0"/>
              <w:spacing w:before="156" w:beforeLines="50" w:line="360" w:lineRule="auto"/>
              <w:jc w:val="center"/>
              <w:rPr>
                <w:rFonts w:hint="eastAsia" w:ascii="仿宋" w:hAnsi="仿宋" w:eastAsia="仿宋" w:cs="仿宋"/>
                <w:szCs w:val="21"/>
              </w:rPr>
            </w:pPr>
            <w:r>
              <w:rPr>
                <w:rFonts w:hint="eastAsia" w:ascii="仿宋" w:hAnsi="仿宋" w:eastAsia="仿宋" w:cs="仿宋"/>
                <w:szCs w:val="21"/>
              </w:rPr>
              <w:t>单联上下床</w:t>
            </w:r>
          </w:p>
        </w:tc>
        <w:tc>
          <w:tcPr>
            <w:tcW w:w="4609" w:type="dxa"/>
            <w:noWrap w:val="0"/>
            <w:vAlign w:val="center"/>
          </w:tcPr>
          <w:p w14:paraId="3B4F3A85">
            <w:pPr>
              <w:spacing w:line="280" w:lineRule="exact"/>
              <w:rPr>
                <w:rFonts w:hint="eastAsia" w:ascii="仿宋" w:hAnsi="仿宋" w:eastAsia="仿宋" w:cs="仿宋"/>
                <w:szCs w:val="21"/>
              </w:rPr>
            </w:pPr>
            <w:r>
              <w:rPr>
                <w:rFonts w:hint="eastAsia" w:ascii="仿宋" w:hAnsi="仿宋" w:eastAsia="仿宋" w:cs="仿宋"/>
                <w:szCs w:val="21"/>
              </w:rPr>
              <w:t>各零件、组合件表面应光滑、平整、不得有尖角突起；焊接件应牢固，无焊渣、无虚焊、无焊穿、焊痕光滑平整；喷塑涂层不脱落，漆膜无橘皮，无流挂，无返锈，色泽均匀。整体规格单联上下铺位：2000*900*2100mm（不包含蚊帐杆尺寸）</w:t>
            </w:r>
          </w:p>
          <w:p w14:paraId="75B324F9">
            <w:pPr>
              <w:numPr>
                <w:ilvl w:val="0"/>
                <w:numId w:val="10"/>
              </w:numPr>
              <w:spacing w:line="280" w:lineRule="exact"/>
              <w:rPr>
                <w:rFonts w:hint="eastAsia" w:ascii="仿宋" w:hAnsi="仿宋" w:eastAsia="仿宋" w:cs="仿宋"/>
                <w:szCs w:val="21"/>
              </w:rPr>
            </w:pPr>
            <w:r>
              <w:rPr>
                <w:rFonts w:hint="eastAsia" w:ascii="仿宋" w:hAnsi="仿宋" w:eastAsia="仿宋" w:cs="仿宋"/>
                <w:szCs w:val="21"/>
              </w:rPr>
              <w:t>立柱采用截面76*76mm壁厚为1.2mm的</w:t>
            </w:r>
            <w:r>
              <w:rPr>
                <w:rFonts w:hint="eastAsia" w:ascii="仿宋" w:hAnsi="仿宋" w:eastAsia="仿宋" w:cs="仿宋"/>
                <w:szCs w:val="21"/>
                <w:highlight w:val="none"/>
              </w:rPr>
              <w:t>频焊接封口异型型材</w:t>
            </w:r>
            <w:r>
              <w:rPr>
                <w:rFonts w:hint="eastAsia" w:ascii="仿宋" w:hAnsi="仿宋" w:eastAsia="仿宋" w:cs="仿宋"/>
                <w:szCs w:val="21"/>
              </w:rPr>
              <w:t>，外口多段圆角避免使用时磕碰，采用冷轧带钢，采用</w:t>
            </w:r>
            <w:r>
              <w:rPr>
                <w:rFonts w:hint="eastAsia" w:ascii="仿宋" w:hAnsi="仿宋" w:eastAsia="仿宋" w:cs="仿宋"/>
                <w:szCs w:val="21"/>
                <w:highlight w:val="none"/>
              </w:rPr>
              <w:t>大型焊管设备经多道连续变形模辊压</w:t>
            </w:r>
            <w:r>
              <w:rPr>
                <w:rFonts w:hint="eastAsia" w:ascii="仿宋" w:hAnsi="仿宋" w:eastAsia="仿宋" w:cs="仿宋"/>
                <w:szCs w:val="21"/>
              </w:rPr>
              <w:t>、定径模挤成型，</w:t>
            </w:r>
            <w:r>
              <w:rPr>
                <w:rFonts w:hint="eastAsia" w:ascii="仿宋" w:hAnsi="仿宋" w:eastAsia="仿宋" w:cs="仿宋"/>
                <w:szCs w:val="21"/>
                <w:highlight w:val="none"/>
              </w:rPr>
              <w:t>自动高频焊接成闭口型管材</w:t>
            </w:r>
            <w:r>
              <w:rPr>
                <w:rFonts w:hint="eastAsia" w:ascii="仿宋" w:hAnsi="仿宋" w:eastAsia="仿宋" w:cs="仿宋"/>
                <w:szCs w:val="21"/>
              </w:rPr>
              <w:t xml:space="preserve"> 。立柱端口采用 PP 塑料的静音上</w:t>
            </w:r>
            <w:r>
              <w:rPr>
                <w:rFonts w:hint="eastAsia" w:ascii="方正仿宋_GB2312" w:hAnsi="方正仿宋_GB2312" w:eastAsia="方正仿宋_GB2312" w:cs="方正仿宋_GB2312"/>
                <w:sz w:val="24"/>
              </w:rPr>
              <w:drawing>
                <wp:anchor distT="0" distB="0" distL="114300" distR="114300" simplePos="0" relativeHeight="251665408" behindDoc="0" locked="0" layoutInCell="1" allowOverlap="1">
                  <wp:simplePos x="0" y="0"/>
                  <wp:positionH relativeFrom="column">
                    <wp:posOffset>139700</wp:posOffset>
                  </wp:positionH>
                  <wp:positionV relativeFrom="paragraph">
                    <wp:posOffset>36195</wp:posOffset>
                  </wp:positionV>
                  <wp:extent cx="2388235" cy="2685415"/>
                  <wp:effectExtent l="0" t="0" r="12065" b="635"/>
                  <wp:wrapTopAndBottom/>
                  <wp:docPr id="24" name="图片 10" descr="b9934f6b05b31c4020cae23ec53c7b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descr="b9934f6b05b31c4020cae23ec53c7b49"/>
                          <pic:cNvPicPr>
                            <a:picLocks noChangeAspect="1"/>
                          </pic:cNvPicPr>
                        </pic:nvPicPr>
                        <pic:blipFill>
                          <a:blip r:embed="rId10"/>
                          <a:stretch>
                            <a:fillRect/>
                          </a:stretch>
                        </pic:blipFill>
                        <pic:spPr>
                          <a:xfrm>
                            <a:off x="0" y="0"/>
                            <a:ext cx="2388235" cy="2685415"/>
                          </a:xfrm>
                          <a:prstGeom prst="rect">
                            <a:avLst/>
                          </a:prstGeom>
                          <a:noFill/>
                          <a:ln>
                            <a:noFill/>
                          </a:ln>
                        </pic:spPr>
                      </pic:pic>
                    </a:graphicData>
                  </a:graphic>
                </wp:anchor>
              </w:drawing>
            </w:r>
            <w:r>
              <w:rPr>
                <w:rFonts w:hint="eastAsia" w:ascii="仿宋" w:hAnsi="仿宋" w:eastAsia="仿宋" w:cs="仿宋"/>
                <w:szCs w:val="21"/>
              </w:rPr>
              <w:t>下塑料件。</w:t>
            </w:r>
          </w:p>
          <w:p w14:paraId="660CA0FF">
            <w:pPr>
              <w:spacing w:line="280" w:lineRule="exact"/>
              <w:rPr>
                <w:rFonts w:hint="eastAsia" w:ascii="仿宋" w:hAnsi="仿宋" w:eastAsia="仿宋" w:cs="仿宋"/>
                <w:szCs w:val="21"/>
              </w:rPr>
            </w:pPr>
          </w:p>
          <w:p w14:paraId="76C33354">
            <w:pPr>
              <w:spacing w:line="280" w:lineRule="exact"/>
              <w:rPr>
                <w:rFonts w:hint="eastAsia" w:ascii="仿宋" w:hAnsi="仿宋" w:eastAsia="仿宋" w:cs="仿宋"/>
                <w:szCs w:val="21"/>
              </w:rPr>
            </w:pPr>
          </w:p>
          <w:p w14:paraId="4209D235">
            <w:pPr>
              <w:adjustRightInd w:val="0"/>
              <w:snapToGrid w:val="0"/>
              <w:spacing w:line="280" w:lineRule="exact"/>
              <w:ind w:firstLine="1200" w:firstLineChars="500"/>
              <w:rPr>
                <w:rFonts w:hint="eastAsia" w:ascii="仿宋" w:hAnsi="仿宋" w:eastAsia="仿宋" w:cs="仿宋"/>
                <w:szCs w:val="21"/>
              </w:rPr>
            </w:pPr>
            <w:r>
              <w:rPr>
                <w:rFonts w:hint="eastAsia" w:ascii="方正仿宋_GB2312" w:hAnsi="方正仿宋_GB2312" w:eastAsia="方正仿宋_GB2312" w:cs="方正仿宋_GB2312"/>
                <w:bCs/>
                <w:sz w:val="24"/>
              </w:rPr>
              <w:t>床立柱截面尺寸图</w:t>
            </w:r>
          </w:p>
          <w:p w14:paraId="37BBE858">
            <w:pPr>
              <w:spacing w:line="280" w:lineRule="exact"/>
              <w:rPr>
                <w:rFonts w:hint="eastAsia" w:ascii="仿宋" w:hAnsi="仿宋" w:eastAsia="仿宋" w:cs="仿宋"/>
                <w:szCs w:val="21"/>
              </w:rPr>
            </w:pPr>
          </w:p>
          <w:p w14:paraId="57F5B85D">
            <w:pPr>
              <w:numPr>
                <w:ilvl w:val="0"/>
                <w:numId w:val="10"/>
              </w:numPr>
              <w:spacing w:line="280" w:lineRule="exact"/>
              <w:rPr>
                <w:rFonts w:hint="eastAsia" w:ascii="仿宋" w:hAnsi="仿宋" w:eastAsia="仿宋" w:cs="仿宋"/>
                <w:szCs w:val="21"/>
              </w:rPr>
            </w:pPr>
            <w:r>
              <w:rPr>
                <w:rFonts w:hint="eastAsia" w:ascii="仿宋" w:hAnsi="仿宋" w:eastAsia="仿宋" w:cs="仿宋"/>
                <w:szCs w:val="21"/>
              </w:rPr>
              <w:t>横梁采用截面规格为93mm×34mm，壁厚为1.2mm的</w:t>
            </w:r>
            <w:r>
              <w:rPr>
                <w:rFonts w:hint="eastAsia" w:ascii="仿宋" w:hAnsi="仿宋" w:eastAsia="仿宋" w:cs="仿宋"/>
                <w:szCs w:val="21"/>
                <w:highlight w:val="none"/>
              </w:rPr>
              <w:t>高频焊接封口型管材</w:t>
            </w:r>
            <w:r>
              <w:rPr>
                <w:rFonts w:hint="eastAsia" w:ascii="仿宋" w:hAnsi="仿宋" w:eastAsia="仿宋" w:cs="仿宋"/>
                <w:szCs w:val="21"/>
              </w:rPr>
              <w:t>，型材成型方式为</w:t>
            </w:r>
            <w:r>
              <w:rPr>
                <w:rFonts w:hint="eastAsia" w:ascii="仿宋" w:hAnsi="仿宋" w:eastAsia="仿宋" w:cs="仿宋"/>
                <w:szCs w:val="21"/>
                <w:highlight w:val="none"/>
              </w:rPr>
              <w:t>冷轧钢板经成型线轧制而成</w:t>
            </w:r>
            <w:r>
              <w:rPr>
                <w:rFonts w:hint="eastAsia" w:ascii="仿宋" w:hAnsi="仿宋" w:eastAsia="仿宋" w:cs="仿宋"/>
                <w:szCs w:val="21"/>
              </w:rPr>
              <w:t>，中间一根凸起的加强筋，四边倒圆角。</w:t>
            </w:r>
          </w:p>
          <w:p w14:paraId="5F992363">
            <w:pPr>
              <w:spacing w:line="280" w:lineRule="exact"/>
              <w:rPr>
                <w:rFonts w:hint="eastAsia" w:ascii="仿宋" w:hAnsi="仿宋" w:eastAsia="仿宋" w:cs="仿宋"/>
                <w:szCs w:val="21"/>
              </w:rPr>
            </w:pPr>
          </w:p>
          <w:p w14:paraId="4D031BEE">
            <w:pPr>
              <w:adjustRightInd w:val="0"/>
              <w:snapToGrid w:val="0"/>
              <w:spacing w:line="280" w:lineRule="exact"/>
              <w:ind w:firstLine="960" w:firstLineChars="400"/>
              <w:rPr>
                <w:rFonts w:hint="eastAsia" w:ascii="仿宋" w:hAnsi="仿宋" w:eastAsia="仿宋" w:cs="仿宋"/>
                <w:szCs w:val="21"/>
              </w:rPr>
            </w:pPr>
            <w:r>
              <w:rPr>
                <w:rFonts w:hint="eastAsia" w:ascii="方正仿宋_GB2312" w:hAnsi="方正仿宋_GB2312" w:eastAsia="方正仿宋_GB2312" w:cs="方正仿宋_GB2312"/>
                <w:bCs/>
                <w:sz w:val="24"/>
                <w:lang w:bidi="ar"/>
              </w:rPr>
              <w:t>床厅截面尺寸图</w:t>
            </w:r>
          </w:p>
          <w:p w14:paraId="1A9B78CC">
            <w:pPr>
              <w:spacing w:line="280" w:lineRule="exact"/>
              <w:rPr>
                <w:rFonts w:hint="eastAsia" w:ascii="仿宋" w:hAnsi="仿宋" w:eastAsia="仿宋" w:cs="仿宋"/>
                <w:szCs w:val="21"/>
              </w:rPr>
            </w:pPr>
            <w:r>
              <w:rPr>
                <w:rFonts w:hint="eastAsia" w:ascii="方正仿宋_GB2312" w:hAnsi="方正仿宋_GB2312" w:eastAsia="方正仿宋_GB2312" w:cs="方正仿宋_GB2312"/>
                <w:sz w:val="24"/>
              </w:rPr>
              <w:drawing>
                <wp:anchor distT="0" distB="0" distL="114300" distR="114300" simplePos="0" relativeHeight="251666432" behindDoc="0" locked="0" layoutInCell="1" allowOverlap="1">
                  <wp:simplePos x="0" y="0"/>
                  <wp:positionH relativeFrom="column">
                    <wp:posOffset>468630</wp:posOffset>
                  </wp:positionH>
                  <wp:positionV relativeFrom="paragraph">
                    <wp:posOffset>162560</wp:posOffset>
                  </wp:positionV>
                  <wp:extent cx="1763395" cy="2600960"/>
                  <wp:effectExtent l="0" t="0" r="8255" b="8890"/>
                  <wp:wrapTopAndBottom/>
                  <wp:docPr id="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pic:cNvPicPr>
                            <a:picLocks noChangeAspect="1"/>
                          </pic:cNvPicPr>
                        </pic:nvPicPr>
                        <pic:blipFill>
                          <a:blip r:embed="rId12"/>
                          <a:stretch>
                            <a:fillRect/>
                          </a:stretch>
                        </pic:blipFill>
                        <pic:spPr>
                          <a:xfrm>
                            <a:off x="0" y="0"/>
                            <a:ext cx="1763395" cy="2600960"/>
                          </a:xfrm>
                          <a:prstGeom prst="rect">
                            <a:avLst/>
                          </a:prstGeom>
                          <a:noFill/>
                          <a:ln>
                            <a:noFill/>
                          </a:ln>
                        </pic:spPr>
                      </pic:pic>
                    </a:graphicData>
                  </a:graphic>
                </wp:anchor>
              </w:drawing>
            </w:r>
          </w:p>
          <w:p w14:paraId="7966B262">
            <w:pPr>
              <w:numPr>
                <w:ilvl w:val="0"/>
                <w:numId w:val="10"/>
              </w:numPr>
              <w:spacing w:line="280" w:lineRule="exact"/>
              <w:rPr>
                <w:rFonts w:hint="eastAsia" w:ascii="仿宋" w:hAnsi="仿宋" w:eastAsia="仿宋" w:cs="仿宋"/>
                <w:szCs w:val="21"/>
              </w:rPr>
            </w:pPr>
            <w:r>
              <w:rPr>
                <w:rFonts w:hint="eastAsia" w:ascii="仿宋" w:hAnsi="仿宋" w:eastAsia="仿宋" w:cs="仿宋"/>
                <w:szCs w:val="21"/>
              </w:rPr>
              <w:t>卡式挂件结构：挂件采用下挂式连接（无螺栓），采用2mm 碳素冷轧钢板</w:t>
            </w:r>
            <w:r>
              <w:rPr>
                <w:rFonts w:hint="eastAsia" w:ascii="仿宋" w:hAnsi="仿宋" w:eastAsia="仿宋" w:cs="仿宋"/>
                <w:szCs w:val="21"/>
                <w:highlight w:val="none"/>
              </w:rPr>
              <w:t>一次性冲压成型</w:t>
            </w:r>
            <w:r>
              <w:rPr>
                <w:rFonts w:hint="eastAsia" w:ascii="仿宋" w:hAnsi="仿宋" w:eastAsia="仿宋" w:cs="仿宋"/>
                <w:szCs w:val="21"/>
              </w:rPr>
              <w:t>，</w:t>
            </w:r>
            <w:r>
              <w:rPr>
                <w:rFonts w:hint="eastAsia" w:ascii="仿宋" w:hAnsi="仿宋" w:eastAsia="仿宋" w:cs="仿宋"/>
                <w:szCs w:val="21"/>
                <w:highlight w:val="none"/>
              </w:rPr>
              <w:t>（</w:t>
            </w:r>
            <w:r>
              <w:rPr>
                <w:rFonts w:hint="eastAsia" w:ascii="仿宋" w:hAnsi="仿宋" w:eastAsia="仿宋" w:cs="仿宋"/>
                <w:szCs w:val="21"/>
                <w:highlight w:val="none"/>
                <w:lang w:eastAsia="zh-CN"/>
              </w:rPr>
              <w:t>★材料厚度不允许负偏离</w:t>
            </w:r>
            <w:r>
              <w:rPr>
                <w:rFonts w:hint="eastAsia" w:ascii="仿宋" w:hAnsi="仿宋" w:eastAsia="仿宋" w:cs="仿宋"/>
                <w:szCs w:val="21"/>
                <w:highlight w:val="none"/>
              </w:rPr>
              <w:t>）</w:t>
            </w:r>
            <w:r>
              <w:rPr>
                <w:rFonts w:hint="eastAsia" w:ascii="仿宋" w:hAnsi="仿宋" w:eastAsia="仿宋" w:cs="仿宋"/>
                <w:szCs w:val="21"/>
              </w:rPr>
              <w:t>，立柱上经数控冲床加工3个连接孔，通过与挂片无缝式下压连接，实现使用后越用越紧的状态。</w:t>
            </w:r>
          </w:p>
          <w:p w14:paraId="677FF113">
            <w:pPr>
              <w:spacing w:line="280" w:lineRule="exact"/>
              <w:rPr>
                <w:rFonts w:ascii="仿宋" w:hAnsi="仿宋" w:eastAsia="仿宋" w:cs="仿宋"/>
                <w:szCs w:val="21"/>
              </w:rPr>
            </w:pPr>
            <w:r>
              <w:drawing>
                <wp:anchor distT="0" distB="0" distL="114300" distR="114300" simplePos="0" relativeHeight="251671552" behindDoc="0" locked="0" layoutInCell="1" allowOverlap="1">
                  <wp:simplePos x="0" y="0"/>
                  <wp:positionH relativeFrom="column">
                    <wp:posOffset>728980</wp:posOffset>
                  </wp:positionH>
                  <wp:positionV relativeFrom="paragraph">
                    <wp:posOffset>54610</wp:posOffset>
                  </wp:positionV>
                  <wp:extent cx="1515745" cy="709930"/>
                  <wp:effectExtent l="0" t="0" r="8255" b="13970"/>
                  <wp:wrapTopAndBottom/>
                  <wp:docPr id="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7"/>
                          <pic:cNvPicPr>
                            <a:picLocks noChangeAspect="1"/>
                          </pic:cNvPicPr>
                        </pic:nvPicPr>
                        <pic:blipFill>
                          <a:blip r:embed="rId13"/>
                          <a:stretch>
                            <a:fillRect/>
                          </a:stretch>
                        </pic:blipFill>
                        <pic:spPr>
                          <a:xfrm>
                            <a:off x="0" y="0"/>
                            <a:ext cx="1515745" cy="709930"/>
                          </a:xfrm>
                          <a:prstGeom prst="rect">
                            <a:avLst/>
                          </a:prstGeom>
                          <a:noFill/>
                          <a:ln>
                            <a:noFill/>
                          </a:ln>
                        </pic:spPr>
                      </pic:pic>
                    </a:graphicData>
                  </a:graphic>
                </wp:anchor>
              </w:drawing>
            </w:r>
            <w:r>
              <w:rPr>
                <w:rFonts w:hint="eastAsia" w:ascii="仿宋" w:hAnsi="仿宋" w:eastAsia="仿宋" w:cs="仿宋"/>
                <w:szCs w:val="21"/>
              </w:rPr>
              <w:t xml:space="preserve">              卡件示意图</w:t>
            </w:r>
          </w:p>
          <w:p w14:paraId="4E374443">
            <w:pPr>
              <w:spacing w:line="280" w:lineRule="exact"/>
              <w:rPr>
                <w:rFonts w:hint="eastAsia" w:ascii="仿宋" w:hAnsi="仿宋" w:eastAsia="仿宋" w:cs="仿宋"/>
                <w:szCs w:val="21"/>
                <w:highlight w:val="yellow"/>
              </w:rPr>
            </w:pPr>
            <w:r>
              <w:rPr>
                <w:rFonts w:hint="eastAsia" w:ascii="仿宋" w:hAnsi="仿宋" w:eastAsia="仿宋" w:cs="仿宋"/>
                <w:szCs w:val="21"/>
              </w:rPr>
              <w:t>4.床换：采用</w:t>
            </w:r>
            <w:r>
              <w:rPr>
                <w:rFonts w:hint="eastAsia" w:ascii="仿宋" w:hAnsi="仿宋" w:eastAsia="仿宋" w:cs="仿宋"/>
                <w:szCs w:val="21"/>
                <w:highlight w:val="none"/>
              </w:rPr>
              <w:t>高频</w:t>
            </w:r>
            <w:r>
              <w:rPr>
                <w:rFonts w:hint="eastAsia" w:ascii="仿宋" w:hAnsi="仿宋" w:eastAsia="仿宋" w:cs="仿宋"/>
                <w:szCs w:val="21"/>
              </w:rPr>
              <w:t>闭口异型管，规格:35mm*27mm*0.9mm，支撑两侧带有凹R3圆弧形加强筋，增加韧性，防止学生磕碰，上方为直边，宽度27mm，整体增加其牢固性</w:t>
            </w:r>
            <w:r>
              <w:rPr>
                <w:rFonts w:hint="eastAsia" w:ascii="仿宋" w:hAnsi="仿宋" w:eastAsia="仿宋" w:cs="仿宋"/>
                <w:szCs w:val="21"/>
                <w:highlight w:val="none"/>
              </w:rPr>
              <w:t>。</w:t>
            </w:r>
          </w:p>
          <w:p w14:paraId="16A56997">
            <w:pPr>
              <w:adjustRightInd w:val="0"/>
              <w:snapToGrid w:val="0"/>
              <w:spacing w:line="280" w:lineRule="exact"/>
              <w:ind w:firstLine="1260" w:firstLineChars="600"/>
              <w:rPr>
                <w:rFonts w:ascii="仿宋" w:hAnsi="仿宋" w:eastAsia="仿宋" w:cs="仿宋"/>
                <w:szCs w:val="21"/>
              </w:rPr>
            </w:pPr>
            <w:r>
              <w:rPr>
                <w:rFonts w:hint="eastAsia" w:ascii="仿宋" w:hAnsi="仿宋" w:eastAsia="仿宋" w:cs="仿宋"/>
                <w:szCs w:val="21"/>
              </w:rPr>
              <w:t>床换截面尺寸图</w:t>
            </w:r>
          </w:p>
          <w:p w14:paraId="1C8E72F1">
            <w:pPr>
              <w:spacing w:line="280" w:lineRule="exact"/>
              <w:rPr>
                <w:rFonts w:hint="eastAsia" w:ascii="仿宋" w:hAnsi="仿宋" w:eastAsia="仿宋" w:cs="仿宋"/>
                <w:szCs w:val="21"/>
                <w:highlight w:val="yellow"/>
              </w:rPr>
            </w:pPr>
            <w:r>
              <w:rPr>
                <w:rFonts w:hint="eastAsia" w:ascii="方正仿宋_GB2312" w:hAnsi="方正仿宋_GB2312" w:eastAsia="方正仿宋_GB2312" w:cs="方正仿宋_GB2312"/>
                <w:sz w:val="24"/>
              </w:rPr>
              <w:drawing>
                <wp:anchor distT="0" distB="0" distL="114300" distR="114300" simplePos="0" relativeHeight="251667456" behindDoc="0" locked="0" layoutInCell="1" allowOverlap="1">
                  <wp:simplePos x="0" y="0"/>
                  <wp:positionH relativeFrom="column">
                    <wp:posOffset>568960</wp:posOffset>
                  </wp:positionH>
                  <wp:positionV relativeFrom="paragraph">
                    <wp:posOffset>89535</wp:posOffset>
                  </wp:positionV>
                  <wp:extent cx="1727835" cy="1668145"/>
                  <wp:effectExtent l="0" t="0" r="5715" b="8255"/>
                  <wp:wrapTopAndBottom/>
                  <wp:docPr id="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pic:cNvPicPr>
                            <a:picLocks noChangeAspect="1"/>
                          </pic:cNvPicPr>
                        </pic:nvPicPr>
                        <pic:blipFill>
                          <a:blip r:embed="rId11"/>
                          <a:stretch>
                            <a:fillRect/>
                          </a:stretch>
                        </pic:blipFill>
                        <pic:spPr>
                          <a:xfrm>
                            <a:off x="0" y="0"/>
                            <a:ext cx="1727835" cy="1668145"/>
                          </a:xfrm>
                          <a:prstGeom prst="rect">
                            <a:avLst/>
                          </a:prstGeom>
                          <a:noFill/>
                          <a:ln>
                            <a:noFill/>
                          </a:ln>
                        </pic:spPr>
                      </pic:pic>
                    </a:graphicData>
                  </a:graphic>
                </wp:anchor>
              </w:drawing>
            </w:r>
          </w:p>
          <w:p w14:paraId="58B0D65C">
            <w:pPr>
              <w:numPr>
                <w:ilvl w:val="0"/>
                <w:numId w:val="11"/>
              </w:numPr>
              <w:spacing w:line="280" w:lineRule="exact"/>
              <w:rPr>
                <w:rFonts w:hint="eastAsia" w:ascii="仿宋" w:hAnsi="仿宋" w:eastAsia="仿宋" w:cs="仿宋"/>
                <w:szCs w:val="21"/>
                <w:highlight w:val="yellow"/>
              </w:rPr>
            </w:pPr>
            <w:r>
              <w:rPr>
                <w:rFonts w:hint="eastAsia" w:ascii="仿宋" w:hAnsi="仿宋" w:eastAsia="仿宋" w:cs="仿宋"/>
                <w:szCs w:val="21"/>
              </w:rPr>
              <w:t>前护栏规格：长1350*高350mm基材采用25*25*.1.2mm方管制作。下方镶嵌木板采用16mm厚刨花板制作，木板上开设三个装饰观察口装饰扣为塑料材质、</w:t>
            </w:r>
            <w:r>
              <w:rPr>
                <w:rFonts w:hint="eastAsia" w:ascii="仿宋" w:hAnsi="仿宋" w:eastAsia="仿宋" w:cs="仿宋"/>
                <w:szCs w:val="21"/>
                <w:highlight w:val="none"/>
              </w:rPr>
              <w:t>▲小装饰观察口（可选择开口或者封闭）尺寸为205*150mm。</w:t>
            </w:r>
          </w:p>
          <w:p w14:paraId="1E6F3E0B">
            <w:pPr>
              <w:adjustRightInd w:val="0"/>
              <w:snapToGrid w:val="0"/>
              <w:spacing w:line="280" w:lineRule="exact"/>
              <w:ind w:firstLine="1260" w:firstLineChars="600"/>
              <w:rPr>
                <w:rFonts w:ascii="仿宋" w:hAnsi="仿宋" w:eastAsia="仿宋" w:cs="仿宋"/>
                <w:szCs w:val="21"/>
                <w:highlight w:val="yellow"/>
              </w:rPr>
            </w:pPr>
            <w:r>
              <w:drawing>
                <wp:anchor distT="0" distB="0" distL="114300" distR="114300" simplePos="0" relativeHeight="251669504" behindDoc="0" locked="0" layoutInCell="1" allowOverlap="1">
                  <wp:simplePos x="0" y="0"/>
                  <wp:positionH relativeFrom="column">
                    <wp:posOffset>1840230</wp:posOffset>
                  </wp:positionH>
                  <wp:positionV relativeFrom="paragraph">
                    <wp:posOffset>111760</wp:posOffset>
                  </wp:positionV>
                  <wp:extent cx="725170" cy="636905"/>
                  <wp:effectExtent l="0" t="0" r="17780" b="10795"/>
                  <wp:wrapTopAndBottom/>
                  <wp:docPr id="1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4"/>
                          <pic:cNvPicPr>
                            <a:picLocks noChangeAspect="1"/>
                          </pic:cNvPicPr>
                        </pic:nvPicPr>
                        <pic:blipFill>
                          <a:blip r:embed="rId15"/>
                          <a:stretch>
                            <a:fillRect/>
                          </a:stretch>
                        </pic:blipFill>
                        <pic:spPr>
                          <a:xfrm>
                            <a:off x="0" y="0"/>
                            <a:ext cx="725170" cy="636905"/>
                          </a:xfrm>
                          <a:prstGeom prst="rect">
                            <a:avLst/>
                          </a:prstGeom>
                          <a:noFill/>
                          <a:ln>
                            <a:noFill/>
                          </a:ln>
                        </pic:spPr>
                      </pic:pic>
                    </a:graphicData>
                  </a:graphic>
                </wp:anchor>
              </w:drawing>
            </w:r>
            <w:r>
              <w:rPr>
                <w:rFonts w:hint="eastAsia" w:ascii="方正仿宋_GB2312" w:hAnsi="方正仿宋_GB2312" w:eastAsia="方正仿宋_GB2312" w:cs="方正仿宋_GB2312"/>
                <w:sz w:val="24"/>
              </w:rPr>
              <w:drawing>
                <wp:anchor distT="0" distB="0" distL="114300" distR="114300" simplePos="0" relativeHeight="251668480" behindDoc="0" locked="0" layoutInCell="1" allowOverlap="1">
                  <wp:simplePos x="0" y="0"/>
                  <wp:positionH relativeFrom="column">
                    <wp:posOffset>-47625</wp:posOffset>
                  </wp:positionH>
                  <wp:positionV relativeFrom="paragraph">
                    <wp:posOffset>106680</wp:posOffset>
                  </wp:positionV>
                  <wp:extent cx="2013585" cy="689610"/>
                  <wp:effectExtent l="0" t="0" r="5715" b="15240"/>
                  <wp:wrapTopAndBottom/>
                  <wp:docPr id="1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5"/>
                          <pic:cNvPicPr>
                            <a:picLocks noChangeAspect="1"/>
                          </pic:cNvPicPr>
                        </pic:nvPicPr>
                        <pic:blipFill>
                          <a:blip r:embed="rId14"/>
                          <a:stretch>
                            <a:fillRect/>
                          </a:stretch>
                        </pic:blipFill>
                        <pic:spPr>
                          <a:xfrm>
                            <a:off x="0" y="0"/>
                            <a:ext cx="2013585" cy="689610"/>
                          </a:xfrm>
                          <a:prstGeom prst="rect">
                            <a:avLst/>
                          </a:prstGeom>
                          <a:noFill/>
                          <a:ln>
                            <a:noFill/>
                          </a:ln>
                        </pic:spPr>
                      </pic:pic>
                    </a:graphicData>
                  </a:graphic>
                </wp:anchor>
              </w:drawing>
            </w:r>
            <w:r>
              <w:rPr>
                <w:rFonts w:hint="eastAsia" w:ascii="仿宋" w:hAnsi="仿宋" w:eastAsia="仿宋" w:cs="仿宋"/>
                <w:szCs w:val="21"/>
              </w:rPr>
              <w:t>前护栏示意图</w:t>
            </w:r>
          </w:p>
          <w:p w14:paraId="73AA7ABB">
            <w:pPr>
              <w:spacing w:line="280" w:lineRule="exact"/>
              <w:rPr>
                <w:rFonts w:hint="eastAsia" w:ascii="仿宋" w:hAnsi="仿宋" w:eastAsia="仿宋" w:cs="仿宋"/>
                <w:szCs w:val="21"/>
                <w:highlight w:val="yellow"/>
              </w:rPr>
            </w:pPr>
          </w:p>
          <w:p w14:paraId="22C65E85">
            <w:pPr>
              <w:numPr>
                <w:ilvl w:val="0"/>
                <w:numId w:val="11"/>
              </w:numPr>
              <w:spacing w:line="280" w:lineRule="exact"/>
              <w:rPr>
                <w:rFonts w:hint="eastAsia" w:ascii="仿宋" w:hAnsi="仿宋" w:eastAsia="仿宋" w:cs="仿宋"/>
                <w:szCs w:val="21"/>
              </w:rPr>
            </w:pPr>
            <w:r>
              <w:rPr>
                <w:rFonts w:hint="eastAsia" w:ascii="仿宋" w:hAnsi="仿宋" w:eastAsia="仿宋" w:cs="仿宋"/>
                <w:szCs w:val="21"/>
              </w:rPr>
              <w:t>爬梯为四步设计，采用20*40*1.2mm，椭圆钢管，踏步板采用冷轧防滑钢板一次冲压成型规格360*100mm，中间带夜光防滑卡片规格：260*50mm。</w:t>
            </w:r>
          </w:p>
          <w:p w14:paraId="020BF39E">
            <w:pPr>
              <w:adjustRightInd w:val="0"/>
              <w:snapToGrid w:val="0"/>
              <w:spacing w:line="280" w:lineRule="exact"/>
              <w:ind w:firstLine="1440" w:firstLineChars="600"/>
              <w:rPr>
                <w:rFonts w:ascii="仿宋" w:hAnsi="仿宋" w:eastAsia="仿宋" w:cs="仿宋"/>
                <w:szCs w:val="21"/>
              </w:rPr>
            </w:pPr>
            <w:r>
              <w:rPr>
                <w:rFonts w:hint="eastAsia" w:ascii="方正仿宋_GB2312" w:hAnsi="方正仿宋_GB2312" w:eastAsia="方正仿宋_GB2312" w:cs="方正仿宋_GB2312"/>
                <w:sz w:val="24"/>
              </w:rPr>
              <w:drawing>
                <wp:anchor distT="0" distB="0" distL="114300" distR="114300" simplePos="0" relativeHeight="251670528" behindDoc="0" locked="0" layoutInCell="1" allowOverlap="1">
                  <wp:simplePos x="0" y="0"/>
                  <wp:positionH relativeFrom="column">
                    <wp:posOffset>-72390</wp:posOffset>
                  </wp:positionH>
                  <wp:positionV relativeFrom="paragraph">
                    <wp:posOffset>56515</wp:posOffset>
                  </wp:positionV>
                  <wp:extent cx="2674620" cy="1329055"/>
                  <wp:effectExtent l="0" t="0" r="11430" b="4445"/>
                  <wp:wrapTopAndBottom/>
                  <wp:docPr id="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6"/>
                          <pic:cNvPicPr>
                            <a:picLocks noChangeAspect="1"/>
                          </pic:cNvPicPr>
                        </pic:nvPicPr>
                        <pic:blipFill>
                          <a:blip r:embed="rId16"/>
                          <a:stretch>
                            <a:fillRect/>
                          </a:stretch>
                        </pic:blipFill>
                        <pic:spPr>
                          <a:xfrm>
                            <a:off x="0" y="0"/>
                            <a:ext cx="2674620" cy="1329055"/>
                          </a:xfrm>
                          <a:prstGeom prst="rect">
                            <a:avLst/>
                          </a:prstGeom>
                          <a:noFill/>
                          <a:ln>
                            <a:noFill/>
                          </a:ln>
                        </pic:spPr>
                      </pic:pic>
                    </a:graphicData>
                  </a:graphic>
                </wp:anchor>
              </w:drawing>
            </w:r>
            <w:r>
              <w:rPr>
                <w:rFonts w:hint="eastAsia" w:ascii="仿宋" w:hAnsi="仿宋" w:eastAsia="仿宋" w:cs="仿宋"/>
                <w:szCs w:val="21"/>
              </w:rPr>
              <w:t xml:space="preserve">    踏步示意图</w:t>
            </w:r>
          </w:p>
          <w:p w14:paraId="2242B389">
            <w:pPr>
              <w:spacing w:line="280" w:lineRule="exact"/>
              <w:rPr>
                <w:rFonts w:hint="eastAsia" w:ascii="仿宋" w:hAnsi="仿宋" w:eastAsia="仿宋" w:cs="仿宋"/>
                <w:szCs w:val="21"/>
              </w:rPr>
            </w:pPr>
            <w:r>
              <w:rPr>
                <w:rFonts w:hint="eastAsia" w:ascii="仿宋" w:hAnsi="仿宋" w:eastAsia="仿宋" w:cs="仿宋"/>
                <w:szCs w:val="21"/>
              </w:rPr>
              <w:t xml:space="preserve">                                        7.床头护栏采用25*25*1.2mm方管制作，下侧镶嵌16mm刨花板</w:t>
            </w:r>
          </w:p>
          <w:p w14:paraId="09AFC9F3">
            <w:pPr>
              <w:spacing w:line="280" w:lineRule="exact"/>
              <w:rPr>
                <w:rFonts w:hint="eastAsia" w:ascii="仿宋" w:hAnsi="仿宋" w:eastAsia="仿宋" w:cs="仿宋"/>
                <w:szCs w:val="21"/>
              </w:rPr>
            </w:pPr>
            <w:r>
              <w:rPr>
                <w:rFonts w:hint="eastAsia" w:ascii="仿宋" w:hAnsi="仿宋" w:eastAsia="仿宋" w:cs="仿宋"/>
                <w:szCs w:val="21"/>
              </w:rPr>
              <w:t>8.床板床铺板：采用双面刨光环保（杉）木条拼接而成，干燥、防虫处理，厚度15mm，下方采用4条加强筋，铺板与床架内空尺寸匹配.</w:t>
            </w:r>
          </w:p>
          <w:p w14:paraId="26843337">
            <w:pPr>
              <w:spacing w:line="280" w:lineRule="exact"/>
              <w:rPr>
                <w:rFonts w:hint="eastAsia" w:ascii="仿宋" w:hAnsi="仿宋" w:eastAsia="仿宋" w:cs="仿宋"/>
                <w:szCs w:val="21"/>
              </w:rPr>
            </w:pPr>
            <w:r>
              <w:rPr>
                <w:rFonts w:hint="eastAsia" w:ascii="仿宋" w:hAnsi="仿宋" w:eastAsia="仿宋" w:cs="仿宋"/>
                <w:szCs w:val="21"/>
              </w:rPr>
              <w:t>9.蚊帐杆规格≥￠19×1.0mm圆管。蚊帐杆底座内外套与立柱嵌入连接，结构牢固，不易拔出。</w:t>
            </w:r>
          </w:p>
        </w:tc>
        <w:tc>
          <w:tcPr>
            <w:tcW w:w="2370" w:type="dxa"/>
            <w:noWrap w:val="0"/>
            <w:vAlign w:val="center"/>
          </w:tcPr>
          <w:p w14:paraId="79F7176F">
            <w:pPr>
              <w:jc w:val="center"/>
              <w:rPr>
                <w:rFonts w:hint="eastAsia" w:ascii="仿宋" w:hAnsi="仿宋" w:eastAsia="仿宋" w:cs="仿宋"/>
                <w:szCs w:val="21"/>
              </w:rPr>
            </w:pPr>
            <w:r>
              <w:drawing>
                <wp:inline distT="0" distB="0" distL="114300" distR="114300">
                  <wp:extent cx="1298575" cy="1461770"/>
                  <wp:effectExtent l="0" t="0" r="15875" b="508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18"/>
                          <a:stretch>
                            <a:fillRect/>
                          </a:stretch>
                        </pic:blipFill>
                        <pic:spPr>
                          <a:xfrm>
                            <a:off x="0" y="0"/>
                            <a:ext cx="1298575" cy="1461770"/>
                          </a:xfrm>
                          <a:prstGeom prst="rect">
                            <a:avLst/>
                          </a:prstGeom>
                          <a:noFill/>
                          <a:ln>
                            <a:noFill/>
                          </a:ln>
                        </pic:spPr>
                      </pic:pic>
                    </a:graphicData>
                  </a:graphic>
                </wp:inline>
              </w:drawing>
            </w:r>
          </w:p>
        </w:tc>
      </w:tr>
      <w:tr w14:paraId="3D59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center"/>
          </w:tcPr>
          <w:p w14:paraId="3FCC47BC">
            <w:pPr>
              <w:jc w:val="center"/>
              <w:rPr>
                <w:rFonts w:ascii="仿宋" w:hAnsi="仿宋" w:eastAsia="仿宋" w:cs="仿宋"/>
                <w:szCs w:val="21"/>
              </w:rPr>
            </w:pPr>
            <w:r>
              <w:rPr>
                <w:rFonts w:hint="eastAsia" w:ascii="仿宋" w:hAnsi="仿宋" w:eastAsia="仿宋" w:cs="仿宋"/>
                <w:szCs w:val="21"/>
              </w:rPr>
              <w:t>3</w:t>
            </w:r>
          </w:p>
        </w:tc>
        <w:tc>
          <w:tcPr>
            <w:tcW w:w="1122" w:type="dxa"/>
            <w:noWrap w:val="0"/>
            <w:vAlign w:val="center"/>
          </w:tcPr>
          <w:p w14:paraId="0A74053B">
            <w:pPr>
              <w:adjustRightInd w:val="0"/>
              <w:snapToGrid w:val="0"/>
              <w:spacing w:before="156" w:beforeLines="50" w:line="360" w:lineRule="auto"/>
              <w:jc w:val="center"/>
              <w:rPr>
                <w:rFonts w:hint="eastAsia" w:ascii="仿宋" w:hAnsi="仿宋" w:eastAsia="仿宋" w:cs="仿宋"/>
                <w:szCs w:val="21"/>
              </w:rPr>
            </w:pPr>
            <w:r>
              <w:rPr>
                <w:rFonts w:hint="eastAsia" w:ascii="仿宋" w:hAnsi="仿宋" w:eastAsia="仿宋" w:cs="仿宋"/>
                <w:szCs w:val="21"/>
              </w:rPr>
              <w:t>方凳</w:t>
            </w:r>
          </w:p>
        </w:tc>
        <w:tc>
          <w:tcPr>
            <w:tcW w:w="4609" w:type="dxa"/>
            <w:noWrap w:val="0"/>
            <w:vAlign w:val="center"/>
          </w:tcPr>
          <w:p w14:paraId="60E7E152">
            <w:pPr>
              <w:spacing w:line="280" w:lineRule="exact"/>
              <w:rPr>
                <w:rFonts w:ascii="仿宋" w:hAnsi="仿宋" w:eastAsia="仿宋" w:cs="仿宋"/>
                <w:szCs w:val="21"/>
              </w:rPr>
            </w:pPr>
            <w:r>
              <w:rPr>
                <w:rFonts w:hint="eastAsia" w:ascii="仿宋" w:hAnsi="仿宋" w:eastAsia="仿宋" w:cs="仿宋"/>
                <w:szCs w:val="21"/>
              </w:rPr>
              <w:t>采用25*25*1.4mm方管焊接而成，凳面采用25mm刨花板制作凳面尺寸240*340mm。</w:t>
            </w:r>
          </w:p>
          <w:p w14:paraId="70C67F8F">
            <w:pPr>
              <w:spacing w:line="280" w:lineRule="exact"/>
              <w:rPr>
                <w:rFonts w:hint="eastAsia" w:ascii="仿宋" w:hAnsi="仿宋" w:eastAsia="仿宋" w:cs="仿宋"/>
                <w:szCs w:val="21"/>
              </w:rPr>
            </w:pPr>
            <w:r>
              <w:rPr>
                <w:rFonts w:hint="eastAsia" w:ascii="仿宋" w:hAnsi="仿宋" w:eastAsia="仿宋" w:cs="仿宋"/>
                <w:szCs w:val="21"/>
              </w:rPr>
              <w:t>▲钢管的抗菌性能、燃烧性能等级B1级、晶粒度、疲劳试验（循环周次≥20万次）、金属件-喷漆（塑）涂层应无漏喷、锈蚀、脱色、掉色等；流动混合气体腐蚀试验均检测合格，投标文件中提供带有CMA或CNAS标志的抽样检测报告佐证。</w:t>
            </w:r>
          </w:p>
        </w:tc>
        <w:tc>
          <w:tcPr>
            <w:tcW w:w="2370" w:type="dxa"/>
            <w:noWrap w:val="0"/>
            <w:vAlign w:val="center"/>
          </w:tcPr>
          <w:p w14:paraId="7591FE2F">
            <w:pPr>
              <w:jc w:val="center"/>
              <w:rPr>
                <w:rFonts w:hint="eastAsia" w:ascii="仿宋" w:hAnsi="仿宋" w:eastAsia="仿宋" w:cs="仿宋"/>
                <w:szCs w:val="21"/>
              </w:rPr>
            </w:pPr>
            <w:r>
              <w:drawing>
                <wp:inline distT="0" distB="0" distL="114300" distR="114300">
                  <wp:extent cx="1162685" cy="1363980"/>
                  <wp:effectExtent l="0" t="0" r="18415" b="762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19"/>
                          <a:stretch>
                            <a:fillRect/>
                          </a:stretch>
                        </pic:blipFill>
                        <pic:spPr>
                          <a:xfrm>
                            <a:off x="0" y="0"/>
                            <a:ext cx="1162685" cy="1363980"/>
                          </a:xfrm>
                          <a:prstGeom prst="rect">
                            <a:avLst/>
                          </a:prstGeom>
                          <a:noFill/>
                          <a:ln>
                            <a:noFill/>
                          </a:ln>
                        </pic:spPr>
                      </pic:pic>
                    </a:graphicData>
                  </a:graphic>
                </wp:inline>
              </w:drawing>
            </w:r>
          </w:p>
        </w:tc>
      </w:tr>
      <w:tr w14:paraId="0231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center"/>
          </w:tcPr>
          <w:p w14:paraId="0966FB08">
            <w:pPr>
              <w:jc w:val="center"/>
              <w:rPr>
                <w:rFonts w:ascii="仿宋" w:hAnsi="仿宋" w:eastAsia="仿宋" w:cs="仿宋"/>
                <w:szCs w:val="21"/>
              </w:rPr>
            </w:pPr>
            <w:r>
              <w:rPr>
                <w:rFonts w:hint="eastAsia" w:ascii="仿宋" w:hAnsi="仿宋" w:eastAsia="仿宋" w:cs="仿宋"/>
                <w:szCs w:val="21"/>
              </w:rPr>
              <w:t>4</w:t>
            </w:r>
          </w:p>
        </w:tc>
        <w:tc>
          <w:tcPr>
            <w:tcW w:w="1122" w:type="dxa"/>
            <w:noWrap w:val="0"/>
            <w:vAlign w:val="center"/>
          </w:tcPr>
          <w:p w14:paraId="4C63EC48">
            <w:pPr>
              <w:adjustRightInd w:val="0"/>
              <w:snapToGrid w:val="0"/>
              <w:spacing w:before="156" w:beforeLines="50" w:line="360" w:lineRule="auto"/>
              <w:jc w:val="center"/>
              <w:rPr>
                <w:rFonts w:hint="eastAsia" w:ascii="仿宋" w:hAnsi="仿宋" w:eastAsia="仿宋" w:cs="仿宋"/>
                <w:szCs w:val="21"/>
              </w:rPr>
            </w:pPr>
            <w:r>
              <w:rPr>
                <w:rFonts w:hint="eastAsia" w:ascii="仿宋" w:hAnsi="仿宋" w:eastAsia="仿宋" w:cs="仿宋"/>
                <w:szCs w:val="21"/>
              </w:rPr>
              <w:t>储物柜</w:t>
            </w:r>
          </w:p>
        </w:tc>
        <w:tc>
          <w:tcPr>
            <w:tcW w:w="4609" w:type="dxa"/>
            <w:noWrap w:val="0"/>
            <w:vAlign w:val="center"/>
          </w:tcPr>
          <w:p w14:paraId="05B68EB9">
            <w:pPr>
              <w:spacing w:line="280" w:lineRule="exact"/>
              <w:rPr>
                <w:rFonts w:hint="eastAsia" w:ascii="仿宋" w:hAnsi="仿宋" w:eastAsia="仿宋" w:cs="仿宋"/>
                <w:szCs w:val="21"/>
              </w:rPr>
            </w:pPr>
            <w:r>
              <w:rPr>
                <w:rFonts w:hint="eastAsia" w:ascii="仿宋" w:hAnsi="仿宋" w:eastAsia="仿宋" w:cs="仿宋"/>
                <w:szCs w:val="21"/>
              </w:rPr>
              <w:t>尺寸1200*600*2100mm（整体尺寸根据房间实际尺寸</w:t>
            </w:r>
            <w:r>
              <w:rPr>
                <w:rFonts w:hint="eastAsia" w:ascii="仿宋" w:hAnsi="仿宋" w:eastAsia="仿宋" w:cs="仿宋"/>
                <w:szCs w:val="21"/>
                <w:highlight w:val="none"/>
              </w:rPr>
              <w:t>或由</w:t>
            </w:r>
            <w:r>
              <w:rPr>
                <w:rFonts w:hint="eastAsia" w:ascii="仿宋" w:hAnsi="仿宋" w:eastAsia="仿宋" w:cs="仿宋"/>
                <w:szCs w:val="21"/>
                <w:highlight w:val="none"/>
                <w:lang w:val="en-US" w:eastAsia="zh-CN"/>
              </w:rPr>
              <w:t>采购人</w:t>
            </w:r>
            <w:r>
              <w:rPr>
                <w:rFonts w:hint="eastAsia" w:ascii="仿宋" w:hAnsi="仿宋" w:eastAsia="仿宋" w:cs="仿宋"/>
                <w:szCs w:val="21"/>
                <w:highlight w:val="none"/>
              </w:rPr>
              <w:t>决定可</w:t>
            </w:r>
            <w:r>
              <w:rPr>
                <w:rFonts w:hint="eastAsia" w:ascii="仿宋" w:hAnsi="仿宋" w:eastAsia="仿宋" w:cs="仿宋"/>
                <w:szCs w:val="21"/>
              </w:rPr>
              <w:t>调整）</w:t>
            </w:r>
          </w:p>
          <w:p w14:paraId="2ADDBF74">
            <w:pPr>
              <w:numPr>
                <w:ilvl w:val="0"/>
                <w:numId w:val="12"/>
              </w:numPr>
              <w:spacing w:line="280" w:lineRule="exact"/>
              <w:rPr>
                <w:rFonts w:ascii="仿宋" w:hAnsi="仿宋" w:eastAsia="仿宋" w:cs="仿宋"/>
                <w:szCs w:val="21"/>
              </w:rPr>
            </w:pPr>
            <w:r>
              <w:rPr>
                <w:rFonts w:hint="eastAsia" w:ascii="仿宋" w:hAnsi="仿宋" w:eastAsia="仿宋" w:cs="仿宋"/>
                <w:szCs w:val="21"/>
              </w:rPr>
              <w:t>主材采用16mm多层板制作，背板采用5mm板制作。工艺：封边带采用环保 PVC 封边带厚度 1.5mm，胶粘剂采用180 度高温热熔胶，全自动三联线封边机封边。所有板材均采用电脑裁板设备下料，保证板件尺寸及品质，书架、书桌等各连接部件结合严密，平整，牢固。与框架、门与门相邻表面间的距离偏差≦2mm。抽屉与框架相邻表面间的距离偏差≦1mm，下垂≦20mm，摆动≦15mm。柜门免拉手工艺。</w:t>
            </w:r>
          </w:p>
          <w:p w14:paraId="273BD335">
            <w:pPr>
              <w:rPr>
                <w:rFonts w:ascii="仿宋" w:hAnsi="仿宋" w:eastAsia="仿宋" w:cs="仿宋"/>
                <w:szCs w:val="21"/>
              </w:rPr>
            </w:pPr>
            <w:r>
              <w:rPr>
                <w:rFonts w:hint="eastAsia" w:ascii="仿宋" w:hAnsi="仿宋" w:eastAsia="仿宋" w:cs="仿宋"/>
                <w:szCs w:val="21"/>
              </w:rPr>
              <w:t>▲封边条的甲醛释放量、氯乙烯单体、可迁移元素、邻苯二甲酸酯的总量、多溴联苯、多溴联苯醚、水平燃烧、阻燃1级、有机磷阻燃剂、自然气候老化、太阳辐射暴露24h、质量变化率均检测合格，投标文件中提供带有CMA或CNAS标志的抽样检测报告佐证。</w:t>
            </w:r>
          </w:p>
          <w:p w14:paraId="0A8D0B3C">
            <w:pPr>
              <w:rPr>
                <w:rFonts w:hint="eastAsia"/>
              </w:rPr>
            </w:pPr>
            <w:r>
              <w:rPr>
                <w:rFonts w:hint="eastAsia" w:ascii="仿宋" w:hAnsi="仿宋" w:eastAsia="仿宋" w:cs="仿宋"/>
                <w:szCs w:val="21"/>
              </w:rPr>
              <w:t>▲多层板的甲醛释放量≤0.025mg/m</w:t>
            </w:r>
            <w:r>
              <w:rPr>
                <w:rFonts w:ascii="Calibri" w:hAnsi="Calibri" w:eastAsia="仿宋" w:cs="Calibri"/>
                <w:szCs w:val="21"/>
              </w:rPr>
              <w:t>³</w:t>
            </w:r>
            <w:r>
              <w:rPr>
                <w:rFonts w:hint="eastAsia" w:ascii="仿宋" w:hAnsi="仿宋" w:eastAsia="仿宋" w:cs="仿宋"/>
                <w:szCs w:val="21"/>
              </w:rPr>
              <w:t>、抗压性能、含水率、胶合强度、表面胶合强度均检测合格，投标文件中提供带有CMA或CNAS标志的抽样检测报告佐证。</w:t>
            </w:r>
          </w:p>
        </w:tc>
        <w:tc>
          <w:tcPr>
            <w:tcW w:w="2370" w:type="dxa"/>
            <w:noWrap w:val="0"/>
            <w:vAlign w:val="center"/>
          </w:tcPr>
          <w:p w14:paraId="14CD276A">
            <w:pPr>
              <w:jc w:val="center"/>
              <w:rPr>
                <w:rFonts w:hint="eastAsia" w:ascii="仿宋" w:hAnsi="仿宋" w:eastAsia="仿宋" w:cs="仿宋"/>
                <w:szCs w:val="21"/>
              </w:rPr>
            </w:pPr>
            <w:r>
              <w:drawing>
                <wp:inline distT="0" distB="0" distL="114300" distR="114300">
                  <wp:extent cx="1353820" cy="1571625"/>
                  <wp:effectExtent l="0" t="0" r="17780" b="952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20"/>
                          <a:stretch>
                            <a:fillRect/>
                          </a:stretch>
                        </pic:blipFill>
                        <pic:spPr>
                          <a:xfrm>
                            <a:off x="0" y="0"/>
                            <a:ext cx="1353820" cy="1571625"/>
                          </a:xfrm>
                          <a:prstGeom prst="rect">
                            <a:avLst/>
                          </a:prstGeom>
                          <a:noFill/>
                          <a:ln>
                            <a:noFill/>
                          </a:ln>
                        </pic:spPr>
                      </pic:pic>
                    </a:graphicData>
                  </a:graphic>
                </wp:inline>
              </w:drawing>
            </w:r>
          </w:p>
        </w:tc>
      </w:tr>
      <w:tr w14:paraId="6CD5A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center"/>
          </w:tcPr>
          <w:p w14:paraId="37989EAB">
            <w:pPr>
              <w:jc w:val="center"/>
              <w:rPr>
                <w:rFonts w:ascii="仿宋" w:hAnsi="仿宋" w:eastAsia="仿宋" w:cs="仿宋"/>
                <w:szCs w:val="21"/>
              </w:rPr>
            </w:pPr>
            <w:r>
              <w:rPr>
                <w:rFonts w:hint="eastAsia" w:ascii="仿宋" w:hAnsi="仿宋" w:eastAsia="仿宋" w:cs="仿宋"/>
                <w:szCs w:val="21"/>
              </w:rPr>
              <w:t>5</w:t>
            </w:r>
          </w:p>
        </w:tc>
        <w:tc>
          <w:tcPr>
            <w:tcW w:w="1122" w:type="dxa"/>
            <w:noWrap w:val="0"/>
            <w:vAlign w:val="center"/>
          </w:tcPr>
          <w:p w14:paraId="7D7564AD">
            <w:pPr>
              <w:adjustRightInd w:val="0"/>
              <w:snapToGrid w:val="0"/>
              <w:spacing w:before="156" w:beforeLines="50" w:line="360" w:lineRule="auto"/>
              <w:jc w:val="center"/>
              <w:rPr>
                <w:rFonts w:hint="eastAsia" w:ascii="仿宋" w:hAnsi="仿宋" w:eastAsia="仿宋" w:cs="仿宋"/>
                <w:szCs w:val="21"/>
              </w:rPr>
            </w:pPr>
            <w:r>
              <w:rPr>
                <w:rFonts w:hint="eastAsia" w:ascii="仿宋" w:hAnsi="仿宋" w:eastAsia="仿宋" w:cs="仿宋"/>
                <w:szCs w:val="21"/>
              </w:rPr>
              <w:t>行礼架</w:t>
            </w:r>
          </w:p>
        </w:tc>
        <w:tc>
          <w:tcPr>
            <w:tcW w:w="4609" w:type="dxa"/>
            <w:noWrap w:val="0"/>
            <w:vAlign w:val="center"/>
          </w:tcPr>
          <w:p w14:paraId="0263A038">
            <w:pPr>
              <w:spacing w:line="280" w:lineRule="exact"/>
              <w:rPr>
                <w:rFonts w:hint="eastAsia" w:ascii="仿宋" w:hAnsi="仿宋" w:eastAsia="仿宋" w:cs="仿宋"/>
                <w:szCs w:val="21"/>
              </w:rPr>
            </w:pPr>
            <w:r>
              <w:rPr>
                <w:rFonts w:hint="eastAsia" w:ascii="仿宋" w:hAnsi="仿宋" w:eastAsia="仿宋" w:cs="仿宋"/>
                <w:szCs w:val="21"/>
              </w:rPr>
              <w:t>行李架1100*900*2100mm（整体尺寸根据房间实际尺寸</w:t>
            </w:r>
            <w:r>
              <w:rPr>
                <w:rFonts w:hint="eastAsia" w:ascii="仿宋" w:hAnsi="仿宋" w:eastAsia="仿宋" w:cs="仿宋"/>
                <w:szCs w:val="21"/>
                <w:highlight w:val="none"/>
              </w:rPr>
              <w:t>或由</w:t>
            </w:r>
            <w:r>
              <w:rPr>
                <w:rFonts w:hint="eastAsia" w:ascii="仿宋" w:hAnsi="仿宋" w:eastAsia="仿宋" w:cs="仿宋"/>
                <w:szCs w:val="21"/>
                <w:highlight w:val="none"/>
                <w:lang w:val="en-US" w:eastAsia="zh-CN"/>
              </w:rPr>
              <w:t>采购人</w:t>
            </w:r>
            <w:r>
              <w:rPr>
                <w:rFonts w:hint="eastAsia" w:ascii="仿宋" w:hAnsi="仿宋" w:eastAsia="仿宋" w:cs="仿宋"/>
                <w:szCs w:val="21"/>
                <w:highlight w:val="none"/>
              </w:rPr>
              <w:t>决定可</w:t>
            </w:r>
            <w:r>
              <w:rPr>
                <w:rFonts w:hint="eastAsia" w:ascii="仿宋" w:hAnsi="仿宋" w:eastAsia="仿宋" w:cs="仿宋"/>
                <w:szCs w:val="21"/>
              </w:rPr>
              <w:t>调整）基材采用25*25*0.8mm</w:t>
            </w:r>
            <w:r>
              <w:rPr>
                <w:rFonts w:hint="eastAsia" w:ascii="仿宋" w:hAnsi="仿宋" w:eastAsia="仿宋" w:cs="仿宋"/>
                <w:szCs w:val="21"/>
                <w:highlight w:val="none"/>
              </w:rPr>
              <w:t>优质</w:t>
            </w:r>
            <w:r>
              <w:rPr>
                <w:rFonts w:hint="eastAsia" w:ascii="仿宋" w:hAnsi="仿宋" w:eastAsia="仿宋" w:cs="仿宋"/>
                <w:szCs w:val="21"/>
              </w:rPr>
              <w:t>304不锈钢制作。</w:t>
            </w:r>
          </w:p>
        </w:tc>
        <w:tc>
          <w:tcPr>
            <w:tcW w:w="2370" w:type="dxa"/>
            <w:noWrap w:val="0"/>
            <w:vAlign w:val="center"/>
          </w:tcPr>
          <w:p w14:paraId="471D636D">
            <w:pPr>
              <w:jc w:val="center"/>
              <w:rPr>
                <w:rFonts w:hint="eastAsia" w:ascii="仿宋" w:hAnsi="仿宋" w:eastAsia="仿宋" w:cs="仿宋"/>
                <w:szCs w:val="21"/>
              </w:rPr>
            </w:pPr>
            <w:r>
              <w:drawing>
                <wp:inline distT="0" distB="0" distL="114300" distR="114300">
                  <wp:extent cx="1089660" cy="1302385"/>
                  <wp:effectExtent l="0" t="0" r="15240" b="12065"/>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21"/>
                          <a:stretch>
                            <a:fillRect/>
                          </a:stretch>
                        </pic:blipFill>
                        <pic:spPr>
                          <a:xfrm>
                            <a:off x="0" y="0"/>
                            <a:ext cx="1089660" cy="1302385"/>
                          </a:xfrm>
                          <a:prstGeom prst="rect">
                            <a:avLst/>
                          </a:prstGeom>
                          <a:noFill/>
                          <a:ln>
                            <a:noFill/>
                          </a:ln>
                        </pic:spPr>
                      </pic:pic>
                    </a:graphicData>
                  </a:graphic>
                </wp:inline>
              </w:drawing>
            </w:r>
          </w:p>
        </w:tc>
      </w:tr>
      <w:tr w14:paraId="13E4B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center"/>
          </w:tcPr>
          <w:p w14:paraId="19AF3DD2">
            <w:pPr>
              <w:jc w:val="center"/>
              <w:rPr>
                <w:rFonts w:ascii="仿宋" w:hAnsi="仿宋" w:eastAsia="仿宋" w:cs="仿宋"/>
                <w:szCs w:val="21"/>
              </w:rPr>
            </w:pPr>
            <w:r>
              <w:rPr>
                <w:rFonts w:hint="eastAsia" w:ascii="仿宋" w:hAnsi="仿宋" w:eastAsia="仿宋" w:cs="仿宋"/>
                <w:szCs w:val="21"/>
              </w:rPr>
              <w:t>6</w:t>
            </w:r>
          </w:p>
        </w:tc>
        <w:tc>
          <w:tcPr>
            <w:tcW w:w="1122" w:type="dxa"/>
            <w:noWrap w:val="0"/>
            <w:vAlign w:val="center"/>
          </w:tcPr>
          <w:p w14:paraId="4F6F12DF">
            <w:pPr>
              <w:adjustRightInd w:val="0"/>
              <w:snapToGrid w:val="0"/>
              <w:spacing w:before="156" w:beforeLines="50" w:line="360" w:lineRule="auto"/>
              <w:jc w:val="center"/>
              <w:rPr>
                <w:rFonts w:hint="eastAsia" w:ascii="仿宋" w:hAnsi="仿宋" w:eastAsia="仿宋" w:cs="仿宋"/>
                <w:szCs w:val="21"/>
              </w:rPr>
            </w:pPr>
            <w:r>
              <w:rPr>
                <w:rFonts w:hint="eastAsia" w:ascii="仿宋" w:hAnsi="仿宋" w:eastAsia="仿宋" w:cs="仿宋"/>
                <w:szCs w:val="21"/>
              </w:rPr>
              <w:t>宿管床</w:t>
            </w:r>
          </w:p>
        </w:tc>
        <w:tc>
          <w:tcPr>
            <w:tcW w:w="4609" w:type="dxa"/>
            <w:noWrap w:val="0"/>
            <w:vAlign w:val="center"/>
          </w:tcPr>
          <w:p w14:paraId="00302DED">
            <w:pPr>
              <w:spacing w:line="280" w:lineRule="exact"/>
              <w:rPr>
                <w:rFonts w:hint="eastAsia" w:ascii="仿宋" w:hAnsi="仿宋" w:eastAsia="仿宋" w:cs="仿宋"/>
                <w:szCs w:val="21"/>
              </w:rPr>
            </w:pPr>
            <w:r>
              <w:rPr>
                <w:rFonts w:hint="eastAsia" w:ascii="仿宋" w:hAnsi="仿宋" w:eastAsia="仿宋" w:cs="仿宋"/>
                <w:szCs w:val="21"/>
              </w:rPr>
              <w:t>规格：2000*1500*1000mm（整体尺寸根据房间实际尺寸</w:t>
            </w:r>
            <w:r>
              <w:rPr>
                <w:rFonts w:hint="eastAsia" w:ascii="仿宋" w:hAnsi="仿宋" w:eastAsia="仿宋" w:cs="仿宋"/>
                <w:szCs w:val="21"/>
                <w:highlight w:val="none"/>
              </w:rPr>
              <w:t>或由</w:t>
            </w:r>
            <w:r>
              <w:rPr>
                <w:rFonts w:hint="eastAsia" w:ascii="仿宋" w:hAnsi="仿宋" w:eastAsia="仿宋" w:cs="仿宋"/>
                <w:szCs w:val="21"/>
                <w:highlight w:val="none"/>
                <w:lang w:val="en-US" w:eastAsia="zh-CN"/>
              </w:rPr>
              <w:t>采购人</w:t>
            </w:r>
            <w:r>
              <w:rPr>
                <w:rFonts w:hint="eastAsia" w:ascii="仿宋" w:hAnsi="仿宋" w:eastAsia="仿宋" w:cs="仿宋"/>
                <w:szCs w:val="21"/>
                <w:highlight w:val="none"/>
              </w:rPr>
              <w:t>决定可</w:t>
            </w:r>
            <w:r>
              <w:rPr>
                <w:rFonts w:hint="eastAsia" w:ascii="仿宋" w:hAnsi="仿宋" w:eastAsia="仿宋" w:cs="仿宋"/>
                <w:szCs w:val="21"/>
              </w:rPr>
              <w:t>调整）基材采用18mm三聚氰胺刨花板制作。床板采用18mm三聚氰胺刨花板制作。所有木质材料均需经防虫、防腐的化学处理，比重合理。技术指标达到国家一级板材标准（GB—T4897—92）。产品人性化设计。工艺：封边带采用环保 PVC 封边带厚度 1.5mm，胶粘剂采用180 度高温热熔胶，全自动三联线封边机封边。所有板材均采用电脑裁板设备下料，保证板件尺寸及品质，各连接部件结合严密，平整，牢固。床垫：无胶水，加密弹簧+天然棕，软硬适中，阻燃面料。</w:t>
            </w:r>
          </w:p>
          <w:p w14:paraId="34DDBD00">
            <w:pPr>
              <w:spacing w:line="280" w:lineRule="exact"/>
              <w:rPr>
                <w:rFonts w:hint="eastAsia" w:ascii="仿宋" w:hAnsi="仿宋" w:eastAsia="仿宋" w:cs="仿宋"/>
                <w:szCs w:val="21"/>
              </w:rPr>
            </w:pPr>
            <w:r>
              <w:rPr>
                <w:rFonts w:hint="eastAsia" w:ascii="仿宋" w:hAnsi="仿宋" w:eastAsia="仿宋" w:cs="仿宋"/>
                <w:szCs w:val="21"/>
              </w:rPr>
              <w:t>床垫的面料克重≥60g/㎡，面料耐摩擦色牢度：密度、含水率、压缩永久变形率检测合格，甲醛释放量≤0.050mg/㎡h。</w:t>
            </w:r>
          </w:p>
        </w:tc>
        <w:tc>
          <w:tcPr>
            <w:tcW w:w="2370" w:type="dxa"/>
            <w:noWrap w:val="0"/>
            <w:vAlign w:val="center"/>
          </w:tcPr>
          <w:p w14:paraId="7B64FD8A">
            <w:pPr>
              <w:jc w:val="center"/>
              <w:rPr>
                <w:rFonts w:hint="eastAsia" w:ascii="仿宋" w:hAnsi="仿宋" w:eastAsia="仿宋" w:cs="仿宋"/>
                <w:szCs w:val="21"/>
              </w:rPr>
            </w:pPr>
            <w:r>
              <w:drawing>
                <wp:inline distT="0" distB="0" distL="114300" distR="114300">
                  <wp:extent cx="1367790" cy="913765"/>
                  <wp:effectExtent l="0" t="0" r="3810" b="635"/>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22"/>
                          <a:stretch>
                            <a:fillRect/>
                          </a:stretch>
                        </pic:blipFill>
                        <pic:spPr>
                          <a:xfrm>
                            <a:off x="0" y="0"/>
                            <a:ext cx="1367790" cy="913765"/>
                          </a:xfrm>
                          <a:prstGeom prst="rect">
                            <a:avLst/>
                          </a:prstGeom>
                          <a:noFill/>
                          <a:ln>
                            <a:noFill/>
                          </a:ln>
                        </pic:spPr>
                      </pic:pic>
                    </a:graphicData>
                  </a:graphic>
                </wp:inline>
              </w:drawing>
            </w:r>
          </w:p>
        </w:tc>
      </w:tr>
      <w:tr w14:paraId="360D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center"/>
          </w:tcPr>
          <w:p w14:paraId="5C13863C">
            <w:pPr>
              <w:jc w:val="center"/>
              <w:rPr>
                <w:rFonts w:ascii="仿宋" w:hAnsi="仿宋" w:eastAsia="仿宋" w:cs="仿宋"/>
                <w:szCs w:val="21"/>
              </w:rPr>
            </w:pPr>
            <w:r>
              <w:rPr>
                <w:rFonts w:hint="eastAsia" w:ascii="仿宋" w:hAnsi="仿宋" w:eastAsia="仿宋" w:cs="仿宋"/>
                <w:szCs w:val="21"/>
              </w:rPr>
              <w:t>7</w:t>
            </w:r>
          </w:p>
        </w:tc>
        <w:tc>
          <w:tcPr>
            <w:tcW w:w="1122" w:type="dxa"/>
            <w:noWrap w:val="0"/>
            <w:vAlign w:val="center"/>
          </w:tcPr>
          <w:p w14:paraId="6C3706A8">
            <w:pPr>
              <w:adjustRightInd w:val="0"/>
              <w:snapToGrid w:val="0"/>
              <w:spacing w:before="156" w:beforeLines="50" w:line="360" w:lineRule="auto"/>
              <w:jc w:val="center"/>
              <w:rPr>
                <w:rFonts w:hint="eastAsia" w:ascii="仿宋" w:hAnsi="仿宋" w:eastAsia="仿宋" w:cs="仿宋"/>
                <w:szCs w:val="21"/>
              </w:rPr>
            </w:pPr>
            <w:r>
              <w:rPr>
                <w:rFonts w:hint="eastAsia" w:ascii="仿宋" w:hAnsi="仿宋" w:eastAsia="仿宋" w:cs="仿宋"/>
                <w:szCs w:val="21"/>
              </w:rPr>
              <w:t>宿管书桌</w:t>
            </w:r>
          </w:p>
        </w:tc>
        <w:tc>
          <w:tcPr>
            <w:tcW w:w="4609" w:type="dxa"/>
            <w:noWrap w:val="0"/>
            <w:vAlign w:val="center"/>
          </w:tcPr>
          <w:p w14:paraId="6885AB75">
            <w:pPr>
              <w:spacing w:line="280" w:lineRule="exact"/>
              <w:rPr>
                <w:rFonts w:hint="eastAsia" w:ascii="仿宋" w:hAnsi="仿宋" w:eastAsia="仿宋" w:cs="仿宋"/>
                <w:szCs w:val="21"/>
              </w:rPr>
            </w:pPr>
            <w:r>
              <w:rPr>
                <w:rFonts w:hint="eastAsia" w:ascii="仿宋" w:hAnsi="仿宋" w:eastAsia="仿宋" w:cs="仿宋"/>
                <w:szCs w:val="21"/>
              </w:rPr>
              <w:t>书桌：1200*600*760mm（整体尺寸根据房间实际尺寸</w:t>
            </w:r>
            <w:r>
              <w:rPr>
                <w:rFonts w:hint="eastAsia" w:ascii="仿宋" w:hAnsi="仿宋" w:eastAsia="仿宋" w:cs="仿宋"/>
                <w:szCs w:val="21"/>
                <w:highlight w:val="none"/>
              </w:rPr>
              <w:t>或由</w:t>
            </w:r>
            <w:r>
              <w:rPr>
                <w:rFonts w:hint="eastAsia" w:ascii="仿宋" w:hAnsi="仿宋" w:eastAsia="仿宋" w:cs="仿宋"/>
                <w:szCs w:val="21"/>
                <w:highlight w:val="none"/>
                <w:lang w:val="en-US" w:eastAsia="zh-CN"/>
              </w:rPr>
              <w:t>采购人</w:t>
            </w:r>
            <w:r>
              <w:rPr>
                <w:rFonts w:hint="eastAsia" w:ascii="仿宋" w:hAnsi="仿宋" w:eastAsia="仿宋" w:cs="仿宋"/>
                <w:szCs w:val="21"/>
                <w:highlight w:val="none"/>
              </w:rPr>
              <w:t>决定可</w:t>
            </w:r>
            <w:r>
              <w:rPr>
                <w:rFonts w:hint="eastAsia" w:ascii="仿宋" w:hAnsi="仿宋" w:eastAsia="仿宋" w:cs="仿宋"/>
                <w:szCs w:val="21"/>
              </w:rPr>
              <w:t>调整）基材采用16mm刨花板桌面采用25mm，背板采用5mm刨花板制作，采用同色封边条封边工艺。2.封边带采用环保 PVC 封边带厚度 1.2mm，胶粘剂采用180 度高温热熔胶，全自动三联线封边机封边。3.所有板材均采用电脑裁板设备下料，保证板件尺寸及品质，各连接部件结合严密，平整，牢固。柜门免拉手工艺。</w:t>
            </w:r>
          </w:p>
        </w:tc>
        <w:tc>
          <w:tcPr>
            <w:tcW w:w="2370" w:type="dxa"/>
            <w:noWrap w:val="0"/>
            <w:vAlign w:val="center"/>
          </w:tcPr>
          <w:p w14:paraId="478A2A11">
            <w:pPr>
              <w:jc w:val="center"/>
              <w:rPr>
                <w:rFonts w:hint="eastAsia" w:ascii="仿宋" w:hAnsi="仿宋" w:eastAsia="仿宋" w:cs="仿宋"/>
                <w:szCs w:val="21"/>
              </w:rPr>
            </w:pPr>
            <w:r>
              <w:drawing>
                <wp:inline distT="0" distB="0" distL="114300" distR="114300">
                  <wp:extent cx="1296670" cy="1223645"/>
                  <wp:effectExtent l="0" t="0" r="17780" b="14605"/>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pic:cNvPicPr>
                        </pic:nvPicPr>
                        <pic:blipFill>
                          <a:blip r:embed="rId23"/>
                          <a:stretch>
                            <a:fillRect/>
                          </a:stretch>
                        </pic:blipFill>
                        <pic:spPr>
                          <a:xfrm>
                            <a:off x="0" y="0"/>
                            <a:ext cx="1296670" cy="1223645"/>
                          </a:xfrm>
                          <a:prstGeom prst="rect">
                            <a:avLst/>
                          </a:prstGeom>
                          <a:noFill/>
                          <a:ln>
                            <a:noFill/>
                          </a:ln>
                        </pic:spPr>
                      </pic:pic>
                    </a:graphicData>
                  </a:graphic>
                </wp:inline>
              </w:drawing>
            </w:r>
          </w:p>
        </w:tc>
      </w:tr>
      <w:tr w14:paraId="52EB3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center"/>
          </w:tcPr>
          <w:p w14:paraId="0F0DC5BE">
            <w:pPr>
              <w:jc w:val="center"/>
              <w:rPr>
                <w:rFonts w:ascii="仿宋" w:hAnsi="仿宋" w:eastAsia="仿宋" w:cs="仿宋"/>
                <w:szCs w:val="21"/>
              </w:rPr>
            </w:pPr>
            <w:r>
              <w:rPr>
                <w:rFonts w:hint="eastAsia" w:ascii="仿宋" w:hAnsi="仿宋" w:eastAsia="仿宋" w:cs="仿宋"/>
                <w:szCs w:val="21"/>
              </w:rPr>
              <w:t>8</w:t>
            </w:r>
          </w:p>
        </w:tc>
        <w:tc>
          <w:tcPr>
            <w:tcW w:w="1122" w:type="dxa"/>
            <w:noWrap w:val="0"/>
            <w:vAlign w:val="center"/>
          </w:tcPr>
          <w:p w14:paraId="08897C4E">
            <w:pPr>
              <w:adjustRightInd w:val="0"/>
              <w:snapToGrid w:val="0"/>
              <w:spacing w:before="156" w:beforeLines="50" w:line="360" w:lineRule="auto"/>
              <w:jc w:val="center"/>
              <w:rPr>
                <w:rFonts w:hint="eastAsia" w:ascii="仿宋" w:hAnsi="仿宋" w:eastAsia="仿宋" w:cs="仿宋"/>
                <w:szCs w:val="21"/>
              </w:rPr>
            </w:pPr>
            <w:r>
              <w:rPr>
                <w:rFonts w:hint="eastAsia" w:ascii="仿宋" w:hAnsi="仿宋" w:eastAsia="仿宋" w:cs="仿宋"/>
                <w:szCs w:val="21"/>
              </w:rPr>
              <w:t>椅子</w:t>
            </w:r>
          </w:p>
        </w:tc>
        <w:tc>
          <w:tcPr>
            <w:tcW w:w="4609" w:type="dxa"/>
            <w:noWrap w:val="0"/>
            <w:vAlign w:val="center"/>
          </w:tcPr>
          <w:p w14:paraId="5CC35D1E">
            <w:pPr>
              <w:spacing w:line="280" w:lineRule="exact"/>
              <w:rPr>
                <w:rFonts w:hint="eastAsia" w:ascii="仿宋" w:hAnsi="仿宋" w:eastAsia="仿宋" w:cs="仿宋"/>
                <w:szCs w:val="21"/>
              </w:rPr>
            </w:pPr>
            <w:r>
              <w:rPr>
                <w:rFonts w:hint="eastAsia" w:ascii="仿宋" w:hAnsi="仿宋" w:eastAsia="仿宋" w:cs="仿宋"/>
                <w:szCs w:val="21"/>
              </w:rPr>
              <w:t>1、椅子钢管：采用椭圆冷扎钢管40*20*1.5mm弯管成型；</w:t>
            </w:r>
          </w:p>
          <w:p w14:paraId="6BE7293C">
            <w:pPr>
              <w:spacing w:line="280" w:lineRule="exact"/>
              <w:rPr>
                <w:rFonts w:hint="eastAsia" w:ascii="仿宋" w:hAnsi="仿宋" w:eastAsia="仿宋" w:cs="仿宋"/>
                <w:szCs w:val="21"/>
              </w:rPr>
            </w:pPr>
            <w:r>
              <w:rPr>
                <w:rFonts w:hint="eastAsia" w:ascii="仿宋" w:hAnsi="仿宋" w:eastAsia="仿宋" w:cs="仿宋"/>
                <w:szCs w:val="21"/>
              </w:rPr>
              <w:t>2、坐板框采用钢管θ28*2.0mm圆管与 U型295*40*20mm钢板折弯成型交叉焊接；座板底下加橡胶垫。</w:t>
            </w:r>
          </w:p>
          <w:p w14:paraId="25BAF40F">
            <w:pPr>
              <w:spacing w:line="280" w:lineRule="exact"/>
              <w:rPr>
                <w:rFonts w:hint="eastAsia" w:ascii="仿宋" w:hAnsi="仿宋" w:eastAsia="仿宋" w:cs="仿宋"/>
                <w:szCs w:val="21"/>
              </w:rPr>
            </w:pPr>
            <w:r>
              <w:rPr>
                <w:rFonts w:hint="eastAsia" w:ascii="仿宋" w:hAnsi="仿宋" w:eastAsia="仿宋" w:cs="仿宋"/>
                <w:szCs w:val="21"/>
              </w:rPr>
              <w:t>3、椅下连接条：采用椭圆冷扎钢管40*20*1.5mm；</w:t>
            </w:r>
          </w:p>
          <w:p w14:paraId="0F33C018">
            <w:pPr>
              <w:spacing w:line="280" w:lineRule="exact"/>
              <w:rPr>
                <w:rFonts w:hint="eastAsia" w:ascii="仿宋" w:hAnsi="仿宋" w:eastAsia="仿宋" w:cs="仿宋"/>
                <w:szCs w:val="21"/>
              </w:rPr>
            </w:pPr>
            <w:r>
              <w:rPr>
                <w:rFonts w:hint="eastAsia" w:ascii="仿宋" w:hAnsi="仿宋" w:eastAsia="仿宋" w:cs="仿宋"/>
                <w:szCs w:val="21"/>
              </w:rPr>
              <w:t>4、工艺：钢管焊接处采用二氧化碳保护焊接工艺，焊接表面波纹均匀，焊接处无夹渣、气孔、焊瘤，焊丝咬边和飞溅，无脱焊、虚焊和焊空的现象。各钢件表面采用静电喷塑，颜色银灰色，与桌面色板色彩搭配协调美观。表面光亮平整、无颗粒渣点、颜色均匀</w:t>
            </w:r>
          </w:p>
          <w:p w14:paraId="66C74B03">
            <w:pPr>
              <w:spacing w:line="280" w:lineRule="exact"/>
              <w:rPr>
                <w:rFonts w:hint="eastAsia" w:ascii="仿宋" w:hAnsi="仿宋" w:eastAsia="仿宋" w:cs="仿宋"/>
                <w:szCs w:val="21"/>
              </w:rPr>
            </w:pPr>
            <w:r>
              <w:rPr>
                <w:rFonts w:hint="eastAsia" w:ascii="仿宋" w:hAnsi="仿宋" w:eastAsia="仿宋" w:cs="仿宋"/>
                <w:szCs w:val="21"/>
              </w:rPr>
              <w:t>椅背板，座板：</w:t>
            </w:r>
          </w:p>
          <w:p w14:paraId="54DE0965">
            <w:pPr>
              <w:numPr>
                <w:ilvl w:val="0"/>
                <w:numId w:val="13"/>
              </w:numPr>
              <w:spacing w:line="280" w:lineRule="exact"/>
              <w:rPr>
                <w:rFonts w:ascii="仿宋" w:hAnsi="仿宋" w:eastAsia="仿宋" w:cs="仿宋"/>
                <w:szCs w:val="21"/>
              </w:rPr>
            </w:pPr>
            <w:r>
              <w:rPr>
                <w:rFonts w:hint="eastAsia" w:ascii="仿宋" w:hAnsi="仿宋" w:eastAsia="仿宋" w:cs="仿宋"/>
                <w:szCs w:val="21"/>
              </w:rPr>
              <w:t>材料：选优等PP材料.</w:t>
            </w:r>
          </w:p>
          <w:p w14:paraId="7E210115">
            <w:pPr>
              <w:rPr>
                <w:rFonts w:hint="eastAsia"/>
              </w:rPr>
            </w:pPr>
            <w:r>
              <w:rPr>
                <w:rFonts w:hint="eastAsia" w:ascii="仿宋" w:hAnsi="仿宋" w:eastAsia="仿宋" w:cs="仿宋"/>
                <w:szCs w:val="21"/>
              </w:rPr>
              <w:t>▲PP塑料的邻苯二甲酸酯增塑剂、有机磷阻燃剂、负荷变形温度、脆化温度、盐雾试验200h，质量变化率≤3%；红外光谱分析、自然气候老化、太阳辐射暴露24h、阻燃1级均检测合格，投标文件中提供带有CMA或CNAS标志的抽样检测报告佐证。</w:t>
            </w:r>
          </w:p>
          <w:p w14:paraId="0F0A732D">
            <w:pPr>
              <w:spacing w:line="280" w:lineRule="exact"/>
              <w:rPr>
                <w:rFonts w:ascii="仿宋" w:hAnsi="仿宋" w:eastAsia="仿宋" w:cs="仿宋"/>
                <w:szCs w:val="21"/>
              </w:rPr>
            </w:pPr>
            <w:r>
              <w:rPr>
                <w:rFonts w:hint="eastAsia" w:ascii="仿宋" w:hAnsi="仿宋" w:eastAsia="仿宋" w:cs="仿宋"/>
                <w:szCs w:val="21"/>
              </w:rPr>
              <w:t>2、★靠背尺寸为：470mm*267mm*25mm（±2mm），椅面材质采用环保级PP耐冲击、高韧性塑料，全新料一体射出成型。塑料表面麻面或纹理处理，不反光，椅面模具一体成型，镂空通风设计设，靠背上端设有手提口，方便搬动；</w:t>
            </w:r>
          </w:p>
          <w:p w14:paraId="15DE06B9">
            <w:pPr>
              <w:spacing w:line="280" w:lineRule="exact"/>
              <w:rPr>
                <w:rFonts w:hint="eastAsia" w:ascii="仿宋" w:hAnsi="仿宋" w:eastAsia="仿宋" w:cs="仿宋"/>
                <w:szCs w:val="21"/>
              </w:rPr>
            </w:pPr>
            <w:r>
              <w:rPr>
                <w:rFonts w:hint="eastAsia" w:ascii="仿宋" w:hAnsi="仿宋" w:eastAsia="仿宋" w:cs="仿宋"/>
                <w:szCs w:val="21"/>
              </w:rPr>
              <w:t>▲靠背的邻苯二甲酸酯增塑剂、有机磷阻燃剂、负荷变形温度、脆化温度、盐雾试验200h，质量变化率≤3%；红外光谱分析、自然气候老化、太阳辐射暴露24h、阻燃1级均检测合格，投标文件中提供带有CMA或CNAS标志的抽样检测报告佐证。</w:t>
            </w:r>
          </w:p>
          <w:p w14:paraId="7F5AD60A">
            <w:pPr>
              <w:spacing w:line="280" w:lineRule="exact"/>
              <w:rPr>
                <w:rFonts w:ascii="仿宋" w:hAnsi="仿宋" w:eastAsia="仿宋" w:cs="仿宋"/>
                <w:szCs w:val="21"/>
              </w:rPr>
            </w:pPr>
            <w:r>
              <w:rPr>
                <w:rFonts w:hint="eastAsia" w:ascii="仿宋" w:hAnsi="仿宋" w:eastAsia="仿宋" w:cs="仿宋"/>
                <w:szCs w:val="21"/>
              </w:rPr>
              <w:t>3、★坐垫尺寸为：420mm*417mm*25mm（±2mm），椅面材质采用环保级PP耐冲击、高韧性塑料，全新料一体射出成型。塑料表面麻面或纹理处理，不反光，椅面模具一体成型，镂空通风设计。</w:t>
            </w:r>
          </w:p>
          <w:p w14:paraId="6A3C53E1">
            <w:pPr>
              <w:spacing w:line="280" w:lineRule="exact"/>
              <w:rPr>
                <w:rFonts w:hint="eastAsia" w:ascii="仿宋" w:hAnsi="仿宋" w:eastAsia="仿宋" w:cs="仿宋"/>
                <w:szCs w:val="21"/>
              </w:rPr>
            </w:pPr>
            <w:r>
              <w:rPr>
                <w:rFonts w:hint="eastAsia" w:ascii="仿宋" w:hAnsi="仿宋" w:eastAsia="仿宋" w:cs="仿宋"/>
                <w:szCs w:val="21"/>
              </w:rPr>
              <w:t>▲坐垫的邻苯二甲酸酯增塑剂、有机磷阻燃剂、负荷变形温度、脆化温度、盐雾试验200h，质量变化率≤3%；红外光谱分析、自然气候老化、太阳辐射暴露24h、阻燃1级均检测合格，投标文件中提供带有CMA或CNAS标志的抽样检测报告佐证。</w:t>
            </w:r>
          </w:p>
          <w:p w14:paraId="444DD08D">
            <w:pPr>
              <w:spacing w:line="280" w:lineRule="exact"/>
              <w:rPr>
                <w:rFonts w:hint="eastAsia" w:ascii="仿宋" w:hAnsi="仿宋" w:eastAsia="仿宋" w:cs="仿宋"/>
                <w:szCs w:val="21"/>
              </w:rPr>
            </w:pPr>
            <w:r>
              <w:rPr>
                <w:rFonts w:hint="eastAsia" w:ascii="仿宋" w:hAnsi="仿宋" w:eastAsia="仿宋" w:cs="仿宋"/>
                <w:szCs w:val="21"/>
              </w:rPr>
              <w:t>1、椭圆管短外塞90*33*60(H)mm，椭圆管弯角垫145*35*88(H)mm让整个椅架稳定性更强，耐寒耐磨，经久耐用，。两者都选用一级PP材料（化学名称：聚丙烯---无臭、无味、无毒、强度、刚度、硬度耐热性高，化学性能稳定与绝大多数化学药品不反应且电绝缘性好）,合理的结构设计使其在避免与地面的刮擦的同时抓地性更强。</w:t>
            </w:r>
          </w:p>
          <w:p w14:paraId="78820FE6">
            <w:pPr>
              <w:spacing w:line="280" w:lineRule="exact"/>
              <w:rPr>
                <w:rFonts w:ascii="仿宋" w:hAnsi="仿宋" w:eastAsia="仿宋" w:cs="仿宋"/>
                <w:szCs w:val="21"/>
              </w:rPr>
            </w:pPr>
            <w:r>
              <w:rPr>
                <w:rFonts w:hint="eastAsia" w:ascii="仿宋" w:hAnsi="仿宋" w:eastAsia="仿宋" w:cs="仿宋"/>
                <w:szCs w:val="21"/>
              </w:rPr>
              <w:t>3.座板下加入环保橡胶垫和环保橡胶减震软垫便于放在桌子上，使椅子更加牢固美观，环保橡胶垫尺寸为32mm*24mm*18mm（33*27*33mm），环保橡减震软垫尺寸为36mm*11mm。胶减震软垫尺寸为36mm*11mm。</w:t>
            </w:r>
          </w:p>
          <w:p w14:paraId="63484964">
            <w:pPr>
              <w:spacing w:line="280" w:lineRule="exact"/>
              <w:rPr>
                <w:rFonts w:hint="eastAsia" w:ascii="仿宋" w:hAnsi="仿宋" w:eastAsia="仿宋" w:cs="仿宋"/>
                <w:szCs w:val="21"/>
              </w:rPr>
            </w:pPr>
            <w:r>
              <w:rPr>
                <w:rFonts w:hint="eastAsia" w:ascii="仿宋" w:hAnsi="仿宋" w:eastAsia="仿宋" w:cs="仿宋"/>
                <w:szCs w:val="21"/>
              </w:rPr>
              <w:t>▲脚套的邻苯二甲酸酯增塑剂、有机磷阻燃剂、负荷变形温度、脆化温度、盐雾试验200h，质量变化率≤3%；红外光谱分析、自然气候老化、太阳辐射暴露24h、阻燃1级均检测合格，投标文件中提供带有CMA或CNAS标志的抽样检测报告佐证。</w:t>
            </w:r>
          </w:p>
        </w:tc>
        <w:tc>
          <w:tcPr>
            <w:tcW w:w="2370" w:type="dxa"/>
            <w:noWrap w:val="0"/>
            <w:vAlign w:val="center"/>
          </w:tcPr>
          <w:p w14:paraId="7AC5496B">
            <w:pPr>
              <w:jc w:val="center"/>
              <w:rPr>
                <w:rFonts w:hint="eastAsia" w:ascii="仿宋" w:hAnsi="仿宋" w:eastAsia="仿宋" w:cs="仿宋"/>
                <w:szCs w:val="21"/>
              </w:rPr>
            </w:pPr>
            <w:r>
              <w:drawing>
                <wp:inline distT="0" distB="0" distL="114300" distR="114300">
                  <wp:extent cx="1157605" cy="1661795"/>
                  <wp:effectExtent l="0" t="0" r="4445" b="14605"/>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pic:cNvPicPr>
                        </pic:nvPicPr>
                        <pic:blipFill>
                          <a:blip r:embed="rId24"/>
                          <a:stretch>
                            <a:fillRect/>
                          </a:stretch>
                        </pic:blipFill>
                        <pic:spPr>
                          <a:xfrm>
                            <a:off x="0" y="0"/>
                            <a:ext cx="1157605" cy="1661795"/>
                          </a:xfrm>
                          <a:prstGeom prst="rect">
                            <a:avLst/>
                          </a:prstGeom>
                          <a:noFill/>
                          <a:ln>
                            <a:noFill/>
                          </a:ln>
                        </pic:spPr>
                      </pic:pic>
                    </a:graphicData>
                  </a:graphic>
                </wp:inline>
              </w:drawing>
            </w:r>
          </w:p>
        </w:tc>
      </w:tr>
      <w:tr w14:paraId="59F6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center"/>
          </w:tcPr>
          <w:p w14:paraId="4147687A">
            <w:pPr>
              <w:jc w:val="center"/>
              <w:rPr>
                <w:rFonts w:ascii="仿宋" w:hAnsi="仿宋" w:eastAsia="仿宋" w:cs="仿宋"/>
                <w:szCs w:val="21"/>
              </w:rPr>
            </w:pPr>
            <w:r>
              <w:rPr>
                <w:rFonts w:hint="eastAsia" w:ascii="仿宋" w:hAnsi="仿宋" w:eastAsia="仿宋" w:cs="仿宋"/>
                <w:szCs w:val="21"/>
              </w:rPr>
              <w:t>9</w:t>
            </w:r>
          </w:p>
        </w:tc>
        <w:tc>
          <w:tcPr>
            <w:tcW w:w="1122" w:type="dxa"/>
            <w:noWrap w:val="0"/>
            <w:vAlign w:val="center"/>
          </w:tcPr>
          <w:p w14:paraId="01C293BF">
            <w:pPr>
              <w:adjustRightInd w:val="0"/>
              <w:snapToGrid w:val="0"/>
              <w:spacing w:before="156" w:beforeLines="50" w:line="360" w:lineRule="auto"/>
              <w:jc w:val="center"/>
              <w:rPr>
                <w:rFonts w:hint="eastAsia" w:ascii="仿宋" w:hAnsi="仿宋" w:eastAsia="仿宋" w:cs="仿宋"/>
                <w:szCs w:val="21"/>
              </w:rPr>
            </w:pPr>
            <w:r>
              <w:rPr>
                <w:rFonts w:hint="eastAsia" w:ascii="仿宋" w:hAnsi="仿宋" w:eastAsia="仿宋" w:cs="仿宋"/>
                <w:szCs w:val="21"/>
              </w:rPr>
              <w:t>衣柜</w:t>
            </w:r>
          </w:p>
        </w:tc>
        <w:tc>
          <w:tcPr>
            <w:tcW w:w="4609" w:type="dxa"/>
            <w:noWrap w:val="0"/>
            <w:vAlign w:val="center"/>
          </w:tcPr>
          <w:p w14:paraId="1BF74960">
            <w:pPr>
              <w:spacing w:line="280" w:lineRule="exact"/>
              <w:rPr>
                <w:rFonts w:hint="eastAsia" w:ascii="仿宋" w:hAnsi="仿宋" w:eastAsia="仿宋" w:cs="仿宋"/>
                <w:szCs w:val="21"/>
              </w:rPr>
            </w:pPr>
            <w:r>
              <w:rPr>
                <w:rFonts w:hint="eastAsia" w:ascii="仿宋" w:hAnsi="仿宋" w:eastAsia="仿宋" w:cs="仿宋"/>
                <w:szCs w:val="21"/>
              </w:rPr>
              <w:t>单人衣柜600*600*1800mm（整体尺寸根据房间实际尺寸</w:t>
            </w:r>
            <w:r>
              <w:rPr>
                <w:rFonts w:hint="eastAsia" w:ascii="仿宋" w:hAnsi="仿宋" w:eastAsia="仿宋" w:cs="仿宋"/>
                <w:szCs w:val="21"/>
                <w:highlight w:val="none"/>
              </w:rPr>
              <w:t>或由</w:t>
            </w:r>
            <w:r>
              <w:rPr>
                <w:rFonts w:hint="eastAsia" w:ascii="仿宋" w:hAnsi="仿宋" w:eastAsia="仿宋" w:cs="仿宋"/>
                <w:szCs w:val="21"/>
                <w:highlight w:val="none"/>
                <w:lang w:val="en-US" w:eastAsia="zh-CN"/>
              </w:rPr>
              <w:t>采购人</w:t>
            </w:r>
            <w:r>
              <w:rPr>
                <w:rFonts w:hint="eastAsia" w:ascii="仿宋" w:hAnsi="仿宋" w:eastAsia="仿宋" w:cs="仿宋"/>
                <w:szCs w:val="21"/>
                <w:highlight w:val="none"/>
              </w:rPr>
              <w:t>决定可</w:t>
            </w:r>
            <w:r>
              <w:rPr>
                <w:rFonts w:hint="eastAsia" w:ascii="仿宋" w:hAnsi="仿宋" w:eastAsia="仿宋" w:cs="仿宋"/>
                <w:szCs w:val="21"/>
              </w:rPr>
              <w:t>调整</w:t>
            </w:r>
            <w:r>
              <w:rPr>
                <w:rFonts w:hint="eastAsia" w:ascii="仿宋" w:hAnsi="仿宋" w:eastAsia="仿宋" w:cs="仿宋"/>
                <w:szCs w:val="21"/>
                <w:highlight w:val="none"/>
              </w:rPr>
              <w:t>）</w:t>
            </w:r>
            <w:r>
              <w:rPr>
                <w:rFonts w:hint="eastAsia" w:ascii="仿宋" w:hAnsi="仿宋" w:eastAsia="仿宋" w:cs="仿宋"/>
                <w:szCs w:val="21"/>
              </w:rPr>
              <w:t>基材采用16mm三聚氰胺刨花板背板选用5mm板。工艺：封边带采用环保 PVC 封边带厚度 1.5mm，胶粘剂采用180 度高温热熔胶，全自动三联线封边机封边。所有板材均采用电脑裁板设备下料，保证板件尺寸及品质，衣柜、书架、书桌等各连接部件结合严密，平整，牢固。柜门免拉手工艺。</w:t>
            </w:r>
          </w:p>
        </w:tc>
        <w:tc>
          <w:tcPr>
            <w:tcW w:w="2370" w:type="dxa"/>
            <w:noWrap w:val="0"/>
            <w:vAlign w:val="center"/>
          </w:tcPr>
          <w:p w14:paraId="47C6B21D">
            <w:pPr>
              <w:jc w:val="center"/>
              <w:rPr>
                <w:rFonts w:hint="eastAsia" w:ascii="仿宋" w:hAnsi="仿宋" w:eastAsia="仿宋" w:cs="仿宋"/>
                <w:szCs w:val="21"/>
              </w:rPr>
            </w:pPr>
            <w:r>
              <w:drawing>
                <wp:inline distT="0" distB="0" distL="114300" distR="114300">
                  <wp:extent cx="1247775" cy="2134235"/>
                  <wp:effectExtent l="0" t="0" r="9525" b="18415"/>
                  <wp:docPr id="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pic:cNvPicPr>
                            <a:picLocks noChangeAspect="1"/>
                          </pic:cNvPicPr>
                        </pic:nvPicPr>
                        <pic:blipFill>
                          <a:blip r:embed="rId25"/>
                          <a:stretch>
                            <a:fillRect/>
                          </a:stretch>
                        </pic:blipFill>
                        <pic:spPr>
                          <a:xfrm>
                            <a:off x="0" y="0"/>
                            <a:ext cx="1247775" cy="2134235"/>
                          </a:xfrm>
                          <a:prstGeom prst="rect">
                            <a:avLst/>
                          </a:prstGeom>
                          <a:noFill/>
                          <a:ln>
                            <a:noFill/>
                          </a:ln>
                        </pic:spPr>
                      </pic:pic>
                    </a:graphicData>
                  </a:graphic>
                </wp:inline>
              </w:drawing>
            </w:r>
          </w:p>
        </w:tc>
      </w:tr>
      <w:tr w14:paraId="1E54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8" w:type="dxa"/>
            <w:gridSpan w:val="4"/>
            <w:noWrap w:val="0"/>
            <w:vAlign w:val="center"/>
          </w:tcPr>
          <w:p w14:paraId="4172BB00">
            <w:pPr>
              <w:jc w:val="left"/>
            </w:pPr>
          </w:p>
        </w:tc>
      </w:tr>
    </w:tbl>
    <w:p w14:paraId="49624FE5">
      <w:pPr>
        <w:rPr>
          <w:rFonts w:hint="eastAsia" w:ascii="仿宋" w:hAnsi="仿宋" w:eastAsia="仿宋" w:cs="仿宋"/>
          <w:szCs w:val="21"/>
        </w:rPr>
      </w:pPr>
    </w:p>
    <w:p w14:paraId="6F73AA33">
      <w:pPr>
        <w:keepNext/>
        <w:keepLines/>
        <w:adjustRightInd w:val="0"/>
        <w:snapToGrid w:val="0"/>
        <w:spacing w:before="156" w:beforeLines="50" w:line="360" w:lineRule="auto"/>
        <w:jc w:val="center"/>
        <w:outlineLvl w:val="1"/>
        <w:rPr>
          <w:rFonts w:hint="eastAsia" w:ascii="仿宋" w:hAnsi="仿宋" w:eastAsia="仿宋" w:cs="仿宋"/>
          <w:b/>
          <w:bCs/>
          <w:sz w:val="24"/>
          <w:szCs w:val="32"/>
        </w:rPr>
      </w:pPr>
      <w:bookmarkStart w:id="200" w:name="_Toc17069"/>
      <w:r>
        <w:rPr>
          <w:rFonts w:hint="eastAsia" w:ascii="仿宋" w:hAnsi="仿宋" w:eastAsia="仿宋" w:cs="仿宋"/>
          <w:b/>
          <w:bCs/>
          <w:sz w:val="28"/>
          <w:szCs w:val="28"/>
        </w:rPr>
        <w:t>第三节 商务要求</w:t>
      </w:r>
      <w:bookmarkEnd w:id="200"/>
    </w:p>
    <w:p w14:paraId="7DC29691">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kern w:val="0"/>
          <w:szCs w:val="21"/>
        </w:rPr>
        <w:t>1.付款方式：货物进场付30%，完成经验收合格6</w:t>
      </w:r>
      <w:r>
        <w:rPr>
          <w:rFonts w:hint="eastAsia" w:ascii="仿宋" w:hAnsi="仿宋" w:eastAsia="仿宋" w:cs="仿宋"/>
          <w:kern w:val="0"/>
          <w:szCs w:val="21"/>
          <w:lang w:val="en-US" w:eastAsia="zh-CN"/>
        </w:rPr>
        <w:t>7</w:t>
      </w:r>
      <w:r>
        <w:rPr>
          <w:rFonts w:hint="eastAsia" w:ascii="仿宋" w:hAnsi="仿宋" w:eastAsia="仿宋" w:cs="仿宋"/>
          <w:kern w:val="0"/>
          <w:szCs w:val="21"/>
        </w:rPr>
        <w:t>%，剩下保质期满后15个工作日付清2.交货时间及地点：</w:t>
      </w:r>
      <w:r>
        <w:rPr>
          <w:rFonts w:hint="eastAsia" w:ascii="仿宋" w:hAnsi="仿宋" w:eastAsia="仿宋" w:cs="仿宋"/>
          <w:kern w:val="0"/>
          <w:szCs w:val="21"/>
          <w:lang w:val="en-US" w:eastAsia="zh-CN"/>
        </w:rPr>
        <w:t>15</w:t>
      </w:r>
      <w:r>
        <w:rPr>
          <w:rFonts w:hint="eastAsia" w:ascii="仿宋" w:hAnsi="仿宋" w:eastAsia="仿宋" w:cs="仿宋"/>
          <w:kern w:val="0"/>
          <w:szCs w:val="21"/>
        </w:rPr>
        <w:t>日历天交货并完成安装；采购人指定地点。</w:t>
      </w:r>
    </w:p>
    <w:p w14:paraId="4EE40791">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kern w:val="0"/>
          <w:szCs w:val="21"/>
        </w:rPr>
        <w:t>3.本项目采用费用包干方式，供应商应根据项目要求、采购设备、现场情况，承担设备运输装卸保险保管、项目安装调试、试运行测试、验收、培训、质保期免费保修维护等所有人工、管理、财务等所有费用。如一旦中标，在项目实施中出现任何遗漏，均由成交供应商免费提供，采购人不再支付任何费用；</w:t>
      </w:r>
    </w:p>
    <w:p w14:paraId="1B7D6035">
      <w:pPr>
        <w:adjustRightInd w:val="0"/>
        <w:snapToGrid w:val="0"/>
        <w:spacing w:line="360" w:lineRule="auto"/>
        <w:ind w:firstLine="420" w:firstLineChars="200"/>
        <w:rPr>
          <w:rFonts w:ascii="仿宋" w:hAnsi="仿宋" w:eastAsia="仿宋" w:cs="仿宋"/>
          <w:kern w:val="0"/>
          <w:szCs w:val="21"/>
        </w:rPr>
      </w:pPr>
      <w:r>
        <w:rPr>
          <w:rFonts w:hint="eastAsia" w:ascii="仿宋" w:hAnsi="仿宋" w:eastAsia="仿宋" w:cs="仿宋"/>
          <w:kern w:val="0"/>
          <w:szCs w:val="21"/>
        </w:rPr>
        <w:t>4.安装过程及验收过程国家有强制性规定的，按国家规定执行，费用由成交供应商承担，验收报告作为申请付款的凭证之一。如项目含有特种设备的工作，必须安排具有特种设备作业资格的人员负责。承担项目安装、调试中的安全责任。</w:t>
      </w:r>
    </w:p>
    <w:p w14:paraId="4DD8DF39">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kern w:val="0"/>
          <w:szCs w:val="21"/>
        </w:rPr>
        <w:t>5.验收过程中产生纠纷的，由质量技术监督部门认定的检测机构检测,如为成交供应商原因造成的，由成交供应商承担检测费用；否则，由采购人承担。</w:t>
      </w:r>
    </w:p>
    <w:p w14:paraId="76FEADAD">
      <w:pPr>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kern w:val="0"/>
          <w:szCs w:val="21"/>
        </w:rPr>
        <w:t>项目验收不合格，由成交供应商返工直至合格，有关返工、再行验收，以及给采购人造成的损失等费用由成交供应商承担。连续两次项目验收不合格的，采购人可终止合同，另行按规定选择其他供应商采购，由此带来的一切损失由成交供应商承担。</w:t>
      </w:r>
    </w:p>
    <w:p w14:paraId="0E2B0F6B">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kern w:val="0"/>
          <w:szCs w:val="21"/>
        </w:rPr>
        <w:t>6.备件，资料及技术服务</w:t>
      </w:r>
    </w:p>
    <w:p w14:paraId="1F9809A5">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kern w:val="0"/>
          <w:szCs w:val="21"/>
        </w:rPr>
        <w:t>6.1</w:t>
      </w:r>
      <w:r>
        <w:rPr>
          <w:rFonts w:hint="eastAsia" w:ascii="仿宋" w:hAnsi="仿宋" w:eastAsia="仿宋" w:cs="仿宋"/>
          <w:kern w:val="0"/>
          <w:szCs w:val="21"/>
        </w:rPr>
        <w:tab/>
      </w:r>
      <w:r>
        <w:rPr>
          <w:rFonts w:hint="eastAsia" w:ascii="仿宋" w:hAnsi="仿宋" w:eastAsia="仿宋" w:cs="仿宋"/>
          <w:kern w:val="0"/>
          <w:szCs w:val="21"/>
        </w:rPr>
        <w:t>专用工具：如有专用工具，供应商应向买方提供设备维护的专用工具。</w:t>
      </w:r>
    </w:p>
    <w:p w14:paraId="3C34140A">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kern w:val="0"/>
          <w:szCs w:val="21"/>
        </w:rPr>
        <w:t>6.2</w:t>
      </w:r>
      <w:r>
        <w:rPr>
          <w:rFonts w:hint="eastAsia" w:ascii="仿宋" w:hAnsi="仿宋" w:eastAsia="仿宋" w:cs="仿宋"/>
          <w:kern w:val="0"/>
          <w:szCs w:val="21"/>
        </w:rPr>
        <w:tab/>
      </w:r>
      <w:r>
        <w:rPr>
          <w:rFonts w:hint="eastAsia" w:ascii="仿宋" w:hAnsi="仿宋" w:eastAsia="仿宋" w:cs="仿宋"/>
          <w:kern w:val="0"/>
          <w:szCs w:val="21"/>
        </w:rPr>
        <w:t>供应商须向买方提供操作手册十套。</w:t>
      </w:r>
    </w:p>
    <w:p w14:paraId="5B43B9DD">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kern w:val="0"/>
          <w:szCs w:val="21"/>
        </w:rPr>
        <w:t>6.3</w:t>
      </w:r>
      <w:r>
        <w:rPr>
          <w:rFonts w:hint="eastAsia" w:ascii="仿宋" w:hAnsi="仿宋" w:eastAsia="仿宋" w:cs="仿宋"/>
          <w:kern w:val="0"/>
          <w:szCs w:val="21"/>
        </w:rPr>
        <w:tab/>
      </w:r>
      <w:r>
        <w:rPr>
          <w:rFonts w:hint="eastAsia" w:ascii="仿宋" w:hAnsi="仿宋" w:eastAsia="仿宋" w:cs="仿宋"/>
          <w:kern w:val="0"/>
          <w:szCs w:val="21"/>
        </w:rPr>
        <w:t>供应商须向买方提供设备的运行、安装、使用环境要求。</w:t>
      </w:r>
    </w:p>
    <w:p w14:paraId="41C7CF86">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kern w:val="0"/>
          <w:szCs w:val="21"/>
        </w:rPr>
        <w:t>6.4</w:t>
      </w:r>
      <w:r>
        <w:rPr>
          <w:rFonts w:hint="eastAsia" w:ascii="仿宋" w:hAnsi="仿宋" w:eastAsia="仿宋" w:cs="仿宋"/>
          <w:kern w:val="0"/>
          <w:szCs w:val="21"/>
        </w:rPr>
        <w:tab/>
      </w:r>
      <w:r>
        <w:rPr>
          <w:rFonts w:hint="eastAsia" w:ascii="仿宋" w:hAnsi="仿宋" w:eastAsia="仿宋" w:cs="仿宋"/>
          <w:kern w:val="0"/>
          <w:szCs w:val="21"/>
        </w:rPr>
        <w:t>在货物到达使用单位后，供应商应在 7 天内派工程技术人员到达现场，在买方技术人员在场的情况下开箱清点货物，组织安装调试，并承担因此发生的一切费用。</w:t>
      </w:r>
    </w:p>
    <w:p w14:paraId="24F9702D">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kern w:val="0"/>
          <w:szCs w:val="21"/>
        </w:rPr>
        <w:t>6.5</w:t>
      </w:r>
      <w:r>
        <w:rPr>
          <w:rFonts w:hint="eastAsia" w:ascii="仿宋" w:hAnsi="仿宋" w:eastAsia="仿宋" w:cs="仿宋"/>
          <w:kern w:val="0"/>
          <w:szCs w:val="21"/>
        </w:rPr>
        <w:tab/>
      </w:r>
      <w:r>
        <w:rPr>
          <w:rFonts w:hint="eastAsia" w:ascii="仿宋" w:hAnsi="仿宋" w:eastAsia="仿宋" w:cs="仿宋"/>
          <w:kern w:val="0"/>
          <w:szCs w:val="21"/>
        </w:rPr>
        <w:t>在中国境内有相应的零配件保税库和维修机构。在设备的设计使用寿命周期内，中标人应能保证使用方更换到原厂正宗的零部 件，确保设备的正常使用，中标人必须提供及时提供生产厂家配件的承诺书。在使用 过程若需要调换配件，在保修期内凡非使用者人为引起的，一切费用由中标人承担。 如人为造成或保修期外需维修的中标人可收取维修材料费。</w:t>
      </w:r>
    </w:p>
    <w:p w14:paraId="66F6828A">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kern w:val="0"/>
          <w:szCs w:val="21"/>
        </w:rPr>
        <w:t>7.、技术、维修、培训及其他要求</w:t>
      </w:r>
    </w:p>
    <w:p w14:paraId="1D217901">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kern w:val="0"/>
          <w:szCs w:val="21"/>
        </w:rPr>
        <w:t>7.1.中标人提供的产品应是原装正品，保证货物的质量，符合国家质量检测标准， 具有出厂合格证或国家鉴定合格证。</w:t>
      </w:r>
    </w:p>
    <w:p w14:paraId="43CFC894">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kern w:val="0"/>
          <w:szCs w:val="21"/>
        </w:rPr>
        <w:t>7.2.整体项目质保期1年。质保期从验收合格后开始计算。质保期内出现任何质量问题（人为破坏或自然灾害等不可抗力除外），由中标 人负责全免费（免全部工时费、材料费、管理费、财务费等等）更换或维修。质保期 满后，无论采购人是否另行选择维保供应商，中标人应及时优惠提供所需的备品备件。</w:t>
      </w:r>
    </w:p>
    <w:p w14:paraId="2D6518DA">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kern w:val="0"/>
          <w:szCs w:val="21"/>
        </w:rPr>
        <w:t>7.3.现场培训：供应商应提供现场技术培训，保证使用人员掌握货物的使用，费用由供应商承担。</w:t>
      </w:r>
    </w:p>
    <w:p w14:paraId="77C51C2C">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kern w:val="0"/>
          <w:szCs w:val="21"/>
        </w:rPr>
        <w:t>7.4.提供7×24小时的故障服务受理，在质保期内设备出现质量问题或故障，中 标人须保证24小时内赶到现场排除故障。</w:t>
      </w:r>
    </w:p>
    <w:p w14:paraId="5BDDDFD3">
      <w:pPr>
        <w:adjustRightInd w:val="0"/>
        <w:snapToGrid w:val="0"/>
        <w:spacing w:line="360" w:lineRule="auto"/>
        <w:ind w:firstLine="420" w:firstLineChars="200"/>
        <w:rPr>
          <w:rFonts w:ascii="仿宋" w:hAnsi="仿宋" w:eastAsia="仿宋" w:cs="仿宋"/>
          <w:kern w:val="0"/>
          <w:szCs w:val="21"/>
        </w:rPr>
      </w:pPr>
      <w:r>
        <w:rPr>
          <w:rFonts w:hint="eastAsia" w:ascii="仿宋" w:hAnsi="仿宋" w:eastAsia="仿宋" w:cs="仿宋"/>
          <w:kern w:val="0"/>
          <w:szCs w:val="21"/>
        </w:rPr>
        <w:t>8.样品的相关要求</w:t>
      </w:r>
    </w:p>
    <w:p w14:paraId="3EF29647">
      <w:pPr>
        <w:adjustRightInd w:val="0"/>
        <w:snapToGrid w:val="0"/>
        <w:spacing w:line="360" w:lineRule="auto"/>
        <w:ind w:firstLine="420" w:firstLineChars="200"/>
        <w:rPr>
          <w:rFonts w:hint="eastAsia" w:ascii="仿宋" w:hAnsi="仿宋" w:eastAsia="仿宋" w:cs="仿宋"/>
          <w:b/>
          <w:bCs/>
          <w:sz w:val="10"/>
          <w:szCs w:val="10"/>
        </w:rPr>
      </w:pPr>
      <w:r>
        <w:rPr>
          <w:rFonts w:hint="eastAsia" w:ascii="仿宋" w:hAnsi="仿宋" w:eastAsia="仿宋" w:cs="仿宋"/>
          <w:kern w:val="0"/>
          <w:szCs w:val="21"/>
        </w:rPr>
        <w:t>8.1.投标人提供样品供评委现场评审，样品的递交时间为2026年</w:t>
      </w:r>
      <w:r>
        <w:rPr>
          <w:rFonts w:hint="eastAsia" w:ascii="仿宋" w:hAnsi="仿宋" w:eastAsia="仿宋" w:cs="仿宋"/>
          <w:kern w:val="0"/>
          <w:szCs w:val="21"/>
          <w:highlight w:val="none"/>
          <w:lang w:val="en-US" w:eastAsia="zh-CN"/>
        </w:rPr>
        <w:t>9</w:t>
      </w:r>
      <w:r>
        <w:rPr>
          <w:rFonts w:hint="eastAsia" w:ascii="仿宋" w:hAnsi="仿宋" w:eastAsia="仿宋" w:cs="仿宋"/>
          <w:kern w:val="0"/>
          <w:szCs w:val="21"/>
          <w:highlight w:val="none"/>
        </w:rPr>
        <w:t>月</w:t>
      </w:r>
      <w:r>
        <w:rPr>
          <w:rFonts w:hint="eastAsia" w:ascii="仿宋" w:hAnsi="仿宋" w:eastAsia="仿宋" w:cs="仿宋"/>
          <w:kern w:val="0"/>
          <w:szCs w:val="21"/>
          <w:highlight w:val="none"/>
          <w:lang w:val="en-US" w:eastAsia="zh-CN"/>
        </w:rPr>
        <w:t>2</w:t>
      </w:r>
      <w:r>
        <w:rPr>
          <w:rFonts w:hint="eastAsia" w:ascii="仿宋" w:hAnsi="仿宋" w:eastAsia="仿宋" w:cs="仿宋"/>
          <w:kern w:val="0"/>
          <w:szCs w:val="21"/>
          <w:highlight w:val="none"/>
        </w:rPr>
        <w:t>日</w:t>
      </w:r>
      <w:r>
        <w:rPr>
          <w:rFonts w:hint="eastAsia" w:ascii="仿宋" w:hAnsi="仿宋" w:eastAsia="仿宋" w:cs="仿宋"/>
          <w:kern w:val="0"/>
          <w:szCs w:val="21"/>
        </w:rPr>
        <w:t>8时 30 分至9时00分（北京时间），提交样品的截止时间为2026年</w:t>
      </w:r>
      <w:r>
        <w:rPr>
          <w:rFonts w:hint="eastAsia" w:ascii="仿宋" w:hAnsi="仿宋" w:eastAsia="仿宋" w:cs="仿宋"/>
          <w:kern w:val="0"/>
          <w:szCs w:val="21"/>
          <w:highlight w:val="none"/>
          <w:lang w:val="en-US" w:eastAsia="zh-CN"/>
        </w:rPr>
        <w:t>9</w:t>
      </w:r>
      <w:r>
        <w:rPr>
          <w:rFonts w:hint="eastAsia" w:ascii="仿宋" w:hAnsi="仿宋" w:eastAsia="仿宋" w:cs="仿宋"/>
          <w:kern w:val="0"/>
          <w:szCs w:val="21"/>
          <w:highlight w:val="none"/>
        </w:rPr>
        <w:t>月</w:t>
      </w:r>
      <w:r>
        <w:rPr>
          <w:rFonts w:hint="eastAsia" w:ascii="仿宋" w:hAnsi="仿宋" w:eastAsia="仿宋" w:cs="仿宋"/>
          <w:kern w:val="0"/>
          <w:szCs w:val="21"/>
          <w:highlight w:val="none"/>
          <w:lang w:val="en-US" w:eastAsia="zh-CN"/>
        </w:rPr>
        <w:t>2</w:t>
      </w:r>
      <w:r>
        <w:rPr>
          <w:rFonts w:hint="eastAsia" w:ascii="仿宋" w:hAnsi="仿宋" w:eastAsia="仿宋" w:cs="仿宋"/>
          <w:kern w:val="0"/>
          <w:szCs w:val="21"/>
          <w:highlight w:val="none"/>
        </w:rPr>
        <w:t>日</w:t>
      </w:r>
      <w:r>
        <w:rPr>
          <w:rFonts w:hint="eastAsia" w:ascii="仿宋" w:hAnsi="仿宋" w:eastAsia="仿宋" w:cs="仿宋"/>
          <w:kern w:val="0"/>
          <w:szCs w:val="21"/>
        </w:rPr>
        <w:t>9时00分(北京时间)，送至湘西自治州公共资源交易中心五楼样品室。评标结束后，所有样品由投标人自行撤离现场，未撤离的，采购人及代理机构对样品的保管和丢失不负责任。第一中标候选人的样品由采购人和第一中标候选人共同保管至本项目验收合格后，退还给第一中标候选人或双方另行协商。</w:t>
      </w:r>
    </w:p>
    <w:p w14:paraId="7F1D8C54">
      <w:pPr>
        <w:adjustRightInd w:val="0"/>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8.2.样品的制作及要求：两联四人位公寓床一组，宿管椅子一把</w:t>
      </w:r>
    </w:p>
    <w:p w14:paraId="7DBDEF41">
      <w:pPr>
        <w:adjustRightInd w:val="0"/>
        <w:snapToGrid w:val="0"/>
        <w:spacing w:line="360" w:lineRule="auto"/>
        <w:ind w:firstLine="420" w:firstLineChars="200"/>
        <w:rPr>
          <w:rFonts w:hint="eastAsia" w:ascii="仿宋" w:hAnsi="仿宋" w:eastAsia="仿宋" w:cs="仿宋"/>
          <w:kern w:val="0"/>
          <w:szCs w:val="21"/>
          <w:highlight w:val="yellow"/>
        </w:rPr>
      </w:pPr>
    </w:p>
    <w:p w14:paraId="0E19029B">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kern w:val="0"/>
          <w:szCs w:val="21"/>
        </w:rPr>
        <w:t>8.3.投标人提供的样品技术参数须完全满足招标文件规定的技术要求。若样品技术 参数未能实质性响应或不符合招标文件要求，否则样品分为0分。</w:t>
      </w:r>
    </w:p>
    <w:p w14:paraId="23D4444A">
      <w:pPr>
        <w:adjustRightInd w:val="0"/>
        <w:snapToGrid w:val="0"/>
        <w:spacing w:line="360" w:lineRule="auto"/>
        <w:ind w:firstLine="420" w:firstLineChars="200"/>
        <w:rPr>
          <w:rFonts w:ascii="仿宋" w:hAnsi="仿宋" w:eastAsia="仿宋" w:cs="仿宋"/>
          <w:kern w:val="0"/>
          <w:szCs w:val="21"/>
        </w:rPr>
      </w:pPr>
      <w:r>
        <w:rPr>
          <w:rFonts w:hint="eastAsia" w:ascii="仿宋" w:hAnsi="仿宋" w:eastAsia="仿宋" w:cs="仿宋"/>
          <w:kern w:val="0"/>
          <w:szCs w:val="21"/>
        </w:rPr>
        <w:t>9.现场踏勘：采购人不另行组织对本项目实施现场进行踏勘，有关踏勘事宜由供应商与采购人联系自行处理；踏勘费用自理，安全自负。</w:t>
      </w:r>
    </w:p>
    <w:p w14:paraId="32F5C1E0">
      <w:pPr>
        <w:widowControl/>
        <w:spacing w:line="390" w:lineRule="atLeast"/>
        <w:rPr>
          <w:rFonts w:hint="eastAsia" w:ascii="宋体" w:hAnsi="宋体" w:cs="Tahoma"/>
          <w:color w:val="3D4B64"/>
          <w:spacing w:val="30"/>
          <w:kern w:val="0"/>
          <w:szCs w:val="21"/>
        </w:rPr>
      </w:pPr>
    </w:p>
    <w:p w14:paraId="7E8E4924">
      <w:pPr>
        <w:pStyle w:val="62"/>
        <w:rPr>
          <w:rFonts w:hint="eastAsia" w:ascii="宋体" w:hAnsi="宋体" w:cs="Tahoma"/>
          <w:color w:val="3D4B64"/>
          <w:spacing w:val="30"/>
          <w:kern w:val="0"/>
          <w:szCs w:val="21"/>
        </w:rPr>
      </w:pPr>
    </w:p>
    <w:p w14:paraId="308ED966">
      <w:pPr>
        <w:pStyle w:val="62"/>
        <w:rPr>
          <w:rFonts w:hint="eastAsia" w:ascii="宋体" w:hAnsi="宋体" w:cs="Tahoma"/>
          <w:color w:val="3D4B64"/>
          <w:spacing w:val="30"/>
          <w:kern w:val="0"/>
          <w:szCs w:val="21"/>
        </w:rPr>
      </w:pPr>
    </w:p>
    <w:bookmarkEnd w:id="198"/>
    <w:p w14:paraId="5972B2D0">
      <w:pPr>
        <w:pStyle w:val="2"/>
        <w:bidi w:val="0"/>
        <w:rPr>
          <w:rFonts w:hint="eastAsia" w:ascii="宋体" w:hAnsi="宋体" w:eastAsia="宋体" w:cs="宋体"/>
        </w:rPr>
      </w:pPr>
      <w:bookmarkStart w:id="201" w:name="_Toc9219"/>
      <w:bookmarkStart w:id="202" w:name="_Toc19600"/>
      <w:r>
        <w:rPr>
          <w:rFonts w:hint="eastAsia" w:ascii="宋体" w:hAnsi="宋体" w:eastAsia="宋体" w:cs="宋体"/>
        </w:rPr>
        <w:t>第六章 政府采购合同</w:t>
      </w:r>
      <w:bookmarkEnd w:id="191"/>
      <w:bookmarkEnd w:id="192"/>
      <w:bookmarkEnd w:id="193"/>
      <w:bookmarkEnd w:id="194"/>
      <w:bookmarkEnd w:id="201"/>
      <w:bookmarkEnd w:id="202"/>
    </w:p>
    <w:p w14:paraId="095B623D">
      <w:pPr>
        <w:pStyle w:val="4"/>
        <w:bidi w:val="0"/>
        <w:rPr>
          <w:rFonts w:hint="eastAsia" w:ascii="宋体" w:hAnsi="宋体" w:eastAsia="宋体" w:cs="宋体"/>
          <w:color w:val="auto"/>
          <w:szCs w:val="24"/>
        </w:rPr>
      </w:pPr>
      <w:bookmarkStart w:id="203" w:name="_Toc11949"/>
      <w:bookmarkStart w:id="204" w:name="_Toc16452"/>
      <w:bookmarkStart w:id="205" w:name="_Toc14337"/>
      <w:bookmarkStart w:id="206" w:name="_Toc10581"/>
      <w:bookmarkStart w:id="207" w:name="_Toc24159"/>
      <w:bookmarkStart w:id="208" w:name="_Toc13252"/>
      <w:r>
        <w:rPr>
          <w:rFonts w:hint="eastAsia" w:ascii="宋体" w:hAnsi="宋体" w:eastAsia="宋体" w:cs="宋体"/>
        </w:rPr>
        <w:t>第一节 政府采购合同协议书</w:t>
      </w:r>
      <w:bookmarkEnd w:id="203"/>
      <w:bookmarkEnd w:id="204"/>
      <w:bookmarkEnd w:id="205"/>
      <w:bookmarkEnd w:id="206"/>
      <w:bookmarkEnd w:id="207"/>
      <w:bookmarkEnd w:id="208"/>
    </w:p>
    <w:p w14:paraId="4CF80B6E">
      <w:pPr>
        <w:adjustRightInd w:val="0"/>
        <w:snapToGrid w:val="0"/>
        <w:spacing w:line="360" w:lineRule="auto"/>
        <w:ind w:firstLine="5760" w:firstLineChars="2400"/>
        <w:rPr>
          <w:rFonts w:hint="eastAsia" w:ascii="宋体" w:hAnsi="宋体" w:eastAsia="宋体" w:cs="宋体"/>
          <w:color w:val="auto"/>
          <w:sz w:val="24"/>
          <w:u w:val="single"/>
          <w:lang w:val="en-US" w:eastAsia="zh-CN"/>
        </w:rPr>
      </w:pPr>
      <w:r>
        <w:rPr>
          <w:rFonts w:hint="eastAsia" w:ascii="宋体" w:hAnsi="宋体" w:eastAsia="宋体" w:cs="宋体"/>
          <w:color w:val="auto"/>
          <w:sz w:val="24"/>
        </w:rPr>
        <w:t>采购合同编号：</w:t>
      </w:r>
      <w:r>
        <w:rPr>
          <w:rFonts w:hint="eastAsia" w:ascii="宋体" w:hAnsi="宋体" w:eastAsia="宋体" w:cs="宋体"/>
          <w:color w:val="auto"/>
          <w:sz w:val="24"/>
          <w:u w:val="single"/>
          <w:lang w:val="en-US" w:eastAsia="zh-CN"/>
        </w:rPr>
        <w:t xml:space="preserve">                 </w:t>
      </w:r>
    </w:p>
    <w:p w14:paraId="288493B5">
      <w:pPr>
        <w:pStyle w:val="63"/>
        <w:rPr>
          <w:rFonts w:hint="eastAsia" w:ascii="宋体" w:hAnsi="宋体" w:eastAsia="宋体" w:cs="宋体"/>
          <w:color w:val="auto"/>
        </w:rPr>
      </w:pPr>
    </w:p>
    <w:p w14:paraId="17755CAB">
      <w:pPr>
        <w:adjustRightInd w:val="0"/>
        <w:snapToGri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采购人（全称）：</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rPr>
        <w:t>（甲方）</w:t>
      </w:r>
    </w:p>
    <w:p w14:paraId="62F1E815">
      <w:pPr>
        <w:adjustRightInd w:val="0"/>
        <w:snapToGri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eastAsia="zh-CN"/>
        </w:rPr>
        <w:t>供应商</w:t>
      </w:r>
      <w:r>
        <w:rPr>
          <w:rFonts w:hint="eastAsia" w:ascii="宋体" w:hAnsi="宋体" w:eastAsia="宋体" w:cs="宋体"/>
          <w:color w:val="auto"/>
          <w:sz w:val="24"/>
        </w:rPr>
        <w:t>（全称）：</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rPr>
        <w:t>（乙方）</w:t>
      </w:r>
    </w:p>
    <w:p w14:paraId="2434EB30">
      <w:pPr>
        <w:pStyle w:val="19"/>
        <w:adjustRightInd w:val="0"/>
        <w:snapToGrid w:val="0"/>
        <w:spacing w:after="0" w:line="360" w:lineRule="auto"/>
        <w:ind w:left="0" w:leftChars="0" w:firstLine="480" w:firstLineChars="200"/>
        <w:rPr>
          <w:rFonts w:hint="eastAsia" w:ascii="宋体" w:hAnsi="宋体" w:eastAsia="宋体" w:cs="宋体"/>
          <w:color w:val="auto"/>
          <w:sz w:val="24"/>
        </w:rPr>
      </w:pPr>
    </w:p>
    <w:p w14:paraId="627097E7">
      <w:pPr>
        <w:pStyle w:val="19"/>
        <w:adjustRightInd w:val="0"/>
        <w:snapToGrid w:val="0"/>
        <w:spacing w:after="0" w:line="360" w:lineRule="auto"/>
        <w:ind w:left="0" w:leftChars="0" w:firstLine="480" w:firstLineChars="200"/>
        <w:rPr>
          <w:rFonts w:hint="eastAsia" w:ascii="宋体" w:hAnsi="宋体" w:eastAsia="宋体" w:cs="宋体"/>
          <w:color w:val="auto"/>
          <w:sz w:val="24"/>
        </w:rPr>
      </w:pPr>
      <w:r>
        <w:rPr>
          <w:rFonts w:hint="eastAsia" w:ascii="宋体" w:hAnsi="宋体" w:eastAsia="宋体" w:cs="宋体"/>
          <w:color w:val="auto"/>
          <w:sz w:val="24"/>
        </w:rPr>
        <w:t>为了保护甲、乙双方合法权益，根据《中华人民共和国</w:t>
      </w:r>
      <w:r>
        <w:rPr>
          <w:rFonts w:hint="eastAsia" w:ascii="宋体" w:hAnsi="宋体" w:eastAsia="宋体" w:cs="宋体"/>
          <w:color w:val="auto"/>
          <w:sz w:val="24"/>
          <w:lang w:val="en-US" w:eastAsia="zh-CN"/>
        </w:rPr>
        <w:t>民法典</w:t>
      </w:r>
      <w:r>
        <w:rPr>
          <w:rFonts w:hint="eastAsia" w:ascii="宋体" w:hAnsi="宋体" w:eastAsia="宋体" w:cs="宋体"/>
          <w:color w:val="auto"/>
          <w:sz w:val="24"/>
        </w:rPr>
        <w:t>》、《中华人民共和国政府采购法》及其他有关法律、法规、规章，双方签订本合同协议书。</w:t>
      </w:r>
    </w:p>
    <w:p w14:paraId="07A4C130">
      <w:pPr>
        <w:adjustRightInd w:val="0"/>
        <w:snapToGrid w:val="0"/>
        <w:spacing w:line="360" w:lineRule="auto"/>
        <w:ind w:firstLine="482" w:firstLineChars="200"/>
        <w:outlineLvl w:val="2"/>
        <w:rPr>
          <w:rFonts w:hint="eastAsia" w:ascii="宋体" w:hAnsi="宋体" w:eastAsia="宋体" w:cs="宋体"/>
          <w:b/>
          <w:color w:val="auto"/>
          <w:sz w:val="24"/>
        </w:rPr>
      </w:pPr>
      <w:bookmarkStart w:id="209" w:name="_Toc18801"/>
      <w:bookmarkStart w:id="210" w:name="_Toc9822"/>
      <w:bookmarkStart w:id="211" w:name="_Toc17271"/>
      <w:bookmarkStart w:id="212" w:name="_Toc21363"/>
      <w:bookmarkStart w:id="213" w:name="_Toc24043"/>
      <w:bookmarkStart w:id="214" w:name="_Toc26417"/>
      <w:bookmarkStart w:id="215" w:name="_Toc8476"/>
      <w:bookmarkStart w:id="216" w:name="_Toc28040"/>
      <w:bookmarkStart w:id="217" w:name="_Toc5027"/>
      <w:r>
        <w:rPr>
          <w:rFonts w:hint="eastAsia" w:ascii="宋体" w:hAnsi="宋体" w:eastAsia="宋体" w:cs="宋体"/>
          <w:b/>
          <w:color w:val="auto"/>
          <w:sz w:val="24"/>
        </w:rPr>
        <w:t>1.项目信息</w:t>
      </w:r>
      <w:bookmarkEnd w:id="209"/>
      <w:bookmarkEnd w:id="210"/>
      <w:bookmarkEnd w:id="211"/>
      <w:bookmarkEnd w:id="212"/>
      <w:bookmarkEnd w:id="213"/>
      <w:bookmarkEnd w:id="214"/>
      <w:bookmarkEnd w:id="215"/>
      <w:bookmarkEnd w:id="216"/>
      <w:bookmarkEnd w:id="217"/>
    </w:p>
    <w:p w14:paraId="18B518F0">
      <w:pPr>
        <w:pStyle w:val="19"/>
        <w:adjustRightInd w:val="0"/>
        <w:snapToGrid w:val="0"/>
        <w:spacing w:after="0" w:line="360" w:lineRule="auto"/>
        <w:ind w:left="0" w:leftChars="0" w:firstLine="480" w:firstLineChars="200"/>
        <w:rPr>
          <w:rFonts w:hint="eastAsia" w:ascii="宋体" w:hAnsi="宋体" w:eastAsia="宋体" w:cs="宋体"/>
          <w:iCs/>
          <w:color w:val="000000" w:themeColor="text1"/>
          <w:sz w:val="24"/>
          <w:u w:val="single"/>
          <w:lang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（1）采购项目名称：</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iCs/>
          <w:color w:val="000000" w:themeColor="text1"/>
          <w:sz w:val="24"/>
          <w:u w:val="single"/>
          <w:lang w:eastAsia="zh-CN"/>
          <w14:textFill>
            <w14:solidFill>
              <w14:schemeClr w14:val="tx1"/>
            </w14:solidFill>
          </w14:textFill>
        </w:rPr>
        <w:t xml:space="preserve"> </w:t>
      </w:r>
    </w:p>
    <w:p w14:paraId="71AE1E77">
      <w:pPr>
        <w:pStyle w:val="19"/>
        <w:adjustRightInd w:val="0"/>
        <w:snapToGrid w:val="0"/>
        <w:spacing w:after="0" w:line="360" w:lineRule="auto"/>
        <w:ind w:left="0" w:leftChars="0" w:firstLine="480" w:firstLineChars="200"/>
        <w:rPr>
          <w:rFonts w:hint="eastAsia" w:ascii="宋体" w:hAnsi="宋体" w:eastAsia="宋体" w:cs="宋体"/>
          <w:color w:val="auto"/>
          <w:sz w:val="24"/>
          <w:u w:val="single"/>
          <w:lang w:val="en-US" w:eastAsia="zh-CN"/>
        </w:rPr>
      </w:pPr>
      <w:r>
        <w:rPr>
          <w:rFonts w:hint="eastAsia" w:ascii="宋体" w:hAnsi="宋体" w:eastAsia="宋体" w:cs="宋体"/>
          <w:color w:val="000000" w:themeColor="text1"/>
          <w:sz w:val="24"/>
          <w14:textFill>
            <w14:solidFill>
              <w14:schemeClr w14:val="tx1"/>
            </w14:solidFill>
          </w14:textFill>
        </w:rPr>
        <w:t>（2）政府采购编号：</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auto"/>
          <w:sz w:val="24"/>
          <w:u w:val="single"/>
          <w:lang w:val="en-US" w:eastAsia="zh-CN"/>
        </w:rPr>
        <w:t xml:space="preserve">              </w:t>
      </w:r>
    </w:p>
    <w:p w14:paraId="0FF78970">
      <w:pPr>
        <w:pStyle w:val="19"/>
        <w:adjustRightInd w:val="0"/>
        <w:snapToGrid w:val="0"/>
        <w:spacing w:after="0" w:line="360" w:lineRule="auto"/>
        <w:ind w:left="0" w:leftChars="0" w:firstLine="480" w:firstLineChars="200"/>
        <w:rPr>
          <w:rFonts w:hint="eastAsia" w:ascii="宋体" w:hAnsi="宋体" w:eastAsia="宋体" w:cs="宋体"/>
          <w:color w:val="auto"/>
          <w:sz w:val="24"/>
          <w:u w:val="single"/>
          <w:lang w:val="en-US" w:eastAsia="zh-CN"/>
        </w:rPr>
      </w:pPr>
      <w:r>
        <w:rPr>
          <w:rFonts w:hint="eastAsia" w:ascii="宋体" w:hAnsi="宋体" w:eastAsia="宋体" w:cs="宋体"/>
          <w:color w:val="auto"/>
          <w:sz w:val="24"/>
        </w:rPr>
        <w:t>（</w:t>
      </w:r>
      <w:r>
        <w:rPr>
          <w:rFonts w:hint="eastAsia" w:ascii="宋体" w:hAnsi="宋体" w:eastAsia="宋体" w:cs="宋体"/>
          <w:color w:val="auto"/>
          <w:sz w:val="24"/>
          <w:lang w:val="en-US" w:eastAsia="zh-CN"/>
        </w:rPr>
        <w:t>3</w:t>
      </w:r>
      <w:r>
        <w:rPr>
          <w:rFonts w:hint="eastAsia" w:ascii="宋体" w:hAnsi="宋体" w:eastAsia="宋体" w:cs="宋体"/>
          <w:color w:val="auto"/>
          <w:sz w:val="24"/>
        </w:rPr>
        <w:t>）</w:t>
      </w:r>
      <w:r>
        <w:rPr>
          <w:rFonts w:hint="eastAsia" w:ascii="宋体" w:hAnsi="宋体" w:eastAsia="宋体" w:cs="宋体"/>
          <w:color w:val="auto"/>
          <w:sz w:val="24"/>
          <w:lang w:val="en-US" w:eastAsia="zh-CN"/>
        </w:rPr>
        <w:t>采购</w:t>
      </w:r>
      <w:r>
        <w:rPr>
          <w:rFonts w:hint="eastAsia" w:ascii="宋体" w:hAnsi="宋体" w:cs="宋体"/>
          <w:color w:val="auto"/>
          <w:sz w:val="24"/>
          <w:lang w:val="en-US" w:eastAsia="zh-CN"/>
        </w:rPr>
        <w:t>计划</w:t>
      </w:r>
      <w:r>
        <w:rPr>
          <w:rFonts w:hint="eastAsia" w:ascii="宋体" w:hAnsi="宋体" w:eastAsia="宋体" w:cs="宋体"/>
          <w:color w:val="auto"/>
          <w:sz w:val="24"/>
        </w:rPr>
        <w:t>编号：</w:t>
      </w:r>
      <w:r>
        <w:rPr>
          <w:rFonts w:hint="eastAsia" w:ascii="宋体" w:hAnsi="宋体" w:eastAsia="宋体" w:cs="宋体"/>
          <w:color w:val="auto"/>
          <w:sz w:val="24"/>
          <w:u w:val="single"/>
          <w:lang w:val="en-US" w:eastAsia="zh-CN"/>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lang w:val="en-US" w:eastAsia="zh-CN"/>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lang w:val="en-US" w:eastAsia="zh-CN"/>
        </w:rPr>
        <w:t xml:space="preserve">  </w:t>
      </w:r>
    </w:p>
    <w:p w14:paraId="3DDC1DAE">
      <w:pPr>
        <w:adjustRightInd w:val="0"/>
        <w:snapToGrid w:val="0"/>
        <w:spacing w:line="360" w:lineRule="auto"/>
        <w:ind w:firstLine="480" w:firstLineChars="200"/>
        <w:rPr>
          <w:rFonts w:hint="eastAsia" w:ascii="宋体" w:hAnsi="宋体" w:eastAsia="宋体" w:cs="宋体"/>
          <w:b w:val="0"/>
          <w:bCs w:val="0"/>
          <w:color w:val="auto"/>
          <w:sz w:val="24"/>
          <w:u w:val="single"/>
          <w:lang w:val="en-US" w:eastAsia="zh-CN"/>
        </w:rPr>
      </w:pPr>
      <w:r>
        <w:rPr>
          <w:rFonts w:hint="eastAsia" w:ascii="宋体" w:hAnsi="宋体" w:eastAsia="宋体" w:cs="宋体"/>
          <w:color w:val="auto"/>
          <w:sz w:val="24"/>
        </w:rPr>
        <w:t>（</w:t>
      </w:r>
      <w:r>
        <w:rPr>
          <w:rFonts w:hint="eastAsia" w:ascii="宋体" w:hAnsi="宋体" w:eastAsia="宋体" w:cs="宋体"/>
          <w:color w:val="auto"/>
          <w:sz w:val="24"/>
          <w:lang w:val="en-US" w:eastAsia="zh-CN"/>
        </w:rPr>
        <w:t>4</w:t>
      </w:r>
      <w:r>
        <w:rPr>
          <w:rFonts w:hint="eastAsia" w:ascii="宋体" w:hAnsi="宋体" w:eastAsia="宋体" w:cs="宋体"/>
          <w:color w:val="auto"/>
          <w:sz w:val="24"/>
        </w:rPr>
        <w:t>）项目内容：</w:t>
      </w:r>
      <w:r>
        <w:rPr>
          <w:rFonts w:hint="eastAsia" w:ascii="宋体" w:hAnsi="宋体" w:cs="宋体"/>
          <w:b w:val="0"/>
          <w:bCs w:val="0"/>
          <w:color w:val="auto"/>
          <w:sz w:val="24"/>
          <w:u w:val="single"/>
          <w:lang w:val="en-US" w:eastAsia="zh-CN"/>
        </w:rPr>
        <w:t xml:space="preserve"> </w:t>
      </w:r>
      <w:r>
        <w:rPr>
          <w:rFonts w:hint="eastAsia" w:ascii="宋体" w:hAnsi="宋体" w:eastAsia="宋体" w:cs="宋体"/>
          <w:b w:val="0"/>
          <w:bCs w:val="0"/>
          <w:color w:val="auto"/>
          <w:sz w:val="24"/>
          <w:u w:val="single"/>
          <w:lang w:val="en-US" w:eastAsia="zh-CN"/>
        </w:rPr>
        <w:t xml:space="preserve">              </w:t>
      </w:r>
      <w:r>
        <w:rPr>
          <w:rFonts w:hint="eastAsia" w:ascii="宋体" w:hAnsi="宋体" w:cs="宋体"/>
          <w:b w:val="0"/>
          <w:bCs w:val="0"/>
          <w:color w:val="auto"/>
          <w:sz w:val="24"/>
          <w:u w:val="single"/>
          <w:lang w:val="en-US" w:eastAsia="zh-CN"/>
        </w:rPr>
        <w:t xml:space="preserve">            </w:t>
      </w:r>
      <w:r>
        <w:rPr>
          <w:rFonts w:hint="eastAsia" w:ascii="宋体" w:hAnsi="宋体" w:eastAsia="宋体" w:cs="宋体"/>
          <w:b w:val="0"/>
          <w:bCs w:val="0"/>
          <w:color w:val="auto"/>
          <w:sz w:val="24"/>
          <w:u w:val="single"/>
          <w:lang w:val="en-US" w:eastAsia="zh-CN"/>
        </w:rPr>
        <w:t xml:space="preserve">           </w:t>
      </w:r>
      <w:r>
        <w:rPr>
          <w:rFonts w:hint="eastAsia" w:ascii="宋体" w:hAnsi="宋体" w:cs="宋体"/>
          <w:b w:val="0"/>
          <w:bCs w:val="0"/>
          <w:color w:val="auto"/>
          <w:sz w:val="24"/>
          <w:u w:val="single"/>
          <w:lang w:val="en-US" w:eastAsia="zh-CN"/>
        </w:rPr>
        <w:t xml:space="preserve">  </w:t>
      </w:r>
      <w:r>
        <w:rPr>
          <w:rFonts w:hint="eastAsia" w:ascii="宋体" w:hAnsi="宋体" w:eastAsia="宋体" w:cs="宋体"/>
          <w:b w:val="0"/>
          <w:bCs w:val="0"/>
          <w:color w:val="auto"/>
          <w:sz w:val="24"/>
          <w:u w:val="single"/>
          <w:lang w:val="en-US" w:eastAsia="zh-CN"/>
        </w:rPr>
        <w:t xml:space="preserve"> </w:t>
      </w:r>
    </w:p>
    <w:p w14:paraId="14EB1ED1">
      <w:pPr>
        <w:pStyle w:val="16"/>
        <w:ind w:firstLine="480" w:firstLineChars="200"/>
        <w:rPr>
          <w:rFonts w:hint="eastAsia" w:ascii="宋体" w:hAnsi="宋体" w:eastAsia="宋体" w:cs="宋体"/>
          <w:color w:val="auto"/>
          <w:lang w:val="en-US" w:eastAsia="zh-CN"/>
        </w:rPr>
      </w:pPr>
      <w:r>
        <w:rPr>
          <w:rFonts w:hint="eastAsia" w:ascii="宋体" w:hAnsi="宋体" w:eastAsia="宋体" w:cs="宋体"/>
          <w:color w:val="auto"/>
          <w:sz w:val="24"/>
        </w:rPr>
        <w:t>（</w:t>
      </w:r>
      <w:r>
        <w:rPr>
          <w:rFonts w:hint="eastAsia" w:ascii="宋体" w:hAnsi="宋体" w:eastAsia="宋体" w:cs="宋体"/>
          <w:color w:val="auto"/>
          <w:sz w:val="24"/>
          <w:lang w:val="en-US" w:eastAsia="zh-CN"/>
        </w:rPr>
        <w:t>5</w:t>
      </w:r>
      <w:r>
        <w:rPr>
          <w:rFonts w:hint="eastAsia" w:ascii="宋体" w:hAnsi="宋体" w:eastAsia="宋体" w:cs="宋体"/>
          <w:color w:val="auto"/>
          <w:sz w:val="24"/>
        </w:rPr>
        <w:t>）项目负责人：</w:t>
      </w:r>
      <w:r>
        <w:rPr>
          <w:rFonts w:hint="eastAsia" w:ascii="宋体" w:hAnsi="宋体" w:eastAsia="宋体" w:cs="宋体"/>
          <w:color w:val="auto"/>
          <w:sz w:val="24"/>
          <w:u w:val="single"/>
          <w:lang w:val="en-US" w:eastAsia="zh-CN"/>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lang w:val="en-US" w:eastAsia="zh-CN"/>
        </w:rPr>
        <w:t xml:space="preserve">   </w:t>
      </w:r>
    </w:p>
    <w:p w14:paraId="6E07D633">
      <w:pPr>
        <w:adjustRightInd w:val="0"/>
        <w:snapToGrid w:val="0"/>
        <w:spacing w:before="156" w:beforeLines="50" w:line="360" w:lineRule="auto"/>
        <w:ind w:firstLine="480" w:firstLineChars="200"/>
        <w:rPr>
          <w:rFonts w:hint="default" w:ascii="宋体" w:hAnsi="宋体" w:eastAsia="宋体" w:cs="宋体"/>
          <w:b/>
          <w:color w:val="auto"/>
          <w:sz w:val="24"/>
          <w:lang w:val="en-US" w:eastAsia="zh-CN"/>
        </w:rPr>
      </w:pPr>
      <w:bookmarkStart w:id="218" w:name="_Toc1056"/>
      <w:bookmarkStart w:id="219" w:name="_Toc28518"/>
      <w:bookmarkStart w:id="220" w:name="_Toc10262"/>
      <w:bookmarkStart w:id="221" w:name="_Toc8760"/>
      <w:bookmarkStart w:id="222" w:name="_Toc22746"/>
      <w:bookmarkStart w:id="223" w:name="_Toc21288"/>
      <w:bookmarkStart w:id="224" w:name="_Toc22733"/>
      <w:r>
        <w:rPr>
          <w:rFonts w:hint="eastAsia" w:ascii="宋体" w:hAnsi="宋体" w:eastAsia="宋体" w:cs="宋体"/>
          <w:color w:val="auto"/>
          <w:sz w:val="24"/>
          <w:szCs w:val="24"/>
        </w:rPr>
        <w:t>（6）联系电话：</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p>
    <w:p w14:paraId="3F3364B5">
      <w:pPr>
        <w:adjustRightInd w:val="0"/>
        <w:snapToGrid w:val="0"/>
        <w:spacing w:line="360" w:lineRule="auto"/>
        <w:ind w:firstLine="482" w:firstLineChars="200"/>
        <w:outlineLvl w:val="2"/>
        <w:rPr>
          <w:rFonts w:hint="eastAsia" w:ascii="宋体" w:hAnsi="宋体" w:eastAsia="宋体" w:cs="宋体"/>
          <w:b/>
          <w:color w:val="auto"/>
          <w:sz w:val="24"/>
        </w:rPr>
      </w:pPr>
      <w:bookmarkStart w:id="225" w:name="_Toc31544"/>
      <w:bookmarkStart w:id="226" w:name="_Toc21503"/>
      <w:r>
        <w:rPr>
          <w:rFonts w:hint="eastAsia" w:ascii="宋体" w:hAnsi="宋体" w:eastAsia="宋体" w:cs="宋体"/>
          <w:b/>
          <w:color w:val="auto"/>
          <w:sz w:val="24"/>
        </w:rPr>
        <w:t>2.合同金额</w:t>
      </w:r>
      <w:bookmarkEnd w:id="218"/>
      <w:bookmarkEnd w:id="219"/>
      <w:bookmarkEnd w:id="220"/>
      <w:bookmarkEnd w:id="221"/>
      <w:bookmarkEnd w:id="222"/>
      <w:bookmarkEnd w:id="223"/>
      <w:bookmarkEnd w:id="224"/>
      <w:bookmarkEnd w:id="225"/>
      <w:bookmarkEnd w:id="226"/>
    </w:p>
    <w:p w14:paraId="5738E476">
      <w:pPr>
        <w:adjustRightInd w:val="0"/>
        <w:snapToGrid w:val="0"/>
        <w:spacing w:before="156" w:beforeLines="50" w:line="360" w:lineRule="auto"/>
        <w:ind w:firstLine="480" w:firstLineChars="200"/>
        <w:rPr>
          <w:rFonts w:hint="eastAsia" w:ascii="宋体" w:hAnsi="宋体" w:eastAsia="宋体" w:cs="宋体"/>
          <w:color w:val="auto"/>
          <w:sz w:val="24"/>
          <w:szCs w:val="24"/>
        </w:rPr>
      </w:pPr>
      <w:bookmarkStart w:id="227" w:name="_Toc25192"/>
      <w:bookmarkStart w:id="228" w:name="_Toc16251"/>
      <w:bookmarkStart w:id="229" w:name="_Toc23414"/>
      <w:bookmarkStart w:id="230" w:name="_Toc8075"/>
      <w:bookmarkStart w:id="231" w:name="_Toc22594"/>
      <w:bookmarkStart w:id="232" w:name="_Toc21982"/>
      <w:bookmarkStart w:id="233" w:name="_Toc32669"/>
      <w:r>
        <w:rPr>
          <w:rFonts w:hint="eastAsia" w:ascii="宋体" w:hAnsi="宋体" w:eastAsia="宋体" w:cs="宋体"/>
          <w:color w:val="auto"/>
          <w:sz w:val="24"/>
          <w:szCs w:val="24"/>
        </w:rPr>
        <w:t>（1）合同金额小写：</w:t>
      </w:r>
      <w:r>
        <w:rPr>
          <w:rFonts w:hint="eastAsia" w:ascii="宋体" w:hAnsi="宋体" w:eastAsia="宋体" w:cs="宋体"/>
          <w:color w:val="auto"/>
          <w:sz w:val="24"/>
          <w:szCs w:val="24"/>
          <w:u w:val="single"/>
        </w:rPr>
        <w:t xml:space="preserve">                      </w:t>
      </w:r>
    </w:p>
    <w:p w14:paraId="2403CEA1">
      <w:pPr>
        <w:adjustRightInd w:val="0"/>
        <w:snapToGrid w:val="0"/>
        <w:spacing w:before="156" w:beforeLines="50" w:line="360" w:lineRule="auto"/>
        <w:ind w:firstLine="1440" w:firstLineChars="600"/>
        <w:rPr>
          <w:rFonts w:hint="eastAsia" w:ascii="宋体" w:hAnsi="宋体" w:eastAsia="宋体" w:cs="宋体"/>
          <w:b/>
          <w:color w:val="auto"/>
          <w:sz w:val="24"/>
          <w:szCs w:val="24"/>
        </w:rPr>
      </w:pPr>
      <w:r>
        <w:rPr>
          <w:rFonts w:hint="eastAsia" w:ascii="宋体" w:hAnsi="宋体" w:eastAsia="宋体" w:cs="宋体"/>
          <w:color w:val="auto"/>
          <w:sz w:val="24"/>
          <w:szCs w:val="24"/>
        </w:rPr>
        <w:t>大写：</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p>
    <w:p w14:paraId="2118CBFA">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（2）具体标的见附件。</w:t>
      </w:r>
    </w:p>
    <w:p w14:paraId="38B0BCE0">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（3）合同定价方式：</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 xml:space="preserve">固定总价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 xml:space="preserve">固定单价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 xml:space="preserve">成本补偿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绩效激励</w:t>
      </w:r>
    </w:p>
    <w:p w14:paraId="604B72DA">
      <w:pPr>
        <w:pStyle w:val="62"/>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（4）付款方式（按项目实际勾选填写）：</w:t>
      </w:r>
    </w:p>
    <w:p w14:paraId="5C7D4DEB">
      <w:pPr>
        <w:adjustRightInd w:val="0"/>
        <w:snapToGrid w:val="0"/>
        <w:spacing w:before="156" w:beforeLines="50" w:line="360" w:lineRule="auto"/>
        <w:ind w:firstLine="720" w:firstLineChars="300"/>
        <w:rPr>
          <w:rFonts w:hint="eastAsia" w:ascii="宋体" w:hAnsi="宋体" w:eastAsia="宋体" w:cs="宋体"/>
          <w:color w:val="auto"/>
          <w:sz w:val="24"/>
          <w:szCs w:val="24"/>
          <w:u w:val="single"/>
        </w:rPr>
      </w:pPr>
      <w:r>
        <w:rPr>
          <w:rFonts w:hint="eastAsia" w:ascii="宋体" w:hAnsi="宋体" w:eastAsia="宋体" w:cs="宋体"/>
          <w:color w:val="auto"/>
          <w:sz w:val="24"/>
          <w:szCs w:val="24"/>
        </w:rPr>
        <w:sym w:font="Wingdings" w:char="00A8"/>
      </w:r>
      <w:r>
        <w:rPr>
          <w:rFonts w:hint="eastAsia" w:ascii="宋体" w:hAnsi="宋体" w:eastAsia="宋体" w:cs="宋体"/>
          <w:color w:val="auto"/>
          <w:sz w:val="24"/>
          <w:szCs w:val="24"/>
        </w:rPr>
        <w:t>全额付款：</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p>
    <w:p w14:paraId="0674493C">
      <w:pPr>
        <w:adjustRightInd w:val="0"/>
        <w:snapToGrid w:val="0"/>
        <w:spacing w:before="156" w:beforeLines="50" w:line="360" w:lineRule="auto"/>
        <w:ind w:firstLine="720" w:firstLineChars="300"/>
        <w:rPr>
          <w:rFonts w:hint="eastAsia" w:ascii="宋体" w:hAnsi="宋体" w:eastAsia="宋体" w:cs="宋体"/>
          <w:color w:val="auto"/>
          <w:sz w:val="24"/>
          <w:szCs w:val="24"/>
          <w:u w:val="single"/>
        </w:rPr>
      </w:pPr>
      <w:r>
        <w:rPr>
          <w:rFonts w:hint="eastAsia" w:ascii="宋体" w:hAnsi="宋体" w:eastAsia="宋体" w:cs="宋体"/>
          <w:color w:val="auto"/>
          <w:sz w:val="24"/>
          <w:szCs w:val="24"/>
        </w:rPr>
        <w:sym w:font="Wingdings" w:char="00A8"/>
      </w:r>
      <w:r>
        <w:rPr>
          <w:rFonts w:hint="eastAsia" w:ascii="宋体" w:hAnsi="宋体" w:eastAsia="宋体" w:cs="宋体"/>
          <w:color w:val="auto"/>
          <w:sz w:val="24"/>
          <w:szCs w:val="24"/>
        </w:rPr>
        <w:t>预付款：</w:t>
      </w:r>
      <w:r>
        <w:rPr>
          <w:rFonts w:hint="eastAsia" w:ascii="宋体" w:hAnsi="宋体" w:eastAsia="宋体" w:cs="宋体"/>
          <w:color w:val="auto"/>
          <w:sz w:val="24"/>
          <w:szCs w:val="24"/>
          <w:u w:val="single"/>
        </w:rPr>
        <w:t xml:space="preserve">    （应明确预付款的支付比例和支付条件）               </w:t>
      </w:r>
    </w:p>
    <w:p w14:paraId="1B706F83">
      <w:pPr>
        <w:adjustRightInd w:val="0"/>
        <w:snapToGrid w:val="0"/>
        <w:spacing w:before="156" w:beforeLines="50" w:line="360" w:lineRule="auto"/>
        <w:ind w:firstLine="720" w:firstLineChars="300"/>
        <w:rPr>
          <w:rFonts w:hint="eastAsia" w:ascii="宋体" w:hAnsi="宋体" w:eastAsia="宋体" w:cs="宋体"/>
          <w:color w:val="auto"/>
          <w:sz w:val="24"/>
          <w:szCs w:val="24"/>
        </w:rPr>
      </w:pPr>
      <w:r>
        <w:rPr>
          <w:rFonts w:hint="eastAsia" w:ascii="宋体" w:hAnsi="宋体" w:eastAsia="宋体" w:cs="宋体"/>
          <w:color w:val="auto"/>
          <w:sz w:val="24"/>
          <w:szCs w:val="24"/>
        </w:rPr>
        <w:sym w:font="Wingdings" w:char="00A8"/>
      </w:r>
      <w:r>
        <w:rPr>
          <w:rFonts w:hint="eastAsia" w:ascii="宋体" w:hAnsi="宋体" w:eastAsia="宋体" w:cs="宋体"/>
          <w:color w:val="auto"/>
          <w:sz w:val="24"/>
          <w:szCs w:val="24"/>
        </w:rPr>
        <w:t>分期付款：</w:t>
      </w:r>
      <w:r>
        <w:rPr>
          <w:rFonts w:hint="eastAsia" w:ascii="宋体" w:hAnsi="宋体" w:eastAsia="宋体" w:cs="宋体"/>
          <w:color w:val="auto"/>
          <w:sz w:val="24"/>
          <w:szCs w:val="24"/>
          <w:u w:val="single"/>
        </w:rPr>
        <w:t xml:space="preserve">     （应按照季度分期支付合同款项）                   </w:t>
      </w:r>
    </w:p>
    <w:p w14:paraId="382FE6DB">
      <w:pPr>
        <w:adjustRightInd w:val="0"/>
        <w:snapToGrid w:val="0"/>
        <w:spacing w:before="156" w:beforeLines="50" w:line="360" w:lineRule="auto"/>
        <w:ind w:firstLine="720" w:firstLineChars="300"/>
        <w:rPr>
          <w:rFonts w:hint="eastAsia" w:ascii="宋体" w:hAnsi="宋体" w:eastAsia="宋体" w:cs="宋体"/>
          <w:color w:val="auto"/>
          <w:sz w:val="24"/>
          <w:szCs w:val="24"/>
        </w:rPr>
      </w:pPr>
      <w:r>
        <w:rPr>
          <w:rFonts w:hint="eastAsia" w:ascii="宋体" w:hAnsi="宋体" w:eastAsia="宋体" w:cs="宋体"/>
          <w:color w:val="auto"/>
          <w:sz w:val="24"/>
          <w:szCs w:val="24"/>
        </w:rPr>
        <w:sym w:font="Wingdings" w:char="00A8"/>
      </w:r>
      <w:r>
        <w:rPr>
          <w:rFonts w:hint="eastAsia" w:ascii="宋体" w:hAnsi="宋体" w:eastAsia="宋体" w:cs="宋体"/>
          <w:color w:val="auto"/>
          <w:sz w:val="24"/>
          <w:szCs w:val="24"/>
        </w:rPr>
        <w:t>成本补偿：</w:t>
      </w:r>
      <w:r>
        <w:rPr>
          <w:rFonts w:hint="eastAsia" w:ascii="宋体" w:hAnsi="宋体" w:eastAsia="宋体" w:cs="宋体"/>
          <w:color w:val="auto"/>
          <w:sz w:val="24"/>
          <w:szCs w:val="24"/>
          <w:u w:val="single"/>
        </w:rPr>
        <w:t xml:space="preserve">      （应明确按照成本补偿方式的支付方式和支付条件）   </w:t>
      </w:r>
    </w:p>
    <w:p w14:paraId="38C78BCC">
      <w:pPr>
        <w:adjustRightInd w:val="0"/>
        <w:snapToGrid w:val="0"/>
        <w:spacing w:before="156" w:beforeLines="50" w:line="360" w:lineRule="auto"/>
        <w:ind w:firstLine="720" w:firstLineChars="300"/>
        <w:rPr>
          <w:rFonts w:hint="eastAsia" w:ascii="宋体" w:hAnsi="宋体" w:eastAsia="宋体" w:cs="宋体"/>
          <w:b/>
          <w:color w:val="auto"/>
          <w:sz w:val="24"/>
        </w:rPr>
      </w:pPr>
      <w:r>
        <w:rPr>
          <w:rFonts w:hint="eastAsia" w:ascii="宋体" w:hAnsi="宋体" w:eastAsia="宋体" w:cs="宋体"/>
          <w:color w:val="auto"/>
          <w:sz w:val="24"/>
          <w:szCs w:val="24"/>
        </w:rPr>
        <w:sym w:font="Wingdings" w:char="00A8"/>
      </w:r>
      <w:r>
        <w:rPr>
          <w:rFonts w:hint="eastAsia" w:ascii="宋体" w:hAnsi="宋体" w:eastAsia="宋体" w:cs="宋体"/>
          <w:color w:val="auto"/>
          <w:sz w:val="24"/>
          <w:szCs w:val="24"/>
        </w:rPr>
        <w:t>绩效激励：</w:t>
      </w:r>
      <w:r>
        <w:rPr>
          <w:rFonts w:hint="eastAsia" w:ascii="宋体" w:hAnsi="宋体" w:eastAsia="宋体" w:cs="宋体"/>
          <w:color w:val="auto"/>
          <w:sz w:val="24"/>
          <w:szCs w:val="24"/>
          <w:u w:val="single"/>
        </w:rPr>
        <w:t xml:space="preserve">      （应明确按照绩效激励方式的支付方式和支付条件）   </w:t>
      </w:r>
    </w:p>
    <w:p w14:paraId="27222E82">
      <w:pPr>
        <w:adjustRightInd w:val="0"/>
        <w:snapToGrid w:val="0"/>
        <w:spacing w:line="360" w:lineRule="auto"/>
        <w:ind w:firstLine="482" w:firstLineChars="200"/>
        <w:outlineLvl w:val="2"/>
        <w:rPr>
          <w:rFonts w:hint="eastAsia" w:ascii="宋体" w:hAnsi="宋体" w:eastAsia="宋体" w:cs="宋体"/>
          <w:b/>
          <w:color w:val="auto"/>
          <w:sz w:val="24"/>
        </w:rPr>
      </w:pPr>
      <w:bookmarkStart w:id="234" w:name="_Toc16542"/>
      <w:bookmarkStart w:id="235" w:name="_Toc6242"/>
      <w:r>
        <w:rPr>
          <w:rFonts w:hint="eastAsia" w:ascii="宋体" w:hAnsi="宋体" w:eastAsia="宋体" w:cs="宋体"/>
          <w:b/>
          <w:color w:val="auto"/>
          <w:sz w:val="24"/>
        </w:rPr>
        <w:t>3.履行合同的时间、地点及方式</w:t>
      </w:r>
      <w:bookmarkEnd w:id="227"/>
      <w:bookmarkEnd w:id="228"/>
      <w:bookmarkEnd w:id="229"/>
      <w:bookmarkEnd w:id="230"/>
      <w:bookmarkEnd w:id="231"/>
      <w:bookmarkEnd w:id="232"/>
      <w:bookmarkEnd w:id="233"/>
      <w:bookmarkEnd w:id="234"/>
      <w:bookmarkEnd w:id="235"/>
    </w:p>
    <w:p w14:paraId="6F7F6CDA">
      <w:pPr>
        <w:adjustRightInd w:val="0"/>
        <w:snapToGrid w:val="0"/>
        <w:spacing w:line="360" w:lineRule="auto"/>
        <w:ind w:firstLine="480" w:firstLineChars="200"/>
        <w:rPr>
          <w:rFonts w:hint="eastAsia" w:ascii="宋体" w:hAnsi="宋体" w:eastAsia="宋体" w:cs="宋体"/>
          <w:color w:val="auto"/>
          <w:sz w:val="24"/>
        </w:rPr>
      </w:pPr>
      <w:r>
        <w:rPr>
          <w:rFonts w:hint="eastAsia" w:ascii="宋体" w:hAnsi="宋体" w:cs="宋体"/>
          <w:color w:val="auto"/>
          <w:sz w:val="24"/>
          <w:lang w:eastAsia="zh-CN"/>
        </w:rPr>
        <w:t>（</w:t>
      </w:r>
      <w:r>
        <w:rPr>
          <w:rFonts w:hint="eastAsia" w:ascii="宋体" w:hAnsi="宋体" w:cs="宋体"/>
          <w:color w:val="auto"/>
          <w:sz w:val="24"/>
          <w:lang w:val="en-US" w:eastAsia="zh-CN"/>
        </w:rPr>
        <w:t>1</w:t>
      </w:r>
      <w:r>
        <w:rPr>
          <w:rFonts w:hint="eastAsia" w:ascii="宋体" w:hAnsi="宋体" w:cs="宋体"/>
          <w:color w:val="auto"/>
          <w:sz w:val="24"/>
          <w:lang w:eastAsia="zh-CN"/>
        </w:rPr>
        <w:t>）</w:t>
      </w:r>
      <w:r>
        <w:rPr>
          <w:rFonts w:hint="eastAsia" w:ascii="宋体" w:hAnsi="宋体" w:eastAsia="宋体" w:cs="宋体"/>
          <w:color w:val="auto"/>
          <w:sz w:val="24"/>
        </w:rPr>
        <w:t>起始日期：</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rPr>
        <w:t>日，完成日期：</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rPr>
        <w:t>日；总日历天数：</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rPr>
        <w:t>天。</w:t>
      </w:r>
    </w:p>
    <w:p w14:paraId="4E21A458">
      <w:pPr>
        <w:adjustRightInd w:val="0"/>
        <w:snapToGrid w:val="0"/>
        <w:spacing w:line="360" w:lineRule="auto"/>
        <w:ind w:firstLine="480" w:firstLineChars="200"/>
        <w:rPr>
          <w:rFonts w:hint="eastAsia" w:ascii="宋体" w:hAnsi="宋体" w:eastAsia="宋体" w:cs="宋体"/>
          <w:color w:val="auto"/>
          <w:sz w:val="24"/>
          <w:u w:val="single"/>
        </w:rPr>
      </w:pPr>
      <w:r>
        <w:rPr>
          <w:rFonts w:hint="eastAsia" w:ascii="宋体" w:hAnsi="宋体" w:cs="宋体"/>
          <w:color w:val="auto"/>
          <w:sz w:val="24"/>
          <w:lang w:eastAsia="zh-CN"/>
        </w:rPr>
        <w:t>（</w:t>
      </w:r>
      <w:r>
        <w:rPr>
          <w:rFonts w:hint="eastAsia" w:ascii="宋体" w:hAnsi="宋体" w:cs="宋体"/>
          <w:color w:val="auto"/>
          <w:sz w:val="24"/>
          <w:lang w:val="en-US" w:eastAsia="zh-CN"/>
        </w:rPr>
        <w:t>2</w:t>
      </w:r>
      <w:r>
        <w:rPr>
          <w:rFonts w:hint="eastAsia" w:ascii="宋体" w:hAnsi="宋体" w:cs="宋体"/>
          <w:color w:val="auto"/>
          <w:sz w:val="24"/>
          <w:lang w:eastAsia="zh-CN"/>
        </w:rPr>
        <w:t>）</w:t>
      </w:r>
      <w:r>
        <w:rPr>
          <w:rFonts w:hint="eastAsia" w:ascii="宋体" w:hAnsi="宋体" w:eastAsia="宋体" w:cs="宋体"/>
          <w:color w:val="auto"/>
          <w:sz w:val="24"/>
        </w:rPr>
        <w:t>地点</w:t>
      </w:r>
      <w:r>
        <w:rPr>
          <w:rFonts w:hint="eastAsia" w:ascii="宋体" w:hAnsi="宋体" w:eastAsia="宋体" w:cs="宋体"/>
          <w:b/>
          <w:color w:val="auto"/>
          <w:sz w:val="24"/>
        </w:rPr>
        <w:t>：</w:t>
      </w:r>
      <w:r>
        <w:rPr>
          <w:rFonts w:hint="eastAsia" w:ascii="宋体" w:hAnsi="宋体" w:eastAsia="宋体" w:cs="宋体"/>
          <w:color w:val="auto"/>
          <w:sz w:val="24"/>
          <w:u w:val="single"/>
        </w:rPr>
        <w:t xml:space="preserve">                                          </w:t>
      </w:r>
    </w:p>
    <w:p w14:paraId="3FD9350D">
      <w:pPr>
        <w:adjustRightInd w:val="0"/>
        <w:snapToGrid w:val="0"/>
        <w:spacing w:line="360" w:lineRule="auto"/>
        <w:ind w:firstLine="480" w:firstLineChars="200"/>
        <w:rPr>
          <w:rFonts w:hint="eastAsia" w:ascii="宋体" w:hAnsi="宋体" w:eastAsia="宋体" w:cs="宋体"/>
          <w:color w:val="auto"/>
          <w:sz w:val="24"/>
          <w:u w:val="single"/>
          <w:lang w:val="en-US"/>
        </w:rPr>
      </w:pPr>
      <w:r>
        <w:rPr>
          <w:rFonts w:hint="eastAsia" w:ascii="宋体" w:hAnsi="宋体" w:cs="宋体"/>
          <w:color w:val="auto"/>
          <w:sz w:val="24"/>
          <w:lang w:eastAsia="zh-CN"/>
        </w:rPr>
        <w:t>（</w:t>
      </w:r>
      <w:r>
        <w:rPr>
          <w:rFonts w:hint="eastAsia" w:ascii="宋体" w:hAnsi="宋体" w:cs="宋体"/>
          <w:color w:val="auto"/>
          <w:sz w:val="24"/>
          <w:lang w:val="en-US" w:eastAsia="zh-CN"/>
        </w:rPr>
        <w:t>3</w:t>
      </w:r>
      <w:r>
        <w:rPr>
          <w:rFonts w:hint="eastAsia" w:ascii="宋体" w:hAnsi="宋体" w:cs="宋体"/>
          <w:color w:val="auto"/>
          <w:sz w:val="24"/>
          <w:lang w:eastAsia="zh-CN"/>
        </w:rPr>
        <w:t>）</w:t>
      </w:r>
      <w:r>
        <w:rPr>
          <w:rFonts w:hint="eastAsia" w:ascii="宋体" w:hAnsi="宋体" w:eastAsia="宋体" w:cs="宋体"/>
          <w:color w:val="auto"/>
          <w:sz w:val="24"/>
        </w:rPr>
        <w:t>方式：</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u w:val="single"/>
          <w:lang w:val="en-US" w:eastAsia="zh-CN"/>
        </w:rPr>
        <w:t xml:space="preserve">                                         </w:t>
      </w:r>
    </w:p>
    <w:p w14:paraId="5EBE7261">
      <w:pPr>
        <w:adjustRightInd w:val="0"/>
        <w:snapToGrid w:val="0"/>
        <w:spacing w:before="156" w:beforeLines="50" w:line="360" w:lineRule="auto"/>
        <w:ind w:firstLine="480" w:firstLineChars="200"/>
        <w:rPr>
          <w:rFonts w:hint="eastAsia" w:ascii="宋体" w:hAnsi="宋体" w:eastAsia="宋体" w:cs="宋体"/>
          <w:bCs/>
          <w:color w:val="auto"/>
          <w:sz w:val="24"/>
          <w:szCs w:val="24"/>
        </w:rPr>
      </w:pPr>
      <w:bookmarkStart w:id="236" w:name="_Toc28296"/>
      <w:bookmarkStart w:id="237" w:name="_Toc10725"/>
      <w:bookmarkStart w:id="238" w:name="_Toc4431"/>
      <w:bookmarkStart w:id="239" w:name="_Toc7855"/>
      <w:bookmarkStart w:id="240" w:name="_Toc25339"/>
      <w:bookmarkStart w:id="241" w:name="_Toc16812"/>
      <w:r>
        <w:rPr>
          <w:rFonts w:hint="eastAsia" w:ascii="宋体" w:hAnsi="宋体" w:eastAsia="宋体" w:cs="宋体"/>
          <w:bCs/>
          <w:color w:val="auto"/>
          <w:sz w:val="24"/>
          <w:szCs w:val="24"/>
        </w:rPr>
        <w:t>（4）履约担保：</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u w:val="single"/>
        </w:rPr>
        <w:t>履约担保的金额、形式和期限要求</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w:t>
      </w:r>
    </w:p>
    <w:p w14:paraId="14F1075E">
      <w:pPr>
        <w:adjustRightInd w:val="0"/>
        <w:snapToGrid w:val="0"/>
        <w:spacing w:before="156" w:beforeLines="50"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（5）质量保证金：</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u w:val="single"/>
        </w:rPr>
        <w:t>质量保证金的金额、形式和期限要求</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w:t>
      </w:r>
    </w:p>
    <w:p w14:paraId="4B663C84">
      <w:pPr>
        <w:adjustRightInd w:val="0"/>
        <w:snapToGrid w:val="0"/>
        <w:spacing w:before="156" w:beforeLines="50"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4.合同验收</w:t>
      </w:r>
    </w:p>
    <w:p w14:paraId="1A4EF177">
      <w:pPr>
        <w:adjustRightInd w:val="0"/>
        <w:snapToGrid w:val="0"/>
        <w:spacing w:before="156" w:beforeLines="50"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（1）验收主体：</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w:t>
      </w:r>
    </w:p>
    <w:p w14:paraId="0426B976">
      <w:pPr>
        <w:adjustRightInd w:val="0"/>
        <w:snapToGrid w:val="0"/>
        <w:spacing w:before="156" w:beforeLines="50"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（2）验收方式：</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w:t>
      </w:r>
    </w:p>
    <w:p w14:paraId="7B2D9A78">
      <w:pPr>
        <w:keepNext w:val="0"/>
        <w:keepLines w:val="0"/>
        <w:widowControl/>
        <w:numPr>
          <w:ilvl w:val="0"/>
          <w:numId w:val="0"/>
        </w:numPr>
        <w:suppressLineNumbers w:val="0"/>
        <w:spacing w:line="360" w:lineRule="auto"/>
        <w:ind w:firstLine="480" w:firstLineChars="200"/>
        <w:jc w:val="left"/>
        <w:rPr>
          <w:rFonts w:hint="eastAsia" w:ascii="宋体" w:hAnsi="宋体" w:eastAsia="宋体" w:cs="宋体"/>
          <w:b/>
          <w:color w:val="auto"/>
          <w:sz w:val="24"/>
          <w:lang w:val="en-US" w:eastAsia="zh-CN"/>
        </w:rPr>
      </w:pPr>
      <w:r>
        <w:rPr>
          <w:rFonts w:hint="eastAsia" w:ascii="宋体" w:hAnsi="宋体" w:eastAsia="宋体" w:cs="宋体"/>
          <w:bCs/>
          <w:color w:val="auto"/>
          <w:sz w:val="24"/>
          <w:szCs w:val="24"/>
        </w:rPr>
        <w:t>（3）验收标准：</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w:t>
      </w:r>
    </w:p>
    <w:p w14:paraId="0491D23C">
      <w:pPr>
        <w:adjustRightInd w:val="0"/>
        <w:snapToGrid w:val="0"/>
        <w:spacing w:before="156" w:beforeLines="50"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5.组成合同的文件</w:t>
      </w:r>
    </w:p>
    <w:p w14:paraId="71B51154">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本协议书与下列文件一起构成合同文件，如下述文件之间有任何抵触、矛盾或歧义，应按以下顺序解释：</w:t>
      </w:r>
    </w:p>
    <w:p w14:paraId="6A7D83EE">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（1）在采购或合同履行过程中乙方作出的承诺以及双方协商达成的变更或补充协议</w:t>
      </w:r>
    </w:p>
    <w:p w14:paraId="51E3610F">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（2）本合同协议书</w:t>
      </w:r>
    </w:p>
    <w:p w14:paraId="1C887C3B">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（3）中标通知书</w:t>
      </w:r>
    </w:p>
    <w:p w14:paraId="2E558DA7">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（4）投标文件</w:t>
      </w:r>
    </w:p>
    <w:p w14:paraId="641A9E90">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（5）政府采购合同专用条款</w:t>
      </w:r>
    </w:p>
    <w:p w14:paraId="5F5BCF2D">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（6）政府采购合同通用条款</w:t>
      </w:r>
    </w:p>
    <w:p w14:paraId="7AF0A59C">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（7）标准、规范及有关技术文件，图纸。</w:t>
      </w:r>
    </w:p>
    <w:p w14:paraId="596A0830">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（8）其他合同文件。</w:t>
      </w:r>
    </w:p>
    <w:p w14:paraId="5B85AE20">
      <w:pPr>
        <w:adjustRightInd w:val="0"/>
        <w:snapToGrid w:val="0"/>
        <w:spacing w:before="156" w:beforeLines="50" w:line="360" w:lineRule="auto"/>
        <w:ind w:firstLine="354" w:firstLineChars="147"/>
        <w:rPr>
          <w:rFonts w:hint="eastAsia" w:ascii="宋体" w:hAnsi="宋体" w:eastAsia="宋体" w:cs="宋体"/>
          <w:b/>
          <w:color w:val="auto"/>
          <w:sz w:val="24"/>
          <w:szCs w:val="24"/>
        </w:rPr>
      </w:pPr>
      <w:r>
        <w:rPr>
          <w:rFonts w:hint="eastAsia" w:ascii="宋体" w:hAnsi="宋体" w:eastAsia="宋体" w:cs="宋体"/>
          <w:b/>
          <w:color w:val="auto"/>
          <w:sz w:val="24"/>
          <w:szCs w:val="24"/>
        </w:rPr>
        <w:t>6.合同生效</w:t>
      </w:r>
    </w:p>
    <w:p w14:paraId="0AF613EB">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本合同自</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生效。</w:t>
      </w:r>
    </w:p>
    <w:p w14:paraId="2CD11461">
      <w:pPr>
        <w:adjustRightInd w:val="0"/>
        <w:snapToGrid w:val="0"/>
        <w:spacing w:before="156" w:beforeLines="50" w:line="360" w:lineRule="auto"/>
        <w:ind w:firstLine="354" w:firstLineChars="147"/>
        <w:rPr>
          <w:rFonts w:hint="eastAsia" w:ascii="宋体" w:hAnsi="宋体" w:eastAsia="宋体" w:cs="宋体"/>
          <w:b/>
          <w:color w:val="auto"/>
          <w:sz w:val="24"/>
          <w:szCs w:val="24"/>
        </w:rPr>
      </w:pPr>
      <w:r>
        <w:rPr>
          <w:rFonts w:hint="eastAsia" w:ascii="宋体" w:hAnsi="宋体" w:eastAsia="宋体" w:cs="宋体"/>
          <w:b/>
          <w:color w:val="auto"/>
          <w:sz w:val="24"/>
          <w:szCs w:val="24"/>
        </w:rPr>
        <w:t>7.合同份数</w:t>
      </w:r>
    </w:p>
    <w:p w14:paraId="577059C4">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本合同一式</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份，采购人执</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份，供应商执</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份，均具有同等法律效力。</w:t>
      </w:r>
    </w:p>
    <w:p w14:paraId="31D73E50">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合同订立时间：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2613B1B7">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合同订立地点：</w:t>
      </w:r>
      <w:r>
        <w:rPr>
          <w:rFonts w:hint="eastAsia" w:ascii="宋体" w:hAnsi="宋体" w:eastAsia="宋体" w:cs="宋体"/>
          <w:color w:val="auto"/>
          <w:sz w:val="24"/>
          <w:szCs w:val="24"/>
          <w:u w:val="single"/>
        </w:rPr>
        <w:t xml:space="preserve">                           </w:t>
      </w:r>
    </w:p>
    <w:p w14:paraId="5AF11245">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附件：</w:t>
      </w:r>
      <w:r>
        <w:rPr>
          <w:rFonts w:hint="eastAsia" w:ascii="宋体" w:hAnsi="宋体" w:eastAsia="宋体" w:cs="宋体"/>
          <w:color w:val="auto"/>
          <w:sz w:val="24"/>
          <w:szCs w:val="24"/>
          <w:lang w:val="en-US" w:eastAsia="zh-CN"/>
        </w:rPr>
        <w:t>具体标的明细、分包合同等。</w:t>
      </w:r>
      <w:r>
        <w:rPr>
          <w:rFonts w:hint="eastAsia" w:ascii="宋体" w:hAnsi="宋体" w:eastAsia="宋体" w:cs="宋体"/>
          <w:color w:val="auto"/>
          <w:sz w:val="24"/>
          <w:szCs w:val="24"/>
        </w:rPr>
        <w:t xml:space="preserve">    </w:t>
      </w:r>
    </w:p>
    <w:p w14:paraId="569E219B">
      <w:pPr>
        <w:pStyle w:val="62"/>
        <w:ind w:left="0" w:leftChars="0" w:firstLine="0" w:firstLineChars="0"/>
        <w:rPr>
          <w:rFonts w:hint="eastAsia" w:ascii="宋体" w:hAnsi="宋体" w:eastAsia="宋体" w:cs="宋体"/>
          <w:color w:val="auto"/>
          <w:sz w:val="24"/>
          <w:szCs w:val="24"/>
        </w:rPr>
      </w:pPr>
    </w:p>
    <w:p w14:paraId="2AC7071D">
      <w:pPr>
        <w:pStyle w:val="62"/>
        <w:rPr>
          <w:rFonts w:hint="eastAsia" w:ascii="宋体" w:hAnsi="宋体" w:eastAsia="宋体" w:cs="宋体"/>
          <w:color w:val="auto"/>
          <w:sz w:val="24"/>
          <w:szCs w:val="24"/>
        </w:rPr>
      </w:pPr>
    </w:p>
    <w:p w14:paraId="57ADD5E7">
      <w:pPr>
        <w:adjustRightInd w:val="0"/>
        <w:snapToGrid w:val="0"/>
        <w:spacing w:before="156" w:beforeLines="5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甲      方：（公章）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乙      方：（公章）</w:t>
      </w:r>
    </w:p>
    <w:p w14:paraId="39DB96A0">
      <w:pPr>
        <w:adjustRightInd w:val="0"/>
        <w:snapToGrid w:val="0"/>
        <w:spacing w:before="156" w:beforeLines="5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法定代表人：</w:t>
      </w:r>
      <w:r>
        <w:rPr>
          <w:rFonts w:hint="eastAsia" w:ascii="宋体" w:hAnsi="宋体" w:eastAsia="宋体" w:cs="宋体"/>
          <w:color w:val="auto"/>
          <w:sz w:val="24"/>
          <w:szCs w:val="24"/>
          <w:u w:val="single"/>
        </w:rPr>
        <w:t xml:space="preserve">                   </w:t>
      </w:r>
    </w:p>
    <w:p w14:paraId="46C4C2C0">
      <w:pPr>
        <w:adjustRightInd w:val="0"/>
        <w:snapToGrid w:val="0"/>
        <w:spacing w:before="156" w:beforeLines="5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委托代理人：</w:t>
      </w:r>
      <w:r>
        <w:rPr>
          <w:rFonts w:hint="eastAsia" w:ascii="宋体" w:hAnsi="宋体" w:eastAsia="宋体" w:cs="宋体"/>
          <w:color w:val="auto"/>
          <w:sz w:val="24"/>
          <w:szCs w:val="24"/>
          <w:u w:val="single"/>
        </w:rPr>
        <w:t xml:space="preserve">                   </w:t>
      </w:r>
    </w:p>
    <w:p w14:paraId="20958A74">
      <w:pPr>
        <w:adjustRightInd w:val="0"/>
        <w:snapToGrid w:val="0"/>
        <w:spacing w:before="156" w:beforeLines="5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电      话：</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电      话：</w:t>
      </w:r>
      <w:r>
        <w:rPr>
          <w:rFonts w:hint="eastAsia" w:ascii="宋体" w:hAnsi="宋体" w:eastAsia="宋体" w:cs="宋体"/>
          <w:color w:val="auto"/>
          <w:sz w:val="24"/>
          <w:szCs w:val="24"/>
          <w:u w:val="single"/>
        </w:rPr>
        <w:t xml:space="preserve">                   </w:t>
      </w:r>
    </w:p>
    <w:p w14:paraId="51F5E327">
      <w:pPr>
        <w:adjustRightInd w:val="0"/>
        <w:snapToGrid w:val="0"/>
        <w:spacing w:before="156" w:beforeLines="5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传      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传      真：</w:t>
      </w:r>
      <w:r>
        <w:rPr>
          <w:rFonts w:hint="eastAsia" w:ascii="宋体" w:hAnsi="宋体" w:eastAsia="宋体" w:cs="宋体"/>
          <w:color w:val="auto"/>
          <w:sz w:val="24"/>
          <w:szCs w:val="24"/>
          <w:u w:val="single"/>
        </w:rPr>
        <w:t xml:space="preserve">                   </w:t>
      </w:r>
    </w:p>
    <w:p w14:paraId="0017A16A">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开 户 银 行：</w:t>
      </w:r>
      <w:r>
        <w:rPr>
          <w:rFonts w:hint="eastAsia" w:ascii="宋体" w:hAnsi="宋体" w:eastAsia="宋体" w:cs="宋体"/>
          <w:color w:val="auto"/>
          <w:sz w:val="24"/>
          <w:szCs w:val="24"/>
          <w:u w:val="single"/>
        </w:rPr>
        <w:t xml:space="preserve">                   </w:t>
      </w:r>
    </w:p>
    <w:p w14:paraId="420793F5">
      <w:pPr>
        <w:keepNext w:val="0"/>
        <w:keepLines w:val="0"/>
        <w:widowControl/>
        <w:numPr>
          <w:ilvl w:val="0"/>
          <w:numId w:val="0"/>
        </w:numPr>
        <w:suppressLineNumbers w:val="0"/>
        <w:spacing w:line="360" w:lineRule="auto"/>
        <w:ind w:firstLine="480" w:firstLineChars="200"/>
        <w:jc w:val="left"/>
        <w:rPr>
          <w:rFonts w:hint="eastAsia" w:ascii="宋体" w:hAnsi="宋体" w:eastAsia="宋体" w:cs="宋体"/>
          <w:b/>
          <w:color w:val="auto"/>
          <w:sz w:val="24"/>
          <w:lang w:val="en-US" w:eastAsia="zh-CN"/>
        </w:rPr>
      </w:pPr>
      <w:r>
        <w:rPr>
          <w:rFonts w:hint="eastAsia" w:ascii="宋体" w:hAnsi="宋体" w:eastAsia="宋体" w:cs="宋体"/>
          <w:color w:val="auto"/>
          <w:sz w:val="24"/>
          <w:szCs w:val="24"/>
        </w:rPr>
        <w:t xml:space="preserve">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账       号：</w:t>
      </w:r>
      <w:r>
        <w:rPr>
          <w:rFonts w:hint="eastAsia" w:ascii="宋体" w:hAnsi="宋体" w:eastAsia="宋体" w:cs="宋体"/>
          <w:color w:val="auto"/>
          <w:sz w:val="24"/>
          <w:szCs w:val="24"/>
          <w:u w:val="single"/>
        </w:rPr>
        <w:t xml:space="preserve">                   </w:t>
      </w:r>
    </w:p>
    <w:bookmarkEnd w:id="236"/>
    <w:bookmarkEnd w:id="237"/>
    <w:bookmarkEnd w:id="238"/>
    <w:bookmarkEnd w:id="239"/>
    <w:bookmarkEnd w:id="240"/>
    <w:bookmarkEnd w:id="241"/>
    <w:p w14:paraId="0C83BE17">
      <w:pPr>
        <w:adjustRightInd w:val="0"/>
        <w:snapToGrid w:val="0"/>
        <w:spacing w:line="360" w:lineRule="auto"/>
        <w:ind w:firstLine="480" w:firstLineChars="200"/>
        <w:rPr>
          <w:rFonts w:hint="eastAsia" w:ascii="宋体" w:hAnsi="宋体" w:eastAsia="宋体" w:cs="宋体"/>
          <w:color w:val="auto"/>
          <w:sz w:val="24"/>
        </w:rPr>
      </w:pPr>
    </w:p>
    <w:p w14:paraId="4BDC505A">
      <w:pPr>
        <w:jc w:val="center"/>
        <w:rPr>
          <w:rFonts w:hint="eastAsia" w:ascii="黑体" w:hAnsi="黑体" w:eastAsia="黑体" w:cs="黑体"/>
          <w:b/>
          <w:bCs/>
          <w:color w:val="auto"/>
          <w:sz w:val="30"/>
          <w:szCs w:val="30"/>
        </w:rPr>
      </w:pPr>
      <w:bookmarkStart w:id="242" w:name="_Toc28937"/>
      <w:bookmarkStart w:id="243" w:name="_Toc5870"/>
      <w:bookmarkStart w:id="244" w:name="_Toc5395"/>
      <w:bookmarkStart w:id="245" w:name="_Toc14453"/>
      <w:bookmarkStart w:id="246" w:name="_Toc20670"/>
      <w:bookmarkStart w:id="247" w:name="_Toc17769"/>
      <w:r>
        <w:rPr>
          <w:rFonts w:hint="eastAsia" w:ascii="黑体" w:hAnsi="黑体" w:eastAsia="黑体" w:cs="黑体"/>
          <w:b/>
          <w:bCs/>
          <w:sz w:val="30"/>
          <w:szCs w:val="30"/>
        </w:rPr>
        <w:t>第二节 政府采购合同通用条款</w:t>
      </w:r>
      <w:bookmarkEnd w:id="242"/>
      <w:bookmarkEnd w:id="243"/>
      <w:bookmarkEnd w:id="244"/>
      <w:bookmarkEnd w:id="245"/>
      <w:bookmarkEnd w:id="246"/>
      <w:bookmarkEnd w:id="247"/>
    </w:p>
    <w:p w14:paraId="6E5A8122">
      <w:pPr>
        <w:tabs>
          <w:tab w:val="left" w:pos="8820"/>
          <w:tab w:val="left" w:pos="9345"/>
          <w:tab w:val="left" w:pos="9765"/>
        </w:tabs>
        <w:adjustRightInd w:val="0"/>
        <w:snapToGrid w:val="0"/>
        <w:spacing w:before="50" w:line="360" w:lineRule="auto"/>
        <w:jc w:val="left"/>
        <w:outlineLvl w:val="2"/>
        <w:rPr>
          <w:rFonts w:hint="eastAsia" w:ascii="宋体" w:hAnsi="宋体" w:eastAsia="宋体" w:cs="宋体"/>
          <w:b/>
          <w:bCs/>
          <w:color w:val="auto"/>
          <w:sz w:val="24"/>
        </w:rPr>
      </w:pPr>
      <w:bookmarkStart w:id="248" w:name="_Toc22662"/>
      <w:bookmarkStart w:id="249" w:name="_Toc7184"/>
      <w:bookmarkStart w:id="250" w:name="_Toc1697"/>
      <w:bookmarkStart w:id="251" w:name="_Toc32467"/>
      <w:bookmarkStart w:id="252" w:name="_Toc24832"/>
      <w:bookmarkStart w:id="253" w:name="_Toc28521"/>
      <w:bookmarkStart w:id="254" w:name="_Toc12122"/>
      <w:bookmarkStart w:id="255" w:name="_Toc25548"/>
      <w:r>
        <w:rPr>
          <w:rFonts w:hint="eastAsia" w:ascii="宋体" w:hAnsi="宋体" w:eastAsia="宋体" w:cs="宋体"/>
          <w:b/>
          <w:color w:val="auto"/>
          <w:sz w:val="24"/>
        </w:rPr>
        <w:t>1.</w:t>
      </w:r>
      <w:r>
        <w:rPr>
          <w:rFonts w:hint="eastAsia" w:ascii="宋体" w:hAnsi="宋体" w:eastAsia="宋体" w:cs="宋体"/>
          <w:b/>
          <w:bCs/>
          <w:color w:val="auto"/>
          <w:sz w:val="24"/>
        </w:rPr>
        <w:t>定义</w:t>
      </w:r>
      <w:bookmarkEnd w:id="248"/>
      <w:bookmarkEnd w:id="249"/>
      <w:bookmarkEnd w:id="250"/>
      <w:bookmarkEnd w:id="251"/>
      <w:bookmarkEnd w:id="252"/>
      <w:bookmarkEnd w:id="253"/>
      <w:bookmarkEnd w:id="254"/>
      <w:bookmarkEnd w:id="255"/>
    </w:p>
    <w:p w14:paraId="2F688642">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1.1合同当事人</w:t>
      </w:r>
    </w:p>
    <w:p w14:paraId="045C7327">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（1）采购人（以下称甲方）是指使用财政性资金，通过政府采购程序向</w:t>
      </w:r>
      <w:r>
        <w:rPr>
          <w:rFonts w:hint="eastAsia" w:ascii="宋体" w:hAnsi="宋体" w:eastAsia="宋体" w:cs="宋体"/>
          <w:color w:val="auto"/>
          <w:sz w:val="24"/>
          <w:lang w:eastAsia="zh-CN"/>
        </w:rPr>
        <w:t>供应商</w:t>
      </w:r>
      <w:r>
        <w:rPr>
          <w:rFonts w:hint="eastAsia" w:ascii="宋体" w:hAnsi="宋体" w:eastAsia="宋体" w:cs="宋体"/>
          <w:color w:val="auto"/>
          <w:sz w:val="24"/>
        </w:rPr>
        <w:t>购买货物、服务的国家机关、事业单位、团体组织。本次采购的甲方名称、地址见</w:t>
      </w:r>
      <w:r>
        <w:rPr>
          <w:rFonts w:hint="eastAsia" w:ascii="宋体" w:hAnsi="宋体" w:eastAsia="宋体" w:cs="宋体"/>
          <w:b/>
          <w:color w:val="auto"/>
          <w:sz w:val="24"/>
        </w:rPr>
        <w:t>【政府采购合同专用条款】。</w:t>
      </w:r>
    </w:p>
    <w:p w14:paraId="28A47316">
      <w:pPr>
        <w:autoSpaceDE w:val="0"/>
        <w:autoSpaceDN w:val="0"/>
        <w:adjustRightInd w:val="0"/>
        <w:snapToGrid w:val="0"/>
        <w:spacing w:before="50" w:line="360" w:lineRule="auto"/>
        <w:ind w:firstLine="480" w:firstLineChars="200"/>
        <w:jc w:val="left"/>
        <w:rPr>
          <w:rFonts w:hint="eastAsia" w:ascii="宋体" w:hAnsi="宋体" w:eastAsia="宋体" w:cs="宋体"/>
          <w:b/>
          <w:color w:val="auto"/>
          <w:sz w:val="24"/>
        </w:rPr>
      </w:pPr>
      <w:r>
        <w:rPr>
          <w:rFonts w:hint="eastAsia" w:ascii="宋体" w:hAnsi="宋体" w:eastAsia="宋体" w:cs="宋体"/>
          <w:color w:val="auto"/>
          <w:sz w:val="24"/>
        </w:rPr>
        <w:t>（2）</w:t>
      </w:r>
      <w:r>
        <w:rPr>
          <w:rFonts w:hint="eastAsia" w:ascii="宋体" w:hAnsi="宋体" w:eastAsia="宋体" w:cs="宋体"/>
          <w:color w:val="auto"/>
          <w:sz w:val="24"/>
          <w:lang w:eastAsia="zh-CN"/>
        </w:rPr>
        <w:t>供应商</w:t>
      </w:r>
      <w:r>
        <w:rPr>
          <w:rFonts w:hint="eastAsia" w:ascii="宋体" w:hAnsi="宋体" w:eastAsia="宋体" w:cs="宋体"/>
          <w:color w:val="auto"/>
          <w:sz w:val="24"/>
        </w:rPr>
        <w:t>（以下称乙方）是指参加政府采购活动而取得中标结果，并向采购人提供货物、服务的法人、其他组织或者自然人。</w:t>
      </w:r>
    </w:p>
    <w:p w14:paraId="3B136420">
      <w:pPr>
        <w:tabs>
          <w:tab w:val="left" w:pos="570"/>
          <w:tab w:val="left" w:pos="9240"/>
          <w:tab w:val="left" w:pos="9555"/>
        </w:tabs>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1.2本合同下列术语应解释为：</w:t>
      </w:r>
    </w:p>
    <w:p w14:paraId="54290EFC">
      <w:pPr>
        <w:tabs>
          <w:tab w:val="left" w:pos="570"/>
          <w:tab w:val="left" w:pos="9240"/>
          <w:tab w:val="left" w:pos="9555"/>
        </w:tabs>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（1）“合同”系指甲乙双方签署的、政府采购合同协议书中载明的甲乙双方所达成的协议，包括所有的附件、附录和上述文件所提到的构成合同的所有文件。</w:t>
      </w:r>
    </w:p>
    <w:p w14:paraId="68A2AA46">
      <w:pPr>
        <w:tabs>
          <w:tab w:val="left" w:pos="570"/>
          <w:tab w:val="left" w:pos="9240"/>
          <w:tab w:val="left" w:pos="9555"/>
        </w:tabs>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（2）“合同价”系指根据本合同规定乙方在正确地完全履行合同义务后甲方应支付给乙方的价款。</w:t>
      </w:r>
    </w:p>
    <w:p w14:paraId="4A17DB23">
      <w:pPr>
        <w:tabs>
          <w:tab w:val="left" w:pos="570"/>
          <w:tab w:val="left" w:pos="9240"/>
          <w:tab w:val="left" w:pos="9555"/>
        </w:tabs>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（3）“货物”系指乙方根据本合同规定须向甲方提供的各种形态和种类的物品，包括原材料、设备、产品（包括软件）及相关的其备品备件、工具、手册及其它技术资料和材料。</w:t>
      </w:r>
    </w:p>
    <w:p w14:paraId="45B364A4">
      <w:pPr>
        <w:tabs>
          <w:tab w:val="left" w:pos="570"/>
          <w:tab w:val="left" w:pos="8880"/>
          <w:tab w:val="left" w:pos="9555"/>
        </w:tabs>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4）“服务”系指根据合同规定，乙方应提供的技术、管理和其它服务，包括但不限于：管理和质量保证、运输、保险、检验、现场准备、安装、集成、调试、培训、维修、技术支持等以及合同中规定乙方应承担的其它义务。</w:t>
      </w:r>
    </w:p>
    <w:p w14:paraId="43B34630">
      <w:pPr>
        <w:tabs>
          <w:tab w:val="left" w:pos="570"/>
          <w:tab w:val="left" w:pos="9240"/>
          <w:tab w:val="left" w:pos="9555"/>
        </w:tabs>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（5）“合同条款”系指本合同条款。</w:t>
      </w:r>
    </w:p>
    <w:p w14:paraId="710B0F1F">
      <w:pPr>
        <w:tabs>
          <w:tab w:val="left" w:pos="570"/>
          <w:tab w:val="left" w:pos="9240"/>
          <w:tab w:val="left" w:pos="9555"/>
        </w:tabs>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（6）“项目现场”系指本合同项下货物安装、运行的现场，其名称见</w:t>
      </w:r>
      <w:r>
        <w:rPr>
          <w:rFonts w:hint="eastAsia" w:ascii="宋体" w:hAnsi="宋体" w:eastAsia="宋体" w:cs="宋体"/>
          <w:b/>
          <w:color w:val="auto"/>
          <w:sz w:val="24"/>
        </w:rPr>
        <w:t>【政府采购合同专用条款】</w:t>
      </w:r>
      <w:r>
        <w:rPr>
          <w:rFonts w:hint="eastAsia" w:ascii="宋体" w:hAnsi="宋体" w:eastAsia="宋体" w:cs="宋体"/>
          <w:color w:val="auto"/>
          <w:sz w:val="24"/>
        </w:rPr>
        <w:t>。</w:t>
      </w:r>
    </w:p>
    <w:p w14:paraId="3B1F6A09">
      <w:pPr>
        <w:autoSpaceDE w:val="0"/>
        <w:autoSpaceDN w:val="0"/>
        <w:adjustRightInd w:val="0"/>
        <w:snapToGrid w:val="0"/>
        <w:spacing w:before="50" w:line="360" w:lineRule="auto"/>
        <w:jc w:val="left"/>
        <w:outlineLvl w:val="2"/>
        <w:rPr>
          <w:rFonts w:hint="eastAsia" w:ascii="宋体" w:hAnsi="宋体" w:eastAsia="宋体" w:cs="宋体"/>
          <w:b/>
          <w:color w:val="auto"/>
          <w:sz w:val="24"/>
        </w:rPr>
      </w:pPr>
      <w:bookmarkStart w:id="256" w:name="_Toc17721"/>
      <w:bookmarkStart w:id="257" w:name="_Toc25637"/>
      <w:bookmarkStart w:id="258" w:name="_Toc26504"/>
      <w:bookmarkStart w:id="259" w:name="_Toc12969"/>
      <w:bookmarkStart w:id="260" w:name="_Toc8535"/>
      <w:bookmarkStart w:id="261" w:name="_Toc14850"/>
      <w:bookmarkStart w:id="262" w:name="_Toc1595"/>
      <w:bookmarkStart w:id="263" w:name="_Toc9075"/>
      <w:r>
        <w:rPr>
          <w:rFonts w:hint="eastAsia" w:ascii="宋体" w:hAnsi="宋体" w:eastAsia="宋体" w:cs="宋体"/>
          <w:b/>
          <w:color w:val="auto"/>
          <w:sz w:val="24"/>
        </w:rPr>
        <w:t>2.合同的适用范围</w:t>
      </w:r>
      <w:bookmarkEnd w:id="256"/>
      <w:bookmarkEnd w:id="257"/>
      <w:bookmarkEnd w:id="258"/>
      <w:bookmarkEnd w:id="259"/>
      <w:bookmarkEnd w:id="260"/>
      <w:bookmarkEnd w:id="261"/>
      <w:bookmarkEnd w:id="262"/>
      <w:bookmarkEnd w:id="263"/>
    </w:p>
    <w:p w14:paraId="68F5B2E8">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2.1 本合同条款适用于没有被本合同其他部分的条款所取代的范围。</w:t>
      </w:r>
    </w:p>
    <w:p w14:paraId="7B95655A">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2.2 合同内容根据招标文件、投标文件而确定。</w:t>
      </w:r>
    </w:p>
    <w:p w14:paraId="6FBAD5A5">
      <w:pPr>
        <w:autoSpaceDE w:val="0"/>
        <w:autoSpaceDN w:val="0"/>
        <w:adjustRightInd w:val="0"/>
        <w:snapToGrid w:val="0"/>
        <w:spacing w:before="50" w:line="360" w:lineRule="auto"/>
        <w:jc w:val="left"/>
        <w:outlineLvl w:val="2"/>
        <w:rPr>
          <w:rFonts w:hint="eastAsia" w:ascii="宋体" w:hAnsi="宋体" w:eastAsia="宋体" w:cs="宋体"/>
          <w:b/>
          <w:bCs/>
          <w:color w:val="auto"/>
          <w:sz w:val="24"/>
        </w:rPr>
      </w:pPr>
      <w:bookmarkStart w:id="264" w:name="_Toc29390"/>
      <w:bookmarkStart w:id="265" w:name="_Toc9910"/>
      <w:bookmarkStart w:id="266" w:name="_Toc2458"/>
      <w:bookmarkStart w:id="267" w:name="_Toc10267"/>
      <w:bookmarkStart w:id="268" w:name="_Toc9688"/>
      <w:bookmarkStart w:id="269" w:name="_Toc11026"/>
      <w:bookmarkStart w:id="270" w:name="_Toc21046"/>
      <w:bookmarkStart w:id="271" w:name="_Toc27081"/>
      <w:r>
        <w:rPr>
          <w:rFonts w:hint="eastAsia" w:ascii="宋体" w:hAnsi="宋体" w:eastAsia="宋体" w:cs="宋体"/>
          <w:b/>
          <w:bCs/>
          <w:color w:val="auto"/>
          <w:sz w:val="24"/>
        </w:rPr>
        <w:t>3.</w:t>
      </w:r>
      <w:r>
        <w:rPr>
          <w:rFonts w:hint="eastAsia" w:ascii="宋体" w:hAnsi="宋体" w:eastAsia="宋体" w:cs="宋体"/>
          <w:b/>
          <w:color w:val="auto"/>
          <w:sz w:val="24"/>
        </w:rPr>
        <w:t>合同标的及金额</w:t>
      </w:r>
      <w:bookmarkEnd w:id="264"/>
      <w:bookmarkEnd w:id="265"/>
      <w:bookmarkEnd w:id="266"/>
      <w:bookmarkEnd w:id="267"/>
      <w:bookmarkEnd w:id="268"/>
      <w:bookmarkEnd w:id="269"/>
      <w:bookmarkEnd w:id="270"/>
      <w:bookmarkEnd w:id="271"/>
    </w:p>
    <w:p w14:paraId="1FBDE2BB">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3.1 合同标的及金额应与中标结果一致。</w:t>
      </w:r>
    </w:p>
    <w:p w14:paraId="52404EB3">
      <w:pPr>
        <w:autoSpaceDE w:val="0"/>
        <w:autoSpaceDN w:val="0"/>
        <w:adjustRightInd w:val="0"/>
        <w:snapToGrid w:val="0"/>
        <w:spacing w:before="50" w:line="360" w:lineRule="auto"/>
        <w:jc w:val="left"/>
        <w:outlineLvl w:val="2"/>
        <w:rPr>
          <w:rFonts w:hint="eastAsia" w:ascii="宋体" w:hAnsi="宋体" w:eastAsia="宋体" w:cs="宋体"/>
          <w:b/>
          <w:bCs/>
          <w:color w:val="auto"/>
          <w:sz w:val="24"/>
        </w:rPr>
      </w:pPr>
      <w:bookmarkStart w:id="272" w:name="_Toc9247"/>
      <w:bookmarkStart w:id="273" w:name="_Toc2638"/>
      <w:bookmarkStart w:id="274" w:name="_Toc13133"/>
      <w:bookmarkStart w:id="275" w:name="_Toc18507"/>
      <w:bookmarkStart w:id="276" w:name="_Toc2077"/>
      <w:bookmarkStart w:id="277" w:name="_Toc32353"/>
      <w:bookmarkStart w:id="278" w:name="_Toc8132"/>
      <w:bookmarkStart w:id="279" w:name="_Toc2636"/>
      <w:r>
        <w:rPr>
          <w:rFonts w:hint="eastAsia" w:ascii="宋体" w:hAnsi="宋体" w:eastAsia="宋体" w:cs="宋体"/>
          <w:b/>
          <w:bCs/>
          <w:color w:val="auto"/>
          <w:sz w:val="24"/>
        </w:rPr>
        <w:t>4.</w:t>
      </w:r>
      <w:r>
        <w:rPr>
          <w:rFonts w:hint="eastAsia" w:ascii="宋体" w:hAnsi="宋体" w:eastAsia="宋体" w:cs="宋体"/>
          <w:b/>
          <w:color w:val="auto"/>
          <w:sz w:val="24"/>
        </w:rPr>
        <w:t>合同价款</w:t>
      </w:r>
      <w:bookmarkEnd w:id="272"/>
      <w:bookmarkEnd w:id="273"/>
      <w:bookmarkEnd w:id="274"/>
      <w:bookmarkEnd w:id="275"/>
      <w:bookmarkEnd w:id="276"/>
      <w:bookmarkEnd w:id="277"/>
      <w:bookmarkEnd w:id="278"/>
      <w:bookmarkEnd w:id="279"/>
    </w:p>
    <w:p w14:paraId="5E9D203C">
      <w:pPr>
        <w:adjustRightInd w:val="0"/>
        <w:snapToGrid w:val="0"/>
        <w:spacing w:before="50" w:line="360" w:lineRule="auto"/>
        <w:ind w:firstLine="480" w:firstLineChars="200"/>
        <w:jc w:val="left"/>
        <w:rPr>
          <w:rFonts w:hint="eastAsia" w:ascii="宋体" w:hAnsi="宋体" w:eastAsia="宋体" w:cs="宋体"/>
          <w:b/>
          <w:bCs/>
          <w:i/>
          <w:iCs/>
          <w:color w:val="auto"/>
          <w:sz w:val="24"/>
        </w:rPr>
      </w:pPr>
      <w:r>
        <w:rPr>
          <w:rFonts w:hint="eastAsia" w:ascii="宋体" w:hAnsi="宋体" w:eastAsia="宋体" w:cs="宋体"/>
          <w:color w:val="auto"/>
          <w:sz w:val="24"/>
        </w:rPr>
        <w:t>4.1具体合同价款见本合同第3.1条。乙方为履行本合同而发生的所有费用均应包含在合同价款中，甲方不再另行支付其它任何费用。</w:t>
      </w:r>
    </w:p>
    <w:p w14:paraId="3B3B4399">
      <w:pPr>
        <w:adjustRightInd w:val="0"/>
        <w:snapToGrid w:val="0"/>
        <w:spacing w:before="50" w:line="360" w:lineRule="auto"/>
        <w:jc w:val="left"/>
        <w:outlineLvl w:val="2"/>
        <w:rPr>
          <w:rFonts w:hint="eastAsia" w:ascii="宋体" w:hAnsi="宋体" w:eastAsia="宋体" w:cs="宋体"/>
          <w:b/>
          <w:color w:val="auto"/>
          <w:sz w:val="24"/>
        </w:rPr>
      </w:pPr>
      <w:bookmarkStart w:id="280" w:name="_Toc13933"/>
      <w:bookmarkStart w:id="281" w:name="_Toc1543"/>
      <w:bookmarkStart w:id="282" w:name="_Toc12147"/>
      <w:bookmarkStart w:id="283" w:name="_Toc2075"/>
      <w:bookmarkStart w:id="284" w:name="_Toc4783"/>
      <w:bookmarkStart w:id="285" w:name="_Toc19670"/>
      <w:bookmarkStart w:id="286" w:name="_Toc28544"/>
      <w:bookmarkStart w:id="287" w:name="_Toc19604"/>
      <w:r>
        <w:rPr>
          <w:rFonts w:hint="eastAsia" w:ascii="宋体" w:hAnsi="宋体" w:eastAsia="宋体" w:cs="宋体"/>
          <w:b/>
          <w:color w:val="auto"/>
          <w:sz w:val="24"/>
        </w:rPr>
        <w:t>5.履行合同的时间、地点和方式</w:t>
      </w:r>
      <w:bookmarkEnd w:id="280"/>
      <w:bookmarkEnd w:id="281"/>
      <w:bookmarkEnd w:id="282"/>
      <w:bookmarkEnd w:id="283"/>
      <w:bookmarkEnd w:id="284"/>
      <w:bookmarkEnd w:id="285"/>
      <w:bookmarkEnd w:id="286"/>
      <w:bookmarkEnd w:id="287"/>
    </w:p>
    <w:p w14:paraId="50A41B0D">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5.1 乙方应当在甲方确定的时间、指定的地点履行合同，具体的交货时间、地点和方式见</w:t>
      </w:r>
      <w:r>
        <w:rPr>
          <w:rFonts w:hint="eastAsia" w:ascii="宋体" w:hAnsi="宋体" w:eastAsia="宋体" w:cs="宋体"/>
          <w:b/>
          <w:color w:val="auto"/>
          <w:sz w:val="24"/>
        </w:rPr>
        <w:t>【政府采购合同专用条款】</w:t>
      </w:r>
      <w:r>
        <w:rPr>
          <w:rFonts w:hint="eastAsia" w:ascii="宋体" w:hAnsi="宋体" w:eastAsia="宋体" w:cs="宋体"/>
          <w:color w:val="auto"/>
          <w:sz w:val="24"/>
        </w:rPr>
        <w:t>。</w:t>
      </w:r>
    </w:p>
    <w:p w14:paraId="4F07DB15">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5.2 乙方提供服务的应当在甲方指定的地点完成服务项目。</w:t>
      </w:r>
    </w:p>
    <w:p w14:paraId="6B0E176B">
      <w:pPr>
        <w:adjustRightInd w:val="0"/>
        <w:snapToGrid w:val="0"/>
        <w:spacing w:before="50" w:line="360" w:lineRule="auto"/>
        <w:jc w:val="left"/>
        <w:outlineLvl w:val="2"/>
        <w:rPr>
          <w:rFonts w:hint="eastAsia" w:ascii="宋体" w:hAnsi="宋体" w:eastAsia="宋体" w:cs="宋体"/>
          <w:b/>
          <w:bCs/>
          <w:color w:val="auto"/>
          <w:sz w:val="24"/>
        </w:rPr>
      </w:pPr>
      <w:bookmarkStart w:id="288" w:name="_Toc19019"/>
      <w:bookmarkStart w:id="289" w:name="_Toc17763"/>
      <w:bookmarkStart w:id="290" w:name="_Toc25359"/>
      <w:bookmarkStart w:id="291" w:name="_Toc5319"/>
      <w:bookmarkStart w:id="292" w:name="_Toc4932"/>
      <w:bookmarkStart w:id="293" w:name="_Toc28546"/>
      <w:bookmarkStart w:id="294" w:name="_Toc5218"/>
      <w:bookmarkStart w:id="295" w:name="_Toc11859"/>
      <w:r>
        <w:rPr>
          <w:rFonts w:hint="eastAsia" w:ascii="宋体" w:hAnsi="宋体" w:eastAsia="宋体" w:cs="宋体"/>
          <w:b/>
          <w:bCs/>
          <w:color w:val="auto"/>
          <w:sz w:val="24"/>
        </w:rPr>
        <w:t>6.</w:t>
      </w:r>
      <w:r>
        <w:rPr>
          <w:rFonts w:hint="eastAsia" w:ascii="宋体" w:hAnsi="宋体" w:eastAsia="宋体" w:cs="宋体"/>
          <w:b/>
          <w:color w:val="auto"/>
          <w:sz w:val="24"/>
        </w:rPr>
        <w:t>货物的验收</w:t>
      </w:r>
      <w:bookmarkEnd w:id="288"/>
      <w:bookmarkEnd w:id="289"/>
      <w:bookmarkEnd w:id="290"/>
      <w:bookmarkEnd w:id="291"/>
      <w:bookmarkEnd w:id="292"/>
      <w:bookmarkEnd w:id="293"/>
      <w:bookmarkEnd w:id="294"/>
      <w:bookmarkEnd w:id="295"/>
    </w:p>
    <w:p w14:paraId="3A48803C">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6.1 甲方在收到乙方交付的货物后应当及时组织验收。</w:t>
      </w:r>
    </w:p>
    <w:p w14:paraId="7B643A6A">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6.2 货物的表面瑕疵，甲方应在验收时当面提出；对质量问题有异议的应在安装调试后十个工作日内提出。</w:t>
      </w:r>
    </w:p>
    <w:p w14:paraId="23385F34">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6.3 在验收过程中发现数量不足或有质量、技术等问题，乙方应负责按照甲方的要求采取补足、更换或退货等处理措施，并承担由此发生的一切费用和损失。</w:t>
      </w:r>
    </w:p>
    <w:p w14:paraId="4BE772CA">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6.4 甲方在乙方按合同规定交货或安装、调试后，无正当理由而拖延接收、验收或拒绝接收、验收的，应承担因此给乙方造成的直接损失。</w:t>
      </w:r>
    </w:p>
    <w:p w14:paraId="67FB3131">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6.5 甲方对货物进行检查验收合格后，应当收取发票并在《交货验收单》上签署验收意见及加盖单位印章。</w:t>
      </w:r>
    </w:p>
    <w:p w14:paraId="5B9A2D95">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6.6 大型或者复杂的货物采购项目，甲方可以邀请国家认可的质量检测机构参加验收工作，并由其出具验收报告单。</w:t>
      </w:r>
    </w:p>
    <w:p w14:paraId="0A9F7E64">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6.7 乙方提供的进口产品，乙方应出示中华人民共和国进出口商品检验部门出具的检验证书（招标文件第五章采购需求另有约定的除外）。</w:t>
      </w:r>
    </w:p>
    <w:p w14:paraId="6853359A">
      <w:pPr>
        <w:adjustRightInd w:val="0"/>
        <w:snapToGrid w:val="0"/>
        <w:spacing w:before="50" w:line="360" w:lineRule="auto"/>
        <w:jc w:val="left"/>
        <w:outlineLvl w:val="2"/>
        <w:rPr>
          <w:rFonts w:hint="eastAsia" w:ascii="宋体" w:hAnsi="宋体" w:eastAsia="宋体" w:cs="宋体"/>
          <w:b/>
          <w:bCs/>
          <w:color w:val="auto"/>
          <w:sz w:val="24"/>
        </w:rPr>
      </w:pPr>
      <w:bookmarkStart w:id="296" w:name="_Toc20190"/>
      <w:bookmarkStart w:id="297" w:name="_Toc5665"/>
      <w:bookmarkStart w:id="298" w:name="_Toc3235"/>
      <w:bookmarkStart w:id="299" w:name="_Toc22949"/>
      <w:bookmarkStart w:id="300" w:name="_Toc1323"/>
      <w:bookmarkStart w:id="301" w:name="_Toc22301"/>
      <w:bookmarkStart w:id="302" w:name="_Toc17569"/>
      <w:bookmarkStart w:id="303" w:name="_Toc24234"/>
      <w:r>
        <w:rPr>
          <w:rFonts w:hint="eastAsia" w:ascii="宋体" w:hAnsi="宋体" w:eastAsia="宋体" w:cs="宋体"/>
          <w:b/>
          <w:bCs/>
          <w:color w:val="auto"/>
          <w:sz w:val="24"/>
        </w:rPr>
        <w:t>7.货物包装要求</w:t>
      </w:r>
      <w:bookmarkEnd w:id="296"/>
      <w:bookmarkEnd w:id="297"/>
      <w:bookmarkEnd w:id="298"/>
      <w:bookmarkEnd w:id="299"/>
      <w:bookmarkEnd w:id="300"/>
      <w:bookmarkEnd w:id="301"/>
      <w:bookmarkEnd w:id="302"/>
      <w:bookmarkEnd w:id="303"/>
    </w:p>
    <w:p w14:paraId="22E35371">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2399DF6C">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7.2 每一个包装箱内应附一份详细装箱单、质量证书和保修保养证书。</w:t>
      </w:r>
    </w:p>
    <w:p w14:paraId="5574D5B6">
      <w:pPr>
        <w:adjustRightInd w:val="0"/>
        <w:snapToGrid w:val="0"/>
        <w:spacing w:before="50" w:line="360" w:lineRule="auto"/>
        <w:jc w:val="left"/>
        <w:outlineLvl w:val="2"/>
        <w:rPr>
          <w:rFonts w:hint="eastAsia" w:ascii="宋体" w:hAnsi="宋体" w:eastAsia="宋体" w:cs="宋体"/>
          <w:b/>
          <w:color w:val="auto"/>
          <w:sz w:val="24"/>
        </w:rPr>
      </w:pPr>
      <w:bookmarkStart w:id="304" w:name="_Toc6808"/>
      <w:bookmarkStart w:id="305" w:name="_Toc27538"/>
      <w:bookmarkStart w:id="306" w:name="_Toc10478"/>
      <w:bookmarkStart w:id="307" w:name="_Toc5421"/>
      <w:bookmarkStart w:id="308" w:name="_Toc30108"/>
      <w:bookmarkStart w:id="309" w:name="_Toc15742"/>
      <w:bookmarkStart w:id="310" w:name="_Toc9796"/>
      <w:bookmarkStart w:id="311" w:name="_Toc12039"/>
      <w:r>
        <w:rPr>
          <w:rFonts w:hint="eastAsia" w:ascii="宋体" w:hAnsi="宋体" w:eastAsia="宋体" w:cs="宋体"/>
          <w:b/>
          <w:color w:val="auto"/>
          <w:sz w:val="24"/>
        </w:rPr>
        <w:t>8.运输和保险</w:t>
      </w:r>
      <w:bookmarkEnd w:id="304"/>
      <w:bookmarkEnd w:id="305"/>
      <w:bookmarkEnd w:id="306"/>
      <w:bookmarkEnd w:id="307"/>
      <w:bookmarkEnd w:id="308"/>
      <w:bookmarkEnd w:id="309"/>
      <w:bookmarkEnd w:id="310"/>
      <w:bookmarkEnd w:id="311"/>
    </w:p>
    <w:p w14:paraId="6B620E9D">
      <w:pPr>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8.1乙方负责办理将货物运抵本合同第5.1条规定的交货地点的一切运输事项，相关费用应包括在合同总价中。</w:t>
      </w:r>
    </w:p>
    <w:p w14:paraId="05010CB4">
      <w:pPr>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8.2乙方应向保险公司投保以甲方为受益人的发运合同货物发票金额的110％运输一切险。</w:t>
      </w:r>
    </w:p>
    <w:p w14:paraId="18275546">
      <w:pPr>
        <w:adjustRightInd w:val="0"/>
        <w:snapToGrid w:val="0"/>
        <w:spacing w:before="50" w:line="360" w:lineRule="auto"/>
        <w:jc w:val="left"/>
        <w:outlineLvl w:val="2"/>
        <w:rPr>
          <w:rFonts w:hint="eastAsia" w:ascii="宋体" w:hAnsi="宋体" w:eastAsia="宋体" w:cs="宋体"/>
          <w:b/>
          <w:color w:val="auto"/>
          <w:sz w:val="24"/>
        </w:rPr>
      </w:pPr>
      <w:bookmarkStart w:id="312" w:name="_Toc10439"/>
      <w:bookmarkStart w:id="313" w:name="_Toc11081"/>
      <w:bookmarkStart w:id="314" w:name="_Toc9032"/>
      <w:bookmarkStart w:id="315" w:name="_Toc18697"/>
      <w:bookmarkStart w:id="316" w:name="_Toc17988"/>
      <w:bookmarkStart w:id="317" w:name="_Toc1809"/>
      <w:bookmarkStart w:id="318" w:name="_Toc6246"/>
      <w:bookmarkStart w:id="319" w:name="_Toc22624"/>
      <w:r>
        <w:rPr>
          <w:rFonts w:hint="eastAsia" w:ascii="宋体" w:hAnsi="宋体" w:eastAsia="宋体" w:cs="宋体"/>
          <w:b/>
          <w:color w:val="auto"/>
          <w:sz w:val="24"/>
        </w:rPr>
        <w:t>9.质量标准和保证</w:t>
      </w:r>
      <w:bookmarkEnd w:id="312"/>
      <w:bookmarkEnd w:id="313"/>
      <w:bookmarkEnd w:id="314"/>
      <w:bookmarkEnd w:id="315"/>
      <w:bookmarkEnd w:id="316"/>
      <w:bookmarkEnd w:id="317"/>
      <w:bookmarkEnd w:id="318"/>
      <w:bookmarkEnd w:id="319"/>
    </w:p>
    <w:p w14:paraId="3AE86133">
      <w:pPr>
        <w:pStyle w:val="24"/>
        <w:adjustRightInd w:val="0"/>
        <w:snapToGrid w:val="0"/>
        <w:spacing w:before="50" w:line="360" w:lineRule="auto"/>
        <w:ind w:firstLine="480" w:firstLineChars="200"/>
        <w:jc w:val="left"/>
        <w:rPr>
          <w:rFonts w:hint="eastAsia" w:ascii="宋体" w:hAnsi="宋体" w:eastAsia="宋体" w:cs="宋体"/>
          <w:b/>
          <w:color w:val="auto"/>
          <w:sz w:val="24"/>
          <w:szCs w:val="24"/>
        </w:rPr>
      </w:pPr>
      <w:r>
        <w:rPr>
          <w:rFonts w:hint="eastAsia" w:ascii="宋体" w:hAnsi="宋体" w:eastAsia="宋体" w:cs="宋体"/>
          <w:color w:val="auto"/>
          <w:sz w:val="24"/>
          <w:szCs w:val="24"/>
        </w:rPr>
        <w:t>9.1 质量标准</w:t>
      </w:r>
    </w:p>
    <w:p w14:paraId="004A2B14">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（1）本合同下交付的货物应符合招标文件第四章“技术规格、参数与要求”所述的标准。如果没有提及适用标准，则应符合中华人民共和国有关机构发布的最新版本的标准。</w:t>
      </w:r>
    </w:p>
    <w:p w14:paraId="10578BFC">
      <w:pPr>
        <w:pStyle w:val="24"/>
        <w:adjustRightInd w:val="0"/>
        <w:snapToGrid w:val="0"/>
        <w:spacing w:before="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（2）采用中华人民共和国法定计量单位。</w:t>
      </w:r>
    </w:p>
    <w:p w14:paraId="327EB2EB">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（3）乙方所出售的货物还应符合国家有关安全、环保、卫生之规定。</w:t>
      </w:r>
    </w:p>
    <w:p w14:paraId="654FC345">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9.2 保证</w:t>
      </w:r>
    </w:p>
    <w:p w14:paraId="209E946E">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color w:val="auto"/>
          <w:sz w:val="24"/>
        </w:rPr>
        <w:t>【政府采购合同专用条款】</w:t>
      </w:r>
      <w:r>
        <w:rPr>
          <w:rFonts w:hint="eastAsia" w:ascii="宋体" w:hAnsi="宋体" w:eastAsia="宋体" w:cs="宋体"/>
          <w:color w:val="auto"/>
          <w:sz w:val="24"/>
        </w:rPr>
        <w:t>规定或乙方承诺（两者以较长的为准）的质量保证期内，本保证保持有效。</w:t>
      </w:r>
    </w:p>
    <w:p w14:paraId="550D4956">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（2）在质量保证期内所发现的缺陷，甲方应尽快以书面形式通知乙方。</w:t>
      </w:r>
    </w:p>
    <w:p w14:paraId="70DBF126">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（3）乙方收到通知后应在</w:t>
      </w:r>
      <w:r>
        <w:rPr>
          <w:rFonts w:hint="eastAsia" w:ascii="宋体" w:hAnsi="宋体" w:eastAsia="宋体" w:cs="宋体"/>
          <w:b/>
          <w:color w:val="auto"/>
          <w:sz w:val="24"/>
        </w:rPr>
        <w:t>【政府采购合同专用条款】</w:t>
      </w:r>
      <w:r>
        <w:rPr>
          <w:rFonts w:hint="eastAsia" w:ascii="宋体" w:hAnsi="宋体" w:eastAsia="宋体" w:cs="宋体"/>
          <w:color w:val="auto"/>
          <w:sz w:val="24"/>
        </w:rPr>
        <w:t>规定的响应时间内以合理的速度免费维修或更换有缺陷的货物或部件。</w:t>
      </w:r>
    </w:p>
    <w:p w14:paraId="3D0DFE12">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（4）在质量保证期内，如果货物的质量或规格与合同不符，或证实货物是有缺陷的，包括潜在的缺陷或使用不符合要求的材料等，甲方可以根据本合同第15.1条规定以书面形式向乙方提出补救措施或索赔。</w:t>
      </w:r>
    </w:p>
    <w:p w14:paraId="580827FC">
      <w:pPr>
        <w:adjustRightInd w:val="0"/>
        <w:snapToGrid w:val="0"/>
        <w:spacing w:before="50" w:line="360" w:lineRule="auto"/>
        <w:ind w:firstLine="480" w:firstLineChars="200"/>
        <w:jc w:val="left"/>
        <w:rPr>
          <w:rFonts w:hint="eastAsia" w:ascii="宋体" w:hAnsi="宋体" w:eastAsia="宋体" w:cs="宋体"/>
          <w:b/>
          <w:color w:val="auto"/>
          <w:sz w:val="24"/>
        </w:rPr>
      </w:pPr>
      <w:r>
        <w:rPr>
          <w:rFonts w:hint="eastAsia" w:ascii="宋体" w:hAnsi="宋体" w:eastAsia="宋体" w:cs="宋体"/>
          <w:color w:val="auto"/>
          <w:sz w:val="24"/>
        </w:rPr>
        <w:t>（5）乙方在约定的时间内未能弥补缺陷，甲方可采取必要的补救措施，但其风险和费用将由乙方承担，甲方根据合同规定对乙方行使的其他权利不受影响。</w:t>
      </w:r>
    </w:p>
    <w:p w14:paraId="5C59F4EF">
      <w:pPr>
        <w:adjustRightInd w:val="0"/>
        <w:snapToGrid w:val="0"/>
        <w:spacing w:before="50" w:line="360" w:lineRule="auto"/>
        <w:jc w:val="left"/>
        <w:outlineLvl w:val="2"/>
        <w:rPr>
          <w:rFonts w:hint="eastAsia" w:ascii="宋体" w:hAnsi="宋体" w:eastAsia="宋体" w:cs="宋体"/>
          <w:b/>
          <w:bCs/>
          <w:color w:val="auto"/>
          <w:sz w:val="24"/>
        </w:rPr>
      </w:pPr>
      <w:bookmarkStart w:id="320" w:name="_Toc15913"/>
      <w:bookmarkStart w:id="321" w:name="_Toc7110"/>
      <w:bookmarkStart w:id="322" w:name="_Toc24007"/>
      <w:bookmarkStart w:id="323" w:name="_Toc3530"/>
      <w:bookmarkStart w:id="324" w:name="_Toc10111"/>
      <w:bookmarkStart w:id="325" w:name="_Toc23324"/>
      <w:bookmarkStart w:id="326" w:name="_Toc31838"/>
      <w:bookmarkStart w:id="327" w:name="_Toc18421"/>
      <w:r>
        <w:rPr>
          <w:rFonts w:hint="eastAsia" w:ascii="宋体" w:hAnsi="宋体" w:eastAsia="宋体" w:cs="宋体"/>
          <w:b/>
          <w:bCs/>
          <w:color w:val="auto"/>
          <w:sz w:val="24"/>
        </w:rPr>
        <w:t>10.权利瑕疵担保</w:t>
      </w:r>
      <w:bookmarkEnd w:id="320"/>
      <w:bookmarkEnd w:id="321"/>
      <w:bookmarkEnd w:id="322"/>
      <w:bookmarkEnd w:id="323"/>
      <w:bookmarkEnd w:id="324"/>
      <w:bookmarkEnd w:id="325"/>
      <w:bookmarkEnd w:id="326"/>
      <w:bookmarkEnd w:id="327"/>
    </w:p>
    <w:p w14:paraId="72911768">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10.1 乙方保证对其出售的货物享有合法的权利。</w:t>
      </w:r>
    </w:p>
    <w:p w14:paraId="02CF839D">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10.2 乙方保证在其出售的货物上不存在任何未曾向甲方透露的担保物权，如抵押权、质押权、留置权等。</w:t>
      </w:r>
    </w:p>
    <w:p w14:paraId="2B1D58A2">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10.3 如甲方使用该货物构成上述侵权的，则由乙方承担全部责任。</w:t>
      </w:r>
    </w:p>
    <w:p w14:paraId="35108ED4">
      <w:pPr>
        <w:autoSpaceDE w:val="0"/>
        <w:autoSpaceDN w:val="0"/>
        <w:adjustRightInd w:val="0"/>
        <w:snapToGrid w:val="0"/>
        <w:spacing w:before="50" w:line="360" w:lineRule="auto"/>
        <w:jc w:val="left"/>
        <w:outlineLvl w:val="2"/>
        <w:rPr>
          <w:rFonts w:hint="eastAsia" w:ascii="宋体" w:hAnsi="宋体" w:eastAsia="宋体" w:cs="宋体"/>
          <w:b/>
          <w:bCs/>
          <w:color w:val="auto"/>
          <w:sz w:val="24"/>
        </w:rPr>
      </w:pPr>
      <w:bookmarkStart w:id="328" w:name="_Toc26766"/>
      <w:bookmarkStart w:id="329" w:name="_Toc10254"/>
      <w:bookmarkStart w:id="330" w:name="_Toc28676"/>
      <w:bookmarkStart w:id="331" w:name="_Toc10494"/>
      <w:bookmarkStart w:id="332" w:name="_Toc32590"/>
      <w:bookmarkStart w:id="333" w:name="_Toc14298"/>
      <w:bookmarkStart w:id="334" w:name="_Toc22954"/>
      <w:bookmarkStart w:id="335" w:name="_Toc3171"/>
      <w:r>
        <w:rPr>
          <w:rFonts w:hint="eastAsia" w:ascii="宋体" w:hAnsi="宋体" w:eastAsia="宋体" w:cs="宋体"/>
          <w:b/>
          <w:bCs/>
          <w:color w:val="auto"/>
          <w:sz w:val="24"/>
        </w:rPr>
        <w:t>11.知识产权保护</w:t>
      </w:r>
      <w:bookmarkEnd w:id="328"/>
      <w:bookmarkEnd w:id="329"/>
      <w:bookmarkEnd w:id="330"/>
      <w:bookmarkEnd w:id="331"/>
      <w:bookmarkEnd w:id="332"/>
      <w:bookmarkEnd w:id="333"/>
      <w:bookmarkEnd w:id="334"/>
      <w:bookmarkEnd w:id="335"/>
    </w:p>
    <w:p w14:paraId="0D3436CD">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11.1 乙方对其所销售的货物应当享有知识产权或经权利人合法授权，保证没有侵犯任何第三人的知识产权和商业秘密等权利。</w:t>
      </w:r>
    </w:p>
    <w:p w14:paraId="146714BE">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11.2 甲方使用乙方提供的货物对第三人构成侵权的，应当由乙方承担全部法律责任，给甲方造成损害的，乙方应当承担赔偿责任。</w:t>
      </w:r>
    </w:p>
    <w:p w14:paraId="57DD5ECC">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11.3 甲方委托乙方开发的产品，甲方享有知识产权，未经甲方许可不得转让任何第三人。</w:t>
      </w:r>
    </w:p>
    <w:p w14:paraId="2C804AE1">
      <w:pPr>
        <w:autoSpaceDE w:val="0"/>
        <w:autoSpaceDN w:val="0"/>
        <w:adjustRightInd w:val="0"/>
        <w:snapToGrid w:val="0"/>
        <w:spacing w:before="50" w:line="360" w:lineRule="auto"/>
        <w:jc w:val="left"/>
        <w:outlineLvl w:val="2"/>
        <w:rPr>
          <w:rFonts w:hint="eastAsia" w:ascii="宋体" w:hAnsi="宋体" w:eastAsia="宋体" w:cs="宋体"/>
          <w:b/>
          <w:bCs/>
          <w:color w:val="auto"/>
          <w:sz w:val="24"/>
        </w:rPr>
      </w:pPr>
      <w:bookmarkStart w:id="336" w:name="_Toc13458"/>
      <w:bookmarkStart w:id="337" w:name="_Toc759"/>
      <w:bookmarkStart w:id="338" w:name="_Toc22115"/>
      <w:bookmarkStart w:id="339" w:name="_Toc12050"/>
      <w:bookmarkStart w:id="340" w:name="_Toc14927"/>
      <w:bookmarkStart w:id="341" w:name="_Toc30396"/>
      <w:bookmarkStart w:id="342" w:name="_Toc31637"/>
      <w:bookmarkStart w:id="343" w:name="_Toc25028"/>
      <w:r>
        <w:rPr>
          <w:rFonts w:hint="eastAsia" w:ascii="宋体" w:hAnsi="宋体" w:eastAsia="宋体" w:cs="宋体"/>
          <w:b/>
          <w:bCs/>
          <w:color w:val="auto"/>
          <w:sz w:val="24"/>
        </w:rPr>
        <w:t>12.保密义务</w:t>
      </w:r>
      <w:bookmarkEnd w:id="336"/>
      <w:bookmarkEnd w:id="337"/>
      <w:bookmarkEnd w:id="338"/>
      <w:bookmarkEnd w:id="339"/>
      <w:bookmarkEnd w:id="340"/>
      <w:bookmarkEnd w:id="341"/>
      <w:bookmarkEnd w:id="342"/>
      <w:bookmarkEnd w:id="343"/>
    </w:p>
    <w:p w14:paraId="1A8E1CFA">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12.1 甲、乙双方在采购和履行合同过程中所获悉的对方属于保密的内容，双方均有保密义务。</w:t>
      </w:r>
    </w:p>
    <w:p w14:paraId="075C34D3">
      <w:pPr>
        <w:autoSpaceDE w:val="0"/>
        <w:autoSpaceDN w:val="0"/>
        <w:adjustRightInd w:val="0"/>
        <w:snapToGrid w:val="0"/>
        <w:spacing w:before="50" w:line="360" w:lineRule="auto"/>
        <w:jc w:val="left"/>
        <w:outlineLvl w:val="2"/>
        <w:rPr>
          <w:rFonts w:hint="eastAsia" w:ascii="宋体" w:hAnsi="宋体" w:eastAsia="宋体" w:cs="宋体"/>
          <w:b/>
          <w:bCs/>
          <w:color w:val="auto"/>
          <w:sz w:val="24"/>
        </w:rPr>
      </w:pPr>
      <w:bookmarkStart w:id="344" w:name="_Toc8805"/>
      <w:bookmarkStart w:id="345" w:name="_Toc15574"/>
      <w:bookmarkStart w:id="346" w:name="_Toc31175"/>
      <w:bookmarkStart w:id="347" w:name="_Toc7264"/>
      <w:bookmarkStart w:id="348" w:name="_Toc11"/>
      <w:bookmarkStart w:id="349" w:name="_Toc31203"/>
      <w:bookmarkStart w:id="350" w:name="_Toc370"/>
      <w:bookmarkStart w:id="351" w:name="_Toc29668"/>
      <w:r>
        <w:rPr>
          <w:rFonts w:hint="eastAsia" w:ascii="宋体" w:hAnsi="宋体" w:eastAsia="宋体" w:cs="宋体"/>
          <w:b/>
          <w:bCs/>
          <w:color w:val="auto"/>
          <w:sz w:val="24"/>
        </w:rPr>
        <w:t>13.合同价款支付</w:t>
      </w:r>
      <w:bookmarkEnd w:id="344"/>
      <w:bookmarkEnd w:id="345"/>
      <w:bookmarkEnd w:id="346"/>
      <w:bookmarkEnd w:id="347"/>
      <w:bookmarkEnd w:id="348"/>
      <w:bookmarkEnd w:id="349"/>
      <w:bookmarkEnd w:id="350"/>
      <w:bookmarkEnd w:id="351"/>
    </w:p>
    <w:p w14:paraId="74DE70F6">
      <w:pPr>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13.1验收合格后，乙方出具正规发票给甲方，凭甲方开具的《政府采购合同验收报告单》办理合同价</w:t>
      </w:r>
      <w:r>
        <w:rPr>
          <w:rFonts w:hint="eastAsia" w:ascii="宋体" w:hAnsi="宋体" w:eastAsia="宋体" w:cs="宋体"/>
          <w:bCs/>
          <w:color w:val="auto"/>
          <w:sz w:val="24"/>
        </w:rPr>
        <w:t>款</w:t>
      </w:r>
      <w:r>
        <w:rPr>
          <w:rFonts w:hint="eastAsia" w:ascii="宋体" w:hAnsi="宋体" w:eastAsia="宋体" w:cs="宋体"/>
          <w:color w:val="auto"/>
          <w:sz w:val="24"/>
        </w:rPr>
        <w:t>结算手续。</w:t>
      </w:r>
    </w:p>
    <w:p w14:paraId="782B6BFA">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13.2 合同价款构成中应当由财政支付的部分，甲方应当在货物验收合格后的十五个工作日内向国库管理部门申请支付，经国库管理部门审核后直接支付给乙方。</w:t>
      </w:r>
    </w:p>
    <w:p w14:paraId="5A161AF9">
      <w:pPr>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13.3 合同价款构成中应当由甲方自行支付的部分，甲方应当在货物验收合格后十五个工作内支付。</w:t>
      </w:r>
    </w:p>
    <w:p w14:paraId="28D1D15C">
      <w:pPr>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13.4支付合同价</w:t>
      </w:r>
      <w:r>
        <w:rPr>
          <w:rFonts w:hint="eastAsia" w:ascii="宋体" w:hAnsi="宋体" w:eastAsia="宋体" w:cs="宋体"/>
          <w:bCs/>
          <w:color w:val="auto"/>
          <w:sz w:val="24"/>
        </w:rPr>
        <w:t>款</w:t>
      </w:r>
      <w:r>
        <w:rPr>
          <w:rFonts w:hint="eastAsia" w:ascii="宋体" w:hAnsi="宋体" w:eastAsia="宋体" w:cs="宋体"/>
          <w:color w:val="auto"/>
          <w:sz w:val="24"/>
        </w:rPr>
        <w:t>时，一律不向乙方以外的任何第三方办理付款手续。开户行和账号以签订的政府采购合同为准，如果乙方要求变更，则乙方必须提供加盖了财务专用章、法定代表人签字的证明文件，报经甲方审查同意。</w:t>
      </w:r>
    </w:p>
    <w:p w14:paraId="1D41C075">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13.5 合同价款支付方式</w:t>
      </w:r>
      <w:r>
        <w:rPr>
          <w:rFonts w:hint="eastAsia" w:ascii="宋体" w:hAnsi="宋体" w:eastAsia="宋体" w:cs="宋体"/>
          <w:bCs/>
          <w:color w:val="auto"/>
          <w:sz w:val="24"/>
        </w:rPr>
        <w:t>和条件在</w:t>
      </w:r>
      <w:r>
        <w:rPr>
          <w:rFonts w:hint="eastAsia" w:ascii="宋体" w:hAnsi="宋体" w:eastAsia="宋体" w:cs="宋体"/>
          <w:b/>
          <w:color w:val="auto"/>
          <w:sz w:val="24"/>
        </w:rPr>
        <w:t>【政府采购合同专用条款】</w:t>
      </w:r>
      <w:r>
        <w:rPr>
          <w:rFonts w:hint="eastAsia" w:ascii="宋体" w:hAnsi="宋体" w:eastAsia="宋体" w:cs="宋体"/>
          <w:color w:val="auto"/>
          <w:sz w:val="24"/>
        </w:rPr>
        <w:t>中另有规定。</w:t>
      </w:r>
    </w:p>
    <w:p w14:paraId="76A5F18A">
      <w:pPr>
        <w:autoSpaceDE w:val="0"/>
        <w:autoSpaceDN w:val="0"/>
        <w:adjustRightInd w:val="0"/>
        <w:snapToGrid w:val="0"/>
        <w:spacing w:before="50" w:line="360" w:lineRule="auto"/>
        <w:jc w:val="left"/>
        <w:outlineLvl w:val="2"/>
        <w:rPr>
          <w:rFonts w:hint="eastAsia" w:ascii="宋体" w:hAnsi="宋体" w:eastAsia="宋体" w:cs="宋体"/>
          <w:b/>
          <w:color w:val="auto"/>
          <w:sz w:val="24"/>
        </w:rPr>
      </w:pPr>
      <w:bookmarkStart w:id="352" w:name="_Toc28116"/>
      <w:bookmarkStart w:id="353" w:name="_Toc3269"/>
      <w:bookmarkStart w:id="354" w:name="_Toc10828"/>
      <w:bookmarkStart w:id="355" w:name="_Toc6391"/>
      <w:bookmarkStart w:id="356" w:name="_Toc29052"/>
      <w:bookmarkStart w:id="357" w:name="_Toc5616"/>
      <w:bookmarkStart w:id="358" w:name="_Toc15530"/>
      <w:bookmarkStart w:id="359" w:name="_Toc15116"/>
      <w:r>
        <w:rPr>
          <w:rFonts w:hint="eastAsia" w:ascii="宋体" w:hAnsi="宋体" w:eastAsia="宋体" w:cs="宋体"/>
          <w:b/>
          <w:bCs/>
          <w:color w:val="auto"/>
          <w:sz w:val="24"/>
        </w:rPr>
        <w:t>14.</w:t>
      </w:r>
      <w:r>
        <w:rPr>
          <w:rFonts w:hint="eastAsia" w:ascii="宋体" w:hAnsi="宋体" w:eastAsia="宋体" w:cs="宋体"/>
          <w:b/>
          <w:color w:val="auto"/>
          <w:sz w:val="24"/>
        </w:rPr>
        <w:t>乙方应提供的服务</w:t>
      </w:r>
      <w:bookmarkEnd w:id="352"/>
      <w:bookmarkEnd w:id="353"/>
      <w:bookmarkEnd w:id="354"/>
      <w:bookmarkEnd w:id="355"/>
      <w:bookmarkEnd w:id="356"/>
      <w:bookmarkEnd w:id="357"/>
      <w:bookmarkEnd w:id="358"/>
      <w:bookmarkEnd w:id="359"/>
    </w:p>
    <w:p w14:paraId="2AD74C89">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14.1 乙方应向甲方提交所提供货物的技术文件，包括相应的中文技术文件，如：产品目录、图纸、操作手册、使用说明、维护手册或服务指南。这些文件应包装好随同货物一起发运。</w:t>
      </w:r>
    </w:p>
    <w:p w14:paraId="5474D335">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14.2 乙方还应提供下列服务：</w:t>
      </w:r>
    </w:p>
    <w:p w14:paraId="52C2C36D">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（1）货物的现场移动、安装、调试、启动监督及技术支持；</w:t>
      </w:r>
    </w:p>
    <w:p w14:paraId="07FD9BC6">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（2）提供货物组装和维修所需的专用工具和辅助材料；</w:t>
      </w:r>
    </w:p>
    <w:p w14:paraId="2AD702D6">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（3）在合同各方商定的一定期限内对所有的货物实施运行监督、维修，但前提条件是该服务并不能免除乙方在质量保证期内所承担的义务；</w:t>
      </w:r>
    </w:p>
    <w:p w14:paraId="4BB9D389">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（4）在制造商或项目现场就货物的安装、启动、运营、维护对甲方操作人员进行培训；</w:t>
      </w:r>
    </w:p>
    <w:p w14:paraId="2ADD858F">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w:t>
      </w:r>
      <w:r>
        <w:rPr>
          <w:rFonts w:hint="eastAsia" w:ascii="宋体" w:hAnsi="宋体" w:eastAsia="宋体" w:cs="宋体"/>
          <w:b/>
          <w:color w:val="auto"/>
          <w:sz w:val="24"/>
        </w:rPr>
        <w:t>【政府采购合同专用条款】</w:t>
      </w:r>
      <w:r>
        <w:rPr>
          <w:rFonts w:hint="eastAsia" w:ascii="宋体" w:hAnsi="宋体" w:eastAsia="宋体" w:cs="宋体"/>
          <w:color w:val="auto"/>
          <w:sz w:val="24"/>
        </w:rPr>
        <w:t>规定由乙方提供的其他服务。</w:t>
      </w:r>
    </w:p>
    <w:p w14:paraId="4B849372">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14.3 乙方提供的服务的费用应包含在合同价款中，甲方不再另行支付。</w:t>
      </w:r>
    </w:p>
    <w:p w14:paraId="7688A71B">
      <w:pPr>
        <w:adjustRightInd w:val="0"/>
        <w:snapToGrid w:val="0"/>
        <w:spacing w:before="50" w:line="360" w:lineRule="auto"/>
        <w:jc w:val="left"/>
        <w:outlineLvl w:val="2"/>
        <w:rPr>
          <w:rFonts w:hint="eastAsia" w:ascii="宋体" w:hAnsi="宋体" w:eastAsia="宋体" w:cs="宋体"/>
          <w:b/>
          <w:bCs/>
          <w:color w:val="auto"/>
          <w:sz w:val="24"/>
        </w:rPr>
      </w:pPr>
      <w:bookmarkStart w:id="360" w:name="_Toc625"/>
      <w:bookmarkStart w:id="361" w:name="_Toc16780"/>
      <w:bookmarkStart w:id="362" w:name="_Toc15253"/>
      <w:bookmarkStart w:id="363" w:name="_Toc18"/>
      <w:bookmarkStart w:id="364" w:name="_Toc21291"/>
      <w:bookmarkStart w:id="365" w:name="_Toc9585"/>
      <w:bookmarkStart w:id="366" w:name="_Toc13641"/>
      <w:bookmarkStart w:id="367" w:name="_Toc20216"/>
      <w:r>
        <w:rPr>
          <w:rFonts w:hint="eastAsia" w:ascii="宋体" w:hAnsi="宋体" w:eastAsia="宋体" w:cs="宋体"/>
          <w:b/>
          <w:bCs/>
          <w:color w:val="auto"/>
          <w:sz w:val="24"/>
        </w:rPr>
        <w:t>15.违约责任</w:t>
      </w:r>
      <w:bookmarkEnd w:id="360"/>
      <w:bookmarkEnd w:id="361"/>
      <w:bookmarkEnd w:id="362"/>
      <w:bookmarkEnd w:id="363"/>
      <w:bookmarkEnd w:id="364"/>
      <w:bookmarkEnd w:id="365"/>
      <w:bookmarkEnd w:id="366"/>
      <w:bookmarkEnd w:id="367"/>
    </w:p>
    <w:p w14:paraId="5161F676">
      <w:pPr>
        <w:adjustRightInd w:val="0"/>
        <w:snapToGrid w:val="0"/>
        <w:spacing w:before="50" w:line="360" w:lineRule="auto"/>
        <w:ind w:firstLine="480" w:firstLineChars="200"/>
        <w:jc w:val="left"/>
        <w:rPr>
          <w:rFonts w:hint="eastAsia" w:ascii="宋体" w:hAnsi="宋体" w:eastAsia="宋体" w:cs="宋体"/>
          <w:bCs/>
          <w:color w:val="auto"/>
          <w:sz w:val="24"/>
        </w:rPr>
      </w:pPr>
      <w:r>
        <w:rPr>
          <w:rFonts w:hint="eastAsia" w:ascii="宋体" w:hAnsi="宋体" w:eastAsia="宋体" w:cs="宋体"/>
          <w:bCs/>
          <w:color w:val="auto"/>
          <w:sz w:val="24"/>
        </w:rPr>
        <w:t>15.1质量瑕疵的补救措施和索赔</w:t>
      </w:r>
    </w:p>
    <w:p w14:paraId="4578AC1A">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47FB0571">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①乙方同意退货并将货款退还给甲方，由此发生的一切费用和损失由乙方承担。</w:t>
      </w:r>
    </w:p>
    <w:p w14:paraId="4311EA77">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②根据货物的质量状况以及甲方所遭受的损失，经过甲乙双方商定降低货物的价格。</w:t>
      </w:r>
    </w:p>
    <w:p w14:paraId="048518AA">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1827F11E">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05DCDBC8">
      <w:pPr>
        <w:autoSpaceDE w:val="0"/>
        <w:autoSpaceDN w:val="0"/>
        <w:adjustRightInd w:val="0"/>
        <w:snapToGrid w:val="0"/>
        <w:spacing w:before="50" w:line="360" w:lineRule="auto"/>
        <w:ind w:firstLine="480" w:firstLineChars="200"/>
        <w:jc w:val="left"/>
        <w:rPr>
          <w:rFonts w:hint="eastAsia" w:ascii="宋体" w:hAnsi="宋体" w:eastAsia="宋体" w:cs="宋体"/>
          <w:bCs/>
          <w:color w:val="auto"/>
          <w:sz w:val="24"/>
        </w:rPr>
      </w:pPr>
      <w:r>
        <w:rPr>
          <w:rFonts w:hint="eastAsia" w:ascii="宋体" w:hAnsi="宋体" w:eastAsia="宋体" w:cs="宋体"/>
          <w:bCs/>
          <w:color w:val="auto"/>
          <w:sz w:val="24"/>
        </w:rPr>
        <w:t>15.2 迟延交货的违约责任</w:t>
      </w:r>
    </w:p>
    <w:p w14:paraId="635A55EA">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542F2CF4">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（2）除本合同</w:t>
      </w:r>
      <w:r>
        <w:rPr>
          <w:rFonts w:hint="eastAsia" w:ascii="宋体" w:hAnsi="宋体" w:eastAsia="宋体" w:cs="宋体"/>
          <w:bCs/>
          <w:color w:val="auto"/>
          <w:sz w:val="24"/>
        </w:rPr>
        <w:t>第20条</w:t>
      </w:r>
      <w:r>
        <w:rPr>
          <w:rFonts w:hint="eastAsia" w:ascii="宋体" w:hAnsi="宋体" w:eastAsia="宋体" w:cs="宋体"/>
          <w:color w:val="auto"/>
          <w:sz w:val="24"/>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6ED74269">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6D7582A7">
      <w:pPr>
        <w:autoSpaceDE w:val="0"/>
        <w:autoSpaceDN w:val="0"/>
        <w:adjustRightInd w:val="0"/>
        <w:snapToGrid w:val="0"/>
        <w:spacing w:before="50" w:line="360" w:lineRule="auto"/>
        <w:jc w:val="left"/>
        <w:outlineLvl w:val="2"/>
        <w:rPr>
          <w:rFonts w:hint="eastAsia" w:ascii="宋体" w:hAnsi="宋体" w:eastAsia="宋体" w:cs="宋体"/>
          <w:b/>
          <w:color w:val="auto"/>
          <w:sz w:val="24"/>
        </w:rPr>
      </w:pPr>
      <w:bookmarkStart w:id="368" w:name="_Toc28425"/>
      <w:bookmarkStart w:id="369" w:name="_Toc481"/>
      <w:bookmarkStart w:id="370" w:name="_Toc2886"/>
      <w:bookmarkStart w:id="371" w:name="_Toc13385"/>
      <w:bookmarkStart w:id="372" w:name="_Toc28859"/>
      <w:bookmarkStart w:id="373" w:name="_Toc25165"/>
      <w:bookmarkStart w:id="374" w:name="_Toc2643"/>
      <w:bookmarkStart w:id="375" w:name="_Toc14230"/>
      <w:r>
        <w:rPr>
          <w:rFonts w:hint="eastAsia" w:ascii="宋体" w:hAnsi="宋体" w:eastAsia="宋体" w:cs="宋体"/>
          <w:b/>
          <w:color w:val="auto"/>
          <w:sz w:val="24"/>
        </w:rPr>
        <w:t>16.合同的变更</w:t>
      </w:r>
      <w:bookmarkEnd w:id="368"/>
      <w:bookmarkEnd w:id="369"/>
      <w:bookmarkEnd w:id="370"/>
      <w:bookmarkEnd w:id="371"/>
      <w:bookmarkEnd w:id="372"/>
      <w:bookmarkEnd w:id="373"/>
      <w:bookmarkEnd w:id="374"/>
      <w:bookmarkEnd w:id="375"/>
    </w:p>
    <w:p w14:paraId="182CF922">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16.1 在合同履行过程中，甲、乙双方可就合同履行的时间、地点和方式等协商进行变更。协商一致后，双方应签订书面的补充协议。</w:t>
      </w:r>
    </w:p>
    <w:p w14:paraId="14E1CFDC">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16.2 在不改变合同其他条款的前提下，甲方有权在合同价款百分之十的范围内追加与合同标的相同的货物或服务，并就此与乙方签订补充合同，乙方不得拒绝。</w:t>
      </w:r>
    </w:p>
    <w:p w14:paraId="52519360">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16.3 除双方签署书面协议，并成为合同不可分割的一部分外，本合同条件不得有任何变更。</w:t>
      </w:r>
    </w:p>
    <w:p w14:paraId="6A3EC995">
      <w:pPr>
        <w:autoSpaceDE w:val="0"/>
        <w:autoSpaceDN w:val="0"/>
        <w:adjustRightInd w:val="0"/>
        <w:snapToGrid w:val="0"/>
        <w:spacing w:before="50" w:line="360" w:lineRule="auto"/>
        <w:jc w:val="left"/>
        <w:outlineLvl w:val="2"/>
        <w:rPr>
          <w:rFonts w:hint="eastAsia" w:ascii="宋体" w:hAnsi="宋体" w:eastAsia="宋体" w:cs="宋体"/>
          <w:b/>
          <w:color w:val="auto"/>
          <w:sz w:val="24"/>
        </w:rPr>
      </w:pPr>
      <w:bookmarkStart w:id="376" w:name="_Toc27467"/>
      <w:bookmarkStart w:id="377" w:name="_Toc3368"/>
      <w:bookmarkStart w:id="378" w:name="_Toc2099"/>
      <w:bookmarkStart w:id="379" w:name="_Toc20541"/>
      <w:bookmarkStart w:id="380" w:name="_Toc5867"/>
      <w:bookmarkStart w:id="381" w:name="_Toc30727"/>
      <w:bookmarkStart w:id="382" w:name="_Toc12146"/>
      <w:bookmarkStart w:id="383" w:name="_Toc10213"/>
      <w:r>
        <w:rPr>
          <w:rFonts w:hint="eastAsia" w:ascii="宋体" w:hAnsi="宋体" w:eastAsia="宋体" w:cs="宋体"/>
          <w:b/>
          <w:color w:val="auto"/>
          <w:sz w:val="24"/>
        </w:rPr>
        <w:t>17.合同中止与终止</w:t>
      </w:r>
      <w:bookmarkEnd w:id="376"/>
      <w:bookmarkEnd w:id="377"/>
      <w:bookmarkEnd w:id="378"/>
      <w:bookmarkEnd w:id="379"/>
      <w:bookmarkEnd w:id="380"/>
      <w:bookmarkEnd w:id="381"/>
      <w:bookmarkEnd w:id="382"/>
      <w:bookmarkEnd w:id="383"/>
    </w:p>
    <w:p w14:paraId="2A915978">
      <w:pPr>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17.1合同的中止</w:t>
      </w:r>
    </w:p>
    <w:p w14:paraId="3B0DA0C6">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（1）合同在履行过程中，因采购计划调整，甲方可以要求中止履行，待计划确定后继续履行；</w:t>
      </w:r>
    </w:p>
    <w:p w14:paraId="09588291">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（2）合同履行过程中因</w:t>
      </w:r>
      <w:r>
        <w:rPr>
          <w:rFonts w:hint="eastAsia" w:ascii="宋体" w:hAnsi="宋体" w:eastAsia="宋体" w:cs="宋体"/>
          <w:color w:val="auto"/>
          <w:sz w:val="24"/>
          <w:lang w:eastAsia="zh-CN"/>
        </w:rPr>
        <w:t>供应商</w:t>
      </w:r>
      <w:r>
        <w:rPr>
          <w:rFonts w:hint="eastAsia" w:ascii="宋体" w:hAnsi="宋体" w:eastAsia="宋体" w:cs="宋体"/>
          <w:color w:val="auto"/>
          <w:sz w:val="24"/>
        </w:rPr>
        <w:t>就采购过程或结果提起投诉的，甲方认为有必要或财政部门责令中止的，应当中止合同的履行。</w:t>
      </w:r>
    </w:p>
    <w:p w14:paraId="4D46AC5A">
      <w:pPr>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17.2合同的终止</w:t>
      </w:r>
    </w:p>
    <w:p w14:paraId="46370E43">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（1）合同因有效期限届满而终止；</w:t>
      </w:r>
    </w:p>
    <w:p w14:paraId="191D15D8">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（2）乙方未能依照本合同约定条件履行合同，已构成根本性违约的，甲方有权终止本合同，并追究乙方的违约责任。</w:t>
      </w:r>
    </w:p>
    <w:p w14:paraId="0A5BAA5B">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（3）如果乙方丧失履约能力或被宣告破产，甲方可在任何时候以书面形式通知乙方终止合同而不给乙方补偿。</w:t>
      </w:r>
    </w:p>
    <w:p w14:paraId="33C13982">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（4）如果乙方在履行合同过程中有不正当竞争行为，甲方有权解除合同，并按《中华人民共和国反不正当竞争法》规定由有关部门追究其法律责任。</w:t>
      </w:r>
    </w:p>
    <w:p w14:paraId="01FFBCFF">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（5）如果合同的履行将损害国家利益或社会公共利益，甲方有权终止合同的履行，给乙方造成损失的予以相应补偿。</w:t>
      </w:r>
    </w:p>
    <w:p w14:paraId="144DAF7F">
      <w:pPr>
        <w:autoSpaceDE w:val="0"/>
        <w:autoSpaceDN w:val="0"/>
        <w:adjustRightInd w:val="0"/>
        <w:snapToGrid w:val="0"/>
        <w:spacing w:before="50" w:line="360" w:lineRule="auto"/>
        <w:jc w:val="left"/>
        <w:outlineLvl w:val="2"/>
        <w:rPr>
          <w:rFonts w:hint="eastAsia" w:ascii="宋体" w:hAnsi="宋体" w:eastAsia="宋体" w:cs="宋体"/>
          <w:b/>
          <w:bCs/>
          <w:color w:val="auto"/>
          <w:sz w:val="24"/>
        </w:rPr>
      </w:pPr>
      <w:bookmarkStart w:id="384" w:name="_Toc19003"/>
      <w:bookmarkStart w:id="385" w:name="_Toc28726"/>
      <w:bookmarkStart w:id="386" w:name="_Toc3907"/>
      <w:bookmarkStart w:id="387" w:name="_Toc13125"/>
      <w:bookmarkStart w:id="388" w:name="_Toc21857"/>
      <w:bookmarkStart w:id="389" w:name="_Toc16804"/>
      <w:bookmarkStart w:id="390" w:name="_Toc2256"/>
      <w:bookmarkStart w:id="391" w:name="_Toc30739"/>
      <w:r>
        <w:rPr>
          <w:rFonts w:hint="eastAsia" w:ascii="宋体" w:hAnsi="宋体" w:eastAsia="宋体" w:cs="宋体"/>
          <w:b/>
          <w:bCs/>
          <w:color w:val="auto"/>
          <w:sz w:val="24"/>
        </w:rPr>
        <w:t>18.合同转让和分包</w:t>
      </w:r>
      <w:bookmarkEnd w:id="384"/>
      <w:bookmarkEnd w:id="385"/>
      <w:bookmarkEnd w:id="386"/>
      <w:bookmarkEnd w:id="387"/>
      <w:bookmarkEnd w:id="388"/>
      <w:bookmarkEnd w:id="389"/>
      <w:bookmarkEnd w:id="390"/>
      <w:bookmarkEnd w:id="391"/>
    </w:p>
    <w:p w14:paraId="4EE846A8">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18.1 乙方不得以任何形式将合同转包。</w:t>
      </w:r>
    </w:p>
    <w:p w14:paraId="582308FC">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18.2 乙方未在投标文件中说明，不得将</w:t>
      </w:r>
      <w:r>
        <w:rPr>
          <w:rFonts w:hint="eastAsia" w:ascii="宋体" w:hAnsi="宋体" w:eastAsia="宋体" w:cs="宋体"/>
          <w:bCs/>
          <w:color w:val="auto"/>
          <w:sz w:val="24"/>
        </w:rPr>
        <w:t>合同</w:t>
      </w:r>
      <w:r>
        <w:rPr>
          <w:rFonts w:hint="eastAsia" w:ascii="宋体" w:hAnsi="宋体" w:eastAsia="宋体" w:cs="宋体"/>
          <w:color w:val="auto"/>
          <w:sz w:val="24"/>
        </w:rPr>
        <w:t>的非主体、非关键性工作分包给他人。</w:t>
      </w:r>
    </w:p>
    <w:p w14:paraId="34349309">
      <w:pPr>
        <w:autoSpaceDE w:val="0"/>
        <w:autoSpaceDN w:val="0"/>
        <w:adjustRightInd w:val="0"/>
        <w:snapToGrid w:val="0"/>
        <w:spacing w:before="50" w:line="360" w:lineRule="auto"/>
        <w:jc w:val="left"/>
        <w:outlineLvl w:val="2"/>
        <w:rPr>
          <w:rFonts w:hint="eastAsia" w:ascii="宋体" w:hAnsi="宋体" w:eastAsia="宋体" w:cs="宋体"/>
          <w:b/>
          <w:bCs/>
          <w:color w:val="auto"/>
          <w:sz w:val="24"/>
        </w:rPr>
      </w:pPr>
      <w:bookmarkStart w:id="392" w:name="_Toc3815"/>
      <w:bookmarkStart w:id="393" w:name="_Toc29616"/>
      <w:bookmarkStart w:id="394" w:name="_Toc1690"/>
      <w:bookmarkStart w:id="395" w:name="_Toc29759"/>
      <w:bookmarkStart w:id="396" w:name="_Toc16977"/>
      <w:bookmarkStart w:id="397" w:name="_Toc5971"/>
      <w:bookmarkStart w:id="398" w:name="_Toc14695"/>
      <w:bookmarkStart w:id="399" w:name="_Toc22484"/>
      <w:r>
        <w:rPr>
          <w:rFonts w:hint="eastAsia" w:ascii="宋体" w:hAnsi="宋体" w:eastAsia="宋体" w:cs="宋体"/>
          <w:b/>
          <w:bCs/>
          <w:color w:val="auto"/>
          <w:sz w:val="24"/>
        </w:rPr>
        <w:t>19.不可抗力</w:t>
      </w:r>
      <w:bookmarkEnd w:id="392"/>
      <w:bookmarkEnd w:id="393"/>
      <w:bookmarkEnd w:id="394"/>
      <w:bookmarkEnd w:id="395"/>
      <w:bookmarkEnd w:id="396"/>
      <w:bookmarkEnd w:id="397"/>
      <w:bookmarkEnd w:id="398"/>
      <w:bookmarkEnd w:id="399"/>
    </w:p>
    <w:p w14:paraId="01937E9F">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19.1 不可抗力是指合同双方不可预见、不可避免、不可克服的自然灾害和社会事件。</w:t>
      </w:r>
    </w:p>
    <w:p w14:paraId="04E5A63A">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19.2 任何一方对由于不可抗力造成的部分或全部不能履行合同不承担违约责任。但迟延履行后发生不可抗力的，不能免除责任。</w:t>
      </w:r>
    </w:p>
    <w:p w14:paraId="5AF82ADF">
      <w:pPr>
        <w:autoSpaceDE w:val="0"/>
        <w:autoSpaceDN w:val="0"/>
        <w:adjustRightInd w:val="0"/>
        <w:snapToGrid w:val="0"/>
        <w:spacing w:before="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19.3 遇有不可抗力的一方，应在三日内将事件的情况以书面形式通知另一方，并在事件发生后十日内，向另一方提交合同不能履行或部分不能履行或需要延期履行理由的报告。</w:t>
      </w:r>
    </w:p>
    <w:p w14:paraId="40EEE0BD">
      <w:pPr>
        <w:autoSpaceDE w:val="0"/>
        <w:autoSpaceDN w:val="0"/>
        <w:adjustRightInd w:val="0"/>
        <w:snapToGrid w:val="0"/>
        <w:spacing w:before="50" w:line="312" w:lineRule="auto"/>
        <w:jc w:val="left"/>
        <w:outlineLvl w:val="2"/>
        <w:rPr>
          <w:rFonts w:hint="eastAsia" w:ascii="宋体" w:hAnsi="宋体" w:eastAsia="宋体" w:cs="宋体"/>
          <w:b/>
          <w:bCs/>
          <w:color w:val="auto"/>
          <w:sz w:val="24"/>
        </w:rPr>
      </w:pPr>
      <w:bookmarkStart w:id="400" w:name="_Toc10739"/>
      <w:bookmarkStart w:id="401" w:name="_Toc24581"/>
      <w:bookmarkStart w:id="402" w:name="_Toc4750"/>
      <w:bookmarkStart w:id="403" w:name="_Toc26578"/>
      <w:bookmarkStart w:id="404" w:name="_Toc6320"/>
      <w:bookmarkStart w:id="405" w:name="_Toc19013"/>
      <w:bookmarkStart w:id="406" w:name="_Toc5466"/>
      <w:bookmarkStart w:id="407" w:name="_Toc20362"/>
      <w:r>
        <w:rPr>
          <w:rFonts w:hint="eastAsia" w:ascii="宋体" w:hAnsi="宋体" w:eastAsia="宋体" w:cs="宋体"/>
          <w:b/>
          <w:bCs/>
          <w:color w:val="auto"/>
          <w:sz w:val="24"/>
        </w:rPr>
        <w:t>20.解决争议的方法</w:t>
      </w:r>
      <w:bookmarkEnd w:id="400"/>
      <w:bookmarkEnd w:id="401"/>
      <w:bookmarkEnd w:id="402"/>
      <w:bookmarkEnd w:id="403"/>
      <w:bookmarkEnd w:id="404"/>
      <w:bookmarkEnd w:id="405"/>
      <w:bookmarkEnd w:id="406"/>
      <w:bookmarkEnd w:id="407"/>
    </w:p>
    <w:p w14:paraId="235A48D5">
      <w:pPr>
        <w:autoSpaceDE w:val="0"/>
        <w:autoSpaceDN w:val="0"/>
        <w:adjustRightInd w:val="0"/>
        <w:snapToGrid w:val="0"/>
        <w:spacing w:before="50" w:line="312"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20.1 合同各方应通过友好协商，解决在执行合同过程中所发生的或与合同有关的一切争端。如从协商开始后十日内仍不能解决，可以向财政部门提请调解。</w:t>
      </w:r>
    </w:p>
    <w:p w14:paraId="02627AE5">
      <w:pPr>
        <w:autoSpaceDE w:val="0"/>
        <w:autoSpaceDN w:val="0"/>
        <w:adjustRightInd w:val="0"/>
        <w:snapToGrid w:val="0"/>
        <w:spacing w:before="50" w:line="312"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20.2 调解不成可以按</w:t>
      </w:r>
      <w:r>
        <w:rPr>
          <w:rFonts w:hint="eastAsia" w:ascii="宋体" w:hAnsi="宋体" w:eastAsia="宋体" w:cs="宋体"/>
          <w:b/>
          <w:color w:val="auto"/>
          <w:sz w:val="24"/>
        </w:rPr>
        <w:t>【政府采购合同专用条款】</w:t>
      </w:r>
      <w:r>
        <w:rPr>
          <w:rFonts w:hint="eastAsia" w:ascii="宋体" w:hAnsi="宋体" w:eastAsia="宋体" w:cs="宋体"/>
          <w:color w:val="auto"/>
          <w:sz w:val="24"/>
        </w:rPr>
        <w:t>中约定中规定下列方式之一提起仲裁或诉讼：</w:t>
      </w:r>
    </w:p>
    <w:p w14:paraId="47CC7E70">
      <w:pPr>
        <w:autoSpaceDE w:val="0"/>
        <w:autoSpaceDN w:val="0"/>
        <w:adjustRightInd w:val="0"/>
        <w:snapToGrid w:val="0"/>
        <w:spacing w:before="50" w:line="312"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（1）向甲方所在地仲裁机构提起仲裁；</w:t>
      </w:r>
    </w:p>
    <w:p w14:paraId="51F586D6">
      <w:pPr>
        <w:autoSpaceDE w:val="0"/>
        <w:autoSpaceDN w:val="0"/>
        <w:adjustRightInd w:val="0"/>
        <w:snapToGrid w:val="0"/>
        <w:spacing w:before="50" w:line="312"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（2）向甲方所在地人民法院提起诉讼。</w:t>
      </w:r>
    </w:p>
    <w:p w14:paraId="7182C32E">
      <w:pPr>
        <w:autoSpaceDE w:val="0"/>
        <w:autoSpaceDN w:val="0"/>
        <w:adjustRightInd w:val="0"/>
        <w:snapToGrid w:val="0"/>
        <w:spacing w:before="50" w:line="312"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20.3 如仲裁或诉讼事项不影响合同其它部分的履行，则在仲裁或诉讼期间，除正在进行仲裁或诉讼的部分外，合同的其它部分应继续执行。</w:t>
      </w:r>
    </w:p>
    <w:p w14:paraId="285F8003">
      <w:pPr>
        <w:autoSpaceDE w:val="0"/>
        <w:autoSpaceDN w:val="0"/>
        <w:adjustRightInd w:val="0"/>
        <w:snapToGrid w:val="0"/>
        <w:spacing w:before="50" w:line="312" w:lineRule="auto"/>
        <w:jc w:val="left"/>
        <w:outlineLvl w:val="2"/>
        <w:rPr>
          <w:rFonts w:hint="eastAsia" w:ascii="宋体" w:hAnsi="宋体" w:eastAsia="宋体" w:cs="宋体"/>
          <w:b/>
          <w:color w:val="auto"/>
          <w:sz w:val="24"/>
        </w:rPr>
      </w:pPr>
      <w:bookmarkStart w:id="408" w:name="_Toc23975"/>
      <w:bookmarkStart w:id="409" w:name="_Toc7748"/>
      <w:bookmarkStart w:id="410" w:name="_Toc12631"/>
      <w:bookmarkStart w:id="411" w:name="_Toc29441"/>
      <w:bookmarkStart w:id="412" w:name="_Toc18591"/>
      <w:bookmarkStart w:id="413" w:name="_Toc24587"/>
      <w:bookmarkStart w:id="414" w:name="_Toc21192"/>
      <w:bookmarkStart w:id="415" w:name="_Toc15905"/>
      <w:r>
        <w:rPr>
          <w:rFonts w:hint="eastAsia" w:ascii="宋体" w:hAnsi="宋体" w:eastAsia="宋体" w:cs="宋体"/>
          <w:b/>
          <w:color w:val="auto"/>
          <w:sz w:val="24"/>
        </w:rPr>
        <w:t>21.法律适用</w:t>
      </w:r>
      <w:bookmarkEnd w:id="408"/>
      <w:bookmarkEnd w:id="409"/>
      <w:bookmarkEnd w:id="410"/>
      <w:bookmarkEnd w:id="411"/>
      <w:bookmarkEnd w:id="412"/>
      <w:bookmarkEnd w:id="413"/>
      <w:bookmarkEnd w:id="414"/>
      <w:bookmarkEnd w:id="415"/>
    </w:p>
    <w:p w14:paraId="60ADB937">
      <w:pPr>
        <w:autoSpaceDE w:val="0"/>
        <w:autoSpaceDN w:val="0"/>
        <w:adjustRightInd w:val="0"/>
        <w:snapToGrid w:val="0"/>
        <w:spacing w:before="50" w:line="312"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21.1 本合同适用中华人民共和国现行法律、行政法规和规章，如合同条款与法律、行政法规和规章不一致的，按照法律、行政法规和规章修改本合同。</w:t>
      </w:r>
    </w:p>
    <w:p w14:paraId="61B8FB4B">
      <w:pPr>
        <w:autoSpaceDE w:val="0"/>
        <w:autoSpaceDN w:val="0"/>
        <w:adjustRightInd w:val="0"/>
        <w:snapToGrid w:val="0"/>
        <w:spacing w:before="50" w:line="312" w:lineRule="auto"/>
        <w:jc w:val="left"/>
        <w:outlineLvl w:val="2"/>
        <w:rPr>
          <w:rFonts w:hint="eastAsia" w:ascii="宋体" w:hAnsi="宋体" w:eastAsia="宋体" w:cs="宋体"/>
          <w:b/>
          <w:color w:val="auto"/>
          <w:sz w:val="24"/>
        </w:rPr>
      </w:pPr>
      <w:bookmarkStart w:id="416" w:name="_Toc24373"/>
      <w:bookmarkStart w:id="417" w:name="_Toc19747"/>
      <w:bookmarkStart w:id="418" w:name="_Toc9307"/>
      <w:bookmarkStart w:id="419" w:name="_Toc32614"/>
      <w:bookmarkStart w:id="420" w:name="_Toc24817"/>
      <w:bookmarkStart w:id="421" w:name="_Toc18873"/>
      <w:bookmarkStart w:id="422" w:name="_Toc32065"/>
      <w:bookmarkStart w:id="423" w:name="_Toc2182"/>
      <w:r>
        <w:rPr>
          <w:rFonts w:hint="eastAsia" w:ascii="宋体" w:hAnsi="宋体" w:eastAsia="宋体" w:cs="宋体"/>
          <w:b/>
          <w:bCs/>
          <w:color w:val="auto"/>
          <w:sz w:val="24"/>
        </w:rPr>
        <w:t>22.</w:t>
      </w:r>
      <w:r>
        <w:rPr>
          <w:rFonts w:hint="eastAsia" w:ascii="宋体" w:hAnsi="宋体" w:eastAsia="宋体" w:cs="宋体"/>
          <w:b/>
          <w:color w:val="auto"/>
          <w:sz w:val="24"/>
        </w:rPr>
        <w:t>通知</w:t>
      </w:r>
      <w:bookmarkEnd w:id="416"/>
      <w:bookmarkEnd w:id="417"/>
      <w:bookmarkEnd w:id="418"/>
      <w:bookmarkEnd w:id="419"/>
      <w:bookmarkEnd w:id="420"/>
      <w:bookmarkEnd w:id="421"/>
      <w:bookmarkEnd w:id="422"/>
      <w:bookmarkEnd w:id="423"/>
    </w:p>
    <w:p w14:paraId="522DA3E3">
      <w:pPr>
        <w:adjustRightInd w:val="0"/>
        <w:snapToGrid w:val="0"/>
        <w:spacing w:before="50" w:line="312"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22.1本合同一方给另一方的通知均应采用书面形式，传真或快递送到本合同中规定的对方的地址和办理签收手续，</w:t>
      </w:r>
    </w:p>
    <w:p w14:paraId="24334A82">
      <w:pPr>
        <w:adjustRightInd w:val="0"/>
        <w:snapToGrid w:val="0"/>
        <w:spacing w:before="50" w:line="312"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22.2通知以送到之日或通知书中规定的生效之日起生效，两者中以较迟之日为准。</w:t>
      </w:r>
    </w:p>
    <w:p w14:paraId="4F0C2325">
      <w:pPr>
        <w:adjustRightInd w:val="0"/>
        <w:snapToGrid w:val="0"/>
        <w:spacing w:before="50" w:line="312" w:lineRule="auto"/>
        <w:jc w:val="left"/>
        <w:outlineLvl w:val="2"/>
        <w:rPr>
          <w:rFonts w:hint="eastAsia" w:ascii="宋体" w:hAnsi="宋体" w:eastAsia="宋体" w:cs="宋体"/>
          <w:b/>
          <w:bCs/>
          <w:color w:val="auto"/>
          <w:sz w:val="24"/>
        </w:rPr>
      </w:pPr>
      <w:bookmarkStart w:id="424" w:name="_Toc7863"/>
      <w:bookmarkStart w:id="425" w:name="_Toc30864"/>
      <w:bookmarkStart w:id="426" w:name="_Toc6142"/>
      <w:bookmarkStart w:id="427" w:name="_Toc12434"/>
      <w:bookmarkStart w:id="428" w:name="_Toc14627"/>
      <w:bookmarkStart w:id="429" w:name="_Toc8043"/>
      <w:bookmarkStart w:id="430" w:name="_Toc20785"/>
      <w:bookmarkStart w:id="431" w:name="_Toc8554"/>
      <w:r>
        <w:rPr>
          <w:rFonts w:hint="eastAsia" w:ascii="宋体" w:hAnsi="宋体" w:eastAsia="宋体" w:cs="宋体"/>
          <w:b/>
          <w:bCs/>
          <w:color w:val="auto"/>
          <w:sz w:val="24"/>
        </w:rPr>
        <w:t>23. 合同未尽事项</w:t>
      </w:r>
      <w:bookmarkEnd w:id="424"/>
      <w:bookmarkEnd w:id="425"/>
      <w:bookmarkEnd w:id="426"/>
      <w:bookmarkEnd w:id="427"/>
      <w:bookmarkEnd w:id="428"/>
      <w:bookmarkEnd w:id="429"/>
      <w:bookmarkEnd w:id="430"/>
      <w:bookmarkEnd w:id="431"/>
    </w:p>
    <w:p w14:paraId="0D13C5AB">
      <w:pPr>
        <w:adjustRightInd w:val="0"/>
        <w:snapToGrid w:val="0"/>
        <w:spacing w:before="50" w:line="312" w:lineRule="auto"/>
        <w:ind w:firstLine="480" w:firstLineChars="200"/>
        <w:jc w:val="left"/>
        <w:rPr>
          <w:rFonts w:hint="eastAsia" w:ascii="宋体" w:hAnsi="宋体" w:eastAsia="宋体" w:cs="宋体"/>
          <w:bCs/>
          <w:color w:val="auto"/>
          <w:sz w:val="24"/>
        </w:rPr>
      </w:pPr>
      <w:r>
        <w:rPr>
          <w:rFonts w:hint="eastAsia" w:ascii="宋体" w:hAnsi="宋体" w:eastAsia="宋体" w:cs="宋体"/>
          <w:bCs/>
          <w:color w:val="auto"/>
          <w:sz w:val="24"/>
        </w:rPr>
        <w:t>23.1合同未尽事项见</w:t>
      </w:r>
      <w:r>
        <w:rPr>
          <w:rFonts w:hint="eastAsia" w:ascii="宋体" w:hAnsi="宋体" w:eastAsia="宋体" w:cs="宋体"/>
          <w:b/>
          <w:color w:val="auto"/>
          <w:sz w:val="24"/>
        </w:rPr>
        <w:t>【政府采购合同专用条款】。</w:t>
      </w:r>
    </w:p>
    <w:p w14:paraId="60E9CEAB">
      <w:pPr>
        <w:adjustRightInd w:val="0"/>
        <w:snapToGrid w:val="0"/>
        <w:spacing w:before="50" w:line="312" w:lineRule="auto"/>
        <w:jc w:val="left"/>
        <w:outlineLvl w:val="2"/>
        <w:rPr>
          <w:rFonts w:hint="eastAsia" w:ascii="宋体" w:hAnsi="宋体" w:eastAsia="宋体" w:cs="宋体"/>
          <w:b/>
          <w:bCs/>
          <w:color w:val="auto"/>
          <w:sz w:val="24"/>
        </w:rPr>
      </w:pPr>
      <w:bookmarkStart w:id="432" w:name="_Toc25281"/>
      <w:bookmarkStart w:id="433" w:name="_Toc13059"/>
      <w:bookmarkStart w:id="434" w:name="_Toc4161"/>
      <w:bookmarkStart w:id="435" w:name="_Toc26769"/>
      <w:bookmarkStart w:id="436" w:name="_Toc22306"/>
      <w:bookmarkStart w:id="437" w:name="_Toc577"/>
      <w:bookmarkStart w:id="438" w:name="_Toc14409"/>
      <w:bookmarkStart w:id="439" w:name="_Toc1838"/>
      <w:r>
        <w:rPr>
          <w:rFonts w:hint="eastAsia" w:ascii="宋体" w:hAnsi="宋体" w:eastAsia="宋体" w:cs="宋体"/>
          <w:b/>
          <w:bCs/>
          <w:color w:val="auto"/>
          <w:sz w:val="24"/>
        </w:rPr>
        <w:t>24.合同生效</w:t>
      </w:r>
      <w:bookmarkEnd w:id="432"/>
      <w:bookmarkEnd w:id="433"/>
      <w:bookmarkEnd w:id="434"/>
      <w:bookmarkEnd w:id="435"/>
      <w:bookmarkEnd w:id="436"/>
      <w:bookmarkEnd w:id="437"/>
      <w:bookmarkEnd w:id="438"/>
      <w:bookmarkEnd w:id="439"/>
    </w:p>
    <w:p w14:paraId="283E0CF0">
      <w:pPr>
        <w:autoSpaceDE w:val="0"/>
        <w:autoSpaceDN w:val="0"/>
        <w:adjustRightInd w:val="0"/>
        <w:snapToGrid w:val="0"/>
        <w:spacing w:before="50" w:line="312" w:lineRule="auto"/>
        <w:ind w:firstLine="480" w:firstLineChars="200"/>
        <w:jc w:val="left"/>
        <w:rPr>
          <w:rFonts w:hint="eastAsia" w:ascii="宋体" w:hAnsi="宋体" w:eastAsia="宋体" w:cs="宋体"/>
          <w:b/>
          <w:bCs/>
          <w:color w:val="auto"/>
          <w:sz w:val="32"/>
        </w:rPr>
      </w:pPr>
      <w:r>
        <w:rPr>
          <w:rFonts w:hint="eastAsia" w:ascii="宋体" w:hAnsi="宋体" w:eastAsia="宋体" w:cs="宋体"/>
          <w:color w:val="auto"/>
          <w:sz w:val="24"/>
        </w:rPr>
        <w:t>24.1 本合同在合同双方签字盖章后生效。</w:t>
      </w:r>
      <w:r>
        <w:rPr>
          <w:rFonts w:hint="eastAsia" w:ascii="宋体" w:hAnsi="宋体" w:eastAsia="宋体" w:cs="宋体"/>
          <w:b/>
          <w:bCs/>
          <w:color w:val="auto"/>
          <w:sz w:val="32"/>
        </w:rPr>
        <w:br w:type="page"/>
      </w:r>
    </w:p>
    <w:p w14:paraId="025F7EFE">
      <w:pPr>
        <w:pStyle w:val="4"/>
        <w:bidi w:val="0"/>
        <w:rPr>
          <w:rFonts w:hint="eastAsia" w:ascii="宋体" w:hAnsi="宋体" w:eastAsia="宋体" w:cs="宋体"/>
        </w:rPr>
      </w:pPr>
      <w:bookmarkStart w:id="440" w:name="_Toc25862"/>
      <w:bookmarkStart w:id="441" w:name="_Toc6776"/>
      <w:bookmarkStart w:id="442" w:name="_Toc20551"/>
      <w:bookmarkStart w:id="443" w:name="_Toc21369"/>
      <w:r>
        <w:rPr>
          <w:rFonts w:hint="eastAsia" w:ascii="宋体" w:hAnsi="宋体" w:eastAsia="宋体" w:cs="宋体"/>
        </w:rPr>
        <w:t>第三节 政府采购合同专用条款</w:t>
      </w:r>
      <w:bookmarkEnd w:id="440"/>
      <w:bookmarkEnd w:id="441"/>
      <w:bookmarkEnd w:id="442"/>
      <w:bookmarkEnd w:id="443"/>
    </w:p>
    <w:tbl>
      <w:tblPr>
        <w:tblStyle w:val="44"/>
        <w:tblW w:w="9854"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58"/>
        <w:gridCol w:w="2750"/>
        <w:gridCol w:w="4746"/>
      </w:tblGrid>
      <w:tr w14:paraId="489F99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5" w:hRule="atLeast"/>
        </w:trPr>
        <w:tc>
          <w:tcPr>
            <w:tcW w:w="2358" w:type="dxa"/>
            <w:vAlign w:val="center"/>
          </w:tcPr>
          <w:p w14:paraId="0451102C">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第六章第二节</w:t>
            </w:r>
          </w:p>
          <w:p w14:paraId="33DD71F2">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第1.1款</w:t>
            </w:r>
          </w:p>
        </w:tc>
        <w:tc>
          <w:tcPr>
            <w:tcW w:w="2750" w:type="dxa"/>
            <w:vAlign w:val="center"/>
          </w:tcPr>
          <w:p w14:paraId="3FD9B770">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 xml:space="preserve">甲方名称、地址 </w:t>
            </w:r>
          </w:p>
        </w:tc>
        <w:tc>
          <w:tcPr>
            <w:tcW w:w="4746" w:type="dxa"/>
            <w:vAlign w:val="center"/>
          </w:tcPr>
          <w:p w14:paraId="63560122">
            <w:pPr>
              <w:adjustRightInd w:val="0"/>
              <w:snapToGrid w:val="0"/>
              <w:spacing w:line="360" w:lineRule="auto"/>
              <w:rPr>
                <w:rFonts w:hint="default" w:ascii="宋体" w:hAnsi="宋体" w:eastAsia="宋体" w:cs="宋体"/>
                <w:color w:val="auto"/>
                <w:sz w:val="24"/>
                <w:szCs w:val="24"/>
                <w:lang w:val="en-US"/>
              </w:rPr>
            </w:pPr>
            <w:r>
              <w:rPr>
                <w:rFonts w:hint="eastAsia" w:ascii="宋体" w:hAnsi="宋体" w:eastAsia="宋体" w:cs="宋体"/>
                <w:color w:val="auto"/>
                <w:sz w:val="24"/>
              </w:rPr>
              <w:t>名 称：</w:t>
            </w:r>
            <w:r>
              <w:rPr>
                <w:rFonts w:hint="eastAsia" w:ascii="宋体" w:hAnsi="宋体" w:cs="宋体"/>
                <w:color w:val="auto"/>
                <w:sz w:val="24"/>
                <w:lang w:val="en-US" w:eastAsia="zh-CN"/>
              </w:rPr>
              <w:t>吉首市第一中学</w:t>
            </w:r>
          </w:p>
          <w:p w14:paraId="0BF27DF9">
            <w:pPr>
              <w:adjustRightInd w:val="0"/>
              <w:snapToGrid w:val="0"/>
              <w:spacing w:line="360" w:lineRule="auto"/>
              <w:rPr>
                <w:rFonts w:hint="default" w:ascii="宋体" w:hAnsi="宋体" w:eastAsia="宋体" w:cs="宋体"/>
                <w:color w:val="auto"/>
                <w:sz w:val="24"/>
                <w:lang w:val="en-US" w:eastAsia="zh-CN"/>
              </w:rPr>
            </w:pPr>
            <w:r>
              <w:rPr>
                <w:rFonts w:hint="eastAsia" w:ascii="宋体" w:hAnsi="宋体" w:eastAsia="宋体" w:cs="宋体"/>
                <w:color w:val="auto"/>
                <w:sz w:val="24"/>
              </w:rPr>
              <w:t>地 址：</w:t>
            </w:r>
            <w:r>
              <w:rPr>
                <w:rFonts w:hint="eastAsia" w:ascii="宋体" w:hAnsi="宋体" w:cs="宋体"/>
                <w:color w:val="auto"/>
                <w:sz w:val="24"/>
                <w:lang w:val="en-US" w:eastAsia="zh-CN"/>
              </w:rPr>
              <w:t>吉首市双塘街道新田村</w:t>
            </w:r>
          </w:p>
        </w:tc>
      </w:tr>
      <w:tr w14:paraId="5D1100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358" w:type="dxa"/>
            <w:vAlign w:val="center"/>
          </w:tcPr>
          <w:p w14:paraId="5B6C9FBD">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第六章第二节</w:t>
            </w:r>
          </w:p>
          <w:p w14:paraId="016A0CC5">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第1.2（6）项</w:t>
            </w:r>
          </w:p>
        </w:tc>
        <w:tc>
          <w:tcPr>
            <w:tcW w:w="2750" w:type="dxa"/>
            <w:vAlign w:val="center"/>
          </w:tcPr>
          <w:p w14:paraId="65CC5035">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项目现场</w:t>
            </w:r>
          </w:p>
        </w:tc>
        <w:tc>
          <w:tcPr>
            <w:tcW w:w="4746" w:type="dxa"/>
            <w:vAlign w:val="center"/>
          </w:tcPr>
          <w:p w14:paraId="599331E8">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采购人指定地点</w:t>
            </w:r>
          </w:p>
        </w:tc>
      </w:tr>
      <w:tr w14:paraId="75A482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358" w:type="dxa"/>
            <w:vAlign w:val="center"/>
          </w:tcPr>
          <w:p w14:paraId="6B691704">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第六章第二节</w:t>
            </w:r>
          </w:p>
          <w:p w14:paraId="4ED7585F">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第5.1款</w:t>
            </w:r>
          </w:p>
        </w:tc>
        <w:tc>
          <w:tcPr>
            <w:tcW w:w="2750" w:type="dxa"/>
            <w:vAlign w:val="center"/>
          </w:tcPr>
          <w:p w14:paraId="2B6A0968">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履行合同的时间、地点</w:t>
            </w:r>
          </w:p>
        </w:tc>
        <w:tc>
          <w:tcPr>
            <w:tcW w:w="4746" w:type="dxa"/>
            <w:vAlign w:val="center"/>
          </w:tcPr>
          <w:p w14:paraId="7CDE3FFF">
            <w:pPr>
              <w:adjustRightInd w:val="0"/>
              <w:snapToGrid w:val="0"/>
              <w:spacing w:line="360" w:lineRule="auto"/>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服务期限</w:t>
            </w: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 xml:space="preserve"> 见采购需求</w:t>
            </w:r>
          </w:p>
          <w:p w14:paraId="1A3F348E">
            <w:pPr>
              <w:adjustRightInd w:val="0"/>
              <w:snapToGrid w:val="0"/>
              <w:spacing w:line="360" w:lineRule="auto"/>
              <w:jc w:val="left"/>
              <w:rPr>
                <w:rFonts w:hint="eastAsia" w:ascii="宋体" w:hAnsi="宋体" w:eastAsia="宋体" w:cs="宋体"/>
                <w:color w:val="auto"/>
                <w:sz w:val="24"/>
                <w:lang w:val="en-US" w:eastAsia="zh-CN"/>
              </w:rPr>
            </w:pPr>
            <w:r>
              <w:rPr>
                <w:rFonts w:hint="eastAsia" w:ascii="宋体" w:hAnsi="宋体" w:eastAsia="宋体" w:cs="宋体"/>
                <w:color w:val="auto"/>
                <w:sz w:val="24"/>
                <w:highlight w:val="none"/>
              </w:rPr>
              <w:t>地点：</w:t>
            </w:r>
            <w:r>
              <w:rPr>
                <w:rFonts w:hint="eastAsia" w:ascii="宋体" w:hAnsi="宋体" w:cs="宋体"/>
                <w:color w:val="auto"/>
                <w:sz w:val="24"/>
                <w:highlight w:val="none"/>
                <w:lang w:val="en-US" w:eastAsia="zh-CN"/>
              </w:rPr>
              <w:t>见采购需求</w:t>
            </w:r>
          </w:p>
        </w:tc>
      </w:tr>
      <w:tr w14:paraId="5AB1CD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358" w:type="dxa"/>
            <w:vAlign w:val="center"/>
          </w:tcPr>
          <w:p w14:paraId="133EA390">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第六章第二节</w:t>
            </w:r>
          </w:p>
          <w:p w14:paraId="0C56B507">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第9.2（3）项</w:t>
            </w:r>
          </w:p>
        </w:tc>
        <w:tc>
          <w:tcPr>
            <w:tcW w:w="2750" w:type="dxa"/>
            <w:vAlign w:val="center"/>
          </w:tcPr>
          <w:p w14:paraId="2CB7059D">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响应时间</w:t>
            </w:r>
          </w:p>
        </w:tc>
        <w:tc>
          <w:tcPr>
            <w:tcW w:w="4746" w:type="dxa"/>
            <w:vAlign w:val="center"/>
          </w:tcPr>
          <w:p w14:paraId="3585C933">
            <w:pPr>
              <w:adjustRightInd w:val="0"/>
              <w:snapToGrid w:val="0"/>
              <w:spacing w:line="360" w:lineRule="auto"/>
              <w:jc w:val="left"/>
              <w:rPr>
                <w:rFonts w:hint="eastAsia" w:ascii="宋体" w:hAnsi="宋体" w:eastAsia="宋体" w:cs="宋体"/>
                <w:color w:val="auto"/>
                <w:sz w:val="24"/>
              </w:rPr>
            </w:pPr>
            <w:r>
              <w:rPr>
                <w:rFonts w:hint="eastAsia" w:ascii="宋体" w:hAnsi="宋体" w:cs="宋体"/>
                <w:color w:val="auto"/>
                <w:sz w:val="24"/>
                <w:highlight w:val="none"/>
                <w:lang w:val="en-US" w:eastAsia="zh-CN"/>
              </w:rPr>
              <w:t>见采购需求</w:t>
            </w:r>
          </w:p>
        </w:tc>
      </w:tr>
      <w:tr w14:paraId="1AF71C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358" w:type="dxa"/>
            <w:vAlign w:val="center"/>
          </w:tcPr>
          <w:p w14:paraId="1B965FD1">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第六章第二节</w:t>
            </w:r>
          </w:p>
          <w:p w14:paraId="30711ED9">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第13.5款</w:t>
            </w:r>
          </w:p>
        </w:tc>
        <w:tc>
          <w:tcPr>
            <w:tcW w:w="2750" w:type="dxa"/>
            <w:vAlign w:val="center"/>
          </w:tcPr>
          <w:p w14:paraId="3E7B0594">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合同价款支付方式</w:t>
            </w:r>
            <w:r>
              <w:rPr>
                <w:rFonts w:hint="eastAsia" w:ascii="宋体" w:hAnsi="宋体" w:eastAsia="宋体" w:cs="宋体"/>
                <w:bCs/>
                <w:color w:val="auto"/>
                <w:sz w:val="24"/>
              </w:rPr>
              <w:t>和条件</w:t>
            </w:r>
          </w:p>
        </w:tc>
        <w:tc>
          <w:tcPr>
            <w:tcW w:w="4746" w:type="dxa"/>
            <w:vAlign w:val="center"/>
          </w:tcPr>
          <w:p w14:paraId="69A4ADA8">
            <w:pPr>
              <w:adjustRightInd w:val="0"/>
              <w:snapToGrid w:val="0"/>
              <w:spacing w:line="360" w:lineRule="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1.付款人：</w:t>
            </w:r>
            <w:r>
              <w:rPr>
                <w:rFonts w:hint="eastAsia" w:ascii="宋体" w:hAnsi="宋体" w:cs="宋体"/>
                <w:color w:val="auto"/>
                <w:sz w:val="24"/>
                <w:highlight w:val="none"/>
                <w:lang w:val="en-US" w:eastAsia="zh-CN"/>
              </w:rPr>
              <w:t>见采购需求</w:t>
            </w:r>
            <w:r>
              <w:rPr>
                <w:rFonts w:hint="eastAsia" w:ascii="宋体" w:hAnsi="宋体" w:cs="宋体"/>
                <w:bCs/>
                <w:color w:val="auto"/>
                <w:sz w:val="24"/>
                <w:szCs w:val="24"/>
                <w:highlight w:val="none"/>
                <w:lang w:val="en-US" w:eastAsia="zh-CN"/>
              </w:rPr>
              <w:t xml:space="preserve">              </w:t>
            </w:r>
          </w:p>
          <w:p w14:paraId="5A7C2160">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bCs/>
                <w:color w:val="auto"/>
                <w:sz w:val="24"/>
                <w:szCs w:val="24"/>
                <w:highlight w:val="none"/>
              </w:rPr>
              <w:t>2.付款方式</w:t>
            </w:r>
            <w:r>
              <w:rPr>
                <w:rFonts w:hint="eastAsia" w:ascii="宋体" w:hAnsi="宋体" w:eastAsia="宋体" w:cs="宋体"/>
                <w:bCs/>
                <w:color w:val="auto"/>
                <w:sz w:val="24"/>
                <w:szCs w:val="24"/>
                <w:highlight w:val="none"/>
                <w:lang w:eastAsia="zh-CN"/>
              </w:rPr>
              <w:t>：</w:t>
            </w:r>
            <w:r>
              <w:rPr>
                <w:rFonts w:hint="eastAsia" w:ascii="宋体" w:hAnsi="宋体" w:cs="宋体"/>
                <w:color w:val="auto"/>
                <w:sz w:val="24"/>
                <w:highlight w:val="none"/>
                <w:lang w:val="en-US" w:eastAsia="zh-CN"/>
              </w:rPr>
              <w:t>见采购需求</w:t>
            </w:r>
          </w:p>
        </w:tc>
      </w:tr>
      <w:tr w14:paraId="0AFDF5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358" w:type="dxa"/>
            <w:vAlign w:val="center"/>
          </w:tcPr>
          <w:p w14:paraId="67F6C990">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第六章第二节</w:t>
            </w:r>
          </w:p>
          <w:p w14:paraId="0EE8DDF8">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第14.2（5）项</w:t>
            </w:r>
          </w:p>
        </w:tc>
        <w:tc>
          <w:tcPr>
            <w:tcW w:w="2750" w:type="dxa"/>
            <w:vAlign w:val="center"/>
          </w:tcPr>
          <w:p w14:paraId="68B1DF34">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伴随服务</w:t>
            </w:r>
          </w:p>
        </w:tc>
        <w:tc>
          <w:tcPr>
            <w:tcW w:w="4746" w:type="dxa"/>
            <w:vAlign w:val="center"/>
          </w:tcPr>
          <w:p w14:paraId="669AC0A7">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详见第五章采购需求。</w:t>
            </w:r>
          </w:p>
        </w:tc>
      </w:tr>
      <w:tr w14:paraId="5C5B66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358" w:type="dxa"/>
            <w:vAlign w:val="center"/>
          </w:tcPr>
          <w:p w14:paraId="6F0D6F11">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第六章第二节</w:t>
            </w:r>
          </w:p>
          <w:p w14:paraId="24A0EACF">
            <w:pPr>
              <w:adjustRightInd w:val="0"/>
              <w:snapToGrid w:val="0"/>
              <w:spacing w:line="360" w:lineRule="auto"/>
              <w:jc w:val="center"/>
              <w:rPr>
                <w:rFonts w:hint="eastAsia" w:ascii="宋体" w:hAnsi="宋体" w:eastAsia="宋体" w:cs="宋体"/>
                <w:bCs/>
                <w:color w:val="auto"/>
                <w:sz w:val="24"/>
              </w:rPr>
            </w:pPr>
            <w:r>
              <w:rPr>
                <w:rFonts w:hint="eastAsia" w:ascii="宋体" w:hAnsi="宋体" w:eastAsia="宋体" w:cs="宋体"/>
                <w:color w:val="auto"/>
                <w:sz w:val="24"/>
              </w:rPr>
              <w:t>第20.2款</w:t>
            </w:r>
          </w:p>
        </w:tc>
        <w:tc>
          <w:tcPr>
            <w:tcW w:w="2750" w:type="dxa"/>
            <w:vAlign w:val="center"/>
          </w:tcPr>
          <w:p w14:paraId="46AF0CB1">
            <w:pPr>
              <w:adjustRightInd w:val="0"/>
              <w:snapToGrid w:val="0"/>
              <w:spacing w:line="360" w:lineRule="auto"/>
              <w:jc w:val="left"/>
              <w:rPr>
                <w:rFonts w:hint="eastAsia" w:ascii="宋体" w:hAnsi="宋体" w:eastAsia="宋体" w:cs="宋体"/>
                <w:bCs/>
                <w:color w:val="auto"/>
                <w:sz w:val="24"/>
              </w:rPr>
            </w:pPr>
            <w:r>
              <w:rPr>
                <w:rFonts w:hint="eastAsia" w:ascii="宋体" w:hAnsi="宋体" w:eastAsia="宋体" w:cs="宋体"/>
                <w:color w:val="auto"/>
                <w:sz w:val="24"/>
              </w:rPr>
              <w:t>解决争议的方式</w:t>
            </w:r>
          </w:p>
        </w:tc>
        <w:tc>
          <w:tcPr>
            <w:tcW w:w="4746" w:type="dxa"/>
            <w:vAlign w:val="center"/>
          </w:tcPr>
          <w:p w14:paraId="21CBC599">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sym w:font="Wingdings" w:char="00FE"/>
            </w:r>
            <w:r>
              <w:rPr>
                <w:rFonts w:hint="eastAsia" w:ascii="宋体" w:hAnsi="宋体" w:cs="宋体"/>
                <w:color w:val="auto"/>
                <w:sz w:val="24"/>
                <w:lang w:val="en-US" w:eastAsia="zh-CN"/>
              </w:rPr>
              <w:t xml:space="preserve"> </w:t>
            </w:r>
            <w:r>
              <w:rPr>
                <w:rFonts w:hint="eastAsia" w:ascii="宋体" w:hAnsi="宋体" w:eastAsia="宋体" w:cs="宋体"/>
                <w:color w:val="auto"/>
                <w:sz w:val="24"/>
              </w:rPr>
              <w:t>诉讼</w:t>
            </w:r>
          </w:p>
          <w:p w14:paraId="4AA1AC27">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sym w:font="Wingdings" w:char="00A8"/>
            </w:r>
            <w:r>
              <w:rPr>
                <w:rFonts w:hint="eastAsia" w:ascii="宋体" w:hAnsi="宋体" w:cs="宋体"/>
                <w:color w:val="auto"/>
                <w:sz w:val="24"/>
                <w:lang w:val="en-US" w:eastAsia="zh-CN"/>
              </w:rPr>
              <w:t xml:space="preserve"> </w:t>
            </w:r>
            <w:r>
              <w:rPr>
                <w:rFonts w:hint="eastAsia" w:ascii="宋体" w:hAnsi="宋体" w:eastAsia="宋体" w:cs="宋体"/>
                <w:color w:val="auto"/>
                <w:sz w:val="24"/>
              </w:rPr>
              <w:t>仲裁</w:t>
            </w:r>
          </w:p>
        </w:tc>
      </w:tr>
      <w:tr w14:paraId="12FDA5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358" w:type="dxa"/>
            <w:vAlign w:val="center"/>
          </w:tcPr>
          <w:p w14:paraId="1816814C">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第六章第二节</w:t>
            </w:r>
          </w:p>
          <w:p w14:paraId="00EFBAEA">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第23.1款</w:t>
            </w:r>
          </w:p>
        </w:tc>
        <w:tc>
          <w:tcPr>
            <w:tcW w:w="2750" w:type="dxa"/>
            <w:vAlign w:val="center"/>
          </w:tcPr>
          <w:p w14:paraId="74538E46">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bCs/>
                <w:color w:val="auto"/>
                <w:sz w:val="24"/>
              </w:rPr>
              <w:t>合同未尽事项</w:t>
            </w:r>
          </w:p>
        </w:tc>
        <w:tc>
          <w:tcPr>
            <w:tcW w:w="4746" w:type="dxa"/>
            <w:vAlign w:val="center"/>
          </w:tcPr>
          <w:p w14:paraId="0435B123">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双方协商解决</w:t>
            </w:r>
          </w:p>
        </w:tc>
      </w:tr>
    </w:tbl>
    <w:p w14:paraId="7E599212">
      <w:pPr>
        <w:pStyle w:val="24"/>
        <w:adjustRightInd w:val="0"/>
        <w:snapToGrid w:val="0"/>
        <w:spacing w:line="360" w:lineRule="auto"/>
        <w:jc w:val="center"/>
        <w:outlineLvl w:val="0"/>
        <w:rPr>
          <w:rFonts w:hint="eastAsia" w:ascii="宋体" w:hAnsi="宋体" w:eastAsia="宋体" w:cs="宋体"/>
          <w:b/>
          <w:color w:val="auto"/>
          <w:sz w:val="30"/>
          <w:szCs w:val="30"/>
        </w:rPr>
      </w:pPr>
      <w:r>
        <w:rPr>
          <w:rFonts w:hint="eastAsia" w:ascii="宋体" w:hAnsi="宋体" w:eastAsia="宋体" w:cs="宋体"/>
          <w:b/>
          <w:bCs/>
          <w:color w:val="auto"/>
          <w:sz w:val="24"/>
          <w:szCs w:val="24"/>
        </w:rPr>
        <w:br w:type="page"/>
      </w:r>
    </w:p>
    <w:p w14:paraId="486211E0">
      <w:pPr>
        <w:pStyle w:val="2"/>
        <w:bidi w:val="0"/>
        <w:rPr>
          <w:rFonts w:hint="eastAsia" w:ascii="宋体" w:hAnsi="宋体" w:eastAsia="宋体" w:cs="宋体"/>
          <w:b/>
          <w:color w:val="auto"/>
          <w:szCs w:val="30"/>
        </w:rPr>
      </w:pPr>
      <w:bookmarkStart w:id="444" w:name="_Toc26899"/>
      <w:bookmarkStart w:id="445" w:name="_Toc433"/>
      <w:r>
        <w:rPr>
          <w:rFonts w:hint="eastAsia" w:ascii="宋体" w:hAnsi="宋体" w:eastAsia="宋体" w:cs="宋体"/>
        </w:rPr>
        <w:t>第七章 投标文件的组成</w:t>
      </w:r>
      <w:bookmarkEnd w:id="444"/>
      <w:bookmarkEnd w:id="445"/>
    </w:p>
    <w:p w14:paraId="4B2120CF">
      <w:pPr>
        <w:adjustRightInd w:val="0"/>
        <w:snapToGrid w:val="0"/>
        <w:spacing w:line="360" w:lineRule="auto"/>
        <w:ind w:left="-88" w:leftChars="-42"/>
        <w:jc w:val="center"/>
        <w:rPr>
          <w:rFonts w:hint="eastAsia" w:ascii="宋体" w:hAnsi="宋体" w:eastAsia="宋体" w:cs="宋体"/>
          <w:b/>
          <w:bCs/>
          <w:color w:val="auto"/>
          <w:sz w:val="24"/>
        </w:rPr>
      </w:pPr>
    </w:p>
    <w:p w14:paraId="02C8FE9F">
      <w:pPr>
        <w:adjustRightInd w:val="0"/>
        <w:snapToGrid w:val="0"/>
        <w:spacing w:beforeLines="50" w:line="360" w:lineRule="auto"/>
        <w:ind w:firstLine="482" w:firstLineChars="200"/>
        <w:jc w:val="left"/>
        <w:rPr>
          <w:rFonts w:hint="eastAsia" w:ascii="宋体" w:hAnsi="宋体" w:eastAsia="宋体" w:cs="宋体"/>
          <w:b/>
          <w:color w:val="auto"/>
          <w:sz w:val="24"/>
        </w:rPr>
      </w:pPr>
      <w:r>
        <w:rPr>
          <w:rFonts w:hint="eastAsia" w:ascii="宋体" w:hAnsi="宋体" w:eastAsia="宋体" w:cs="宋体"/>
          <w:b/>
          <w:color w:val="auto"/>
          <w:sz w:val="24"/>
        </w:rPr>
        <w:t>第一部分 资格证明文件</w:t>
      </w:r>
    </w:p>
    <w:p w14:paraId="485D431B">
      <w:pPr>
        <w:adjustRightInd w:val="0"/>
        <w:snapToGrid w:val="0"/>
        <w:spacing w:beforeLines="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一、</w:t>
      </w:r>
      <w:r>
        <w:rPr>
          <w:rFonts w:hint="eastAsia" w:ascii="宋体" w:hAnsi="宋体" w:eastAsia="宋体" w:cs="宋体"/>
          <w:color w:val="auto"/>
          <w:sz w:val="24"/>
          <w:szCs w:val="24"/>
        </w:rPr>
        <w:t>授权委托书</w:t>
      </w:r>
    </w:p>
    <w:p w14:paraId="5E408C4B">
      <w:pPr>
        <w:adjustRightInd w:val="0"/>
        <w:snapToGrid w:val="0"/>
        <w:spacing w:beforeLines="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lang w:val="en-US" w:eastAsia="zh-CN"/>
        </w:rPr>
        <w:t>二</w:t>
      </w:r>
      <w:r>
        <w:rPr>
          <w:rFonts w:hint="eastAsia" w:ascii="宋体" w:hAnsi="宋体" w:eastAsia="宋体" w:cs="宋体"/>
          <w:color w:val="auto"/>
          <w:sz w:val="24"/>
        </w:rPr>
        <w:t>、</w:t>
      </w:r>
      <w:r>
        <w:rPr>
          <w:rFonts w:hint="eastAsia" w:ascii="宋体" w:hAnsi="宋体" w:eastAsia="宋体" w:cs="宋体"/>
          <w:color w:val="auto"/>
          <w:sz w:val="24"/>
          <w:szCs w:val="24"/>
        </w:rPr>
        <w:t>投标人提供的资格证明文件</w:t>
      </w:r>
    </w:p>
    <w:p w14:paraId="0D9268B2">
      <w:pPr>
        <w:adjustRightInd w:val="0"/>
        <w:snapToGrid w:val="0"/>
        <w:spacing w:beforeLines="50" w:line="360" w:lineRule="auto"/>
        <w:ind w:firstLine="482" w:firstLineChars="200"/>
        <w:jc w:val="left"/>
        <w:rPr>
          <w:rFonts w:hint="eastAsia" w:ascii="宋体" w:hAnsi="宋体" w:eastAsia="宋体" w:cs="宋体"/>
          <w:b/>
          <w:color w:val="auto"/>
          <w:sz w:val="24"/>
        </w:rPr>
      </w:pPr>
      <w:r>
        <w:rPr>
          <w:rFonts w:hint="eastAsia" w:ascii="宋体" w:hAnsi="宋体" w:eastAsia="宋体" w:cs="宋体"/>
          <w:b/>
          <w:color w:val="auto"/>
          <w:sz w:val="24"/>
        </w:rPr>
        <w:t>第二部分 商务和技术文件</w:t>
      </w:r>
    </w:p>
    <w:p w14:paraId="3CBD985F">
      <w:pPr>
        <w:adjustRightInd w:val="0"/>
        <w:snapToGrid w:val="0"/>
        <w:spacing w:beforeLines="50" w:line="360" w:lineRule="auto"/>
        <w:ind w:firstLine="480" w:firstLineChars="200"/>
        <w:jc w:val="left"/>
        <w:rPr>
          <w:rFonts w:hint="eastAsia" w:ascii="宋体" w:hAnsi="宋体" w:eastAsia="宋体" w:cs="宋体"/>
          <w:color w:val="auto"/>
          <w:sz w:val="24"/>
          <w:lang w:val="en-US" w:eastAsia="zh-CN"/>
        </w:rPr>
      </w:pPr>
      <w:r>
        <w:rPr>
          <w:rFonts w:hint="eastAsia" w:ascii="宋体" w:hAnsi="宋体" w:cs="宋体"/>
          <w:color w:val="auto"/>
          <w:sz w:val="24"/>
          <w:lang w:val="en-US" w:eastAsia="zh-CN"/>
        </w:rPr>
        <w:t>三</w:t>
      </w:r>
      <w:r>
        <w:rPr>
          <w:rFonts w:hint="eastAsia" w:ascii="宋体" w:hAnsi="宋体" w:eastAsia="宋体" w:cs="宋体"/>
          <w:color w:val="auto"/>
          <w:sz w:val="24"/>
          <w:lang w:val="en-US" w:eastAsia="zh-CN"/>
        </w:rPr>
        <w:t>、投标函</w:t>
      </w:r>
    </w:p>
    <w:p w14:paraId="516C5538">
      <w:pPr>
        <w:adjustRightInd w:val="0"/>
        <w:snapToGrid w:val="0"/>
        <w:spacing w:beforeLines="50" w:line="360" w:lineRule="auto"/>
        <w:ind w:firstLine="480" w:firstLineChars="200"/>
        <w:jc w:val="left"/>
        <w:rPr>
          <w:rFonts w:hint="default"/>
          <w:lang w:val="en-US" w:eastAsia="zh-CN"/>
        </w:rPr>
      </w:pPr>
      <w:r>
        <w:rPr>
          <w:rFonts w:hint="eastAsia" w:ascii="宋体" w:hAnsi="宋体" w:cs="宋体"/>
          <w:color w:val="auto"/>
          <w:sz w:val="24"/>
          <w:lang w:val="en-US" w:eastAsia="zh-CN"/>
        </w:rPr>
        <w:t>四、</w:t>
      </w:r>
      <w:r>
        <w:rPr>
          <w:rFonts w:hint="eastAsia" w:ascii="宋体" w:hAnsi="宋体" w:eastAsia="宋体" w:cs="宋体"/>
          <w:color w:val="auto"/>
          <w:sz w:val="24"/>
        </w:rPr>
        <w:t>开标一览表</w:t>
      </w:r>
    </w:p>
    <w:p w14:paraId="28D0E85A">
      <w:pPr>
        <w:adjustRightInd w:val="0"/>
        <w:snapToGrid w:val="0"/>
        <w:spacing w:beforeLines="50" w:line="360" w:lineRule="auto"/>
        <w:ind w:firstLine="480" w:firstLineChars="200"/>
        <w:jc w:val="left"/>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五、分项报价</w:t>
      </w:r>
    </w:p>
    <w:p w14:paraId="787BF7AE">
      <w:pPr>
        <w:adjustRightInd w:val="0"/>
        <w:snapToGrid w:val="0"/>
        <w:spacing w:beforeLines="50" w:line="360" w:lineRule="auto"/>
        <w:ind w:firstLine="480" w:firstLineChars="200"/>
        <w:jc w:val="left"/>
        <w:rPr>
          <w:rFonts w:hint="eastAsia" w:ascii="宋体" w:hAnsi="宋体" w:cs="宋体"/>
          <w:color w:val="auto"/>
          <w:sz w:val="24"/>
          <w:lang w:val="en-US" w:eastAsia="zh-CN"/>
        </w:rPr>
      </w:pPr>
      <w:r>
        <w:rPr>
          <w:rFonts w:hint="eastAsia" w:ascii="宋体" w:hAnsi="宋体" w:cs="宋体"/>
          <w:color w:val="auto"/>
          <w:sz w:val="24"/>
          <w:lang w:val="en-US" w:eastAsia="zh-CN"/>
        </w:rPr>
        <w:t>六</w:t>
      </w:r>
      <w:r>
        <w:rPr>
          <w:rFonts w:hint="eastAsia" w:ascii="宋体" w:hAnsi="宋体" w:eastAsia="宋体" w:cs="宋体"/>
          <w:color w:val="auto"/>
          <w:sz w:val="24"/>
          <w:lang w:val="en-US" w:eastAsia="zh-CN"/>
        </w:rPr>
        <w:t>、</w:t>
      </w:r>
      <w:r>
        <w:rPr>
          <w:rFonts w:hint="eastAsia" w:ascii="宋体" w:hAnsi="宋体" w:cs="宋体"/>
          <w:color w:val="auto"/>
          <w:sz w:val="24"/>
          <w:lang w:val="en-US" w:eastAsia="zh-CN"/>
        </w:rPr>
        <w:t>采购需求响应表</w:t>
      </w:r>
    </w:p>
    <w:p w14:paraId="203EC142">
      <w:pPr>
        <w:adjustRightInd w:val="0"/>
        <w:snapToGrid w:val="0"/>
        <w:spacing w:beforeLines="50" w:line="360" w:lineRule="auto"/>
        <w:ind w:firstLine="480" w:firstLineChars="200"/>
        <w:jc w:val="left"/>
        <w:rPr>
          <w:rFonts w:hint="eastAsia" w:ascii="宋体" w:hAnsi="宋体" w:eastAsia="宋体" w:cs="宋体"/>
          <w:color w:val="auto"/>
          <w:sz w:val="24"/>
        </w:rPr>
      </w:pPr>
      <w:r>
        <w:rPr>
          <w:rFonts w:hint="eastAsia" w:ascii="宋体" w:hAnsi="宋体" w:cs="宋体"/>
          <w:color w:val="auto"/>
          <w:sz w:val="24"/>
          <w:lang w:val="en-US" w:eastAsia="zh-CN"/>
        </w:rPr>
        <w:t>七</w:t>
      </w:r>
      <w:r>
        <w:rPr>
          <w:rFonts w:hint="eastAsia" w:ascii="宋体" w:hAnsi="宋体" w:eastAsia="宋体" w:cs="宋体"/>
          <w:color w:val="auto"/>
          <w:sz w:val="24"/>
        </w:rPr>
        <w:t>、商务、合同条款偏离表</w:t>
      </w:r>
    </w:p>
    <w:p w14:paraId="0736B716">
      <w:pPr>
        <w:adjustRightInd w:val="0"/>
        <w:snapToGrid w:val="0"/>
        <w:spacing w:beforeLines="50" w:line="360" w:lineRule="auto"/>
        <w:ind w:firstLine="480" w:firstLineChars="200"/>
        <w:jc w:val="left"/>
        <w:rPr>
          <w:rFonts w:hint="eastAsia" w:ascii="宋体" w:hAnsi="宋体" w:eastAsia="宋体" w:cs="宋体"/>
          <w:color w:val="auto"/>
          <w:sz w:val="24"/>
        </w:rPr>
      </w:pPr>
      <w:r>
        <w:rPr>
          <w:rFonts w:hint="eastAsia" w:ascii="宋体" w:hAnsi="宋体" w:cs="宋体"/>
          <w:color w:val="auto"/>
          <w:sz w:val="24"/>
          <w:lang w:val="en-US" w:eastAsia="zh-CN"/>
        </w:rPr>
        <w:t>八</w:t>
      </w:r>
      <w:r>
        <w:rPr>
          <w:rFonts w:hint="eastAsia" w:ascii="宋体" w:hAnsi="宋体" w:eastAsia="宋体" w:cs="宋体"/>
          <w:color w:val="auto"/>
          <w:sz w:val="24"/>
        </w:rPr>
        <w:t>、采购需求偏离表</w:t>
      </w:r>
    </w:p>
    <w:p w14:paraId="2B893591">
      <w:pPr>
        <w:adjustRightInd w:val="0"/>
        <w:snapToGrid w:val="0"/>
        <w:spacing w:beforeLines="50" w:line="360" w:lineRule="auto"/>
        <w:ind w:firstLine="480" w:firstLineChars="200"/>
        <w:jc w:val="left"/>
        <w:rPr>
          <w:rFonts w:hint="eastAsia" w:ascii="宋体" w:hAnsi="宋体" w:eastAsia="宋体" w:cs="宋体"/>
          <w:color w:val="auto"/>
          <w:sz w:val="24"/>
        </w:rPr>
      </w:pPr>
      <w:r>
        <w:rPr>
          <w:rFonts w:hint="eastAsia" w:ascii="宋体" w:hAnsi="宋体" w:cs="宋体"/>
          <w:color w:val="auto"/>
          <w:sz w:val="24"/>
          <w:lang w:val="en-US" w:eastAsia="zh-CN"/>
        </w:rPr>
        <w:t>九</w:t>
      </w:r>
      <w:r>
        <w:rPr>
          <w:rFonts w:hint="eastAsia" w:ascii="宋体" w:hAnsi="宋体" w:eastAsia="宋体" w:cs="宋体"/>
          <w:color w:val="auto"/>
          <w:sz w:val="24"/>
        </w:rPr>
        <w:t>、享受政府采购政策优惠的证明资料</w:t>
      </w:r>
    </w:p>
    <w:p w14:paraId="536015F8">
      <w:pPr>
        <w:adjustRightInd w:val="0"/>
        <w:snapToGrid w:val="0"/>
        <w:spacing w:beforeLines="50" w:line="360" w:lineRule="auto"/>
        <w:ind w:firstLine="480" w:firstLineChars="200"/>
        <w:jc w:val="left"/>
        <w:rPr>
          <w:rFonts w:hint="eastAsia" w:ascii="宋体" w:hAnsi="宋体" w:eastAsia="宋体" w:cs="宋体"/>
          <w:color w:val="auto"/>
          <w:sz w:val="24"/>
        </w:rPr>
      </w:pPr>
      <w:r>
        <w:rPr>
          <w:rFonts w:hint="eastAsia" w:ascii="宋体" w:hAnsi="宋体" w:cs="宋体"/>
          <w:color w:val="auto"/>
          <w:sz w:val="24"/>
          <w:lang w:val="en-US" w:eastAsia="zh-CN"/>
        </w:rPr>
        <w:t>十、</w:t>
      </w:r>
      <w:r>
        <w:rPr>
          <w:rFonts w:hint="eastAsia" w:ascii="宋体" w:hAnsi="宋体" w:eastAsia="宋体" w:cs="宋体"/>
          <w:color w:val="auto"/>
          <w:sz w:val="24"/>
        </w:rPr>
        <w:t>投标</w:t>
      </w:r>
      <w:r>
        <w:rPr>
          <w:rFonts w:hint="eastAsia" w:ascii="宋体" w:hAnsi="宋体" w:cs="宋体"/>
          <w:color w:val="auto"/>
          <w:sz w:val="24"/>
          <w:lang w:val="en-US" w:eastAsia="zh-CN"/>
        </w:rPr>
        <w:t>货物</w:t>
      </w:r>
      <w:r>
        <w:rPr>
          <w:rFonts w:hint="eastAsia" w:ascii="宋体" w:hAnsi="宋体" w:eastAsia="宋体" w:cs="宋体"/>
          <w:color w:val="auto"/>
          <w:sz w:val="24"/>
        </w:rPr>
        <w:t>符合招标文件规定的证明文件</w:t>
      </w:r>
    </w:p>
    <w:p w14:paraId="5201856B">
      <w:pPr>
        <w:pStyle w:val="3"/>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    十</w:t>
      </w:r>
      <w:r>
        <w:rPr>
          <w:rFonts w:hint="eastAsia" w:ascii="宋体" w:hAnsi="宋体" w:cs="宋体"/>
          <w:b w:val="0"/>
          <w:bCs w:val="0"/>
          <w:color w:val="auto"/>
          <w:kern w:val="2"/>
          <w:sz w:val="24"/>
          <w:szCs w:val="24"/>
          <w:lang w:val="en-US" w:eastAsia="zh-CN" w:bidi="ar-SA"/>
        </w:rPr>
        <w:t>一</w:t>
      </w:r>
      <w:r>
        <w:rPr>
          <w:rFonts w:hint="eastAsia" w:ascii="宋体" w:hAnsi="宋体" w:eastAsia="宋体" w:cs="宋体"/>
          <w:b w:val="0"/>
          <w:bCs w:val="0"/>
          <w:color w:val="auto"/>
          <w:kern w:val="2"/>
          <w:sz w:val="24"/>
          <w:szCs w:val="24"/>
          <w:lang w:val="en-US" w:eastAsia="zh-CN" w:bidi="ar-SA"/>
        </w:rPr>
        <w:t>、投标人认为需提供的其他资料</w:t>
      </w:r>
    </w:p>
    <w:p w14:paraId="33940547">
      <w:pPr>
        <w:adjustRightInd w:val="0"/>
        <w:snapToGrid w:val="0"/>
        <w:spacing w:line="360" w:lineRule="auto"/>
        <w:jc w:val="center"/>
        <w:rPr>
          <w:rFonts w:hint="eastAsia" w:ascii="宋体" w:hAnsi="宋体" w:eastAsia="宋体" w:cs="宋体"/>
          <w:color w:val="auto"/>
          <w:sz w:val="24"/>
        </w:rPr>
      </w:pPr>
    </w:p>
    <w:p w14:paraId="132B77B4">
      <w:pPr>
        <w:adjustRightInd w:val="0"/>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br w:type="page"/>
      </w:r>
    </w:p>
    <w:p w14:paraId="5778A3D3">
      <w:pPr>
        <w:adjustRightInd w:val="0"/>
        <w:snapToGrid w:val="0"/>
        <w:spacing w:line="360" w:lineRule="auto"/>
        <w:rPr>
          <w:rFonts w:hint="eastAsia" w:ascii="宋体" w:hAnsi="宋体" w:eastAsia="宋体" w:cs="宋体"/>
          <w:color w:val="auto"/>
          <w:sz w:val="24"/>
        </w:rPr>
      </w:pPr>
    </w:p>
    <w:p w14:paraId="670B2009">
      <w:pPr>
        <w:pStyle w:val="170"/>
        <w:jc w:val="center"/>
        <w:rPr>
          <w:rStyle w:val="46"/>
          <w:rFonts w:hint="eastAsia" w:ascii="仿宋" w:hAnsi="仿宋" w:eastAsia="仿宋" w:cs="仿宋"/>
        </w:rPr>
      </w:pPr>
      <w:bookmarkStart w:id="446" w:name="_Toc24612"/>
      <w:bookmarkStart w:id="447" w:name="_Toc104"/>
      <w:bookmarkStart w:id="448" w:name="_Toc16122"/>
      <w:bookmarkStart w:id="449" w:name="_Toc17360"/>
      <w:bookmarkStart w:id="450" w:name="_Toc29976"/>
      <w:bookmarkStart w:id="451" w:name="_Toc17655"/>
      <w:bookmarkStart w:id="452" w:name="_Toc24559"/>
      <w:r>
        <w:rPr>
          <w:rStyle w:val="46"/>
          <w:rFonts w:hint="eastAsia" w:ascii="仿宋" w:hAnsi="仿宋" w:eastAsia="仿宋" w:cs="仿宋"/>
          <w:sz w:val="84"/>
          <w:szCs w:val="84"/>
        </w:rPr>
        <w:t>政府采购</w:t>
      </w:r>
    </w:p>
    <w:p w14:paraId="19E45B6D">
      <w:pPr>
        <w:pStyle w:val="170"/>
        <w:jc w:val="center"/>
        <w:rPr>
          <w:rStyle w:val="46"/>
          <w:rFonts w:hint="eastAsia" w:ascii="仿宋" w:hAnsi="仿宋" w:eastAsia="仿宋" w:cs="仿宋"/>
        </w:rPr>
      </w:pPr>
      <w:r>
        <w:rPr>
          <w:rStyle w:val="46"/>
          <w:rFonts w:hint="eastAsia" w:ascii="仿宋" w:hAnsi="仿宋" w:eastAsia="仿宋" w:cs="仿宋"/>
          <w:sz w:val="84"/>
          <w:szCs w:val="84"/>
        </w:rPr>
        <w:t>投 标 文 件</w:t>
      </w:r>
      <w:r>
        <w:rPr>
          <w:rStyle w:val="46"/>
          <w:rFonts w:hint="eastAsia" w:ascii="仿宋" w:hAnsi="仿宋" w:eastAsia="仿宋" w:cs="仿宋"/>
          <w:szCs w:val="21"/>
        </w:rPr>
        <w:t xml:space="preserve"> </w:t>
      </w:r>
    </w:p>
    <w:p w14:paraId="0F47D6E1">
      <w:pPr>
        <w:pStyle w:val="170"/>
        <w:spacing w:before="312"/>
        <w:jc w:val="center"/>
        <w:rPr>
          <w:rStyle w:val="46"/>
          <w:rFonts w:hint="eastAsia" w:ascii="仿宋" w:hAnsi="仿宋" w:eastAsia="仿宋" w:cs="仿宋"/>
        </w:rPr>
      </w:pPr>
      <w:r>
        <w:rPr>
          <w:rStyle w:val="46"/>
          <w:rFonts w:hint="eastAsia" w:ascii="仿宋" w:hAnsi="仿宋" w:eastAsia="仿宋" w:cs="仿宋"/>
          <w:b/>
          <w:bCs/>
          <w:sz w:val="44"/>
          <w:szCs w:val="44"/>
        </w:rPr>
        <w:t>(资格证明文件)</w:t>
      </w:r>
      <w:r>
        <w:rPr>
          <w:rStyle w:val="46"/>
          <w:rFonts w:hint="eastAsia" w:ascii="仿宋" w:hAnsi="仿宋" w:eastAsia="仿宋" w:cs="仿宋"/>
          <w:szCs w:val="21"/>
        </w:rPr>
        <w:t xml:space="preserve"> </w:t>
      </w:r>
    </w:p>
    <w:p w14:paraId="2402CE56">
      <w:pPr>
        <w:pStyle w:val="170"/>
        <w:rPr>
          <w:rStyle w:val="46"/>
          <w:rFonts w:hint="eastAsia" w:ascii="仿宋" w:hAnsi="仿宋" w:eastAsia="仿宋" w:cs="仿宋"/>
        </w:rPr>
      </w:pPr>
      <w:r>
        <w:rPr>
          <w:rStyle w:val="46"/>
          <w:rFonts w:hint="eastAsia" w:ascii="仿宋" w:hAnsi="仿宋" w:eastAsia="仿宋" w:cs="仿宋"/>
          <w:szCs w:val="21"/>
        </w:rPr>
        <w:t xml:space="preserve">  </w:t>
      </w:r>
    </w:p>
    <w:p w14:paraId="3FB58567">
      <w:pPr>
        <w:pStyle w:val="170"/>
        <w:rPr>
          <w:rStyle w:val="46"/>
          <w:rFonts w:hint="eastAsia" w:ascii="仿宋" w:hAnsi="仿宋" w:eastAsia="仿宋" w:cs="仿宋"/>
        </w:rPr>
      </w:pPr>
      <w:r>
        <w:rPr>
          <w:rStyle w:val="46"/>
          <w:rFonts w:hint="eastAsia" w:ascii="仿宋" w:hAnsi="仿宋" w:eastAsia="仿宋" w:cs="仿宋"/>
          <w:sz w:val="32"/>
          <w:szCs w:val="32"/>
        </w:rPr>
        <w:t>                    </w:t>
      </w:r>
      <w:r>
        <w:rPr>
          <w:rStyle w:val="46"/>
          <w:rFonts w:hint="eastAsia" w:ascii="仿宋" w:hAnsi="仿宋" w:eastAsia="仿宋" w:cs="仿宋"/>
          <w:szCs w:val="21"/>
        </w:rPr>
        <w:t xml:space="preserve"> </w:t>
      </w:r>
    </w:p>
    <w:p w14:paraId="41665398">
      <w:pPr>
        <w:pStyle w:val="170"/>
        <w:ind w:firstLine="1767" w:firstLineChars="550"/>
        <w:rPr>
          <w:rStyle w:val="46"/>
          <w:rFonts w:hint="eastAsia" w:ascii="仿宋" w:hAnsi="仿宋" w:eastAsia="仿宋" w:cs="仿宋"/>
        </w:rPr>
      </w:pPr>
      <w:r>
        <w:rPr>
          <w:rStyle w:val="46"/>
          <w:rFonts w:hint="eastAsia" w:ascii="仿宋" w:hAnsi="仿宋" w:eastAsia="仿宋" w:cs="仿宋"/>
          <w:b/>
          <w:bCs/>
          <w:sz w:val="32"/>
          <w:szCs w:val="32"/>
        </w:rPr>
        <w:t>采购项目名称：________________   </w:t>
      </w:r>
      <w:r>
        <w:rPr>
          <w:rStyle w:val="46"/>
          <w:rFonts w:hint="eastAsia" w:ascii="仿宋" w:hAnsi="仿宋" w:eastAsia="仿宋" w:cs="仿宋"/>
          <w:szCs w:val="21"/>
        </w:rPr>
        <w:t xml:space="preserve"> </w:t>
      </w:r>
    </w:p>
    <w:p w14:paraId="59A1A196">
      <w:pPr>
        <w:pStyle w:val="170"/>
        <w:ind w:firstLine="1767" w:firstLineChars="550"/>
        <w:rPr>
          <w:rStyle w:val="46"/>
          <w:rFonts w:hint="eastAsia" w:ascii="仿宋" w:hAnsi="仿宋" w:eastAsia="仿宋" w:cs="仿宋"/>
        </w:rPr>
      </w:pPr>
      <w:r>
        <w:rPr>
          <w:rStyle w:val="46"/>
          <w:rFonts w:hint="eastAsia" w:ascii="仿宋" w:hAnsi="仿宋" w:eastAsia="仿宋" w:cs="仿宋"/>
          <w:b/>
          <w:bCs/>
          <w:sz w:val="32"/>
          <w:szCs w:val="32"/>
          <w:lang w:eastAsia="zh-CN"/>
        </w:rPr>
        <w:t>采购计划编号</w:t>
      </w:r>
      <w:r>
        <w:rPr>
          <w:rStyle w:val="46"/>
          <w:rFonts w:hint="eastAsia" w:ascii="仿宋" w:hAnsi="仿宋" w:eastAsia="仿宋" w:cs="仿宋"/>
          <w:b/>
          <w:bCs/>
          <w:sz w:val="32"/>
          <w:szCs w:val="32"/>
        </w:rPr>
        <w:t>：________________</w:t>
      </w:r>
      <w:r>
        <w:rPr>
          <w:rStyle w:val="46"/>
          <w:rFonts w:hint="eastAsia" w:ascii="仿宋" w:hAnsi="仿宋" w:eastAsia="仿宋" w:cs="仿宋"/>
          <w:szCs w:val="21"/>
        </w:rPr>
        <w:t xml:space="preserve"> </w:t>
      </w:r>
    </w:p>
    <w:p w14:paraId="691A18FF">
      <w:pPr>
        <w:pStyle w:val="170"/>
        <w:ind w:firstLine="1767" w:firstLineChars="550"/>
        <w:rPr>
          <w:rStyle w:val="46"/>
          <w:rFonts w:hint="eastAsia" w:ascii="仿宋" w:hAnsi="仿宋" w:eastAsia="仿宋" w:cs="仿宋"/>
        </w:rPr>
      </w:pPr>
      <w:r>
        <w:rPr>
          <w:rStyle w:val="46"/>
          <w:rFonts w:hint="eastAsia" w:ascii="仿宋" w:hAnsi="仿宋" w:eastAsia="仿宋" w:cs="仿宋"/>
          <w:b/>
          <w:bCs/>
          <w:sz w:val="32"/>
          <w:szCs w:val="32"/>
          <w:lang w:eastAsia="zh-CN"/>
        </w:rPr>
        <w:t>政府采购编号</w:t>
      </w:r>
      <w:r>
        <w:rPr>
          <w:rStyle w:val="46"/>
          <w:rFonts w:hint="eastAsia" w:ascii="仿宋" w:hAnsi="仿宋" w:eastAsia="仿宋" w:cs="仿宋"/>
          <w:b/>
          <w:bCs/>
          <w:sz w:val="32"/>
          <w:szCs w:val="32"/>
        </w:rPr>
        <w:t>：________________</w:t>
      </w:r>
      <w:r>
        <w:rPr>
          <w:rStyle w:val="46"/>
          <w:rFonts w:hint="eastAsia" w:ascii="仿宋" w:hAnsi="仿宋" w:eastAsia="仿宋" w:cs="仿宋"/>
          <w:szCs w:val="21"/>
        </w:rPr>
        <w:t xml:space="preserve"> </w:t>
      </w:r>
    </w:p>
    <w:p w14:paraId="262C8277">
      <w:pPr>
        <w:pStyle w:val="170"/>
        <w:ind w:firstLine="1500"/>
        <w:rPr>
          <w:rStyle w:val="46"/>
          <w:rFonts w:hint="eastAsia" w:ascii="仿宋" w:hAnsi="仿宋" w:eastAsia="仿宋" w:cs="仿宋"/>
        </w:rPr>
      </w:pPr>
      <w:r>
        <w:rPr>
          <w:rStyle w:val="46"/>
          <w:rFonts w:hint="eastAsia" w:ascii="仿宋" w:hAnsi="仿宋" w:eastAsia="仿宋" w:cs="仿宋"/>
          <w:szCs w:val="21"/>
        </w:rPr>
        <w:t xml:space="preserve">  </w:t>
      </w:r>
    </w:p>
    <w:p w14:paraId="67ECA2BB">
      <w:pPr>
        <w:pStyle w:val="170"/>
        <w:ind w:firstLine="1500"/>
        <w:rPr>
          <w:rStyle w:val="46"/>
          <w:rFonts w:hint="eastAsia" w:ascii="仿宋" w:hAnsi="仿宋" w:eastAsia="仿宋" w:cs="仿宋"/>
        </w:rPr>
      </w:pPr>
      <w:r>
        <w:rPr>
          <w:rStyle w:val="46"/>
          <w:rFonts w:hint="eastAsia" w:ascii="仿宋" w:hAnsi="仿宋" w:eastAsia="仿宋" w:cs="仿宋"/>
          <w:szCs w:val="21"/>
        </w:rPr>
        <w:t xml:space="preserve">  </w:t>
      </w:r>
    </w:p>
    <w:p w14:paraId="0D78FA94">
      <w:pPr>
        <w:pStyle w:val="170"/>
        <w:ind w:firstLine="1500"/>
        <w:rPr>
          <w:rStyle w:val="46"/>
          <w:rFonts w:hint="eastAsia" w:ascii="仿宋" w:hAnsi="仿宋" w:eastAsia="仿宋" w:cs="仿宋"/>
        </w:rPr>
      </w:pPr>
      <w:r>
        <w:rPr>
          <w:rStyle w:val="46"/>
          <w:rFonts w:hint="eastAsia" w:ascii="仿宋" w:hAnsi="仿宋" w:eastAsia="仿宋" w:cs="仿宋"/>
          <w:szCs w:val="21"/>
        </w:rPr>
        <w:t xml:space="preserve">  </w:t>
      </w:r>
    </w:p>
    <w:p w14:paraId="7111BAC2">
      <w:pPr>
        <w:pStyle w:val="170"/>
        <w:ind w:firstLine="1500"/>
        <w:rPr>
          <w:rStyle w:val="46"/>
          <w:rFonts w:hint="eastAsia" w:ascii="仿宋" w:hAnsi="仿宋" w:eastAsia="仿宋" w:cs="仿宋"/>
        </w:rPr>
      </w:pPr>
      <w:r>
        <w:rPr>
          <w:rStyle w:val="46"/>
          <w:rFonts w:hint="eastAsia" w:ascii="仿宋" w:hAnsi="仿宋" w:eastAsia="仿宋" w:cs="仿宋"/>
          <w:szCs w:val="21"/>
        </w:rPr>
        <w:t xml:space="preserve">  </w:t>
      </w:r>
    </w:p>
    <w:p w14:paraId="4BE76798">
      <w:pPr>
        <w:pStyle w:val="170"/>
        <w:rPr>
          <w:rStyle w:val="46"/>
          <w:rFonts w:hint="eastAsia" w:ascii="仿宋" w:hAnsi="仿宋" w:eastAsia="仿宋" w:cs="仿宋"/>
        </w:rPr>
      </w:pPr>
      <w:r>
        <w:rPr>
          <w:rStyle w:val="46"/>
          <w:rFonts w:hint="eastAsia" w:ascii="仿宋" w:hAnsi="仿宋" w:eastAsia="仿宋" w:cs="仿宋"/>
          <w:szCs w:val="21"/>
        </w:rPr>
        <w:t xml:space="preserve">  </w:t>
      </w:r>
    </w:p>
    <w:p w14:paraId="7561C6E9">
      <w:pPr>
        <w:pStyle w:val="170"/>
        <w:ind w:firstLine="1760" w:firstLineChars="550"/>
        <w:rPr>
          <w:rStyle w:val="46"/>
          <w:rFonts w:hint="eastAsia" w:ascii="仿宋" w:hAnsi="仿宋" w:eastAsia="仿宋" w:cs="仿宋"/>
        </w:rPr>
      </w:pPr>
      <w:r>
        <w:rPr>
          <w:rStyle w:val="46"/>
          <w:rFonts w:hint="eastAsia" w:ascii="仿宋" w:hAnsi="仿宋" w:eastAsia="仿宋" w:cs="仿宋"/>
          <w:sz w:val="32"/>
          <w:szCs w:val="32"/>
        </w:rPr>
        <w:t>投标人________________</w:t>
      </w:r>
      <w:r>
        <w:rPr>
          <w:rStyle w:val="46"/>
          <w:rFonts w:hint="eastAsia" w:ascii="仿宋" w:hAnsi="仿宋" w:eastAsia="仿宋" w:cs="仿宋"/>
          <w:szCs w:val="21"/>
        </w:rPr>
        <w:t xml:space="preserve"> </w:t>
      </w:r>
    </w:p>
    <w:p w14:paraId="4ED6D73E">
      <w:pPr>
        <w:pStyle w:val="170"/>
        <w:ind w:firstLine="4800"/>
        <w:rPr>
          <w:rStyle w:val="46"/>
          <w:rFonts w:hint="eastAsia" w:ascii="仿宋" w:hAnsi="仿宋" w:eastAsia="仿宋" w:cs="仿宋"/>
        </w:rPr>
      </w:pPr>
      <w:r>
        <w:rPr>
          <w:rStyle w:val="46"/>
          <w:rFonts w:hint="eastAsia" w:ascii="仿宋" w:hAnsi="仿宋" w:eastAsia="仿宋" w:cs="仿宋"/>
          <w:szCs w:val="21"/>
        </w:rPr>
        <w:t xml:space="preserve">  </w:t>
      </w:r>
    </w:p>
    <w:p w14:paraId="0CC2BBF5">
      <w:pPr>
        <w:pStyle w:val="170"/>
        <w:ind w:firstLine="4800"/>
        <w:rPr>
          <w:rStyle w:val="46"/>
          <w:rFonts w:hint="eastAsia" w:ascii="仿宋" w:hAnsi="仿宋" w:eastAsia="仿宋" w:cs="仿宋"/>
        </w:rPr>
      </w:pPr>
      <w:r>
        <w:rPr>
          <w:rStyle w:val="46"/>
          <w:rFonts w:hint="eastAsia" w:ascii="仿宋" w:hAnsi="仿宋" w:eastAsia="仿宋" w:cs="仿宋"/>
          <w:szCs w:val="21"/>
        </w:rPr>
        <w:t xml:space="preserve">  </w:t>
      </w:r>
    </w:p>
    <w:p w14:paraId="69B21203">
      <w:pPr>
        <w:pStyle w:val="170"/>
        <w:rPr>
          <w:rStyle w:val="46"/>
          <w:rFonts w:hint="eastAsia" w:ascii="仿宋" w:hAnsi="仿宋" w:eastAsia="仿宋" w:cs="仿宋"/>
          <w:sz w:val="32"/>
          <w:szCs w:val="32"/>
        </w:rPr>
      </w:pPr>
    </w:p>
    <w:p w14:paraId="5FBA0A01">
      <w:pPr>
        <w:pStyle w:val="170"/>
        <w:rPr>
          <w:rStyle w:val="46"/>
          <w:rFonts w:hint="eastAsia" w:ascii="黑体" w:hAnsi="黑体" w:eastAsia="黑体" w:cs="黑体"/>
          <w:sz w:val="32"/>
          <w:szCs w:val="32"/>
        </w:rPr>
      </w:pPr>
    </w:p>
    <w:p w14:paraId="6B628BAF">
      <w:pPr>
        <w:pStyle w:val="170"/>
        <w:rPr>
          <w:rStyle w:val="46"/>
          <w:rFonts w:hint="eastAsia" w:ascii="黑体" w:hAnsi="黑体" w:eastAsia="黑体" w:cs="黑体"/>
          <w:sz w:val="32"/>
          <w:szCs w:val="32"/>
        </w:rPr>
      </w:pPr>
    </w:p>
    <w:p w14:paraId="4F996E84">
      <w:pPr>
        <w:pStyle w:val="170"/>
        <w:rPr>
          <w:rStyle w:val="46"/>
          <w:rFonts w:hint="eastAsia" w:ascii="黑体" w:hAnsi="黑体" w:eastAsia="黑体" w:cs="黑体"/>
          <w:sz w:val="32"/>
          <w:szCs w:val="32"/>
        </w:rPr>
      </w:pPr>
    </w:p>
    <w:p w14:paraId="789DAAC4">
      <w:pPr>
        <w:pStyle w:val="170"/>
        <w:ind w:firstLine="3520" w:firstLineChars="1100"/>
        <w:rPr>
          <w:rStyle w:val="46"/>
          <w:rFonts w:ascii="Calibri" w:hAnsi="Calibri" w:eastAsia="宋体" w:cs="Times New Roman"/>
        </w:rPr>
      </w:pPr>
      <w:r>
        <w:rPr>
          <w:rStyle w:val="46"/>
          <w:rFonts w:ascii="黑体" w:hAnsi="黑体" w:eastAsia="黑体" w:cs="黑体"/>
          <w:sz w:val="32"/>
          <w:szCs w:val="32"/>
        </w:rPr>
        <w:t>年</w:t>
      </w:r>
      <w:r>
        <w:rPr>
          <w:rStyle w:val="46"/>
          <w:rFonts w:hint="eastAsia" w:ascii="宋体" w:hAnsi="宋体" w:eastAsia="宋体" w:cs="宋体"/>
          <w:sz w:val="32"/>
          <w:szCs w:val="32"/>
        </w:rPr>
        <w:t> </w:t>
      </w:r>
      <w:r>
        <w:rPr>
          <w:rStyle w:val="46"/>
          <w:rFonts w:hint="eastAsia" w:ascii="黑体" w:hAnsi="黑体" w:eastAsia="黑体" w:cs="黑体"/>
          <w:sz w:val="32"/>
          <w:szCs w:val="32"/>
        </w:rPr>
        <w:t xml:space="preserve"> </w:t>
      </w:r>
      <w:r>
        <w:rPr>
          <w:rStyle w:val="46"/>
          <w:rFonts w:ascii="黑体" w:hAnsi="黑体" w:eastAsia="黑体" w:cs="黑体"/>
          <w:sz w:val="32"/>
          <w:szCs w:val="32"/>
        </w:rPr>
        <w:t>月</w:t>
      </w:r>
      <w:r>
        <w:rPr>
          <w:rStyle w:val="46"/>
          <w:rFonts w:hint="eastAsia" w:ascii="宋体" w:hAnsi="宋体" w:eastAsia="宋体" w:cs="宋体"/>
          <w:sz w:val="32"/>
          <w:szCs w:val="32"/>
        </w:rPr>
        <w:t> </w:t>
      </w:r>
      <w:r>
        <w:rPr>
          <w:rStyle w:val="46"/>
          <w:rFonts w:hint="eastAsia" w:ascii="黑体" w:hAnsi="黑体" w:eastAsia="黑体" w:cs="黑体"/>
          <w:sz w:val="32"/>
          <w:szCs w:val="32"/>
        </w:rPr>
        <w:t xml:space="preserve"> </w:t>
      </w:r>
      <w:r>
        <w:rPr>
          <w:rStyle w:val="46"/>
          <w:rFonts w:ascii="黑体" w:hAnsi="黑体" w:eastAsia="黑体" w:cs="黑体"/>
          <w:sz w:val="32"/>
          <w:szCs w:val="32"/>
        </w:rPr>
        <w:t>日</w:t>
      </w:r>
      <w:r>
        <w:rPr>
          <w:rStyle w:val="46"/>
          <w:rFonts w:ascii="Calibri" w:hAnsi="Calibri" w:eastAsia="宋体" w:cs="Times New Roman"/>
          <w:szCs w:val="21"/>
        </w:rPr>
        <w:t xml:space="preserve"> </w:t>
      </w:r>
    </w:p>
    <w:p w14:paraId="741437E0">
      <w:pPr>
        <w:pStyle w:val="187"/>
        <w:spacing w:line="360" w:lineRule="auto"/>
        <w:jc w:val="left"/>
        <w:rPr>
          <w:rStyle w:val="46"/>
          <w:rFonts w:hint="eastAsia" w:ascii="黑体" w:hAnsi="黑体" w:eastAsia="黑体" w:cs="黑体"/>
          <w:sz w:val="28"/>
          <w:szCs w:val="28"/>
        </w:rPr>
      </w:pPr>
      <w:r>
        <w:rPr>
          <w:rFonts w:hint="eastAsia" w:ascii="宋体" w:hAnsi="宋体" w:eastAsia="宋体" w:cs="宋体"/>
          <w:color w:val="auto"/>
          <w:sz w:val="28"/>
          <w:szCs w:val="28"/>
          <w:highlight w:val="none"/>
        </w:rPr>
        <w:t>一、</w:t>
      </w:r>
      <w:bookmarkEnd w:id="446"/>
      <w:bookmarkEnd w:id="447"/>
      <w:bookmarkEnd w:id="448"/>
      <w:bookmarkEnd w:id="449"/>
      <w:bookmarkEnd w:id="450"/>
      <w:bookmarkEnd w:id="451"/>
      <w:bookmarkEnd w:id="452"/>
    </w:p>
    <w:p w14:paraId="45DA1ED1">
      <w:pPr>
        <w:pStyle w:val="4"/>
        <w:adjustRightInd w:val="0"/>
        <w:snapToGrid w:val="0"/>
        <w:spacing w:before="0" w:after="0" w:line="360" w:lineRule="auto"/>
        <w:jc w:val="center"/>
        <w:rPr>
          <w:rFonts w:ascii="黑体" w:hAnsi="黑体" w:eastAsia="黑体"/>
          <w:sz w:val="28"/>
          <w:szCs w:val="28"/>
        </w:rPr>
      </w:pPr>
      <w:bookmarkStart w:id="453" w:name="_Toc20651246"/>
      <w:r>
        <w:rPr>
          <w:rFonts w:hint="eastAsia" w:ascii="黑体" w:hAnsi="黑体" w:eastAsia="黑体"/>
          <w:sz w:val="28"/>
          <w:szCs w:val="28"/>
        </w:rPr>
        <w:t>法定代表人（单位负责人）身份证明</w:t>
      </w:r>
      <w:bookmarkEnd w:id="453"/>
    </w:p>
    <w:p w14:paraId="4F22BEAA">
      <w:pP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kern w:val="0"/>
          <w:position w:val="-4"/>
          <w:szCs w:val="21"/>
        </w:rPr>
      </w:pPr>
    </w:p>
    <w:p w14:paraId="773CC9E8">
      <w:pP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position w:val="-4"/>
          <w:szCs w:val="21"/>
        </w:rPr>
        <w:t>投标</w:t>
      </w:r>
      <w:r>
        <w:rPr>
          <w:rFonts w:hint="eastAsia" w:cs="微软雅黑" w:asciiTheme="minorEastAsia" w:hAnsiTheme="minorEastAsia" w:eastAsiaTheme="minorEastAsia"/>
          <w:spacing w:val="-2"/>
          <w:kern w:val="0"/>
          <w:position w:val="-4"/>
          <w:szCs w:val="21"/>
        </w:rPr>
        <w:t>人</w:t>
      </w:r>
      <w:r>
        <w:rPr>
          <w:rFonts w:hint="eastAsia" w:cs="微软雅黑" w:asciiTheme="minorEastAsia" w:hAnsiTheme="minorEastAsia" w:eastAsiaTheme="minorEastAsia"/>
          <w:kern w:val="0"/>
          <w:position w:val="-4"/>
          <w:szCs w:val="21"/>
        </w:rPr>
        <w:t>名</w:t>
      </w:r>
      <w:r>
        <w:rPr>
          <w:rFonts w:hint="eastAsia" w:cs="微软雅黑" w:asciiTheme="minorEastAsia" w:hAnsiTheme="minorEastAsia" w:eastAsiaTheme="minorEastAsia"/>
          <w:spacing w:val="-2"/>
          <w:kern w:val="0"/>
          <w:position w:val="-4"/>
          <w:szCs w:val="21"/>
        </w:rPr>
        <w:t>称</w:t>
      </w:r>
      <w:r>
        <w:rPr>
          <w:rFonts w:hint="eastAsia" w:cs="微软雅黑" w:asciiTheme="minorEastAsia" w:hAnsiTheme="minorEastAsia" w:eastAsiaTheme="minorEastAsia"/>
          <w:kern w:val="0"/>
          <w:position w:val="-4"/>
          <w:szCs w:val="21"/>
        </w:rPr>
        <w:t>：</w:t>
      </w:r>
      <w:r>
        <w:rPr>
          <w:rFonts w:hint="eastAsia" w:ascii="宋体" w:hAnsi="宋体"/>
          <w:szCs w:val="21"/>
          <w:u w:val="single"/>
        </w:rPr>
        <w:t xml:space="preserve">                 </w:t>
      </w:r>
    </w:p>
    <w:p w14:paraId="77709C79">
      <w:pP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kern w:val="0"/>
          <w:position w:val="-2"/>
          <w:szCs w:val="21"/>
        </w:rPr>
      </w:pPr>
      <w:r>
        <w:rPr>
          <w:rFonts w:hint="eastAsia" w:cs="微软雅黑" w:asciiTheme="minorEastAsia" w:hAnsiTheme="minorEastAsia" w:eastAsiaTheme="minorEastAsia"/>
          <w:kern w:val="0"/>
          <w:position w:val="-2"/>
          <w:szCs w:val="21"/>
        </w:rPr>
        <w:t>统一社会信用代码：</w:t>
      </w:r>
      <w:r>
        <w:rPr>
          <w:rFonts w:hint="eastAsia" w:ascii="宋体" w:hAnsi="宋体"/>
          <w:szCs w:val="21"/>
          <w:u w:val="single"/>
        </w:rPr>
        <w:t xml:space="preserve">                 </w:t>
      </w:r>
    </w:p>
    <w:p w14:paraId="1D995E9F">
      <w:pP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kern w:val="0"/>
          <w:position w:val="-2"/>
          <w:szCs w:val="21"/>
        </w:rPr>
      </w:pPr>
      <w:r>
        <w:rPr>
          <w:rFonts w:hint="eastAsia" w:cs="微软雅黑" w:asciiTheme="minorEastAsia" w:hAnsiTheme="minorEastAsia" w:eastAsiaTheme="minorEastAsia"/>
          <w:kern w:val="0"/>
          <w:position w:val="-2"/>
          <w:szCs w:val="21"/>
        </w:rPr>
        <w:t>注册地址：</w:t>
      </w:r>
      <w:r>
        <w:rPr>
          <w:rFonts w:hint="eastAsia" w:ascii="宋体" w:hAnsi="宋体"/>
          <w:szCs w:val="21"/>
          <w:u w:val="single"/>
        </w:rPr>
        <w:t xml:space="preserve">                 </w:t>
      </w:r>
    </w:p>
    <w:p w14:paraId="7FBC6713">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position w:val="-2"/>
          <w:szCs w:val="21"/>
        </w:rPr>
        <w:t>姓名</w:t>
      </w:r>
      <w:r>
        <w:rPr>
          <w:rFonts w:hint="eastAsia" w:cs="微软雅黑" w:asciiTheme="minorEastAsia" w:hAnsiTheme="minorEastAsia" w:eastAsiaTheme="minorEastAsia"/>
          <w:spacing w:val="-2"/>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性别</w:t>
      </w:r>
      <w:r>
        <w:rPr>
          <w:rFonts w:hint="eastAsia" w:cs="微软雅黑" w:asciiTheme="minorEastAsia" w:hAnsiTheme="minorEastAsia" w:eastAsiaTheme="minorEastAsia"/>
          <w:spacing w:val="-2"/>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年</w:t>
      </w:r>
      <w:r>
        <w:rPr>
          <w:rFonts w:hint="eastAsia" w:cs="微软雅黑" w:asciiTheme="minorEastAsia" w:hAnsiTheme="minorEastAsia" w:eastAsiaTheme="minorEastAsia"/>
          <w:spacing w:val="-2"/>
          <w:kern w:val="0"/>
          <w:position w:val="-2"/>
          <w:szCs w:val="21"/>
        </w:rPr>
        <w:t>龄</w:t>
      </w:r>
      <w:r>
        <w:rPr>
          <w:rFonts w:hint="eastAsia" w:cs="微软雅黑" w:asciiTheme="minorEastAsia" w:hAnsiTheme="minorEastAsia" w:eastAsiaTheme="minorEastAsia"/>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职</w:t>
      </w:r>
      <w:r>
        <w:rPr>
          <w:rFonts w:hint="eastAsia" w:cs="微软雅黑" w:asciiTheme="minorEastAsia" w:hAnsiTheme="minorEastAsia" w:eastAsiaTheme="minorEastAsia"/>
          <w:spacing w:val="-2"/>
          <w:kern w:val="0"/>
          <w:position w:val="-2"/>
          <w:szCs w:val="21"/>
        </w:rPr>
        <w:t>务</w:t>
      </w:r>
      <w:r>
        <w:rPr>
          <w:rFonts w:hint="eastAsia" w:cs="微软雅黑" w:asciiTheme="minorEastAsia" w:hAnsiTheme="minorEastAsia" w:eastAsiaTheme="minorEastAsia"/>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系</w:t>
      </w:r>
      <w:r>
        <w:rPr>
          <w:rFonts w:hint="eastAsia" w:ascii="宋体" w:hAnsi="宋体"/>
          <w:szCs w:val="21"/>
          <w:u w:val="single"/>
        </w:rPr>
        <w:t xml:space="preserve">         </w:t>
      </w:r>
      <w:r>
        <w:rPr>
          <w:rFonts w:hint="eastAsia" w:cs="微软雅黑" w:asciiTheme="minorEastAsia" w:hAnsiTheme="minorEastAsia" w:eastAsiaTheme="minorEastAsia"/>
          <w:spacing w:val="-2"/>
          <w:kern w:val="0"/>
          <w:position w:val="-2"/>
          <w:szCs w:val="21"/>
        </w:rPr>
        <w:t>（</w:t>
      </w:r>
      <w:r>
        <w:rPr>
          <w:rFonts w:hint="eastAsia" w:cs="微软雅黑" w:asciiTheme="minorEastAsia" w:hAnsiTheme="minorEastAsia" w:eastAsiaTheme="minorEastAsia"/>
          <w:kern w:val="0"/>
          <w:position w:val="-2"/>
          <w:szCs w:val="21"/>
        </w:rPr>
        <w:t>投</w:t>
      </w:r>
      <w:r>
        <w:rPr>
          <w:rFonts w:hint="eastAsia" w:cs="微软雅黑" w:asciiTheme="minorEastAsia" w:hAnsiTheme="minorEastAsia" w:eastAsiaTheme="minorEastAsia"/>
          <w:spacing w:val="-2"/>
          <w:kern w:val="0"/>
          <w:position w:val="-2"/>
          <w:szCs w:val="21"/>
        </w:rPr>
        <w:t>标</w:t>
      </w:r>
      <w:r>
        <w:rPr>
          <w:rFonts w:hint="eastAsia" w:cs="微软雅黑" w:asciiTheme="minorEastAsia" w:hAnsiTheme="minorEastAsia" w:eastAsiaTheme="minorEastAsia"/>
          <w:kern w:val="0"/>
          <w:position w:val="-2"/>
          <w:szCs w:val="21"/>
        </w:rPr>
        <w:t>人</w:t>
      </w:r>
      <w:r>
        <w:rPr>
          <w:rFonts w:hint="eastAsia" w:cs="微软雅黑" w:asciiTheme="minorEastAsia" w:hAnsiTheme="minorEastAsia" w:eastAsiaTheme="minorEastAsia"/>
          <w:spacing w:val="-2"/>
          <w:kern w:val="0"/>
          <w:position w:val="-2"/>
          <w:szCs w:val="21"/>
        </w:rPr>
        <w:t>名</w:t>
      </w:r>
      <w:r>
        <w:rPr>
          <w:rFonts w:hint="eastAsia" w:cs="微软雅黑" w:asciiTheme="minorEastAsia" w:hAnsiTheme="minorEastAsia" w:eastAsiaTheme="minorEastAsia"/>
          <w:kern w:val="0"/>
          <w:position w:val="-2"/>
          <w:szCs w:val="21"/>
        </w:rPr>
        <w:t>称</w:t>
      </w:r>
      <w:r>
        <w:rPr>
          <w:rFonts w:hint="eastAsia" w:cs="微软雅黑" w:asciiTheme="minorEastAsia" w:hAnsiTheme="minorEastAsia" w:eastAsiaTheme="minorEastAsia"/>
          <w:spacing w:val="-2"/>
          <w:kern w:val="0"/>
          <w:position w:val="-2"/>
          <w:szCs w:val="21"/>
        </w:rPr>
        <w:t>）</w:t>
      </w:r>
      <w:r>
        <w:rPr>
          <w:rFonts w:hint="eastAsia" w:cs="微软雅黑" w:asciiTheme="minorEastAsia" w:hAnsiTheme="minorEastAsia" w:eastAsiaTheme="minorEastAsia"/>
          <w:kern w:val="0"/>
          <w:position w:val="-2"/>
          <w:szCs w:val="21"/>
        </w:rPr>
        <w:t>的</w:t>
      </w:r>
      <w:r>
        <w:rPr>
          <w:rFonts w:hint="eastAsia" w:cs="微软雅黑" w:asciiTheme="minorEastAsia" w:hAnsiTheme="minorEastAsia" w:eastAsiaTheme="minorEastAsia"/>
          <w:spacing w:val="-2"/>
          <w:kern w:val="0"/>
          <w:position w:val="-2"/>
          <w:szCs w:val="21"/>
        </w:rPr>
        <w:t>法定</w:t>
      </w:r>
      <w:r>
        <w:rPr>
          <w:rFonts w:hint="eastAsia" w:cs="微软雅黑" w:asciiTheme="minorEastAsia" w:hAnsiTheme="minorEastAsia" w:eastAsiaTheme="minorEastAsia"/>
          <w:kern w:val="0"/>
          <w:position w:val="-2"/>
          <w:szCs w:val="21"/>
        </w:rPr>
        <w:t>代表</w:t>
      </w:r>
      <w:r>
        <w:rPr>
          <w:rFonts w:hint="eastAsia" w:cs="微软雅黑" w:asciiTheme="minorEastAsia" w:hAnsiTheme="minorEastAsia" w:eastAsiaTheme="minorEastAsia"/>
          <w:spacing w:val="-2"/>
          <w:kern w:val="0"/>
          <w:position w:val="-2"/>
          <w:szCs w:val="21"/>
        </w:rPr>
        <w:t>人</w:t>
      </w:r>
      <w:r>
        <w:rPr>
          <w:rFonts w:hint="eastAsia" w:cs="微软雅黑" w:asciiTheme="minorEastAsia" w:hAnsiTheme="minorEastAsia" w:eastAsiaTheme="minorEastAsia"/>
          <w:kern w:val="0"/>
          <w:position w:val="-2"/>
          <w:szCs w:val="21"/>
        </w:rPr>
        <w:t>（</w:t>
      </w:r>
      <w:r>
        <w:rPr>
          <w:rFonts w:hint="eastAsia" w:cs="微软雅黑" w:asciiTheme="minorEastAsia" w:hAnsiTheme="minorEastAsia" w:eastAsiaTheme="minorEastAsia"/>
          <w:spacing w:val="-2"/>
          <w:kern w:val="0"/>
          <w:position w:val="-2"/>
          <w:szCs w:val="21"/>
        </w:rPr>
        <w:t>单</w:t>
      </w:r>
      <w:r>
        <w:rPr>
          <w:rFonts w:hint="eastAsia" w:cs="微软雅黑" w:asciiTheme="minorEastAsia" w:hAnsiTheme="minorEastAsia" w:eastAsiaTheme="minorEastAsia"/>
          <w:kern w:val="0"/>
          <w:position w:val="-2"/>
          <w:szCs w:val="21"/>
        </w:rPr>
        <w:t>位</w:t>
      </w:r>
      <w:r>
        <w:rPr>
          <w:rFonts w:hint="eastAsia" w:cs="微软雅黑" w:asciiTheme="minorEastAsia" w:hAnsiTheme="minorEastAsia" w:eastAsiaTheme="minorEastAsia"/>
          <w:spacing w:val="-2"/>
          <w:kern w:val="0"/>
          <w:position w:val="-2"/>
          <w:szCs w:val="21"/>
        </w:rPr>
        <w:t>负</w:t>
      </w:r>
      <w:r>
        <w:rPr>
          <w:rFonts w:hint="eastAsia" w:cs="微软雅黑" w:asciiTheme="minorEastAsia" w:hAnsiTheme="minorEastAsia" w:eastAsiaTheme="minorEastAsia"/>
          <w:kern w:val="0"/>
          <w:position w:val="-2"/>
          <w:szCs w:val="21"/>
        </w:rPr>
        <w:t>责</w:t>
      </w:r>
      <w:r>
        <w:rPr>
          <w:rFonts w:hint="eastAsia" w:cs="微软雅黑" w:asciiTheme="minorEastAsia" w:hAnsiTheme="minorEastAsia" w:eastAsiaTheme="minorEastAsia"/>
          <w:spacing w:val="-2"/>
          <w:kern w:val="0"/>
          <w:position w:val="-2"/>
          <w:szCs w:val="21"/>
        </w:rPr>
        <w:t>人</w:t>
      </w:r>
      <w:r>
        <w:rPr>
          <w:rFonts w:hint="eastAsia" w:cs="微软雅黑" w:asciiTheme="minorEastAsia" w:hAnsiTheme="minorEastAsia" w:eastAsiaTheme="minorEastAsia"/>
          <w:spacing w:val="-106"/>
          <w:kern w:val="0"/>
          <w:position w:val="-2"/>
          <w:szCs w:val="21"/>
        </w:rPr>
        <w:t>）</w:t>
      </w:r>
      <w:r>
        <w:rPr>
          <w:rFonts w:hint="eastAsia" w:cs="微软雅黑" w:asciiTheme="minorEastAsia" w:hAnsiTheme="minorEastAsia" w:eastAsiaTheme="minorEastAsia"/>
          <w:kern w:val="0"/>
          <w:position w:val="-2"/>
          <w:szCs w:val="21"/>
        </w:rPr>
        <w:t>。</w:t>
      </w:r>
    </w:p>
    <w:p w14:paraId="38B0F88D">
      <w:pPr>
        <w:autoSpaceDE w:val="0"/>
        <w:autoSpaceDN w:val="0"/>
        <w:adjustRightInd w:val="0"/>
        <w:snapToGrid w:val="0"/>
        <w:spacing w:line="360" w:lineRule="auto"/>
        <w:ind w:left="520" w:right="-2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特此</w:t>
      </w:r>
      <w:r>
        <w:rPr>
          <w:rFonts w:hint="eastAsia" w:cs="微软雅黑" w:asciiTheme="minorEastAsia" w:hAnsiTheme="minorEastAsia" w:eastAsiaTheme="minorEastAsia"/>
          <w:spacing w:val="-2"/>
          <w:kern w:val="0"/>
          <w:szCs w:val="21"/>
        </w:rPr>
        <w:t>证</w:t>
      </w:r>
      <w:r>
        <w:rPr>
          <w:rFonts w:hint="eastAsia" w:cs="微软雅黑" w:asciiTheme="minorEastAsia" w:hAnsiTheme="minorEastAsia" w:eastAsiaTheme="minorEastAsia"/>
          <w:kern w:val="0"/>
          <w:szCs w:val="21"/>
        </w:rPr>
        <w:t>明。</w:t>
      </w:r>
    </w:p>
    <w:p w14:paraId="3B39E78D">
      <w:pPr>
        <w:autoSpaceDE w:val="0"/>
        <w:autoSpaceDN w:val="0"/>
        <w:adjustRightInd w:val="0"/>
        <w:snapToGrid w:val="0"/>
        <w:spacing w:line="360" w:lineRule="auto"/>
        <w:ind w:left="100" w:right="4231"/>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附：</w:t>
      </w: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cs="微软雅黑" w:asciiTheme="minorEastAsia" w:hAnsiTheme="minorEastAsia" w:eastAsiaTheme="minorEastAsia"/>
          <w:kern w:val="0"/>
          <w:szCs w:val="21"/>
        </w:rPr>
        <w:t>身</w:t>
      </w:r>
      <w:r>
        <w:rPr>
          <w:rFonts w:hint="eastAsia" w:cs="微软雅黑" w:asciiTheme="minorEastAsia" w:hAnsiTheme="minorEastAsia" w:eastAsiaTheme="minorEastAsia"/>
          <w:spacing w:val="-2"/>
          <w:kern w:val="0"/>
          <w:szCs w:val="21"/>
        </w:rPr>
        <w:t>份</w:t>
      </w:r>
      <w:r>
        <w:rPr>
          <w:rFonts w:hint="eastAsia" w:cs="微软雅黑" w:asciiTheme="minorEastAsia" w:hAnsiTheme="minorEastAsia" w:eastAsiaTheme="minorEastAsia"/>
          <w:kern w:val="0"/>
          <w:szCs w:val="21"/>
        </w:rPr>
        <w:t>证</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r>
        <w:rPr>
          <w:rFonts w:hint="eastAsia" w:cs="微软雅黑" w:asciiTheme="minorEastAsia" w:hAnsiTheme="minorEastAsia" w:eastAsiaTheme="minorEastAsia"/>
          <w:kern w:val="0"/>
          <w:szCs w:val="21"/>
        </w:rPr>
        <w:t>。</w:t>
      </w:r>
    </w:p>
    <w:tbl>
      <w:tblPr>
        <w:tblStyle w:val="45"/>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090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238B430B">
            <w:pPr>
              <w:adjustRightInd w:val="0"/>
              <w:snapToGrid w:val="0"/>
              <w:spacing w:line="360" w:lineRule="auto"/>
              <w:jc w:val="center"/>
              <w:rPr>
                <w:rFonts w:ascii="宋体" w:hAnsi="宋体"/>
                <w:szCs w:val="21"/>
              </w:rPr>
            </w:pPr>
            <w:r>
              <w:rPr>
                <w:rFonts w:hint="eastAsia" w:ascii="宋体" w:hAnsi="宋体"/>
                <w:szCs w:val="21"/>
              </w:rPr>
              <w:t>身份证（正面）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c>
          <w:tcPr>
            <w:tcW w:w="3899" w:type="dxa"/>
            <w:vAlign w:val="center"/>
          </w:tcPr>
          <w:p w14:paraId="56FEFDEF">
            <w:pPr>
              <w:adjustRightInd w:val="0"/>
              <w:snapToGrid w:val="0"/>
              <w:spacing w:line="360" w:lineRule="auto"/>
              <w:jc w:val="center"/>
              <w:rPr>
                <w:rFonts w:ascii="宋体" w:hAnsi="宋体"/>
                <w:szCs w:val="21"/>
              </w:rPr>
            </w:pPr>
            <w:r>
              <w:rPr>
                <w:rFonts w:hint="eastAsia" w:ascii="宋体" w:hAnsi="宋体"/>
                <w:szCs w:val="21"/>
              </w:rPr>
              <w:t>身份证（反面）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r>
    </w:tbl>
    <w:p w14:paraId="6999B701">
      <w:pPr>
        <w:adjustRightInd w:val="0"/>
        <w:snapToGrid w:val="0"/>
        <w:spacing w:line="360" w:lineRule="auto"/>
        <w:rPr>
          <w:rFonts w:ascii="宋体" w:hAnsi="宋体"/>
          <w:szCs w:val="21"/>
        </w:rPr>
      </w:pPr>
    </w:p>
    <w:p w14:paraId="04216592">
      <w:pPr>
        <w:adjustRightInd w:val="0"/>
        <w:snapToGrid w:val="0"/>
        <w:spacing w:line="360" w:lineRule="auto"/>
        <w:rPr>
          <w:rFonts w:hint="eastAsia" w:ascii="宋体" w:hAnsi="宋体"/>
          <w:szCs w:val="21"/>
          <w:lang w:val="en-US" w:eastAsia="zh-CN"/>
        </w:rPr>
      </w:pPr>
      <w:r>
        <w:rPr>
          <w:rFonts w:hint="eastAsia" w:ascii="宋体" w:hAnsi="宋体"/>
          <w:szCs w:val="21"/>
        </w:rPr>
        <w:t>注：</w:t>
      </w:r>
      <w:r>
        <w:rPr>
          <w:rFonts w:hint="eastAsia" w:ascii="宋体" w:hAnsi="宋体"/>
          <w:szCs w:val="21"/>
          <w:lang w:val="en-US" w:eastAsia="zh-CN"/>
        </w:rPr>
        <w:t>投标人为法定代表人（负责人）只需提供法定代表人（负责人）身份证明即可。</w:t>
      </w:r>
    </w:p>
    <w:p w14:paraId="73C87CF8">
      <w:pPr>
        <w:pStyle w:val="62"/>
      </w:pPr>
    </w:p>
    <w:p w14:paraId="54F2EB8B">
      <w:pPr>
        <w:adjustRightInd w:val="0"/>
        <w:snapToGrid w:val="0"/>
        <w:spacing w:line="360" w:lineRule="auto"/>
        <w:rPr>
          <w:rFonts w:hint="eastAsia" w:ascii="宋体" w:hAnsi="宋体"/>
          <w:szCs w:val="21"/>
          <w:u w:val="single"/>
        </w:rPr>
      </w:pPr>
      <w:r>
        <w:rPr>
          <w:rFonts w:hint="eastAsia" w:ascii="宋体" w:hAnsi="宋体"/>
          <w:szCs w:val="21"/>
        </w:rPr>
        <w:t>投标人名称（盖单位</w:t>
      </w:r>
      <w:r>
        <w:rPr>
          <w:rFonts w:hint="eastAsia" w:ascii="宋体" w:hAnsi="宋体"/>
          <w:szCs w:val="21"/>
          <w:lang w:eastAsia="zh-CN"/>
        </w:rPr>
        <w:t>公</w:t>
      </w:r>
      <w:r>
        <w:rPr>
          <w:rFonts w:hint="eastAsia" w:ascii="宋体" w:hAnsi="宋体"/>
          <w:szCs w:val="21"/>
        </w:rPr>
        <w:t>章）：</w:t>
      </w:r>
      <w:r>
        <w:rPr>
          <w:rFonts w:hint="eastAsia" w:ascii="宋体" w:hAnsi="宋体"/>
          <w:szCs w:val="21"/>
          <w:u w:val="single"/>
        </w:rPr>
        <w:t xml:space="preserve">         </w:t>
      </w:r>
    </w:p>
    <w:p w14:paraId="5D7C778B">
      <w:pPr>
        <w:pStyle w:val="62"/>
        <w:ind w:left="0" w:leftChars="0" w:firstLine="0" w:firstLineChars="0"/>
        <w:rPr>
          <w:rFonts w:hint="eastAsia" w:eastAsia="宋体"/>
          <w:lang w:eastAsia="zh-CN"/>
        </w:rPr>
      </w:pPr>
      <w:r>
        <w:rPr>
          <w:rFonts w:hint="eastAsia"/>
          <w:lang w:eastAsia="zh-CN"/>
        </w:rPr>
        <w:t>法定代表人联系电话：</w:t>
      </w:r>
      <w:r>
        <w:rPr>
          <w:rFonts w:hint="eastAsia" w:ascii="宋体" w:hAnsi="宋体"/>
          <w:szCs w:val="21"/>
          <w:u w:val="single"/>
        </w:rPr>
        <w:t xml:space="preserve">         </w:t>
      </w:r>
    </w:p>
    <w:p w14:paraId="0A58D287">
      <w:pPr>
        <w:adjustRightInd w:val="0"/>
        <w:snapToGrid w:val="0"/>
        <w:spacing w:line="360" w:lineRule="auto"/>
        <w:ind w:right="420"/>
        <w:rPr>
          <w:rFonts w:hint="eastAsia" w:ascii="宋体" w:hAnsi="宋体"/>
          <w:szCs w:val="21"/>
        </w:rPr>
      </w:pPr>
      <w:r>
        <w:rPr>
          <w:rFonts w:hint="eastAsia" w:cs="宋体" w:asciiTheme="minorEastAsia" w:hAnsiTheme="minorEastAsia" w:eastAsiaTheme="minorEastAsia"/>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ACAC710">
      <w:pPr>
        <w:pStyle w:val="62"/>
        <w:rPr>
          <w:rFonts w:hint="eastAsia"/>
          <w:lang w:eastAsia="zh-CN"/>
        </w:rPr>
      </w:pPr>
    </w:p>
    <w:p w14:paraId="3DE33B85">
      <w:pPr>
        <w:pStyle w:val="62"/>
        <w:rPr>
          <w:rFonts w:hint="eastAsia"/>
          <w:lang w:eastAsia="zh-CN"/>
        </w:rPr>
      </w:pPr>
    </w:p>
    <w:p w14:paraId="3348F3A2">
      <w:pPr>
        <w:pStyle w:val="62"/>
        <w:rPr>
          <w:rFonts w:hint="eastAsia" w:eastAsia="宋体"/>
          <w:lang w:eastAsia="zh-CN"/>
        </w:rPr>
      </w:pPr>
      <w:r>
        <w:rPr>
          <w:rFonts w:hint="eastAsia"/>
          <w:lang w:eastAsia="zh-CN"/>
        </w:rPr>
        <w:t>注：盖单位章时请勿将电话号码遮挡</w:t>
      </w:r>
    </w:p>
    <w:p w14:paraId="59BE11CB">
      <w:pPr>
        <w:adjustRightInd w:val="0"/>
        <w:snapToGrid w:val="0"/>
        <w:spacing w:line="360" w:lineRule="auto"/>
      </w:pPr>
    </w:p>
    <w:p w14:paraId="574E1786">
      <w:pPr>
        <w:widowControl/>
        <w:jc w:val="left"/>
      </w:pPr>
      <w:r>
        <w:br w:type="page"/>
      </w:r>
    </w:p>
    <w:p w14:paraId="69FEF236">
      <w:pPr>
        <w:pStyle w:val="4"/>
        <w:adjustRightInd w:val="0"/>
        <w:snapToGrid w:val="0"/>
        <w:spacing w:before="0" w:after="0" w:line="360" w:lineRule="auto"/>
        <w:jc w:val="center"/>
        <w:rPr>
          <w:rFonts w:ascii="黑体" w:hAnsi="宋体" w:eastAsia="黑体"/>
          <w:sz w:val="28"/>
          <w:szCs w:val="28"/>
        </w:rPr>
      </w:pPr>
      <w:bookmarkStart w:id="454" w:name="_Toc20651247"/>
      <w:r>
        <w:rPr>
          <w:rFonts w:hint="eastAsia" w:ascii="黑体" w:hAnsi="宋体" w:eastAsia="黑体"/>
          <w:sz w:val="28"/>
          <w:szCs w:val="28"/>
        </w:rPr>
        <w:t>授权委托书</w:t>
      </w:r>
      <w:bookmarkEnd w:id="454"/>
    </w:p>
    <w:p w14:paraId="6451048F">
      <w:pPr>
        <w:autoSpaceDE w:val="0"/>
        <w:autoSpaceDN w:val="0"/>
        <w:adjustRightInd w:val="0"/>
        <w:snapToGrid w:val="0"/>
        <w:spacing w:line="360" w:lineRule="auto"/>
        <w:ind w:firstLine="446" w:firstLineChars="200"/>
        <w:jc w:val="left"/>
        <w:rPr>
          <w:rFonts w:ascii="宋体" w:hAnsi="宋体"/>
          <w:b/>
          <w:spacing w:val="6"/>
          <w:szCs w:val="21"/>
        </w:rPr>
      </w:pPr>
    </w:p>
    <w:p w14:paraId="58C1EC94">
      <w:pPr>
        <w:autoSpaceDE w:val="0"/>
        <w:autoSpaceDN w:val="0"/>
        <w:adjustRightInd w:val="0"/>
        <w:snapToGrid w:val="0"/>
        <w:spacing w:line="360" w:lineRule="auto"/>
        <w:ind w:firstLine="420" w:firstLineChars="200"/>
        <w:jc w:val="left"/>
        <w:rPr>
          <w:rFonts w:ascii="宋体" w:hAnsi="宋体" w:cs="宋体"/>
          <w:kern w:val="0"/>
          <w:szCs w:val="21"/>
        </w:rPr>
      </w:pPr>
    </w:p>
    <w:p w14:paraId="579D2984">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投标人</w:t>
      </w:r>
      <w:r>
        <w:rPr>
          <w:rFonts w:hint="eastAsia" w:ascii="宋体" w:hAnsi="宋体" w:cs="宋体"/>
          <w:kern w:val="0"/>
          <w:szCs w:val="21"/>
        </w:rPr>
        <w:t>名称）的法定代表人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szCs w:val="21"/>
          <w:u w:val="single"/>
        </w:rPr>
        <w:t xml:space="preserve">              </w:t>
      </w:r>
      <w:r>
        <w:rPr>
          <w:rFonts w:hint="eastAsia" w:ascii="宋体" w:hAnsi="宋体" w:cs="宋体"/>
          <w:kern w:val="0"/>
          <w:szCs w:val="21"/>
        </w:rPr>
        <w:t>（项目名称</w:t>
      </w:r>
      <w:r>
        <w:rPr>
          <w:rFonts w:ascii="宋体" w:hAnsi="宋体" w:cs="宋体"/>
          <w:kern w:val="0"/>
          <w:szCs w:val="21"/>
        </w:rPr>
        <w:t>）</w:t>
      </w:r>
      <w:r>
        <w:rPr>
          <w:rFonts w:hint="eastAsia" w:ascii="宋体" w:hAnsi="宋体" w:cs="宋体"/>
          <w:kern w:val="0"/>
          <w:szCs w:val="21"/>
        </w:rPr>
        <w:t>（</w:t>
      </w:r>
      <w:r>
        <w:rPr>
          <w:rFonts w:hint="eastAsia" w:asciiTheme="minorEastAsia" w:hAnsiTheme="minorEastAsia" w:eastAsiaTheme="minorEastAsia"/>
        </w:rPr>
        <w:t>政府</w:t>
      </w:r>
      <w:r>
        <w:rPr>
          <w:rFonts w:hint="eastAsia" w:asciiTheme="minorEastAsia" w:hAnsiTheme="minorEastAsia" w:eastAsiaTheme="minorEastAsia"/>
          <w:iCs/>
        </w:rPr>
        <w:t>采购编号：</w:t>
      </w:r>
      <w:r>
        <w:rPr>
          <w:rFonts w:hint="eastAsia" w:asciiTheme="minorEastAsia" w:hAnsiTheme="minorEastAsia" w:eastAsiaTheme="minorEastAsia"/>
          <w:iCs/>
          <w:u w:val="single"/>
        </w:rPr>
        <w:t xml:space="preserve">      </w:t>
      </w:r>
      <w:r>
        <w:rPr>
          <w:rFonts w:hint="eastAsia" w:asciiTheme="minorEastAsia" w:hAnsiTheme="minorEastAsia" w:eastAsiaTheme="minorEastAsia"/>
          <w:iCs/>
        </w:rPr>
        <w:t xml:space="preserve"> ，</w:t>
      </w:r>
      <w:r>
        <w:rPr>
          <w:rFonts w:hint="eastAsia" w:ascii="宋体" w:hAnsi="宋体" w:cs="宋体"/>
          <w:kern w:val="0"/>
          <w:szCs w:val="21"/>
        </w:rPr>
        <w:t>采购</w:t>
      </w:r>
      <w:r>
        <w:rPr>
          <w:rFonts w:hint="eastAsia" w:ascii="宋体" w:hAnsi="宋体" w:cs="宋体"/>
          <w:kern w:val="0"/>
          <w:szCs w:val="21"/>
          <w:lang w:val="en-US" w:eastAsia="zh-CN"/>
        </w:rPr>
        <w:t>计划</w:t>
      </w:r>
      <w:r>
        <w:rPr>
          <w:rFonts w:hint="eastAsia" w:ascii="宋体" w:hAnsi="宋体" w:cs="宋体"/>
          <w:kern w:val="0"/>
          <w:szCs w:val="21"/>
        </w:rPr>
        <w:t>编号：</w:t>
      </w:r>
      <w:r>
        <w:rPr>
          <w:rFonts w:hint="eastAsia" w:ascii="宋体" w:hAnsi="宋体" w:cs="宋体"/>
          <w:kern w:val="0"/>
          <w:szCs w:val="21"/>
          <w:u w:val="single"/>
        </w:rPr>
        <w:t xml:space="preserve">       </w:t>
      </w:r>
      <w:r>
        <w:rPr>
          <w:rFonts w:hint="eastAsia" w:ascii="宋体" w:hAnsi="宋体" w:cs="宋体"/>
          <w:kern w:val="0"/>
          <w:szCs w:val="21"/>
        </w:rPr>
        <w:t>）投标文件、签订合同和处理有关事宜，其法律后果由我方承担。</w:t>
      </w:r>
    </w:p>
    <w:p w14:paraId="611B6842">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33DC76E7">
      <w:pPr>
        <w:adjustRightInd w:val="0"/>
        <w:snapToGrid w:val="0"/>
        <w:spacing w:line="360" w:lineRule="auto"/>
        <w:ind w:firstLine="435"/>
        <w:rPr>
          <w:rFonts w:ascii="宋体" w:hAnsi="宋体" w:cs="宋体"/>
          <w:kern w:val="0"/>
          <w:szCs w:val="21"/>
        </w:rPr>
      </w:pPr>
      <w:r>
        <w:rPr>
          <w:rFonts w:hint="eastAsia" w:ascii="宋体" w:hAnsi="宋体" w:cs="宋体"/>
          <w:kern w:val="0"/>
          <w:szCs w:val="21"/>
        </w:rPr>
        <w:t>代理人无转委托权。</w:t>
      </w:r>
    </w:p>
    <w:p w14:paraId="19757812">
      <w:pPr>
        <w:adjustRightInd w:val="0"/>
        <w:snapToGrid w:val="0"/>
        <w:spacing w:line="360" w:lineRule="auto"/>
        <w:ind w:firstLine="435"/>
        <w:rPr>
          <w:rFonts w:cs="微软雅黑" w:asciiTheme="minorEastAsia" w:hAnsiTheme="minorEastAsia" w:eastAsiaTheme="minorEastAsia"/>
          <w:kern w:val="0"/>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tbl>
      <w:tblPr>
        <w:tblStyle w:val="45"/>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1445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65" w:hRule="atLeast"/>
        </w:trPr>
        <w:tc>
          <w:tcPr>
            <w:tcW w:w="3898" w:type="dxa"/>
            <w:vAlign w:val="center"/>
          </w:tcPr>
          <w:p w14:paraId="517BA024">
            <w:pPr>
              <w:adjustRightInd w:val="0"/>
              <w:snapToGrid w:val="0"/>
              <w:spacing w:line="360" w:lineRule="auto"/>
              <w:jc w:val="center"/>
              <w:rPr>
                <w:rFonts w:ascii="宋体" w:hAnsi="宋体"/>
                <w:szCs w:val="21"/>
              </w:rPr>
            </w:pPr>
            <w:r>
              <w:rPr>
                <w:rFonts w:hint="eastAsia" w:ascii="宋体" w:hAnsi="宋体"/>
                <w:szCs w:val="21"/>
              </w:rPr>
              <w:t>身份证（正面）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c>
          <w:tcPr>
            <w:tcW w:w="3899" w:type="dxa"/>
            <w:vAlign w:val="center"/>
          </w:tcPr>
          <w:p w14:paraId="5803D251">
            <w:pPr>
              <w:adjustRightInd w:val="0"/>
              <w:snapToGrid w:val="0"/>
              <w:spacing w:line="360" w:lineRule="auto"/>
              <w:jc w:val="center"/>
              <w:rPr>
                <w:rFonts w:ascii="宋体" w:hAnsi="宋体"/>
                <w:szCs w:val="21"/>
              </w:rPr>
            </w:pPr>
            <w:r>
              <w:rPr>
                <w:rFonts w:hint="eastAsia" w:ascii="宋体" w:hAnsi="宋体"/>
                <w:szCs w:val="21"/>
              </w:rPr>
              <w:t>身份证（反面）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r>
    </w:tbl>
    <w:p w14:paraId="47993257">
      <w:pPr>
        <w:adjustRightInd w:val="0"/>
        <w:snapToGrid w:val="0"/>
        <w:spacing w:line="360" w:lineRule="auto"/>
        <w:ind w:firstLine="420" w:firstLineChars="200"/>
        <w:rPr>
          <w:rFonts w:ascii="宋体" w:hAnsi="宋体"/>
          <w:szCs w:val="21"/>
        </w:rPr>
      </w:pPr>
    </w:p>
    <w:p w14:paraId="287774C7">
      <w:pPr>
        <w:adjustRightInd w:val="0"/>
        <w:snapToGrid w:val="0"/>
        <w:spacing w:line="360" w:lineRule="auto"/>
        <w:ind w:firstLine="420" w:firstLineChars="200"/>
        <w:rPr>
          <w:rFonts w:ascii="宋体" w:hAnsi="宋体"/>
          <w:szCs w:val="21"/>
        </w:rPr>
      </w:pPr>
    </w:p>
    <w:p w14:paraId="3076AD3B">
      <w:pPr>
        <w:adjustRightInd w:val="0"/>
        <w:snapToGrid w:val="0"/>
        <w:spacing w:line="360" w:lineRule="auto"/>
        <w:rPr>
          <w:rFonts w:ascii="宋体" w:hAnsi="宋体"/>
          <w:szCs w:val="21"/>
        </w:rPr>
      </w:pPr>
      <w:r>
        <w:rPr>
          <w:rFonts w:hint="eastAsia" w:ascii="宋体" w:hAnsi="宋体"/>
          <w:szCs w:val="21"/>
        </w:rPr>
        <w:t>注：</w:t>
      </w:r>
      <w:r>
        <w:rPr>
          <w:rFonts w:hint="eastAsia" w:ascii="宋体" w:hAnsi="宋体"/>
          <w:szCs w:val="21"/>
          <w:lang w:val="en-US" w:eastAsia="zh-CN"/>
        </w:rPr>
        <w:t>投标人为委托代表</w:t>
      </w:r>
      <w:r>
        <w:rPr>
          <w:rFonts w:hint="eastAsia" w:ascii="宋体" w:hAnsi="宋体"/>
          <w:szCs w:val="21"/>
        </w:rPr>
        <w:t>人</w:t>
      </w:r>
      <w:r>
        <w:rPr>
          <w:rFonts w:hint="eastAsia" w:ascii="宋体" w:hAnsi="宋体"/>
          <w:szCs w:val="21"/>
          <w:lang w:eastAsia="zh-CN"/>
        </w:rPr>
        <w:t>，</w:t>
      </w:r>
      <w:r>
        <w:rPr>
          <w:rFonts w:hint="eastAsia" w:ascii="宋体" w:hAnsi="宋体"/>
          <w:szCs w:val="21"/>
          <w:lang w:val="en-US" w:eastAsia="zh-CN"/>
        </w:rPr>
        <w:t>需提供法定代表人（负责人）身份证明并附授权委托书。</w:t>
      </w:r>
    </w:p>
    <w:p w14:paraId="35619580">
      <w:pPr>
        <w:adjustRightInd w:val="0"/>
        <w:snapToGrid w:val="0"/>
        <w:spacing w:line="360" w:lineRule="auto"/>
        <w:ind w:firstLine="420" w:firstLineChars="200"/>
        <w:rPr>
          <w:rFonts w:ascii="宋体" w:hAnsi="宋体"/>
          <w:szCs w:val="21"/>
        </w:rPr>
      </w:pPr>
    </w:p>
    <w:p w14:paraId="2780B2A8">
      <w:pPr>
        <w:adjustRightInd w:val="0"/>
        <w:snapToGrid w:val="0"/>
        <w:spacing w:line="360" w:lineRule="auto"/>
        <w:ind w:firstLine="420" w:firstLineChars="200"/>
        <w:rPr>
          <w:rFonts w:ascii="宋体" w:hAnsi="宋体"/>
          <w:szCs w:val="21"/>
        </w:rPr>
      </w:pPr>
    </w:p>
    <w:p w14:paraId="629C1E01">
      <w:pPr>
        <w:adjustRightInd w:val="0"/>
        <w:snapToGrid w:val="0"/>
        <w:spacing w:line="360" w:lineRule="auto"/>
        <w:rPr>
          <w:rFonts w:ascii="宋体" w:hAnsi="宋体"/>
          <w:szCs w:val="21"/>
        </w:rPr>
      </w:pPr>
      <w:r>
        <w:rPr>
          <w:rFonts w:hint="eastAsia" w:ascii="宋体" w:hAnsi="宋体"/>
          <w:szCs w:val="21"/>
        </w:rPr>
        <w:t>投标人名称（盖单位</w:t>
      </w:r>
      <w:r>
        <w:rPr>
          <w:rFonts w:hint="eastAsia" w:ascii="宋体" w:hAnsi="宋体"/>
          <w:szCs w:val="21"/>
          <w:lang w:eastAsia="zh-CN"/>
        </w:rPr>
        <w:t>公</w:t>
      </w:r>
      <w:r>
        <w:rPr>
          <w:rFonts w:hint="eastAsia" w:ascii="宋体" w:hAnsi="宋体"/>
          <w:szCs w:val="21"/>
        </w:rPr>
        <w:t>章）：</w:t>
      </w:r>
    </w:p>
    <w:p w14:paraId="12EDCE7E">
      <w:pPr>
        <w:adjustRightInd w:val="0"/>
        <w:snapToGrid w:val="0"/>
        <w:spacing w:line="360" w:lineRule="auto"/>
        <w:ind w:right="420"/>
        <w:rPr>
          <w:rFonts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（签字或印章）：</w:t>
      </w:r>
      <w:r>
        <w:rPr>
          <w:rFonts w:hint="eastAsia" w:ascii="宋体" w:hAnsi="宋体"/>
          <w:szCs w:val="21"/>
          <w:u w:val="single"/>
        </w:rPr>
        <w:t xml:space="preserve">                     </w:t>
      </w:r>
    </w:p>
    <w:p w14:paraId="0C315B06">
      <w:pPr>
        <w:adjustRightInd w:val="0"/>
        <w:snapToGrid w:val="0"/>
        <w:spacing w:line="360" w:lineRule="auto"/>
        <w:ind w:right="420"/>
        <w:rPr>
          <w:rFonts w:hint="eastAsia" w:ascii="宋体" w:hAnsi="宋体"/>
          <w:szCs w:val="21"/>
          <w:u w:val="single"/>
        </w:rPr>
      </w:pPr>
      <w:r>
        <w:rPr>
          <w:rFonts w:hint="eastAsia" w:ascii="宋体" w:hAnsi="宋体"/>
          <w:szCs w:val="21"/>
        </w:rPr>
        <w:t>委托代理人（签字或印章）：</w:t>
      </w:r>
      <w:r>
        <w:rPr>
          <w:rFonts w:hint="eastAsia" w:ascii="宋体" w:hAnsi="宋体"/>
          <w:szCs w:val="21"/>
          <w:u w:val="single"/>
        </w:rPr>
        <w:t xml:space="preserve">                     </w:t>
      </w:r>
    </w:p>
    <w:p w14:paraId="28E9DD30">
      <w:pPr>
        <w:adjustRightInd w:val="0"/>
        <w:snapToGrid w:val="0"/>
        <w:spacing w:line="360" w:lineRule="auto"/>
        <w:ind w:right="420"/>
      </w:pPr>
      <w:r>
        <w:rPr>
          <w:rFonts w:hint="eastAsia" w:ascii="宋体" w:hAnsi="宋体"/>
          <w:szCs w:val="21"/>
        </w:rPr>
        <w:t>委托代理人</w:t>
      </w:r>
      <w:r>
        <w:rPr>
          <w:rFonts w:hint="eastAsia" w:ascii="宋体" w:hAnsi="宋体"/>
          <w:szCs w:val="21"/>
          <w:lang w:eastAsia="zh-CN"/>
        </w:rPr>
        <w:t>联系电话</w:t>
      </w:r>
      <w:r>
        <w:rPr>
          <w:rFonts w:hint="eastAsia" w:ascii="宋体" w:hAnsi="宋体"/>
          <w:szCs w:val="21"/>
        </w:rPr>
        <w:t>：</w:t>
      </w:r>
      <w:r>
        <w:rPr>
          <w:rFonts w:hint="eastAsia" w:ascii="宋体" w:hAnsi="宋体"/>
          <w:szCs w:val="21"/>
          <w:u w:val="single"/>
        </w:rPr>
        <w:t xml:space="preserve">                     </w:t>
      </w:r>
    </w:p>
    <w:p w14:paraId="31877C74">
      <w:pPr>
        <w:adjustRightInd w:val="0"/>
        <w:snapToGrid w:val="0"/>
        <w:spacing w:line="360" w:lineRule="auto"/>
        <w:ind w:right="420"/>
        <w:rPr>
          <w:rFonts w:ascii="宋体" w:hAnsi="宋体"/>
          <w:szCs w:val="21"/>
        </w:rPr>
      </w:pPr>
      <w:r>
        <w:rPr>
          <w:rFonts w:hint="eastAsia" w:cs="宋体" w:asciiTheme="minorEastAsia" w:hAnsiTheme="minorEastAsia" w:eastAsiaTheme="minorEastAsia"/>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0D1B785">
      <w:pPr>
        <w:pStyle w:val="62"/>
        <w:rPr>
          <w:rFonts w:hint="eastAsia"/>
          <w:lang w:eastAsia="zh-CN"/>
        </w:rPr>
      </w:pPr>
    </w:p>
    <w:p w14:paraId="5D48810F">
      <w:pPr>
        <w:pStyle w:val="62"/>
        <w:rPr>
          <w:rFonts w:hint="eastAsia"/>
          <w:lang w:eastAsia="zh-CN"/>
        </w:rPr>
      </w:pPr>
    </w:p>
    <w:p w14:paraId="120B4FCE">
      <w:pPr>
        <w:pStyle w:val="62"/>
        <w:rPr>
          <w:rFonts w:hint="eastAsia" w:eastAsia="宋体"/>
          <w:lang w:eastAsia="zh-CN"/>
        </w:rPr>
      </w:pPr>
      <w:r>
        <w:rPr>
          <w:rFonts w:hint="eastAsia"/>
          <w:lang w:eastAsia="zh-CN"/>
        </w:rPr>
        <w:t>注：盖单位章时请勿将电话号码遮挡</w:t>
      </w:r>
    </w:p>
    <w:p w14:paraId="49AC673D">
      <w:pPr>
        <w:adjustRightInd w:val="0"/>
        <w:snapToGrid w:val="0"/>
        <w:spacing w:line="480" w:lineRule="auto"/>
        <w:ind w:right="420"/>
        <w:rPr>
          <w:rFonts w:hint="eastAsia" w:ascii="宋体" w:hAnsi="宋体" w:eastAsia="宋体" w:cs="宋体"/>
          <w:b/>
          <w:bCs/>
          <w:color w:val="auto"/>
          <w:sz w:val="24"/>
          <w:szCs w:val="24"/>
        </w:rPr>
      </w:pPr>
    </w:p>
    <w:p w14:paraId="6827D9ED">
      <w:pPr>
        <w:rPr>
          <w:rFonts w:hint="eastAsia" w:ascii="宋体" w:hAnsi="宋体" w:eastAsia="宋体" w:cs="宋体"/>
          <w:color w:val="auto"/>
          <w:sz w:val="24"/>
          <w:u w:val="none"/>
        </w:rPr>
      </w:pPr>
    </w:p>
    <w:p w14:paraId="20CFB2D2">
      <w:pPr>
        <w:rPr>
          <w:rFonts w:hint="eastAsia" w:ascii="宋体" w:hAnsi="宋体" w:eastAsia="宋体" w:cs="宋体"/>
          <w:color w:val="auto"/>
          <w:sz w:val="24"/>
        </w:rPr>
      </w:pPr>
    </w:p>
    <w:p w14:paraId="607DCCB6">
      <w:pPr>
        <w:rPr>
          <w:rFonts w:hint="eastAsia" w:ascii="宋体" w:hAnsi="宋体" w:eastAsia="宋体" w:cs="宋体"/>
          <w:color w:val="auto"/>
          <w:sz w:val="24"/>
        </w:rPr>
      </w:pPr>
      <w:r>
        <w:rPr>
          <w:rFonts w:hint="eastAsia" w:ascii="宋体" w:hAnsi="宋体" w:eastAsia="宋体" w:cs="宋体"/>
          <w:color w:val="auto"/>
          <w:sz w:val="24"/>
        </w:rPr>
        <w:br w:type="page"/>
      </w:r>
    </w:p>
    <w:p w14:paraId="53A178D0">
      <w:pPr>
        <w:pStyle w:val="4"/>
        <w:bidi w:val="0"/>
        <w:jc w:val="center"/>
        <w:rPr>
          <w:rFonts w:hint="eastAsia" w:ascii="宋体" w:hAnsi="宋体" w:eastAsia="宋体" w:cs="宋体"/>
          <w:sz w:val="28"/>
          <w:szCs w:val="28"/>
        </w:rPr>
      </w:pPr>
      <w:bookmarkStart w:id="455" w:name="_Toc30115"/>
      <w:bookmarkStart w:id="456" w:name="_Toc9961"/>
      <w:bookmarkStart w:id="457" w:name="_Toc17515"/>
      <w:bookmarkStart w:id="458" w:name="_Toc31691"/>
      <w:bookmarkStart w:id="459" w:name="_Toc22890"/>
      <w:bookmarkStart w:id="460" w:name="_Toc18836"/>
      <w:bookmarkStart w:id="461" w:name="_Toc22937"/>
      <w:r>
        <w:rPr>
          <w:rFonts w:hint="eastAsia" w:ascii="宋体" w:hAnsi="宋体" w:cs="宋体"/>
          <w:sz w:val="28"/>
          <w:szCs w:val="28"/>
          <w:lang w:val="en-US" w:eastAsia="zh-CN"/>
        </w:rPr>
        <w:t>二</w:t>
      </w:r>
      <w:r>
        <w:rPr>
          <w:rFonts w:hint="eastAsia" w:ascii="宋体" w:hAnsi="宋体" w:eastAsia="宋体" w:cs="宋体"/>
          <w:sz w:val="28"/>
          <w:szCs w:val="28"/>
        </w:rPr>
        <w:t>、</w:t>
      </w:r>
      <w:r>
        <w:rPr>
          <w:rFonts w:hint="eastAsia" w:ascii="宋体" w:hAnsi="宋体" w:eastAsia="宋体" w:cs="宋体"/>
          <w:sz w:val="28"/>
          <w:szCs w:val="28"/>
          <w:lang w:eastAsia="zh-CN"/>
        </w:rPr>
        <w:t>投标供应商</w:t>
      </w:r>
      <w:r>
        <w:rPr>
          <w:rFonts w:hint="eastAsia" w:ascii="宋体" w:hAnsi="宋体" w:eastAsia="宋体" w:cs="宋体"/>
          <w:sz w:val="28"/>
          <w:szCs w:val="28"/>
        </w:rPr>
        <w:t>提供的资格证明文件</w:t>
      </w:r>
      <w:bookmarkEnd w:id="455"/>
      <w:bookmarkEnd w:id="456"/>
      <w:bookmarkEnd w:id="457"/>
      <w:bookmarkEnd w:id="458"/>
      <w:bookmarkEnd w:id="459"/>
      <w:bookmarkEnd w:id="460"/>
      <w:bookmarkEnd w:id="461"/>
      <w:bookmarkStart w:id="462" w:name="_Toc294206743"/>
      <w:bookmarkStart w:id="463" w:name="_Toc294186060"/>
    </w:p>
    <w:p w14:paraId="22A98F6F">
      <w:pPr>
        <w:pStyle w:val="24"/>
        <w:adjustRightInd w:val="0"/>
        <w:snapToGrid w:val="0"/>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须  知</w:t>
      </w:r>
    </w:p>
    <w:p w14:paraId="7065C349">
      <w:pPr>
        <w:tabs>
          <w:tab w:val="left" w:pos="4725"/>
        </w:tabs>
        <w:adjustRightInd w:val="0"/>
        <w:snapToGrid w:val="0"/>
        <w:spacing w:before="156" w:beforeLines="50"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color w:val="auto"/>
          <w:sz w:val="24"/>
          <w:szCs w:val="24"/>
        </w:rPr>
        <w:t>1、投标人</w:t>
      </w:r>
      <w:r>
        <w:rPr>
          <w:rFonts w:hint="eastAsia" w:ascii="宋体" w:hAnsi="宋体" w:eastAsia="宋体" w:cs="宋体"/>
          <w:b/>
          <w:bCs/>
          <w:color w:val="auto"/>
          <w:sz w:val="24"/>
          <w:szCs w:val="24"/>
        </w:rPr>
        <w:t>应按第二章第1</w:t>
      </w:r>
      <w:r>
        <w:rPr>
          <w:rFonts w:hint="eastAsia" w:ascii="宋体" w:hAnsi="宋体" w:cs="宋体"/>
          <w:b/>
          <w:bCs/>
          <w:color w:val="auto"/>
          <w:sz w:val="24"/>
          <w:szCs w:val="24"/>
          <w:lang w:val="en-US" w:eastAsia="zh-CN"/>
        </w:rPr>
        <w:t>4</w:t>
      </w:r>
      <w:r>
        <w:rPr>
          <w:rFonts w:hint="eastAsia" w:ascii="宋体" w:hAnsi="宋体" w:eastAsia="宋体" w:cs="宋体"/>
          <w:b/>
          <w:bCs/>
          <w:color w:val="auto"/>
          <w:sz w:val="24"/>
          <w:szCs w:val="24"/>
        </w:rPr>
        <w:t>.1款要求提供下列的证明材料</w:t>
      </w:r>
    </w:p>
    <w:p w14:paraId="2D970C9C">
      <w:pPr>
        <w:tabs>
          <w:tab w:val="left" w:pos="4725"/>
        </w:tabs>
        <w:adjustRightInd w:val="0"/>
        <w:snapToGrid w:val="0"/>
        <w:spacing w:before="156" w:beforeLines="50" w:line="360" w:lineRule="auto"/>
        <w:ind w:firstLine="840" w:firstLineChars="350"/>
        <w:rPr>
          <w:rFonts w:hint="eastAsia" w:ascii="宋体" w:hAnsi="宋体" w:eastAsia="宋体" w:cs="宋体"/>
          <w:color w:val="auto"/>
          <w:sz w:val="24"/>
          <w:szCs w:val="24"/>
        </w:rPr>
      </w:pPr>
      <w:r>
        <w:rPr>
          <w:rFonts w:hint="eastAsia" w:ascii="宋体" w:hAnsi="宋体" w:eastAsia="宋体" w:cs="宋体"/>
          <w:color w:val="auto"/>
          <w:sz w:val="24"/>
          <w:szCs w:val="24"/>
        </w:rPr>
        <w:t>附件</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-1 法人或者其他组织的营业执照等主体资格证明文件，自然人的身份证明</w:t>
      </w:r>
    </w:p>
    <w:p w14:paraId="241BE9F1">
      <w:pPr>
        <w:tabs>
          <w:tab w:val="left" w:pos="4725"/>
        </w:tabs>
        <w:adjustRightInd w:val="0"/>
        <w:snapToGrid w:val="0"/>
        <w:spacing w:before="156" w:beforeLines="50" w:line="360" w:lineRule="auto"/>
        <w:ind w:firstLine="840" w:firstLineChars="350"/>
        <w:rPr>
          <w:rFonts w:hint="eastAsia" w:ascii="宋体" w:hAnsi="宋体" w:eastAsia="宋体" w:cs="宋体"/>
          <w:color w:val="auto"/>
          <w:sz w:val="24"/>
          <w:szCs w:val="24"/>
        </w:rPr>
      </w:pPr>
      <w:r>
        <w:rPr>
          <w:rFonts w:hint="eastAsia" w:ascii="宋体" w:hAnsi="宋体" w:eastAsia="宋体" w:cs="宋体"/>
          <w:color w:val="auto"/>
          <w:sz w:val="24"/>
          <w:szCs w:val="24"/>
        </w:rPr>
        <w:t>附件</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 xml:space="preserve">-2 </w:t>
      </w:r>
      <w:r>
        <w:rPr>
          <w:rFonts w:hint="eastAsia" w:ascii="宋体" w:hAnsi="宋体" w:cs="宋体"/>
          <w:color w:val="auto"/>
          <w:sz w:val="24"/>
          <w:szCs w:val="24"/>
          <w:lang w:val="en-US" w:eastAsia="zh-CN"/>
        </w:rPr>
        <w:t>资格声明</w:t>
      </w:r>
      <w:r>
        <w:rPr>
          <w:rFonts w:hint="eastAsia" w:ascii="宋体" w:hAnsi="宋体" w:eastAsia="宋体" w:cs="宋体"/>
          <w:color w:val="auto"/>
          <w:sz w:val="24"/>
          <w:szCs w:val="24"/>
        </w:rPr>
        <w:t>(格式)</w:t>
      </w:r>
    </w:p>
    <w:p w14:paraId="15466C87">
      <w:pPr>
        <w:tabs>
          <w:tab w:val="left" w:pos="4725"/>
        </w:tabs>
        <w:adjustRightInd w:val="0"/>
        <w:snapToGrid w:val="0"/>
        <w:spacing w:before="156" w:beforeLines="50" w:line="360" w:lineRule="auto"/>
        <w:ind w:firstLine="840" w:firstLineChars="350"/>
        <w:rPr>
          <w:rFonts w:hint="eastAsia" w:ascii="宋体" w:hAnsi="宋体" w:eastAsia="宋体" w:cs="宋体"/>
          <w:color w:val="auto"/>
          <w:sz w:val="24"/>
          <w:szCs w:val="24"/>
        </w:rPr>
      </w:pPr>
      <w:r>
        <w:rPr>
          <w:rFonts w:hint="eastAsia" w:ascii="宋体" w:hAnsi="宋体" w:eastAsia="宋体" w:cs="宋体"/>
          <w:color w:val="auto"/>
          <w:sz w:val="24"/>
          <w:szCs w:val="24"/>
        </w:rPr>
        <w:t>附件</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-3 符合特定资格条件证明材料复印件或者情况说明</w:t>
      </w:r>
    </w:p>
    <w:p w14:paraId="15A389DD">
      <w:pPr>
        <w:pStyle w:val="16"/>
        <w:rPr>
          <w:rFonts w:hint="eastAsia" w:ascii="宋体" w:hAnsi="宋体" w:eastAsia="宋体" w:cs="宋体"/>
        </w:rPr>
      </w:pPr>
    </w:p>
    <w:p w14:paraId="38B1416E">
      <w:pPr>
        <w:pStyle w:val="16"/>
        <w:rPr>
          <w:rFonts w:hint="eastAsia" w:ascii="宋体" w:hAnsi="宋体" w:eastAsia="宋体" w:cs="宋体"/>
          <w:color w:val="auto"/>
        </w:rPr>
      </w:pPr>
    </w:p>
    <w:p w14:paraId="1F7C6059">
      <w:pPr>
        <w:widowControl/>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br w:type="page"/>
      </w:r>
    </w:p>
    <w:p w14:paraId="294C3DBC">
      <w:pPr>
        <w:pStyle w:val="5"/>
        <w:rPr>
          <w:rFonts w:hint="eastAsia" w:ascii="宋体" w:hAnsi="宋体" w:eastAsia="宋体" w:cs="宋体"/>
          <w:b w:val="0"/>
          <w:color w:val="auto"/>
          <w:sz w:val="24"/>
          <w:szCs w:val="24"/>
        </w:rPr>
      </w:pPr>
      <w:bookmarkStart w:id="464" w:name="_Toc590"/>
      <w:bookmarkStart w:id="465" w:name="_Toc15096"/>
      <w:bookmarkStart w:id="466" w:name="_Toc20795"/>
      <w:r>
        <w:rPr>
          <w:rFonts w:hint="eastAsia" w:ascii="宋体" w:hAnsi="宋体" w:eastAsia="宋体" w:cs="宋体"/>
          <w:b w:val="0"/>
          <w:color w:val="auto"/>
          <w:sz w:val="24"/>
          <w:szCs w:val="24"/>
        </w:rPr>
        <w:t>附件</w:t>
      </w:r>
      <w:r>
        <w:rPr>
          <w:rFonts w:hint="eastAsia" w:ascii="宋体" w:hAnsi="宋体" w:cs="宋体"/>
          <w:b w:val="0"/>
          <w:color w:val="auto"/>
          <w:sz w:val="24"/>
          <w:szCs w:val="24"/>
          <w:lang w:val="en-US" w:eastAsia="zh-CN"/>
        </w:rPr>
        <w:t>2</w:t>
      </w:r>
      <w:r>
        <w:rPr>
          <w:rFonts w:hint="eastAsia" w:ascii="宋体" w:hAnsi="宋体" w:eastAsia="宋体" w:cs="宋体"/>
          <w:b w:val="0"/>
          <w:color w:val="auto"/>
          <w:sz w:val="24"/>
          <w:szCs w:val="24"/>
        </w:rPr>
        <w:t>-1 法人或者其他组织的营业执照等主体资格证明文件，自然人的身份证明</w:t>
      </w:r>
      <w:bookmarkEnd w:id="464"/>
    </w:p>
    <w:p w14:paraId="48DB9D39">
      <w:pPr>
        <w:widowControl/>
        <w:adjustRightInd w:val="0"/>
        <w:snapToGrid w:val="0"/>
        <w:spacing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法人或者其他组织的营业执照等主体资格证明文件，自然人的身份证明</w:t>
      </w:r>
    </w:p>
    <w:p w14:paraId="23C3DB51">
      <w:pPr>
        <w:widowControl/>
        <w:adjustRightInd w:val="0"/>
        <w:snapToGrid w:val="0"/>
        <w:spacing w:before="156" w:beforeLines="50" w:line="360" w:lineRule="auto"/>
        <w:ind w:firstLine="420" w:firstLineChars="200"/>
        <w:jc w:val="left"/>
        <w:rPr>
          <w:rFonts w:hint="eastAsia" w:ascii="宋体" w:hAnsi="宋体" w:eastAsia="宋体" w:cs="宋体"/>
          <w:color w:val="auto"/>
          <w:szCs w:val="21"/>
        </w:rPr>
      </w:pPr>
    </w:p>
    <w:p w14:paraId="5CB4CEE4">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注：按第二章第14.1（</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）项要求提供。</w:t>
      </w:r>
    </w:p>
    <w:p w14:paraId="0DC06360">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（1）投标人为法人的，应提交营业执照或法人登记证书的复印件</w:t>
      </w:r>
      <w:r>
        <w:rPr>
          <w:rFonts w:hint="eastAsia" w:ascii="宋体" w:hAnsi="宋体" w:cs="宋体"/>
          <w:color w:val="auto"/>
          <w:sz w:val="24"/>
          <w:szCs w:val="24"/>
          <w:lang w:eastAsia="zh-CN"/>
        </w:rPr>
        <w:t>（</w:t>
      </w:r>
      <w:r>
        <w:rPr>
          <w:rStyle w:val="46"/>
          <w:rFonts w:hint="eastAsia" w:ascii="宋体" w:hAnsi="宋体" w:cs="宋体"/>
          <w:bCs/>
          <w:sz w:val="24"/>
          <w:szCs w:val="22"/>
          <w:highlight w:val="none"/>
          <w:lang w:eastAsia="zh-CN"/>
        </w:rPr>
        <w:t>或扫描件）并加盖单位公章</w:t>
      </w:r>
      <w:r>
        <w:rPr>
          <w:rFonts w:hint="eastAsia" w:ascii="宋体" w:hAnsi="宋体" w:eastAsia="宋体" w:cs="宋体"/>
          <w:color w:val="auto"/>
          <w:sz w:val="24"/>
          <w:szCs w:val="24"/>
        </w:rPr>
        <w:t>；</w:t>
      </w:r>
    </w:p>
    <w:p w14:paraId="2EACB44F">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（2）投标人为非法人组织的，应提交依法登记证书复印件</w:t>
      </w:r>
      <w:r>
        <w:rPr>
          <w:rFonts w:hint="eastAsia" w:ascii="宋体" w:hAnsi="宋体" w:cs="宋体"/>
          <w:color w:val="auto"/>
          <w:sz w:val="24"/>
          <w:szCs w:val="24"/>
          <w:lang w:eastAsia="zh-CN"/>
        </w:rPr>
        <w:t>（</w:t>
      </w:r>
      <w:r>
        <w:rPr>
          <w:rStyle w:val="46"/>
          <w:rFonts w:hint="eastAsia" w:ascii="宋体" w:hAnsi="宋体" w:cs="宋体"/>
          <w:bCs/>
          <w:sz w:val="24"/>
          <w:szCs w:val="22"/>
          <w:highlight w:val="none"/>
          <w:lang w:eastAsia="zh-CN"/>
        </w:rPr>
        <w:t>或扫描件）并加盖单位公章</w:t>
      </w:r>
      <w:r>
        <w:rPr>
          <w:rFonts w:hint="eastAsia" w:ascii="宋体" w:hAnsi="宋体" w:eastAsia="宋体" w:cs="宋体"/>
          <w:color w:val="auto"/>
          <w:sz w:val="24"/>
          <w:szCs w:val="24"/>
        </w:rPr>
        <w:t>；</w:t>
      </w:r>
    </w:p>
    <w:p w14:paraId="484FC1D6">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（3）投标人为个体工商户的，应提交个体工商户营业执照复印件</w:t>
      </w:r>
      <w:r>
        <w:rPr>
          <w:rFonts w:hint="eastAsia" w:ascii="宋体" w:hAnsi="宋体" w:cs="宋体"/>
          <w:color w:val="auto"/>
          <w:sz w:val="24"/>
          <w:szCs w:val="24"/>
          <w:lang w:eastAsia="zh-CN"/>
        </w:rPr>
        <w:t>（</w:t>
      </w:r>
      <w:r>
        <w:rPr>
          <w:rStyle w:val="46"/>
          <w:rFonts w:hint="eastAsia" w:ascii="宋体" w:hAnsi="宋体" w:cs="宋体"/>
          <w:bCs/>
          <w:sz w:val="24"/>
          <w:szCs w:val="22"/>
          <w:highlight w:val="none"/>
          <w:lang w:eastAsia="zh-CN"/>
        </w:rPr>
        <w:t>或扫描件）并加盖单位公章</w:t>
      </w:r>
      <w:r>
        <w:rPr>
          <w:rFonts w:hint="eastAsia" w:ascii="宋体" w:hAnsi="宋体" w:eastAsia="宋体" w:cs="宋体"/>
          <w:color w:val="auto"/>
          <w:sz w:val="24"/>
          <w:szCs w:val="24"/>
        </w:rPr>
        <w:t>；</w:t>
      </w:r>
    </w:p>
    <w:p w14:paraId="765F11BF">
      <w:pPr>
        <w:pStyle w:val="3"/>
        <w:bidi w:val="0"/>
        <w:ind w:firstLine="480" w:firstLineChars="200"/>
        <w:rPr>
          <w:rFonts w:hint="eastAsia" w:ascii="宋体" w:hAnsi="宋体" w:eastAsia="宋体" w:cs="宋体"/>
          <w:b w:val="0"/>
          <w:bCs w:val="0"/>
          <w:color w:val="auto"/>
          <w:kern w:val="2"/>
          <w:sz w:val="24"/>
          <w:szCs w:val="24"/>
          <w:lang w:val="en-US" w:eastAsia="zh-CN" w:bidi="ar-SA"/>
        </w:rPr>
      </w:pPr>
      <w:bookmarkStart w:id="467" w:name="_Toc1783"/>
      <w:bookmarkStart w:id="468" w:name="_Toc4743"/>
      <w:r>
        <w:rPr>
          <w:rFonts w:hint="eastAsia" w:ascii="宋体" w:hAnsi="宋体" w:eastAsia="宋体" w:cs="宋体"/>
          <w:b w:val="0"/>
          <w:bCs w:val="0"/>
          <w:color w:val="auto"/>
          <w:sz w:val="24"/>
          <w:szCs w:val="24"/>
        </w:rPr>
        <w:t>（4）投标人为自然人的，应提交自然人的身份证明复印件</w:t>
      </w:r>
      <w:r>
        <w:rPr>
          <w:rFonts w:hint="eastAsia" w:ascii="宋体" w:hAnsi="宋体" w:eastAsia="宋体" w:cs="宋体"/>
          <w:b w:val="0"/>
          <w:bCs w:val="0"/>
          <w:color w:val="auto"/>
          <w:kern w:val="2"/>
          <w:sz w:val="24"/>
          <w:szCs w:val="24"/>
          <w:lang w:val="en-US" w:eastAsia="zh-CN" w:bidi="ar-SA"/>
        </w:rPr>
        <w:t>（或扫描件）并加盖单位</w:t>
      </w:r>
      <w:r>
        <w:rPr>
          <w:rFonts w:hint="eastAsia" w:ascii="宋体" w:hAnsi="宋体" w:cs="宋体"/>
          <w:b w:val="0"/>
          <w:bCs w:val="0"/>
          <w:color w:val="auto"/>
          <w:kern w:val="2"/>
          <w:sz w:val="24"/>
          <w:szCs w:val="24"/>
          <w:lang w:val="en-US" w:eastAsia="zh-CN" w:bidi="ar-SA"/>
        </w:rPr>
        <w:t>公</w:t>
      </w:r>
      <w:r>
        <w:rPr>
          <w:rFonts w:hint="eastAsia" w:ascii="宋体" w:hAnsi="宋体" w:eastAsia="宋体" w:cs="宋体"/>
          <w:b w:val="0"/>
          <w:bCs w:val="0"/>
          <w:color w:val="auto"/>
          <w:kern w:val="2"/>
          <w:sz w:val="24"/>
          <w:szCs w:val="24"/>
          <w:lang w:val="en-US" w:eastAsia="zh-CN" w:bidi="ar-SA"/>
        </w:rPr>
        <w:t>章。</w:t>
      </w:r>
      <w:bookmarkEnd w:id="467"/>
      <w:bookmarkEnd w:id="468"/>
    </w:p>
    <w:p w14:paraId="2646CEBF">
      <w:pPr>
        <w:rPr>
          <w:rFonts w:hint="eastAsia" w:ascii="宋体" w:hAnsi="宋体" w:eastAsia="宋体" w:cs="宋体"/>
        </w:rPr>
      </w:pPr>
      <w:r>
        <w:rPr>
          <w:rFonts w:hint="eastAsia" w:ascii="宋体" w:hAnsi="宋体" w:eastAsia="宋体" w:cs="宋体"/>
        </w:rPr>
        <w:br w:type="page"/>
      </w:r>
    </w:p>
    <w:bookmarkEnd w:id="465"/>
    <w:bookmarkEnd w:id="466"/>
    <w:p w14:paraId="4C36BE39">
      <w:pPr>
        <w:pStyle w:val="183"/>
        <w:jc w:val="left"/>
        <w:outlineLvl w:val="1"/>
        <w:rPr>
          <w:rStyle w:val="46"/>
          <w:rFonts w:hint="eastAsia" w:ascii="宋体" w:hAnsi="宋体" w:eastAsia="宋体" w:cs="宋体"/>
          <w:szCs w:val="21"/>
        </w:rPr>
      </w:pPr>
      <w:bookmarkStart w:id="469" w:name="_Toc24449"/>
      <w:r>
        <w:rPr>
          <w:rFonts w:hint="eastAsia" w:ascii="宋体" w:hAnsi="宋体" w:eastAsia="宋体" w:cs="宋体"/>
          <w:b w:val="0"/>
          <w:color w:val="auto"/>
          <w:sz w:val="24"/>
          <w:szCs w:val="24"/>
        </w:rPr>
        <w:t>附件</w:t>
      </w:r>
      <w:r>
        <w:rPr>
          <w:rFonts w:hint="eastAsia" w:ascii="宋体" w:hAnsi="宋体" w:cs="宋体"/>
          <w:b w:val="0"/>
          <w:color w:val="auto"/>
          <w:sz w:val="24"/>
          <w:szCs w:val="24"/>
          <w:lang w:val="en-US" w:eastAsia="zh-CN"/>
        </w:rPr>
        <w:t>2</w:t>
      </w:r>
      <w:r>
        <w:rPr>
          <w:rFonts w:hint="eastAsia" w:ascii="宋体" w:hAnsi="宋体" w:eastAsia="宋体" w:cs="宋体"/>
          <w:b w:val="0"/>
          <w:color w:val="auto"/>
          <w:sz w:val="24"/>
          <w:szCs w:val="24"/>
        </w:rPr>
        <w:t xml:space="preserve">-2 </w:t>
      </w:r>
      <w:bookmarkEnd w:id="469"/>
      <w:r>
        <w:rPr>
          <w:rFonts w:hint="eastAsia" w:ascii="宋体" w:hAnsi="宋体" w:eastAsia="宋体" w:cs="宋体"/>
          <w:b w:val="0"/>
          <w:color w:val="auto"/>
          <w:sz w:val="24"/>
          <w:szCs w:val="24"/>
        </w:rPr>
        <w:t>投标人资格声明(格式)</w:t>
      </w:r>
    </w:p>
    <w:p w14:paraId="0D051741">
      <w:pPr>
        <w:pStyle w:val="184"/>
        <w:widowControl/>
        <w:adjustRightInd w:val="0"/>
        <w:snapToGrid w:val="0"/>
        <w:spacing w:before="158" w:beforeLines="50" w:line="360" w:lineRule="auto"/>
        <w:jc w:val="left"/>
        <w:rPr>
          <w:rStyle w:val="46"/>
          <w:rFonts w:ascii="宋体" w:hAnsi="宋体" w:eastAsia="宋体" w:cs="宋体"/>
          <w:kern w:val="0"/>
          <w:szCs w:val="21"/>
        </w:rPr>
      </w:pPr>
      <w:r>
        <w:rPr>
          <w:rStyle w:val="46"/>
          <w:rFonts w:hint="eastAsia" w:ascii="宋体" w:hAnsi="宋体" w:eastAsia="宋体" w:cs="宋体"/>
          <w:szCs w:val="21"/>
        </w:rPr>
        <w:t>致</w:t>
      </w:r>
      <w:r>
        <w:rPr>
          <w:rStyle w:val="46"/>
          <w:rFonts w:hint="eastAsia" w:ascii="宋体" w:hAnsi="宋体" w:eastAsia="宋体" w:cs="宋体"/>
          <w:szCs w:val="21"/>
          <w:u w:val="single"/>
        </w:rPr>
        <w:t xml:space="preserve">            </w:t>
      </w:r>
      <w:r>
        <w:rPr>
          <w:rStyle w:val="46"/>
          <w:rFonts w:hint="eastAsia" w:ascii="宋体" w:hAnsi="宋体" w:eastAsia="宋体" w:cs="宋体"/>
          <w:szCs w:val="21"/>
        </w:rPr>
        <w:t>(采购人、采购代理机构)：</w:t>
      </w:r>
    </w:p>
    <w:p w14:paraId="1AA00BA3">
      <w:pPr>
        <w:pStyle w:val="184"/>
        <w:widowControl/>
        <w:adjustRightInd w:val="0"/>
        <w:snapToGrid w:val="0"/>
        <w:spacing w:before="158" w:beforeLines="50" w:line="360" w:lineRule="auto"/>
        <w:ind w:firstLine="420" w:firstLineChars="200"/>
        <w:jc w:val="left"/>
        <w:rPr>
          <w:rStyle w:val="46"/>
          <w:rFonts w:ascii="宋体" w:hAnsi="宋体" w:eastAsia="宋体" w:cs="宋体"/>
          <w:kern w:val="0"/>
          <w:szCs w:val="21"/>
        </w:rPr>
      </w:pPr>
      <w:r>
        <w:rPr>
          <w:rStyle w:val="46"/>
          <w:rFonts w:hint="eastAsia" w:ascii="宋体" w:hAnsi="宋体" w:eastAsia="宋体" w:cs="宋体"/>
          <w:szCs w:val="21"/>
        </w:rPr>
        <w:t>按照《中华人民共和国政府采购法》第二十二条和招标文件的规定，我单位郑重声明如下：</w:t>
      </w:r>
    </w:p>
    <w:p w14:paraId="06E17B82">
      <w:pPr>
        <w:pStyle w:val="184"/>
        <w:widowControl/>
        <w:adjustRightInd w:val="0"/>
        <w:snapToGrid w:val="0"/>
        <w:spacing w:before="158" w:beforeLines="50" w:line="360" w:lineRule="auto"/>
        <w:ind w:firstLine="420" w:firstLineChars="200"/>
        <w:jc w:val="left"/>
        <w:rPr>
          <w:rStyle w:val="46"/>
          <w:rFonts w:ascii="宋体" w:hAnsi="宋体" w:eastAsia="宋体" w:cs="宋体"/>
          <w:kern w:val="0"/>
          <w:szCs w:val="21"/>
        </w:rPr>
      </w:pPr>
      <w:r>
        <w:rPr>
          <w:rStyle w:val="46"/>
          <w:rFonts w:hint="eastAsia" w:ascii="宋体" w:hAnsi="宋体" w:eastAsia="宋体" w:cs="宋体"/>
          <w:szCs w:val="21"/>
        </w:rPr>
        <w:t>一、我单位是按照中华人民共和国法律规定登记注册的，注册地点为</w:t>
      </w:r>
      <w:r>
        <w:rPr>
          <w:rStyle w:val="46"/>
          <w:rFonts w:hint="eastAsia" w:ascii="宋体" w:hAnsi="宋体" w:eastAsia="宋体" w:cs="宋体"/>
          <w:szCs w:val="21"/>
          <w:u w:val="single"/>
        </w:rPr>
        <w:t xml:space="preserve">         </w:t>
      </w:r>
      <w:r>
        <w:rPr>
          <w:rStyle w:val="46"/>
          <w:rFonts w:hint="eastAsia" w:ascii="宋体" w:hAnsi="宋体" w:eastAsia="宋体" w:cs="宋体"/>
          <w:szCs w:val="21"/>
        </w:rPr>
        <w:t>，全称为</w:t>
      </w:r>
      <w:r>
        <w:rPr>
          <w:rStyle w:val="46"/>
          <w:rFonts w:hint="eastAsia" w:ascii="宋体" w:hAnsi="宋体" w:eastAsia="宋体" w:cs="宋体"/>
          <w:szCs w:val="21"/>
          <w:u w:val="single"/>
        </w:rPr>
        <w:t xml:space="preserve">        </w:t>
      </w:r>
      <w:r>
        <w:rPr>
          <w:rStyle w:val="46"/>
          <w:rFonts w:hint="eastAsia" w:ascii="宋体" w:hAnsi="宋体" w:eastAsia="宋体" w:cs="宋体"/>
          <w:szCs w:val="21"/>
        </w:rPr>
        <w:t>，统一社会信用代码为</w:t>
      </w:r>
      <w:r>
        <w:rPr>
          <w:rStyle w:val="46"/>
          <w:rFonts w:hint="eastAsia" w:ascii="宋体" w:hAnsi="宋体" w:eastAsia="宋体" w:cs="宋体"/>
          <w:szCs w:val="21"/>
          <w:u w:val="single"/>
        </w:rPr>
        <w:t xml:space="preserve">            </w:t>
      </w:r>
      <w:r>
        <w:rPr>
          <w:rStyle w:val="46"/>
          <w:rFonts w:hint="eastAsia" w:ascii="宋体" w:hAnsi="宋体" w:eastAsia="宋体" w:cs="宋体"/>
          <w:szCs w:val="21"/>
        </w:rPr>
        <w:t>，法定代表人</w:t>
      </w:r>
      <w:r>
        <w:rPr>
          <w:rStyle w:val="46"/>
          <w:rFonts w:hint="eastAsia" w:ascii="宋体" w:hAnsi="宋体" w:eastAsia="宋体" w:cs="微软雅黑"/>
          <w:kern w:val="0"/>
          <w:szCs w:val="21"/>
        </w:rPr>
        <w:t>（</w:t>
      </w:r>
      <w:r>
        <w:rPr>
          <w:rStyle w:val="46"/>
          <w:rFonts w:hint="eastAsia" w:ascii="宋体" w:hAnsi="宋体" w:eastAsia="宋体" w:cs="微软雅黑"/>
          <w:spacing w:val="-2"/>
          <w:kern w:val="0"/>
          <w:szCs w:val="21"/>
        </w:rPr>
        <w:t>单</w:t>
      </w:r>
      <w:r>
        <w:rPr>
          <w:rStyle w:val="46"/>
          <w:rFonts w:hint="eastAsia" w:ascii="宋体" w:hAnsi="宋体" w:eastAsia="宋体" w:cs="微软雅黑"/>
          <w:kern w:val="0"/>
          <w:szCs w:val="21"/>
        </w:rPr>
        <w:t>位</w:t>
      </w:r>
      <w:r>
        <w:rPr>
          <w:rStyle w:val="46"/>
          <w:rFonts w:hint="eastAsia" w:ascii="宋体" w:hAnsi="宋体" w:eastAsia="宋体" w:cs="微软雅黑"/>
          <w:spacing w:val="-2"/>
          <w:kern w:val="0"/>
          <w:szCs w:val="21"/>
        </w:rPr>
        <w:t>负</w:t>
      </w:r>
      <w:r>
        <w:rPr>
          <w:rStyle w:val="46"/>
          <w:rFonts w:hint="eastAsia" w:ascii="宋体" w:hAnsi="宋体" w:eastAsia="宋体" w:cs="微软雅黑"/>
          <w:kern w:val="0"/>
          <w:szCs w:val="21"/>
        </w:rPr>
        <w:t>责人</w:t>
      </w:r>
      <w:r>
        <w:rPr>
          <w:rStyle w:val="46"/>
          <w:rFonts w:hint="eastAsia" w:ascii="宋体" w:hAnsi="宋体" w:eastAsia="宋体" w:cs="微软雅黑"/>
          <w:spacing w:val="-2"/>
          <w:kern w:val="0"/>
          <w:szCs w:val="21"/>
        </w:rPr>
        <w:t>）</w:t>
      </w:r>
      <w:r>
        <w:rPr>
          <w:rStyle w:val="46"/>
          <w:rFonts w:hint="eastAsia" w:ascii="宋体" w:hAnsi="宋体" w:eastAsia="宋体" w:cs="宋体"/>
          <w:szCs w:val="21"/>
        </w:rPr>
        <w:t>为</w:t>
      </w:r>
      <w:r>
        <w:rPr>
          <w:rStyle w:val="46"/>
          <w:rFonts w:hint="eastAsia" w:ascii="宋体" w:hAnsi="宋体" w:eastAsia="宋体" w:cs="宋体"/>
          <w:szCs w:val="21"/>
          <w:u w:val="single"/>
        </w:rPr>
        <w:t xml:space="preserve">         </w:t>
      </w:r>
      <w:r>
        <w:rPr>
          <w:rStyle w:val="46"/>
          <w:rFonts w:hint="eastAsia" w:ascii="宋体" w:hAnsi="宋体" w:eastAsia="宋体" w:cs="宋体"/>
          <w:szCs w:val="21"/>
        </w:rPr>
        <w:t>，具有独立承担民事责任的能力。</w:t>
      </w:r>
    </w:p>
    <w:p w14:paraId="7C0D6C43">
      <w:pPr>
        <w:pStyle w:val="184"/>
        <w:widowControl/>
        <w:adjustRightInd w:val="0"/>
        <w:snapToGrid w:val="0"/>
        <w:spacing w:before="158" w:beforeLines="50" w:line="360" w:lineRule="auto"/>
        <w:ind w:firstLine="420" w:firstLineChars="200"/>
        <w:jc w:val="left"/>
        <w:rPr>
          <w:rStyle w:val="46"/>
          <w:rFonts w:ascii="宋体" w:hAnsi="宋体" w:eastAsia="宋体" w:cs="宋体"/>
          <w:szCs w:val="21"/>
        </w:rPr>
      </w:pPr>
      <w:r>
        <w:rPr>
          <w:rStyle w:val="46"/>
          <w:rFonts w:hint="eastAsia" w:ascii="宋体" w:hAnsi="宋体" w:eastAsia="宋体" w:cs="宋体"/>
          <w:szCs w:val="21"/>
        </w:rPr>
        <w:t>二、我单位未被</w:t>
      </w:r>
      <w:r>
        <w:rPr>
          <w:rStyle w:val="46"/>
          <w:rFonts w:hint="eastAsia" w:ascii="华文中宋" w:hAnsi="华文中宋" w:eastAsia="华文中宋" w:cs="宋体"/>
          <w:szCs w:val="21"/>
        </w:rPr>
        <w:t>“</w:t>
      </w:r>
      <w:r>
        <w:rPr>
          <w:rStyle w:val="46"/>
          <w:rFonts w:hint="eastAsia" w:ascii="宋体" w:hAnsi="宋体" w:eastAsia="宋体" w:cs="宋体"/>
          <w:szCs w:val="21"/>
        </w:rPr>
        <w:t>国家企业信用信息系统</w:t>
      </w:r>
      <w:r>
        <w:rPr>
          <w:rStyle w:val="46"/>
          <w:rFonts w:hint="eastAsia" w:ascii="华文中宋" w:hAnsi="华文中宋" w:eastAsia="华文中宋" w:cs="宋体"/>
          <w:szCs w:val="21"/>
        </w:rPr>
        <w:t>”</w:t>
      </w:r>
      <w:r>
        <w:rPr>
          <w:rStyle w:val="46"/>
          <w:rFonts w:hint="eastAsia" w:ascii="宋体" w:hAnsi="宋体" w:eastAsia="宋体" w:cs="宋体"/>
          <w:szCs w:val="21"/>
        </w:rPr>
        <w:t>列入经营异常名录或者严重违法企业名单。</w:t>
      </w:r>
    </w:p>
    <w:p w14:paraId="5263C810">
      <w:pPr>
        <w:pStyle w:val="184"/>
        <w:widowControl/>
        <w:adjustRightInd w:val="0"/>
        <w:snapToGrid w:val="0"/>
        <w:spacing w:before="158" w:beforeLines="50" w:line="360" w:lineRule="auto"/>
        <w:ind w:firstLine="420" w:firstLineChars="200"/>
        <w:jc w:val="left"/>
        <w:rPr>
          <w:rStyle w:val="46"/>
          <w:rFonts w:ascii="宋体" w:hAnsi="宋体" w:eastAsia="宋体" w:cs="宋体"/>
          <w:szCs w:val="21"/>
        </w:rPr>
      </w:pPr>
      <w:r>
        <w:rPr>
          <w:rStyle w:val="46"/>
          <w:rFonts w:hint="eastAsia" w:ascii="宋体" w:hAnsi="宋体" w:eastAsia="宋体" w:cs="宋体"/>
          <w:kern w:val="0"/>
          <w:szCs w:val="21"/>
        </w:rPr>
        <w:t>三、</w:t>
      </w:r>
      <w:r>
        <w:rPr>
          <w:rStyle w:val="46"/>
          <w:rFonts w:hint="eastAsia" w:ascii="宋体" w:hAnsi="宋体" w:eastAsia="宋体" w:cs="宋体"/>
          <w:szCs w:val="21"/>
        </w:rPr>
        <w:t>我单位具有良好的商业信誉和健全的财务会计制度。</w:t>
      </w:r>
    </w:p>
    <w:p w14:paraId="3D656ECC">
      <w:pPr>
        <w:pStyle w:val="184"/>
        <w:widowControl/>
        <w:adjustRightInd w:val="0"/>
        <w:snapToGrid w:val="0"/>
        <w:spacing w:before="158" w:beforeLines="50" w:line="360" w:lineRule="auto"/>
        <w:ind w:firstLine="420" w:firstLineChars="200"/>
        <w:jc w:val="left"/>
        <w:rPr>
          <w:rStyle w:val="46"/>
          <w:rFonts w:ascii="宋体" w:hAnsi="宋体" w:eastAsia="宋体" w:cs="宋体"/>
          <w:kern w:val="0"/>
          <w:szCs w:val="21"/>
        </w:rPr>
      </w:pPr>
      <w:r>
        <w:rPr>
          <w:rStyle w:val="46"/>
          <w:rFonts w:hint="eastAsia" w:ascii="宋体" w:hAnsi="宋体" w:eastAsia="宋体" w:cs="宋体"/>
          <w:kern w:val="0"/>
          <w:szCs w:val="21"/>
        </w:rPr>
        <w:t>四、我</w:t>
      </w:r>
      <w:r>
        <w:rPr>
          <w:rStyle w:val="46"/>
          <w:rFonts w:hint="eastAsia" w:ascii="宋体" w:hAnsi="宋体" w:eastAsia="宋体" w:cs="宋体"/>
          <w:szCs w:val="21"/>
        </w:rPr>
        <w:t>单位</w:t>
      </w:r>
      <w:r>
        <w:rPr>
          <w:rStyle w:val="46"/>
          <w:rFonts w:hint="eastAsia" w:ascii="宋体" w:hAnsi="宋体" w:eastAsia="宋体" w:cs="宋体"/>
          <w:kern w:val="0"/>
          <w:szCs w:val="21"/>
        </w:rPr>
        <w:t>依法进行纳税和社会保险申报并实际履行了义务。</w:t>
      </w:r>
    </w:p>
    <w:p w14:paraId="4FC3A54B">
      <w:pPr>
        <w:pStyle w:val="184"/>
        <w:widowControl/>
        <w:adjustRightInd w:val="0"/>
        <w:snapToGrid w:val="0"/>
        <w:spacing w:before="158" w:beforeLines="50" w:line="360" w:lineRule="auto"/>
        <w:ind w:firstLine="420" w:firstLineChars="200"/>
        <w:jc w:val="left"/>
        <w:rPr>
          <w:rStyle w:val="46"/>
          <w:rFonts w:ascii="宋体" w:hAnsi="宋体" w:eastAsia="宋体" w:cs="宋体"/>
          <w:kern w:val="0"/>
          <w:szCs w:val="21"/>
        </w:rPr>
      </w:pPr>
      <w:r>
        <w:rPr>
          <w:rStyle w:val="46"/>
          <w:rFonts w:hint="eastAsia" w:ascii="宋体" w:hAnsi="宋体" w:eastAsia="宋体" w:cs="宋体"/>
          <w:szCs w:val="21"/>
        </w:rPr>
        <w:t>五、我单位具有履行本项目采购合同所必需的设备和专业技术能力，并具有履行合同的良好</w:t>
      </w:r>
      <w:r>
        <w:rPr>
          <w:rStyle w:val="46"/>
          <w:rFonts w:ascii="宋体" w:hAnsi="宋体" w:eastAsia="宋体" w:cs="Times New Roman"/>
          <w:szCs w:val="21"/>
        </w:rPr>
        <w:t>记录</w:t>
      </w:r>
      <w:r>
        <w:rPr>
          <w:rStyle w:val="46"/>
          <w:rFonts w:hint="eastAsia" w:ascii="宋体" w:hAnsi="宋体" w:eastAsia="宋体" w:cs="宋体"/>
          <w:szCs w:val="21"/>
        </w:rPr>
        <w:t>。</w:t>
      </w:r>
    </w:p>
    <w:p w14:paraId="6DDBFF9B">
      <w:pPr>
        <w:pStyle w:val="184"/>
        <w:widowControl/>
        <w:adjustRightInd w:val="0"/>
        <w:snapToGrid w:val="0"/>
        <w:spacing w:before="158" w:beforeLines="50" w:line="360" w:lineRule="auto"/>
        <w:ind w:firstLine="420" w:firstLineChars="200"/>
        <w:jc w:val="left"/>
        <w:rPr>
          <w:rStyle w:val="46"/>
          <w:rFonts w:ascii="宋体" w:hAnsi="宋体" w:eastAsia="宋体" w:cs="宋体"/>
          <w:szCs w:val="21"/>
        </w:rPr>
      </w:pPr>
      <w:r>
        <w:rPr>
          <w:rStyle w:val="46"/>
          <w:rFonts w:hint="eastAsia" w:ascii="宋体" w:hAnsi="宋体" w:eastAsia="宋体" w:cs="宋体"/>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5577C258">
      <w:pPr>
        <w:pStyle w:val="184"/>
        <w:widowControl/>
        <w:adjustRightInd w:val="0"/>
        <w:snapToGrid w:val="0"/>
        <w:spacing w:before="158" w:beforeLines="50" w:line="360" w:lineRule="auto"/>
        <w:ind w:firstLine="420" w:firstLineChars="200"/>
        <w:jc w:val="left"/>
        <w:rPr>
          <w:rStyle w:val="46"/>
          <w:rFonts w:ascii="宋体" w:hAnsi="宋体" w:eastAsia="宋体" w:cs="宋体"/>
          <w:szCs w:val="21"/>
        </w:rPr>
      </w:pPr>
      <w:r>
        <w:rPr>
          <w:rStyle w:val="46"/>
          <w:rFonts w:hint="eastAsia" w:ascii="宋体" w:hAnsi="宋体" w:eastAsia="宋体" w:cs="宋体"/>
          <w:szCs w:val="21"/>
        </w:rPr>
        <w:t>供应商在参加政府采购活动前3年内因违法经营被禁止在一定期限内参加政府采购活动，期限届满的，可以参加政府采购活动。</w:t>
      </w:r>
    </w:p>
    <w:p w14:paraId="21BE83E9">
      <w:pPr>
        <w:pStyle w:val="184"/>
        <w:widowControl/>
        <w:adjustRightInd w:val="0"/>
        <w:snapToGrid w:val="0"/>
        <w:spacing w:before="158" w:beforeLines="50" w:line="360" w:lineRule="auto"/>
        <w:ind w:firstLine="420" w:firstLineChars="200"/>
        <w:jc w:val="left"/>
        <w:rPr>
          <w:rStyle w:val="46"/>
          <w:rFonts w:ascii="宋体" w:hAnsi="宋体" w:eastAsia="宋体" w:cs="宋体"/>
          <w:szCs w:val="21"/>
        </w:rPr>
      </w:pPr>
      <w:r>
        <w:rPr>
          <w:rStyle w:val="46"/>
          <w:rFonts w:hint="eastAsia" w:ascii="宋体" w:hAnsi="宋体" w:eastAsia="宋体" w:cs="宋体"/>
          <w:szCs w:val="21"/>
        </w:rPr>
        <w:t>七、我单位具备法律、行政法规规定的其他条件。</w:t>
      </w:r>
    </w:p>
    <w:p w14:paraId="54AD7F99">
      <w:pPr>
        <w:pStyle w:val="184"/>
        <w:widowControl/>
        <w:adjustRightInd w:val="0"/>
        <w:snapToGrid w:val="0"/>
        <w:spacing w:before="158" w:beforeLines="50" w:line="360" w:lineRule="auto"/>
        <w:ind w:firstLine="420" w:firstLineChars="200"/>
        <w:jc w:val="left"/>
        <w:rPr>
          <w:rStyle w:val="46"/>
          <w:rFonts w:ascii="Calibri" w:hAnsi="Calibri" w:eastAsia="宋体" w:cs="Times New Roman"/>
          <w:szCs w:val="21"/>
        </w:rPr>
      </w:pPr>
      <w:r>
        <w:rPr>
          <w:rStyle w:val="46"/>
          <w:rFonts w:hint="eastAsia" w:ascii="宋体" w:hAnsi="宋体" w:eastAsia="宋体" w:cs="宋体"/>
          <w:kern w:val="0"/>
          <w:szCs w:val="21"/>
        </w:rPr>
        <w:t>八、</w:t>
      </w:r>
      <w:r>
        <w:rPr>
          <w:rStyle w:val="46"/>
          <w:rFonts w:hint="eastAsia" w:ascii="Calibri" w:hAnsi="Calibri" w:eastAsia="宋体" w:cs="Times New Roman"/>
          <w:szCs w:val="21"/>
        </w:rPr>
        <w:t>与我单位存在“单位负责人为同一人或者存在直接控股、管理关系”的其他单位信息如下（如无，填写“无”）：</w:t>
      </w:r>
    </w:p>
    <w:p w14:paraId="1322A2AF">
      <w:pPr>
        <w:pStyle w:val="184"/>
        <w:adjustRightInd w:val="0"/>
        <w:snapToGrid w:val="0"/>
        <w:spacing w:before="158" w:beforeLines="50" w:line="360" w:lineRule="auto"/>
        <w:ind w:firstLine="420" w:firstLineChars="200"/>
        <w:rPr>
          <w:rStyle w:val="46"/>
          <w:rFonts w:ascii="Calibri" w:hAnsi="Calibri" w:eastAsia="宋体" w:cs="Times New Roman"/>
          <w:szCs w:val="21"/>
        </w:rPr>
      </w:pPr>
      <w:r>
        <w:rPr>
          <w:rStyle w:val="46"/>
          <w:rFonts w:hint="eastAsia" w:ascii="宋体" w:hAnsi="宋体" w:eastAsia="宋体" w:cs="Times New Roman"/>
          <w:szCs w:val="21"/>
        </w:rPr>
        <w:t>1、</w:t>
      </w:r>
      <w:r>
        <w:rPr>
          <w:rStyle w:val="46"/>
          <w:rFonts w:hint="eastAsia" w:ascii="Calibri" w:hAnsi="Calibri" w:eastAsia="宋体" w:cs="Times New Roman"/>
          <w:szCs w:val="21"/>
        </w:rPr>
        <w:t>与我单位的法定代表人（单位负责人）为同一人的其他单位如下：</w:t>
      </w:r>
      <w:r>
        <w:rPr>
          <w:rStyle w:val="46"/>
          <w:rFonts w:hint="eastAsia" w:ascii="宋体" w:hAnsi="宋体" w:eastAsia="宋体" w:cs="Times New Roman"/>
          <w:szCs w:val="21"/>
          <w:u w:val="single"/>
        </w:rPr>
        <w:t xml:space="preserve">               </w:t>
      </w:r>
    </w:p>
    <w:p w14:paraId="6C44A461">
      <w:pPr>
        <w:pStyle w:val="184"/>
        <w:adjustRightInd w:val="0"/>
        <w:snapToGrid w:val="0"/>
        <w:spacing w:before="158" w:beforeLines="50" w:line="360" w:lineRule="auto"/>
        <w:ind w:firstLine="420" w:firstLineChars="200"/>
        <w:rPr>
          <w:rStyle w:val="46"/>
          <w:rFonts w:ascii="宋体" w:hAnsi="宋体" w:eastAsia="宋体" w:cs="Times New Roman"/>
          <w:szCs w:val="21"/>
        </w:rPr>
      </w:pPr>
      <w:r>
        <w:rPr>
          <w:rStyle w:val="46"/>
          <w:rFonts w:hint="eastAsia" w:ascii="宋体" w:hAnsi="宋体" w:eastAsia="宋体" w:cs="Times New Roman"/>
          <w:szCs w:val="21"/>
        </w:rPr>
        <w:t>2、我</w:t>
      </w:r>
      <w:r>
        <w:rPr>
          <w:rStyle w:val="46"/>
          <w:rFonts w:hint="eastAsia" w:ascii="Calibri" w:hAnsi="Calibri" w:eastAsia="宋体" w:cs="Times New Roman"/>
          <w:szCs w:val="21"/>
        </w:rPr>
        <w:t>单位</w:t>
      </w:r>
      <w:r>
        <w:rPr>
          <w:rStyle w:val="46"/>
          <w:rFonts w:hint="eastAsia" w:ascii="宋体" w:hAnsi="宋体" w:eastAsia="宋体" w:cs="Times New Roman"/>
          <w:szCs w:val="21"/>
        </w:rPr>
        <w:t>直接控股的其他单位如下：</w:t>
      </w:r>
      <w:r>
        <w:rPr>
          <w:rStyle w:val="46"/>
          <w:rFonts w:hint="eastAsia" w:ascii="宋体" w:hAnsi="宋体" w:eastAsia="宋体" w:cs="Times New Roman"/>
          <w:szCs w:val="21"/>
          <w:u w:val="single"/>
        </w:rPr>
        <w:t xml:space="preserve">               </w:t>
      </w:r>
    </w:p>
    <w:p w14:paraId="3F274183">
      <w:pPr>
        <w:pStyle w:val="184"/>
        <w:adjustRightInd w:val="0"/>
        <w:snapToGrid w:val="0"/>
        <w:spacing w:before="158" w:beforeLines="50" w:line="360" w:lineRule="auto"/>
        <w:ind w:firstLine="420" w:firstLineChars="200"/>
        <w:rPr>
          <w:rStyle w:val="46"/>
          <w:rFonts w:ascii="Calibri" w:hAnsi="Calibri" w:eastAsia="宋体" w:cs="Times New Roman"/>
          <w:szCs w:val="21"/>
        </w:rPr>
      </w:pPr>
      <w:r>
        <w:rPr>
          <w:rStyle w:val="46"/>
          <w:rFonts w:hint="eastAsia" w:ascii="宋体" w:hAnsi="宋体" w:eastAsia="宋体" w:cs="Times New Roman"/>
          <w:szCs w:val="21"/>
        </w:rPr>
        <w:t>3、与我</w:t>
      </w:r>
      <w:r>
        <w:rPr>
          <w:rStyle w:val="46"/>
          <w:rFonts w:hint="eastAsia" w:ascii="Calibri" w:hAnsi="Calibri" w:eastAsia="宋体" w:cs="Times New Roman"/>
          <w:szCs w:val="21"/>
        </w:rPr>
        <w:t>单位存在</w:t>
      </w:r>
      <w:r>
        <w:rPr>
          <w:rStyle w:val="46"/>
          <w:rFonts w:hint="eastAsia" w:ascii="宋体" w:hAnsi="宋体" w:eastAsia="宋体" w:cs="Times New Roman"/>
          <w:szCs w:val="21"/>
        </w:rPr>
        <w:t>管理关系的其他单位如下：</w:t>
      </w:r>
      <w:r>
        <w:rPr>
          <w:rStyle w:val="46"/>
          <w:rFonts w:hint="eastAsia" w:ascii="宋体" w:hAnsi="宋体" w:eastAsia="宋体" w:cs="Times New Roman"/>
          <w:szCs w:val="21"/>
          <w:u w:val="single"/>
        </w:rPr>
        <w:t xml:space="preserve">               </w:t>
      </w:r>
    </w:p>
    <w:p w14:paraId="3A117B42">
      <w:pPr>
        <w:pStyle w:val="184"/>
        <w:widowControl/>
        <w:adjustRightInd w:val="0"/>
        <w:snapToGrid w:val="0"/>
        <w:spacing w:before="158" w:beforeLines="50" w:line="360" w:lineRule="auto"/>
        <w:ind w:firstLine="420" w:firstLineChars="200"/>
        <w:jc w:val="left"/>
        <w:rPr>
          <w:rStyle w:val="46"/>
          <w:rFonts w:ascii="Calibri" w:hAnsi="Calibri" w:eastAsia="宋体" w:cs="Times New Roman"/>
          <w:szCs w:val="21"/>
        </w:rPr>
      </w:pPr>
      <w:r>
        <w:rPr>
          <w:rStyle w:val="46"/>
          <w:rFonts w:hint="eastAsia" w:ascii="宋体" w:hAnsi="宋体" w:eastAsia="宋体" w:cs="Times New Roman"/>
          <w:szCs w:val="21"/>
        </w:rPr>
        <w:t>九、</w:t>
      </w:r>
      <w:r>
        <w:rPr>
          <w:rStyle w:val="46"/>
          <w:rFonts w:ascii="宋体" w:hAnsi="宋体" w:eastAsia="宋体" w:cs="Times New Roman"/>
          <w:szCs w:val="21"/>
        </w:rPr>
        <w:t>我</w:t>
      </w:r>
      <w:r>
        <w:rPr>
          <w:rStyle w:val="46"/>
          <w:rFonts w:hint="eastAsia" w:ascii="宋体" w:hAnsi="宋体" w:eastAsia="宋体" w:cs="Times New Roman"/>
          <w:szCs w:val="21"/>
        </w:rPr>
        <w:t>单位</w:t>
      </w:r>
      <w:r>
        <w:rPr>
          <w:rStyle w:val="46"/>
          <w:rFonts w:ascii="宋体" w:hAnsi="宋体" w:eastAsia="宋体" w:cs="Times New Roman"/>
          <w:szCs w:val="21"/>
        </w:rPr>
        <w:t>不属于为本项目提供整体设计、规范编制或者项目管理、监理、检测等服务的投标人。</w:t>
      </w:r>
    </w:p>
    <w:p w14:paraId="1D5150F6">
      <w:pPr>
        <w:pStyle w:val="184"/>
        <w:widowControl/>
        <w:adjustRightInd w:val="0"/>
        <w:snapToGrid w:val="0"/>
        <w:spacing w:before="158" w:beforeLines="50" w:line="360" w:lineRule="auto"/>
        <w:ind w:firstLine="420" w:firstLineChars="200"/>
        <w:jc w:val="left"/>
        <w:rPr>
          <w:rStyle w:val="46"/>
          <w:rFonts w:ascii="宋体" w:hAnsi="宋体" w:eastAsia="宋体" w:cs="Times New Roman"/>
          <w:szCs w:val="21"/>
        </w:rPr>
      </w:pPr>
      <w:r>
        <w:rPr>
          <w:rStyle w:val="46"/>
          <w:rFonts w:hint="eastAsia" w:ascii="宋体" w:hAnsi="宋体" w:eastAsia="宋体" w:cs="Times New Roman"/>
          <w:szCs w:val="21"/>
        </w:rPr>
        <w:t>十、</w:t>
      </w:r>
      <w:r>
        <w:rPr>
          <w:rStyle w:val="46"/>
          <w:rFonts w:ascii="宋体" w:hAnsi="宋体" w:eastAsia="宋体" w:cs="Times New Roman"/>
          <w:szCs w:val="21"/>
        </w:rPr>
        <w:t>我单位无以下不良信用记录情形：</w:t>
      </w:r>
    </w:p>
    <w:p w14:paraId="5F97ADF7">
      <w:pPr>
        <w:pStyle w:val="184"/>
        <w:widowControl/>
        <w:adjustRightInd w:val="0"/>
        <w:snapToGrid w:val="0"/>
        <w:spacing w:before="158" w:beforeLines="50" w:line="360" w:lineRule="auto"/>
        <w:ind w:firstLine="420" w:firstLineChars="200"/>
        <w:jc w:val="left"/>
        <w:rPr>
          <w:rStyle w:val="46"/>
          <w:rFonts w:ascii="宋体" w:hAnsi="宋体" w:eastAsia="宋体" w:cs="Times New Roman"/>
          <w:szCs w:val="21"/>
        </w:rPr>
      </w:pPr>
      <w:r>
        <w:rPr>
          <w:rStyle w:val="46"/>
          <w:rFonts w:ascii="宋体" w:hAnsi="宋体" w:eastAsia="宋体" w:cs="Times New Roman"/>
          <w:szCs w:val="21"/>
        </w:rPr>
        <w:t>1</w:t>
      </w:r>
      <w:r>
        <w:rPr>
          <w:rStyle w:val="46"/>
          <w:rFonts w:hint="eastAsia" w:ascii="宋体" w:hAnsi="宋体" w:eastAsia="宋体" w:cs="Times New Roman"/>
          <w:szCs w:val="21"/>
        </w:rPr>
        <w:t>、在</w:t>
      </w:r>
      <w:r>
        <w:rPr>
          <w:rStyle w:val="46"/>
          <w:rFonts w:hint="eastAsia" w:ascii="宋体" w:hAnsi="宋体" w:eastAsia="宋体" w:cs="宋体"/>
          <w:szCs w:val="21"/>
        </w:rPr>
        <w:t>“信用中国”网站被列入失信被执行人和重大税收违法案件当事人名单；</w:t>
      </w:r>
    </w:p>
    <w:p w14:paraId="011B650F">
      <w:pPr>
        <w:pStyle w:val="184"/>
        <w:widowControl/>
        <w:adjustRightInd w:val="0"/>
        <w:snapToGrid w:val="0"/>
        <w:spacing w:before="158" w:beforeLines="50" w:line="360" w:lineRule="auto"/>
        <w:ind w:firstLine="420" w:firstLineChars="200"/>
        <w:jc w:val="left"/>
        <w:rPr>
          <w:rStyle w:val="46"/>
          <w:rFonts w:ascii="宋体" w:hAnsi="宋体" w:eastAsia="宋体" w:cs="Times New Roman"/>
          <w:szCs w:val="21"/>
        </w:rPr>
      </w:pPr>
      <w:r>
        <w:rPr>
          <w:rStyle w:val="46"/>
          <w:rFonts w:ascii="宋体" w:hAnsi="宋体" w:eastAsia="宋体" w:cs="Times New Roman"/>
          <w:szCs w:val="21"/>
        </w:rPr>
        <w:t>2</w:t>
      </w:r>
      <w:r>
        <w:rPr>
          <w:rStyle w:val="46"/>
          <w:rFonts w:hint="eastAsia" w:ascii="宋体" w:hAnsi="宋体" w:eastAsia="宋体" w:cs="Times New Roman"/>
          <w:szCs w:val="21"/>
        </w:rPr>
        <w:t>、在</w:t>
      </w:r>
      <w:r>
        <w:rPr>
          <w:rStyle w:val="46"/>
          <w:rFonts w:hint="eastAsia" w:ascii="宋体" w:hAnsi="宋体" w:eastAsia="宋体" w:cs="宋体"/>
          <w:szCs w:val="21"/>
        </w:rPr>
        <w:t>“中国政府采购网”网站被列入政府采购严重违法失信行为记录名单；</w:t>
      </w:r>
    </w:p>
    <w:p w14:paraId="54167365">
      <w:pPr>
        <w:pStyle w:val="184"/>
        <w:widowControl/>
        <w:adjustRightInd w:val="0"/>
        <w:snapToGrid w:val="0"/>
        <w:spacing w:before="158" w:beforeLines="50" w:line="360" w:lineRule="auto"/>
        <w:ind w:firstLine="420" w:firstLineChars="200"/>
        <w:jc w:val="left"/>
        <w:rPr>
          <w:rStyle w:val="46"/>
          <w:rFonts w:ascii="宋体" w:hAnsi="宋体" w:eastAsia="宋体" w:cs="Times New Roman"/>
          <w:szCs w:val="21"/>
        </w:rPr>
      </w:pPr>
      <w:r>
        <w:rPr>
          <w:rStyle w:val="46"/>
          <w:rFonts w:ascii="宋体" w:hAnsi="宋体" w:eastAsia="宋体" w:cs="Times New Roman"/>
          <w:szCs w:val="21"/>
        </w:rPr>
        <w:t>3</w:t>
      </w:r>
      <w:r>
        <w:rPr>
          <w:rStyle w:val="46"/>
          <w:rFonts w:hint="eastAsia" w:ascii="宋体" w:hAnsi="宋体" w:eastAsia="宋体" w:cs="Times New Roman"/>
          <w:szCs w:val="21"/>
        </w:rPr>
        <w:t>、</w:t>
      </w:r>
      <w:r>
        <w:rPr>
          <w:rStyle w:val="46"/>
          <w:rFonts w:ascii="宋体" w:hAnsi="宋体" w:eastAsia="宋体" w:cs="Times New Roman"/>
          <w:szCs w:val="21"/>
        </w:rPr>
        <w:t>不符合《政府采购法》第二十二条规定的条件。</w:t>
      </w:r>
    </w:p>
    <w:p w14:paraId="40D12B43">
      <w:pPr>
        <w:pStyle w:val="184"/>
        <w:widowControl/>
        <w:adjustRightInd w:val="0"/>
        <w:snapToGrid w:val="0"/>
        <w:spacing w:before="158" w:beforeLines="50" w:line="360" w:lineRule="auto"/>
        <w:ind w:firstLine="420" w:firstLineChars="200"/>
        <w:jc w:val="left"/>
        <w:rPr>
          <w:rStyle w:val="46"/>
          <w:rFonts w:ascii="宋体" w:hAnsi="宋体" w:eastAsia="宋体" w:cs="宋体"/>
          <w:kern w:val="0"/>
          <w:szCs w:val="21"/>
        </w:rPr>
      </w:pPr>
      <w:r>
        <w:rPr>
          <w:rStyle w:val="46"/>
          <w:rFonts w:hint="eastAsia" w:ascii="宋体" w:hAnsi="宋体" w:eastAsia="宋体" w:cs="宋体"/>
          <w:szCs w:val="21"/>
        </w:rPr>
        <w:t>我单位保证上述声明的事项都是真实的，如有虚假，我单位愿意承担相应的法律责任，并承担因此所造成的一切损失。</w:t>
      </w:r>
    </w:p>
    <w:p w14:paraId="485C5B6E">
      <w:pPr>
        <w:pStyle w:val="184"/>
        <w:widowControl/>
        <w:adjustRightInd w:val="0"/>
        <w:snapToGrid w:val="0"/>
        <w:spacing w:before="158" w:beforeLines="50" w:line="360" w:lineRule="auto"/>
        <w:jc w:val="left"/>
        <w:rPr>
          <w:rStyle w:val="46"/>
          <w:rFonts w:ascii="宋体" w:hAnsi="宋体" w:eastAsia="宋体" w:cs="宋体"/>
          <w:szCs w:val="21"/>
        </w:rPr>
      </w:pPr>
    </w:p>
    <w:p w14:paraId="3832DEE9">
      <w:pPr>
        <w:pStyle w:val="184"/>
        <w:widowControl/>
        <w:adjustRightInd w:val="0"/>
        <w:snapToGrid w:val="0"/>
        <w:spacing w:before="158" w:beforeLines="50" w:line="360" w:lineRule="auto"/>
        <w:jc w:val="left"/>
        <w:rPr>
          <w:rStyle w:val="46"/>
          <w:rFonts w:ascii="宋体" w:hAnsi="宋体" w:eastAsia="宋体" w:cs="宋体"/>
          <w:szCs w:val="21"/>
        </w:rPr>
      </w:pPr>
      <w:r>
        <w:rPr>
          <w:rStyle w:val="46"/>
          <w:rFonts w:hint="eastAsia" w:ascii="宋体" w:hAnsi="宋体" w:eastAsia="宋体" w:cs="宋体"/>
          <w:szCs w:val="21"/>
        </w:rPr>
        <w:t>注：第三条“良好的商业信誉”是指投标人经营状况良好，无本资格声明第十条情形。</w:t>
      </w:r>
    </w:p>
    <w:p w14:paraId="6C610762">
      <w:pPr>
        <w:pStyle w:val="184"/>
        <w:widowControl/>
        <w:adjustRightInd w:val="0"/>
        <w:snapToGrid w:val="0"/>
        <w:spacing w:before="158" w:beforeLines="50" w:line="360" w:lineRule="auto"/>
        <w:jc w:val="left"/>
        <w:rPr>
          <w:rStyle w:val="46"/>
          <w:rFonts w:ascii="宋体" w:hAnsi="宋体" w:eastAsia="宋体" w:cs="宋体"/>
          <w:color w:val="FF0000"/>
          <w:szCs w:val="21"/>
        </w:rPr>
      </w:pPr>
    </w:p>
    <w:p w14:paraId="621DDC42">
      <w:pPr>
        <w:pStyle w:val="184"/>
        <w:widowControl/>
        <w:adjustRightInd w:val="0"/>
        <w:snapToGrid w:val="0"/>
        <w:spacing w:line="360" w:lineRule="auto"/>
        <w:jc w:val="left"/>
        <w:rPr>
          <w:rStyle w:val="46"/>
          <w:rFonts w:ascii="宋体" w:hAnsi="宋体" w:eastAsia="宋体" w:cs="宋体"/>
          <w:kern w:val="0"/>
          <w:szCs w:val="21"/>
        </w:rPr>
      </w:pPr>
      <w:r>
        <w:rPr>
          <w:rStyle w:val="46"/>
          <w:rFonts w:hint="eastAsia" w:ascii="宋体" w:hAnsi="宋体" w:eastAsia="宋体" w:cs="宋体"/>
          <w:szCs w:val="21"/>
        </w:rPr>
        <w:t>投标人名称（盖单位</w:t>
      </w:r>
      <w:r>
        <w:rPr>
          <w:rStyle w:val="46"/>
          <w:rFonts w:hint="eastAsia" w:ascii="宋体" w:hAnsi="宋体" w:cs="宋体"/>
          <w:szCs w:val="21"/>
          <w:lang w:eastAsia="zh-CN"/>
        </w:rPr>
        <w:t>公</w:t>
      </w:r>
      <w:r>
        <w:rPr>
          <w:rStyle w:val="46"/>
          <w:rFonts w:hint="eastAsia" w:ascii="宋体" w:hAnsi="宋体" w:eastAsia="宋体" w:cs="宋体"/>
          <w:szCs w:val="21"/>
        </w:rPr>
        <w:t>章）：</w:t>
      </w:r>
    </w:p>
    <w:p w14:paraId="508E04EE">
      <w:pPr>
        <w:pStyle w:val="184"/>
        <w:widowControl/>
        <w:adjustRightInd w:val="0"/>
        <w:snapToGrid w:val="0"/>
        <w:spacing w:line="360" w:lineRule="auto"/>
        <w:jc w:val="left"/>
        <w:rPr>
          <w:rStyle w:val="46"/>
          <w:rFonts w:ascii="宋体" w:hAnsi="宋体" w:eastAsia="宋体" w:cs="宋体"/>
          <w:b/>
          <w:bCs/>
          <w:kern w:val="0"/>
          <w:sz w:val="44"/>
          <w:szCs w:val="44"/>
        </w:rPr>
      </w:pPr>
      <w:r>
        <w:rPr>
          <w:rStyle w:val="46"/>
          <w:rFonts w:hint="eastAsia" w:ascii="宋体" w:hAnsi="宋体" w:eastAsia="宋体" w:cs="微软雅黑"/>
          <w:spacing w:val="-2"/>
          <w:kern w:val="0"/>
          <w:szCs w:val="21"/>
        </w:rPr>
        <w:t>法</w:t>
      </w:r>
      <w:r>
        <w:rPr>
          <w:rStyle w:val="46"/>
          <w:rFonts w:hint="eastAsia" w:ascii="宋体" w:hAnsi="宋体" w:eastAsia="宋体" w:cs="微软雅黑"/>
          <w:kern w:val="0"/>
          <w:szCs w:val="21"/>
        </w:rPr>
        <w:t>定</w:t>
      </w:r>
      <w:r>
        <w:rPr>
          <w:rStyle w:val="46"/>
          <w:rFonts w:hint="eastAsia" w:ascii="宋体" w:hAnsi="宋体" w:eastAsia="宋体" w:cs="微软雅黑"/>
          <w:spacing w:val="-2"/>
          <w:kern w:val="0"/>
          <w:szCs w:val="21"/>
        </w:rPr>
        <w:t>代</w:t>
      </w:r>
      <w:r>
        <w:rPr>
          <w:rStyle w:val="46"/>
          <w:rFonts w:hint="eastAsia" w:ascii="宋体" w:hAnsi="宋体" w:eastAsia="宋体" w:cs="微软雅黑"/>
          <w:kern w:val="0"/>
          <w:szCs w:val="21"/>
        </w:rPr>
        <w:t>表</w:t>
      </w:r>
      <w:r>
        <w:rPr>
          <w:rStyle w:val="46"/>
          <w:rFonts w:hint="eastAsia" w:ascii="宋体" w:hAnsi="宋体" w:eastAsia="宋体" w:cs="微软雅黑"/>
          <w:spacing w:val="-2"/>
          <w:kern w:val="0"/>
          <w:szCs w:val="21"/>
        </w:rPr>
        <w:t>人</w:t>
      </w:r>
      <w:r>
        <w:rPr>
          <w:rStyle w:val="46"/>
          <w:rFonts w:hint="eastAsia" w:ascii="宋体" w:hAnsi="宋体" w:eastAsia="宋体" w:cs="微软雅黑"/>
          <w:kern w:val="0"/>
          <w:szCs w:val="21"/>
        </w:rPr>
        <w:t>（</w:t>
      </w:r>
      <w:r>
        <w:rPr>
          <w:rStyle w:val="46"/>
          <w:rFonts w:hint="eastAsia" w:ascii="宋体" w:hAnsi="宋体" w:eastAsia="宋体" w:cs="微软雅黑"/>
          <w:spacing w:val="-2"/>
          <w:kern w:val="0"/>
          <w:szCs w:val="21"/>
        </w:rPr>
        <w:t>单</w:t>
      </w:r>
      <w:r>
        <w:rPr>
          <w:rStyle w:val="46"/>
          <w:rFonts w:hint="eastAsia" w:ascii="宋体" w:hAnsi="宋体" w:eastAsia="宋体" w:cs="微软雅黑"/>
          <w:kern w:val="0"/>
          <w:szCs w:val="21"/>
        </w:rPr>
        <w:t>位</w:t>
      </w:r>
      <w:r>
        <w:rPr>
          <w:rStyle w:val="46"/>
          <w:rFonts w:hint="eastAsia" w:ascii="宋体" w:hAnsi="宋体" w:eastAsia="宋体" w:cs="微软雅黑"/>
          <w:spacing w:val="-2"/>
          <w:kern w:val="0"/>
          <w:szCs w:val="21"/>
        </w:rPr>
        <w:t>负</w:t>
      </w:r>
      <w:r>
        <w:rPr>
          <w:rStyle w:val="46"/>
          <w:rFonts w:hint="eastAsia" w:ascii="宋体" w:hAnsi="宋体" w:eastAsia="宋体" w:cs="微软雅黑"/>
          <w:kern w:val="0"/>
          <w:szCs w:val="21"/>
        </w:rPr>
        <w:t>责人</w:t>
      </w:r>
      <w:r>
        <w:rPr>
          <w:rStyle w:val="46"/>
          <w:rFonts w:hint="eastAsia" w:ascii="宋体" w:hAnsi="宋体" w:eastAsia="宋体" w:cs="微软雅黑"/>
          <w:spacing w:val="-2"/>
          <w:kern w:val="0"/>
          <w:szCs w:val="21"/>
        </w:rPr>
        <w:t>）</w:t>
      </w:r>
      <w:r>
        <w:rPr>
          <w:rStyle w:val="46"/>
          <w:rFonts w:hint="eastAsia" w:ascii="宋体" w:hAnsi="宋体" w:eastAsia="宋体" w:cs="Times New Roman"/>
        </w:rPr>
        <w:t>或委托代理人：</w:t>
      </w:r>
      <w:r>
        <w:rPr>
          <w:rStyle w:val="46"/>
          <w:rFonts w:hint="eastAsia" w:ascii="宋体" w:hAnsi="宋体" w:eastAsia="宋体" w:cs="Times New Roman"/>
          <w:u w:val="single"/>
        </w:rPr>
        <w:t xml:space="preserve">       </w:t>
      </w:r>
      <w:r>
        <w:rPr>
          <w:rStyle w:val="46"/>
          <w:rFonts w:hint="eastAsia" w:ascii="宋体" w:hAnsi="宋体" w:eastAsia="宋体" w:cs="Times New Roman"/>
        </w:rPr>
        <w:t>（签字或印章）</w:t>
      </w:r>
    </w:p>
    <w:p w14:paraId="6D6A60A5">
      <w:pPr>
        <w:pStyle w:val="185"/>
        <w:rPr>
          <w:rStyle w:val="46"/>
          <w:rFonts w:ascii="Calibri" w:hAnsi="Calibri" w:eastAsia="宋体" w:cs="Times New Roman"/>
        </w:rPr>
      </w:pPr>
      <w:r>
        <w:rPr>
          <w:rStyle w:val="46"/>
          <w:rFonts w:hint="eastAsia" w:ascii="宋体" w:hAnsi="宋体" w:eastAsia="宋体" w:cs="宋体"/>
          <w:szCs w:val="21"/>
        </w:rPr>
        <w:t>日期：</w:t>
      </w:r>
      <w:r>
        <w:rPr>
          <w:rStyle w:val="46"/>
          <w:rFonts w:hint="eastAsia" w:ascii="宋体" w:hAnsi="宋体" w:eastAsia="宋体" w:cs="宋体"/>
          <w:szCs w:val="21"/>
          <w:u w:val="single"/>
        </w:rPr>
        <w:t xml:space="preserve">       </w:t>
      </w:r>
      <w:r>
        <w:rPr>
          <w:rStyle w:val="46"/>
          <w:rFonts w:hint="eastAsia" w:ascii="宋体" w:hAnsi="宋体" w:eastAsia="宋体" w:cs="宋体"/>
          <w:szCs w:val="21"/>
        </w:rPr>
        <w:t>年</w:t>
      </w:r>
      <w:r>
        <w:rPr>
          <w:rStyle w:val="46"/>
          <w:rFonts w:hint="eastAsia" w:ascii="宋体" w:hAnsi="宋体" w:eastAsia="宋体" w:cs="宋体"/>
          <w:szCs w:val="21"/>
          <w:u w:val="single"/>
        </w:rPr>
        <w:t xml:space="preserve">  </w:t>
      </w:r>
      <w:r>
        <w:rPr>
          <w:rStyle w:val="46"/>
          <w:rFonts w:hint="eastAsia" w:ascii="宋体" w:hAnsi="宋体" w:eastAsia="宋体" w:cs="宋体"/>
          <w:szCs w:val="21"/>
        </w:rPr>
        <w:t>月</w:t>
      </w:r>
      <w:r>
        <w:rPr>
          <w:rStyle w:val="46"/>
          <w:rFonts w:hint="eastAsia" w:ascii="宋体" w:hAnsi="宋体" w:eastAsia="宋体" w:cs="宋体"/>
          <w:szCs w:val="21"/>
          <w:u w:val="single"/>
        </w:rPr>
        <w:t xml:space="preserve">  </w:t>
      </w:r>
      <w:r>
        <w:rPr>
          <w:rStyle w:val="46"/>
          <w:rFonts w:hint="eastAsia" w:ascii="宋体" w:hAnsi="宋体" w:eastAsia="宋体" w:cs="宋体"/>
          <w:szCs w:val="21"/>
        </w:rPr>
        <w:t>日</w:t>
      </w:r>
    </w:p>
    <w:p w14:paraId="76C80337">
      <w:pPr>
        <w:pStyle w:val="174"/>
        <w:jc w:val="left"/>
        <w:outlineLvl w:val="1"/>
        <w:rPr>
          <w:rStyle w:val="46"/>
          <w:rFonts w:hint="eastAsia" w:ascii="仿宋" w:hAnsi="仿宋" w:eastAsia="仿宋" w:cs="仿宋"/>
          <w:sz w:val="24"/>
          <w:szCs w:val="24"/>
        </w:rPr>
      </w:pPr>
      <w:r>
        <w:rPr>
          <w:rStyle w:val="46"/>
          <w:rFonts w:ascii="Times New Roman" w:hAnsi="Times New Roman" w:eastAsia="Times New Roman" w:cs="Times New Roman"/>
        </w:rPr>
        <w:br w:type="page"/>
      </w:r>
    </w:p>
    <w:p w14:paraId="7B5AFAF2">
      <w:pPr>
        <w:widowControl/>
        <w:spacing w:beforeAutospacing="0" w:afterAutospacing="0" w:line="360" w:lineRule="auto"/>
        <w:jc w:val="left"/>
        <w:rPr>
          <w:rFonts w:hint="eastAsia" w:ascii="宋体" w:hAnsi="宋体" w:eastAsia="宋体" w:cs="宋体"/>
          <w:b w:val="0"/>
          <w:color w:val="auto"/>
          <w:sz w:val="24"/>
          <w:szCs w:val="24"/>
        </w:rPr>
      </w:pPr>
      <w:r>
        <w:rPr>
          <w:rFonts w:hint="eastAsia" w:ascii="宋体" w:hAnsi="宋体" w:eastAsia="宋体" w:cs="宋体"/>
          <w:b w:val="0"/>
          <w:color w:val="auto"/>
          <w:sz w:val="24"/>
          <w:szCs w:val="24"/>
        </w:rPr>
        <w:t>附件</w:t>
      </w:r>
      <w:r>
        <w:rPr>
          <w:rFonts w:hint="eastAsia" w:ascii="宋体" w:hAnsi="宋体" w:cs="宋体"/>
          <w:b w:val="0"/>
          <w:color w:val="auto"/>
          <w:sz w:val="24"/>
          <w:szCs w:val="24"/>
          <w:lang w:val="en-US" w:eastAsia="zh-CN"/>
        </w:rPr>
        <w:t>2</w:t>
      </w:r>
      <w:r>
        <w:rPr>
          <w:rFonts w:hint="eastAsia" w:ascii="宋体" w:hAnsi="宋体" w:eastAsia="宋体" w:cs="宋体"/>
          <w:b w:val="0"/>
          <w:color w:val="auto"/>
          <w:sz w:val="24"/>
          <w:szCs w:val="24"/>
        </w:rPr>
        <w:t>-3 符合特定资格条件证明材料复印件或者情况说明</w:t>
      </w:r>
    </w:p>
    <w:p w14:paraId="51F78C68">
      <w:pPr>
        <w:widowControl/>
        <w:adjustRightInd w:val="0"/>
        <w:snapToGrid w:val="0"/>
        <w:spacing w:line="360" w:lineRule="auto"/>
        <w:jc w:val="center"/>
        <w:rPr>
          <w:rFonts w:hint="eastAsia" w:ascii="宋体" w:hAnsi="宋体" w:eastAsia="宋体" w:cs="宋体"/>
          <w:b/>
          <w:color w:val="auto"/>
          <w:sz w:val="28"/>
          <w:szCs w:val="28"/>
        </w:rPr>
      </w:pPr>
    </w:p>
    <w:p w14:paraId="1B9F5B52">
      <w:pPr>
        <w:widowControl/>
        <w:adjustRightInd w:val="0"/>
        <w:snapToGrid w:val="0"/>
        <w:spacing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符合特定资格条件证明材料复印件或者情况说明</w:t>
      </w:r>
    </w:p>
    <w:p w14:paraId="492DE5F9">
      <w:pPr>
        <w:widowControl/>
        <w:adjustRightInd w:val="0"/>
        <w:snapToGrid w:val="0"/>
        <w:spacing w:line="360" w:lineRule="auto"/>
        <w:ind w:firstLine="560" w:firstLineChars="200"/>
        <w:jc w:val="left"/>
        <w:rPr>
          <w:rFonts w:hint="eastAsia" w:ascii="宋体" w:hAnsi="宋体" w:eastAsia="宋体" w:cs="宋体"/>
          <w:color w:val="auto"/>
          <w:sz w:val="28"/>
          <w:szCs w:val="28"/>
        </w:rPr>
      </w:pPr>
    </w:p>
    <w:p w14:paraId="5DA45E44">
      <w:pPr>
        <w:widowControl/>
        <w:adjustRightInd w:val="0"/>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注：按第二章第14.1（</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）项要求提供。</w:t>
      </w:r>
    </w:p>
    <w:p w14:paraId="0CC723CB">
      <w:pPr>
        <w:adjustRightInd w:val="0"/>
        <w:snapToGrid w:val="0"/>
        <w:spacing w:beforeLines="50" w:line="360" w:lineRule="auto"/>
        <w:ind w:firstLine="480" w:firstLineChars="200"/>
        <w:rPr>
          <w:rFonts w:hint="eastAsia" w:ascii="宋体" w:hAnsi="宋体" w:eastAsia="宋体" w:cs="宋体"/>
          <w:color w:val="auto"/>
          <w:sz w:val="24"/>
        </w:rPr>
      </w:pPr>
    </w:p>
    <w:p w14:paraId="490DD8FC">
      <w:pPr>
        <w:pStyle w:val="63"/>
        <w:rPr>
          <w:rFonts w:hint="eastAsia" w:ascii="宋体" w:hAnsi="宋体" w:eastAsia="宋体" w:cs="宋体"/>
          <w:color w:val="auto"/>
          <w:sz w:val="24"/>
        </w:rPr>
      </w:pPr>
    </w:p>
    <w:p w14:paraId="6CFD4D87">
      <w:pPr>
        <w:pStyle w:val="63"/>
        <w:rPr>
          <w:rFonts w:hint="eastAsia" w:ascii="宋体" w:hAnsi="宋体" w:eastAsia="宋体" w:cs="宋体"/>
          <w:color w:val="auto"/>
          <w:sz w:val="24"/>
        </w:rPr>
      </w:pPr>
    </w:p>
    <w:bookmarkEnd w:id="462"/>
    <w:bookmarkEnd w:id="463"/>
    <w:p w14:paraId="36C6563E">
      <w:pPr>
        <w:jc w:val="both"/>
        <w:rPr>
          <w:rFonts w:hint="eastAsia" w:ascii="宋体" w:hAnsi="宋体" w:eastAsia="宋体" w:cs="宋体"/>
          <w:b w:val="0"/>
          <w:color w:val="auto"/>
          <w:sz w:val="24"/>
          <w:szCs w:val="24"/>
          <w:lang w:val="en-US" w:eastAsia="zh-CN"/>
        </w:rPr>
      </w:pPr>
      <w:bookmarkStart w:id="470" w:name="_Toc25226"/>
      <w:bookmarkStart w:id="471" w:name="_Toc20122"/>
      <w:bookmarkStart w:id="472" w:name="_Toc7616"/>
      <w:bookmarkStart w:id="473" w:name="_Toc15197"/>
      <w:bookmarkStart w:id="474" w:name="_Toc2050"/>
      <w:bookmarkStart w:id="475" w:name="_Toc14634"/>
      <w:bookmarkStart w:id="476" w:name="_Toc5401"/>
      <w:bookmarkStart w:id="477" w:name="_Toc20335"/>
      <w:bookmarkStart w:id="478" w:name="_Toc12994"/>
    </w:p>
    <w:p w14:paraId="3A2FE543">
      <w:pPr>
        <w:jc w:val="both"/>
        <w:rPr>
          <w:rFonts w:hint="eastAsia" w:ascii="宋体" w:hAnsi="宋体" w:eastAsia="宋体" w:cs="宋体"/>
          <w:b/>
          <w:bCs/>
          <w:color w:val="auto"/>
          <w:sz w:val="72"/>
          <w:szCs w:val="72"/>
        </w:rPr>
      </w:pPr>
      <w:r>
        <w:rPr>
          <w:rFonts w:hint="eastAsia" w:ascii="宋体" w:hAnsi="宋体" w:eastAsia="宋体" w:cs="宋体"/>
          <w:b/>
          <w:bCs/>
          <w:color w:val="auto"/>
          <w:sz w:val="72"/>
          <w:szCs w:val="72"/>
        </w:rPr>
        <w:br w:type="page"/>
      </w:r>
    </w:p>
    <w:p w14:paraId="2B714D3C">
      <w:pPr>
        <w:adjustRightInd w:val="0"/>
        <w:snapToGrid w:val="0"/>
        <w:spacing w:line="360" w:lineRule="auto"/>
        <w:jc w:val="center"/>
        <w:outlineLvl w:val="0"/>
        <w:rPr>
          <w:rFonts w:hint="eastAsia" w:ascii="宋体" w:hAnsi="宋体" w:eastAsia="宋体" w:cs="宋体"/>
          <w:b/>
          <w:bCs/>
          <w:color w:val="auto"/>
          <w:sz w:val="72"/>
          <w:szCs w:val="72"/>
        </w:rPr>
      </w:pPr>
    </w:p>
    <w:bookmarkEnd w:id="470"/>
    <w:bookmarkEnd w:id="471"/>
    <w:bookmarkEnd w:id="472"/>
    <w:bookmarkEnd w:id="473"/>
    <w:bookmarkEnd w:id="474"/>
    <w:bookmarkEnd w:id="475"/>
    <w:bookmarkEnd w:id="476"/>
    <w:bookmarkEnd w:id="477"/>
    <w:bookmarkEnd w:id="478"/>
    <w:p w14:paraId="21A0108D">
      <w:pPr>
        <w:pStyle w:val="171"/>
        <w:jc w:val="center"/>
        <w:rPr>
          <w:rStyle w:val="46"/>
          <w:rFonts w:hint="eastAsia" w:ascii="仿宋" w:hAnsi="仿宋" w:eastAsia="仿宋" w:cs="仿宋"/>
          <w:sz w:val="84"/>
          <w:szCs w:val="84"/>
        </w:rPr>
      </w:pPr>
      <w:bookmarkStart w:id="479" w:name="_Toc11571"/>
      <w:bookmarkStart w:id="480" w:name="_Toc12128"/>
      <w:r>
        <w:rPr>
          <w:rStyle w:val="46"/>
          <w:rFonts w:hint="eastAsia" w:ascii="仿宋" w:hAnsi="仿宋" w:eastAsia="仿宋" w:cs="仿宋"/>
          <w:sz w:val="84"/>
          <w:szCs w:val="84"/>
        </w:rPr>
        <w:t>政府采购</w:t>
      </w:r>
    </w:p>
    <w:p w14:paraId="1AD86CE8">
      <w:pPr>
        <w:pStyle w:val="171"/>
        <w:jc w:val="center"/>
        <w:rPr>
          <w:rStyle w:val="46"/>
          <w:rFonts w:hint="eastAsia" w:ascii="仿宋" w:hAnsi="仿宋" w:eastAsia="仿宋" w:cs="仿宋"/>
        </w:rPr>
      </w:pPr>
      <w:r>
        <w:rPr>
          <w:rStyle w:val="46"/>
          <w:rFonts w:hint="eastAsia" w:ascii="仿宋" w:hAnsi="仿宋" w:eastAsia="仿宋" w:cs="仿宋"/>
          <w:sz w:val="84"/>
          <w:szCs w:val="84"/>
        </w:rPr>
        <w:t>投 标 文 件</w:t>
      </w:r>
      <w:r>
        <w:rPr>
          <w:rStyle w:val="46"/>
          <w:rFonts w:hint="eastAsia" w:ascii="仿宋" w:hAnsi="仿宋" w:eastAsia="仿宋" w:cs="仿宋"/>
          <w:szCs w:val="21"/>
        </w:rPr>
        <w:t xml:space="preserve"> </w:t>
      </w:r>
    </w:p>
    <w:p w14:paraId="41651987">
      <w:pPr>
        <w:pStyle w:val="171"/>
        <w:spacing w:before="312"/>
        <w:jc w:val="center"/>
        <w:rPr>
          <w:rStyle w:val="46"/>
          <w:rFonts w:hint="eastAsia" w:ascii="仿宋" w:hAnsi="仿宋" w:eastAsia="仿宋" w:cs="仿宋"/>
        </w:rPr>
      </w:pPr>
      <w:r>
        <w:rPr>
          <w:rStyle w:val="46"/>
          <w:rFonts w:hint="eastAsia" w:ascii="仿宋" w:hAnsi="仿宋" w:eastAsia="仿宋" w:cs="仿宋"/>
          <w:b/>
          <w:bCs/>
          <w:sz w:val="44"/>
          <w:szCs w:val="44"/>
        </w:rPr>
        <w:t>(商务</w:t>
      </w:r>
      <w:r>
        <w:rPr>
          <w:rStyle w:val="46"/>
          <w:rFonts w:hint="eastAsia" w:ascii="仿宋" w:hAnsi="仿宋" w:eastAsia="仿宋" w:cs="仿宋"/>
          <w:b/>
          <w:bCs/>
          <w:sz w:val="44"/>
          <w:szCs w:val="44"/>
          <w:lang w:val="en-US" w:eastAsia="zh-CN"/>
        </w:rPr>
        <w:t>技术</w:t>
      </w:r>
      <w:r>
        <w:rPr>
          <w:rStyle w:val="46"/>
          <w:rFonts w:hint="eastAsia" w:ascii="仿宋" w:hAnsi="仿宋" w:eastAsia="仿宋" w:cs="仿宋"/>
          <w:b/>
          <w:bCs/>
          <w:sz w:val="44"/>
          <w:szCs w:val="44"/>
        </w:rPr>
        <w:t>文件)</w:t>
      </w:r>
      <w:r>
        <w:rPr>
          <w:rStyle w:val="46"/>
          <w:rFonts w:hint="eastAsia" w:ascii="仿宋" w:hAnsi="仿宋" w:eastAsia="仿宋" w:cs="仿宋"/>
          <w:szCs w:val="21"/>
        </w:rPr>
        <w:t xml:space="preserve"> </w:t>
      </w:r>
    </w:p>
    <w:p w14:paraId="02A70F88">
      <w:pPr>
        <w:pStyle w:val="171"/>
        <w:rPr>
          <w:rStyle w:val="46"/>
          <w:rFonts w:hint="eastAsia" w:ascii="仿宋" w:hAnsi="仿宋" w:eastAsia="仿宋" w:cs="仿宋"/>
        </w:rPr>
      </w:pPr>
      <w:r>
        <w:rPr>
          <w:rStyle w:val="46"/>
          <w:rFonts w:hint="eastAsia" w:ascii="仿宋" w:hAnsi="仿宋" w:eastAsia="仿宋" w:cs="仿宋"/>
          <w:szCs w:val="21"/>
        </w:rPr>
        <w:t xml:space="preserve">  </w:t>
      </w:r>
    </w:p>
    <w:p w14:paraId="158AABFF">
      <w:pPr>
        <w:pStyle w:val="171"/>
        <w:rPr>
          <w:rStyle w:val="46"/>
          <w:rFonts w:hint="eastAsia" w:ascii="仿宋" w:hAnsi="仿宋" w:eastAsia="仿宋" w:cs="仿宋"/>
        </w:rPr>
      </w:pPr>
      <w:r>
        <w:rPr>
          <w:rStyle w:val="46"/>
          <w:rFonts w:hint="eastAsia" w:ascii="仿宋" w:hAnsi="仿宋" w:eastAsia="仿宋" w:cs="仿宋"/>
          <w:sz w:val="32"/>
          <w:szCs w:val="32"/>
        </w:rPr>
        <w:t>                    </w:t>
      </w:r>
      <w:r>
        <w:rPr>
          <w:rStyle w:val="46"/>
          <w:rFonts w:hint="eastAsia" w:ascii="仿宋" w:hAnsi="仿宋" w:eastAsia="仿宋" w:cs="仿宋"/>
          <w:szCs w:val="21"/>
        </w:rPr>
        <w:t xml:space="preserve"> </w:t>
      </w:r>
    </w:p>
    <w:p w14:paraId="1D6FD68A">
      <w:pPr>
        <w:pStyle w:val="171"/>
        <w:ind w:firstLine="1767" w:firstLineChars="550"/>
        <w:rPr>
          <w:rStyle w:val="46"/>
          <w:rFonts w:hint="eastAsia" w:ascii="仿宋" w:hAnsi="仿宋" w:eastAsia="仿宋" w:cs="仿宋"/>
        </w:rPr>
      </w:pPr>
      <w:r>
        <w:rPr>
          <w:rStyle w:val="46"/>
          <w:rFonts w:hint="eastAsia" w:ascii="仿宋" w:hAnsi="仿宋" w:eastAsia="仿宋" w:cs="仿宋"/>
          <w:b/>
          <w:bCs/>
          <w:sz w:val="32"/>
          <w:szCs w:val="32"/>
        </w:rPr>
        <w:t>采购项目名称：________________   </w:t>
      </w:r>
      <w:r>
        <w:rPr>
          <w:rStyle w:val="46"/>
          <w:rFonts w:hint="eastAsia" w:ascii="仿宋" w:hAnsi="仿宋" w:eastAsia="仿宋" w:cs="仿宋"/>
          <w:szCs w:val="21"/>
        </w:rPr>
        <w:t xml:space="preserve"> </w:t>
      </w:r>
    </w:p>
    <w:p w14:paraId="749C1668">
      <w:pPr>
        <w:pStyle w:val="171"/>
        <w:ind w:firstLine="1767" w:firstLineChars="550"/>
        <w:rPr>
          <w:rStyle w:val="46"/>
          <w:rFonts w:hint="eastAsia" w:ascii="仿宋" w:hAnsi="仿宋" w:eastAsia="仿宋" w:cs="仿宋"/>
        </w:rPr>
      </w:pPr>
      <w:r>
        <w:rPr>
          <w:rStyle w:val="46"/>
          <w:rFonts w:hint="eastAsia" w:ascii="仿宋" w:hAnsi="仿宋" w:eastAsia="仿宋" w:cs="仿宋"/>
          <w:b/>
          <w:bCs/>
          <w:sz w:val="32"/>
          <w:szCs w:val="32"/>
          <w:lang w:eastAsia="zh-CN"/>
        </w:rPr>
        <w:t>采购计划编号</w:t>
      </w:r>
      <w:r>
        <w:rPr>
          <w:rStyle w:val="46"/>
          <w:rFonts w:hint="eastAsia" w:ascii="仿宋" w:hAnsi="仿宋" w:eastAsia="仿宋" w:cs="仿宋"/>
          <w:b/>
          <w:bCs/>
          <w:sz w:val="32"/>
          <w:szCs w:val="32"/>
        </w:rPr>
        <w:t>：________________</w:t>
      </w:r>
      <w:r>
        <w:rPr>
          <w:rStyle w:val="46"/>
          <w:rFonts w:hint="eastAsia" w:ascii="仿宋" w:hAnsi="仿宋" w:eastAsia="仿宋" w:cs="仿宋"/>
          <w:szCs w:val="21"/>
        </w:rPr>
        <w:t xml:space="preserve"> </w:t>
      </w:r>
    </w:p>
    <w:p w14:paraId="5C1DB394">
      <w:pPr>
        <w:pStyle w:val="171"/>
        <w:ind w:firstLine="1767" w:firstLineChars="550"/>
        <w:rPr>
          <w:rStyle w:val="46"/>
          <w:rFonts w:hint="eastAsia" w:ascii="仿宋" w:hAnsi="仿宋" w:eastAsia="仿宋" w:cs="仿宋"/>
        </w:rPr>
      </w:pPr>
      <w:r>
        <w:rPr>
          <w:rStyle w:val="46"/>
          <w:rFonts w:hint="eastAsia" w:ascii="仿宋" w:hAnsi="仿宋" w:eastAsia="仿宋" w:cs="仿宋"/>
          <w:b/>
          <w:bCs/>
          <w:sz w:val="32"/>
          <w:szCs w:val="32"/>
          <w:lang w:eastAsia="zh-CN"/>
        </w:rPr>
        <w:t>政府采购编号</w:t>
      </w:r>
      <w:r>
        <w:rPr>
          <w:rStyle w:val="46"/>
          <w:rFonts w:hint="eastAsia" w:ascii="仿宋" w:hAnsi="仿宋" w:eastAsia="仿宋" w:cs="仿宋"/>
          <w:b/>
          <w:bCs/>
          <w:sz w:val="32"/>
          <w:szCs w:val="32"/>
        </w:rPr>
        <w:t>：________________</w:t>
      </w:r>
      <w:r>
        <w:rPr>
          <w:rStyle w:val="46"/>
          <w:rFonts w:hint="eastAsia" w:ascii="仿宋" w:hAnsi="仿宋" w:eastAsia="仿宋" w:cs="仿宋"/>
          <w:szCs w:val="21"/>
        </w:rPr>
        <w:t xml:space="preserve"> </w:t>
      </w:r>
    </w:p>
    <w:p w14:paraId="18887CB7">
      <w:pPr>
        <w:pStyle w:val="171"/>
        <w:ind w:firstLine="1500"/>
        <w:rPr>
          <w:rStyle w:val="46"/>
          <w:rFonts w:hint="eastAsia" w:ascii="仿宋" w:hAnsi="仿宋" w:eastAsia="仿宋" w:cs="仿宋"/>
        </w:rPr>
      </w:pPr>
      <w:r>
        <w:rPr>
          <w:rStyle w:val="46"/>
          <w:rFonts w:hint="eastAsia" w:ascii="仿宋" w:hAnsi="仿宋" w:eastAsia="仿宋" w:cs="仿宋"/>
          <w:szCs w:val="21"/>
        </w:rPr>
        <w:t xml:space="preserve">  </w:t>
      </w:r>
    </w:p>
    <w:p w14:paraId="3E28D91D">
      <w:pPr>
        <w:pStyle w:val="171"/>
        <w:ind w:firstLine="1500"/>
        <w:rPr>
          <w:rStyle w:val="46"/>
          <w:rFonts w:hint="eastAsia" w:ascii="仿宋" w:hAnsi="仿宋" w:eastAsia="仿宋" w:cs="仿宋"/>
        </w:rPr>
      </w:pPr>
      <w:r>
        <w:rPr>
          <w:rStyle w:val="46"/>
          <w:rFonts w:hint="eastAsia" w:ascii="仿宋" w:hAnsi="仿宋" w:eastAsia="仿宋" w:cs="仿宋"/>
          <w:szCs w:val="21"/>
        </w:rPr>
        <w:t xml:space="preserve">  </w:t>
      </w:r>
    </w:p>
    <w:p w14:paraId="198FF1D3">
      <w:pPr>
        <w:pStyle w:val="171"/>
        <w:ind w:firstLine="1500"/>
        <w:rPr>
          <w:rStyle w:val="46"/>
          <w:rFonts w:hint="eastAsia" w:ascii="仿宋" w:hAnsi="仿宋" w:eastAsia="仿宋" w:cs="仿宋"/>
        </w:rPr>
      </w:pPr>
      <w:r>
        <w:rPr>
          <w:rStyle w:val="46"/>
          <w:rFonts w:hint="eastAsia" w:ascii="仿宋" w:hAnsi="仿宋" w:eastAsia="仿宋" w:cs="仿宋"/>
          <w:szCs w:val="21"/>
        </w:rPr>
        <w:t xml:space="preserve">  </w:t>
      </w:r>
    </w:p>
    <w:p w14:paraId="4A9E7D7D">
      <w:pPr>
        <w:pStyle w:val="171"/>
        <w:ind w:firstLine="1500"/>
        <w:rPr>
          <w:rStyle w:val="46"/>
          <w:rFonts w:hint="eastAsia" w:ascii="仿宋" w:hAnsi="仿宋" w:eastAsia="仿宋" w:cs="仿宋"/>
        </w:rPr>
      </w:pPr>
      <w:r>
        <w:rPr>
          <w:rStyle w:val="46"/>
          <w:rFonts w:hint="eastAsia" w:ascii="仿宋" w:hAnsi="仿宋" w:eastAsia="仿宋" w:cs="仿宋"/>
          <w:szCs w:val="21"/>
        </w:rPr>
        <w:t xml:space="preserve">  </w:t>
      </w:r>
    </w:p>
    <w:p w14:paraId="2E391BA3">
      <w:pPr>
        <w:pStyle w:val="171"/>
        <w:rPr>
          <w:rStyle w:val="46"/>
          <w:rFonts w:hint="eastAsia" w:ascii="仿宋" w:hAnsi="仿宋" w:eastAsia="仿宋" w:cs="仿宋"/>
        </w:rPr>
      </w:pPr>
      <w:r>
        <w:rPr>
          <w:rStyle w:val="46"/>
          <w:rFonts w:hint="eastAsia" w:ascii="仿宋" w:hAnsi="仿宋" w:eastAsia="仿宋" w:cs="仿宋"/>
          <w:szCs w:val="21"/>
        </w:rPr>
        <w:t xml:space="preserve">  </w:t>
      </w:r>
    </w:p>
    <w:p w14:paraId="16A435C4">
      <w:pPr>
        <w:pStyle w:val="171"/>
        <w:ind w:firstLine="1767" w:firstLineChars="550"/>
        <w:rPr>
          <w:rStyle w:val="46"/>
          <w:rFonts w:hint="eastAsia" w:ascii="仿宋" w:hAnsi="仿宋" w:eastAsia="仿宋" w:cs="仿宋"/>
        </w:rPr>
      </w:pPr>
      <w:r>
        <w:rPr>
          <w:rStyle w:val="46"/>
          <w:rFonts w:hint="eastAsia" w:ascii="仿宋" w:hAnsi="仿宋" w:eastAsia="仿宋" w:cs="仿宋"/>
          <w:b/>
          <w:bCs/>
          <w:sz w:val="32"/>
          <w:szCs w:val="32"/>
          <w:lang w:eastAsia="zh-CN"/>
        </w:rPr>
        <w:t>投标人：_</w:t>
      </w:r>
      <w:r>
        <w:rPr>
          <w:rStyle w:val="46"/>
          <w:rFonts w:hint="eastAsia" w:ascii="仿宋" w:hAnsi="仿宋" w:eastAsia="仿宋" w:cs="仿宋"/>
          <w:sz w:val="32"/>
          <w:szCs w:val="32"/>
        </w:rPr>
        <w:t>_______________</w:t>
      </w:r>
      <w:r>
        <w:rPr>
          <w:rStyle w:val="46"/>
          <w:rFonts w:hint="eastAsia" w:ascii="仿宋" w:hAnsi="仿宋" w:eastAsia="仿宋" w:cs="仿宋"/>
          <w:szCs w:val="21"/>
        </w:rPr>
        <w:t xml:space="preserve"> </w:t>
      </w:r>
    </w:p>
    <w:p w14:paraId="2BEB9927">
      <w:pPr>
        <w:pStyle w:val="171"/>
        <w:ind w:firstLine="4800"/>
        <w:rPr>
          <w:rStyle w:val="46"/>
          <w:rFonts w:hint="eastAsia" w:ascii="仿宋" w:hAnsi="仿宋" w:eastAsia="仿宋" w:cs="仿宋"/>
        </w:rPr>
      </w:pPr>
      <w:r>
        <w:rPr>
          <w:rStyle w:val="46"/>
          <w:rFonts w:hint="eastAsia" w:ascii="仿宋" w:hAnsi="仿宋" w:eastAsia="仿宋" w:cs="仿宋"/>
          <w:szCs w:val="21"/>
        </w:rPr>
        <w:t xml:space="preserve">  </w:t>
      </w:r>
    </w:p>
    <w:p w14:paraId="67880A4F">
      <w:pPr>
        <w:pStyle w:val="171"/>
        <w:ind w:firstLine="4800"/>
        <w:rPr>
          <w:rStyle w:val="46"/>
          <w:rFonts w:hint="eastAsia" w:ascii="仿宋" w:hAnsi="仿宋" w:eastAsia="仿宋" w:cs="仿宋"/>
        </w:rPr>
      </w:pPr>
      <w:r>
        <w:rPr>
          <w:rStyle w:val="46"/>
          <w:rFonts w:hint="eastAsia" w:ascii="仿宋" w:hAnsi="仿宋" w:eastAsia="仿宋" w:cs="仿宋"/>
          <w:szCs w:val="21"/>
        </w:rPr>
        <w:t xml:space="preserve">  </w:t>
      </w:r>
    </w:p>
    <w:p w14:paraId="672F8228">
      <w:pPr>
        <w:pStyle w:val="171"/>
        <w:rPr>
          <w:rStyle w:val="46"/>
          <w:rFonts w:hint="eastAsia" w:ascii="仿宋" w:hAnsi="仿宋" w:eastAsia="仿宋" w:cs="仿宋"/>
          <w:sz w:val="32"/>
          <w:szCs w:val="32"/>
        </w:rPr>
      </w:pPr>
    </w:p>
    <w:p w14:paraId="0F254482">
      <w:pPr>
        <w:pStyle w:val="171"/>
        <w:rPr>
          <w:rStyle w:val="46"/>
          <w:rFonts w:hint="eastAsia" w:ascii="仿宋" w:hAnsi="仿宋" w:eastAsia="仿宋" w:cs="仿宋"/>
          <w:sz w:val="32"/>
          <w:szCs w:val="32"/>
        </w:rPr>
      </w:pPr>
    </w:p>
    <w:p w14:paraId="4731D41A">
      <w:pPr>
        <w:pStyle w:val="171"/>
        <w:ind w:firstLine="3520" w:firstLineChars="1100"/>
        <w:rPr>
          <w:rStyle w:val="46"/>
          <w:rFonts w:hint="eastAsia" w:ascii="仿宋" w:hAnsi="仿宋" w:eastAsia="仿宋" w:cs="仿宋"/>
        </w:rPr>
      </w:pPr>
      <w:r>
        <w:rPr>
          <w:rStyle w:val="46"/>
          <w:rFonts w:hint="eastAsia" w:ascii="仿宋" w:hAnsi="仿宋" w:eastAsia="仿宋" w:cs="仿宋"/>
          <w:sz w:val="32"/>
          <w:szCs w:val="32"/>
        </w:rPr>
        <w:t>年  月  日</w:t>
      </w:r>
      <w:r>
        <w:rPr>
          <w:rStyle w:val="46"/>
          <w:rFonts w:hint="eastAsia" w:ascii="仿宋" w:hAnsi="仿宋" w:eastAsia="仿宋" w:cs="仿宋"/>
          <w:szCs w:val="21"/>
        </w:rPr>
        <w:t xml:space="preserve"> </w:t>
      </w:r>
    </w:p>
    <w:p w14:paraId="390338AE">
      <w:pPr>
        <w:pStyle w:val="172"/>
        <w:jc w:val="left"/>
        <w:outlineLvl w:val="1"/>
        <w:rPr>
          <w:rFonts w:hint="eastAsia" w:ascii="宋体" w:hAnsi="宋体" w:eastAsia="宋体" w:cs="宋体"/>
          <w:color w:val="auto"/>
          <w:sz w:val="24"/>
        </w:rPr>
      </w:pPr>
      <w:r>
        <w:rPr>
          <w:rStyle w:val="46"/>
          <w:rFonts w:hint="eastAsia" w:ascii="仿宋" w:hAnsi="仿宋" w:eastAsia="仿宋" w:cs="仿宋"/>
        </w:rPr>
        <w:br w:type="page"/>
      </w:r>
    </w:p>
    <w:bookmarkEnd w:id="479"/>
    <w:bookmarkEnd w:id="480"/>
    <w:p w14:paraId="0A41714E">
      <w:pPr>
        <w:pStyle w:val="4"/>
        <w:bidi w:val="0"/>
        <w:rPr>
          <w:rFonts w:hint="eastAsia" w:ascii="宋体" w:hAnsi="宋体" w:eastAsia="宋体" w:cs="宋体"/>
        </w:rPr>
      </w:pPr>
      <w:bookmarkStart w:id="481" w:name="_Toc6763"/>
      <w:bookmarkStart w:id="482" w:name="_Toc26262"/>
      <w:bookmarkStart w:id="483" w:name="_Toc20852"/>
      <w:bookmarkStart w:id="484" w:name="_Toc14676"/>
      <w:bookmarkStart w:id="485" w:name="_Toc593"/>
      <w:bookmarkStart w:id="486" w:name="_Toc30877"/>
      <w:bookmarkStart w:id="487" w:name="_Toc20212"/>
      <w:r>
        <w:rPr>
          <w:rFonts w:hint="eastAsia" w:ascii="宋体" w:hAnsi="宋体" w:cs="宋体"/>
          <w:sz w:val="28"/>
          <w:szCs w:val="28"/>
          <w:lang w:val="en-US" w:eastAsia="zh-CN"/>
        </w:rPr>
        <w:t>三</w:t>
      </w:r>
      <w:r>
        <w:rPr>
          <w:rFonts w:hint="eastAsia" w:ascii="宋体" w:hAnsi="宋体" w:eastAsia="宋体" w:cs="宋体"/>
          <w:sz w:val="28"/>
          <w:szCs w:val="28"/>
        </w:rPr>
        <w:t>、投标函</w:t>
      </w:r>
      <w:bookmarkEnd w:id="481"/>
      <w:bookmarkEnd w:id="482"/>
      <w:bookmarkEnd w:id="483"/>
      <w:bookmarkEnd w:id="484"/>
      <w:bookmarkEnd w:id="485"/>
      <w:bookmarkEnd w:id="486"/>
      <w:bookmarkEnd w:id="487"/>
    </w:p>
    <w:p w14:paraId="67CE3D26">
      <w:pPr>
        <w:keepNext w:val="0"/>
        <w:keepLines w:val="0"/>
        <w:pageBreakBefore w:val="0"/>
        <w:widowControl w:val="0"/>
        <w:kinsoku/>
        <w:wordWrap/>
        <w:overflowPunct/>
        <w:topLinePunct w:val="0"/>
        <w:autoSpaceDE/>
        <w:autoSpaceDN/>
        <w:bidi w:val="0"/>
        <w:adjustRightInd w:val="0"/>
        <w:snapToGrid w:val="0"/>
        <w:spacing w:beforeLines="50" w:line="432" w:lineRule="auto"/>
        <w:textAlignment w:val="auto"/>
        <w:rPr>
          <w:rFonts w:hint="eastAsia" w:ascii="宋体" w:hAnsi="宋体" w:eastAsia="宋体" w:cs="宋体"/>
          <w:color w:val="auto"/>
          <w:sz w:val="24"/>
        </w:rPr>
      </w:pPr>
      <w:r>
        <w:rPr>
          <w:rFonts w:hint="eastAsia" w:ascii="宋体" w:hAnsi="宋体" w:eastAsia="宋体" w:cs="宋体"/>
          <w:color w:val="auto"/>
          <w:sz w:val="24"/>
        </w:rPr>
        <w:t>致</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none"/>
        </w:rPr>
        <w:t>（采购人或代理机构）</w:t>
      </w:r>
      <w:r>
        <w:rPr>
          <w:rFonts w:hint="eastAsia" w:ascii="宋体" w:hAnsi="宋体" w:eastAsia="宋体" w:cs="宋体"/>
          <w:color w:val="auto"/>
          <w:sz w:val="24"/>
        </w:rPr>
        <w:t>：</w:t>
      </w:r>
    </w:p>
    <w:p w14:paraId="2EF72ECC">
      <w:pPr>
        <w:keepNext w:val="0"/>
        <w:keepLines w:val="0"/>
        <w:pageBreakBefore w:val="0"/>
        <w:widowControl w:val="0"/>
        <w:kinsoku/>
        <w:wordWrap/>
        <w:overflowPunct/>
        <w:topLinePunct w:val="0"/>
        <w:autoSpaceDE/>
        <w:autoSpaceDN/>
        <w:bidi w:val="0"/>
        <w:adjustRightInd w:val="0"/>
        <w:snapToGrid w:val="0"/>
        <w:spacing w:beforeLines="50" w:line="432" w:lineRule="auto"/>
        <w:ind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根据贵方为</w:t>
      </w:r>
      <w:r>
        <w:rPr>
          <w:rFonts w:hint="eastAsia" w:ascii="宋体" w:hAnsi="宋体" w:eastAsia="宋体" w:cs="宋体"/>
          <w:color w:val="auto"/>
          <w:sz w:val="24"/>
          <w:u w:val="single"/>
        </w:rPr>
        <w:t>        （项目名称）</w:t>
      </w:r>
      <w:r>
        <w:rPr>
          <w:rFonts w:hint="eastAsia" w:ascii="宋体" w:hAnsi="宋体" w:eastAsia="宋体" w:cs="宋体"/>
          <w:color w:val="auto"/>
          <w:sz w:val="24"/>
        </w:rPr>
        <w:t>的投标邀请（</w:t>
      </w:r>
      <w:r>
        <w:rPr>
          <w:rFonts w:hint="eastAsia" w:ascii="宋体" w:hAnsi="宋体" w:cs="宋体"/>
          <w:color w:val="auto"/>
          <w:sz w:val="24"/>
          <w:lang w:val="en-US" w:eastAsia="zh-CN"/>
        </w:rPr>
        <w:t>政府采购编</w:t>
      </w:r>
      <w:r>
        <w:rPr>
          <w:rFonts w:hint="eastAsia" w:ascii="宋体" w:hAnsi="宋体" w:eastAsia="宋体" w:cs="宋体"/>
          <w:color w:val="auto"/>
          <w:sz w:val="24"/>
        </w:rPr>
        <w:t>号：</w:t>
      </w:r>
      <w:r>
        <w:rPr>
          <w:rFonts w:hint="eastAsia" w:ascii="宋体" w:hAnsi="宋体" w:eastAsia="宋体" w:cs="宋体"/>
          <w:color w:val="auto"/>
          <w:sz w:val="24"/>
          <w:u w:val="single"/>
        </w:rPr>
        <w:t>       </w:t>
      </w:r>
      <w:r>
        <w:rPr>
          <w:rFonts w:hint="eastAsia" w:ascii="宋体" w:hAnsi="宋体" w:eastAsia="宋体" w:cs="宋体"/>
          <w:color w:val="auto"/>
          <w:sz w:val="24"/>
        </w:rPr>
        <w:t>，</w:t>
      </w:r>
      <w:r>
        <w:rPr>
          <w:rFonts w:hint="eastAsia" w:ascii="宋体" w:hAnsi="宋体" w:eastAsia="宋体" w:cs="宋体"/>
          <w:color w:val="auto"/>
          <w:sz w:val="24"/>
          <w:lang w:eastAsia="zh-CN"/>
        </w:rPr>
        <w:t>采购</w:t>
      </w:r>
      <w:r>
        <w:rPr>
          <w:rFonts w:hint="eastAsia" w:ascii="宋体" w:hAnsi="宋体" w:cs="宋体"/>
          <w:color w:val="auto"/>
          <w:sz w:val="24"/>
          <w:lang w:val="en-US" w:eastAsia="zh-CN"/>
        </w:rPr>
        <w:t>计划</w:t>
      </w:r>
      <w:r>
        <w:rPr>
          <w:rFonts w:hint="eastAsia" w:ascii="宋体" w:hAnsi="宋体" w:eastAsia="宋体" w:cs="宋体"/>
          <w:color w:val="auto"/>
          <w:sz w:val="24"/>
          <w:lang w:eastAsia="zh-CN"/>
        </w:rPr>
        <w:t>编号</w:t>
      </w:r>
      <w:r>
        <w:rPr>
          <w:rFonts w:hint="eastAsia" w:ascii="宋体" w:hAnsi="宋体" w:eastAsia="宋体" w:cs="宋体"/>
          <w:color w:val="auto"/>
          <w:sz w:val="24"/>
        </w:rPr>
        <w:t>：</w:t>
      </w:r>
      <w:r>
        <w:rPr>
          <w:rFonts w:hint="eastAsia" w:ascii="宋体" w:hAnsi="宋体" w:eastAsia="宋体" w:cs="宋体"/>
          <w:color w:val="auto"/>
          <w:sz w:val="24"/>
          <w:u w:val="single"/>
        </w:rPr>
        <w:t>       </w:t>
      </w:r>
      <w:r>
        <w:rPr>
          <w:rFonts w:hint="eastAsia" w:ascii="宋体" w:hAnsi="宋体" w:eastAsia="宋体" w:cs="宋体"/>
          <w:color w:val="auto"/>
          <w:sz w:val="24"/>
        </w:rPr>
        <w:t>），签字代表</w:t>
      </w:r>
      <w:r>
        <w:rPr>
          <w:rFonts w:hint="eastAsia" w:ascii="宋体" w:hAnsi="宋体" w:eastAsia="宋体" w:cs="宋体"/>
          <w:color w:val="auto"/>
          <w:sz w:val="24"/>
          <w:u w:val="single"/>
        </w:rPr>
        <w:t>     </w:t>
      </w:r>
      <w:r>
        <w:rPr>
          <w:rFonts w:hint="eastAsia" w:ascii="宋体" w:hAnsi="宋体" w:eastAsia="宋体" w:cs="宋体"/>
          <w:color w:val="auto"/>
          <w:sz w:val="24"/>
        </w:rPr>
        <w:t>（姓名、职务）经正式授权并代表</w:t>
      </w:r>
      <w:r>
        <w:rPr>
          <w:rFonts w:hint="eastAsia" w:ascii="宋体" w:hAnsi="宋体" w:eastAsia="宋体" w:cs="宋体"/>
          <w:color w:val="auto"/>
          <w:sz w:val="24"/>
          <w:lang w:eastAsia="zh-CN"/>
        </w:rPr>
        <w:t>投标供应商</w:t>
      </w:r>
      <w:r>
        <w:rPr>
          <w:rFonts w:hint="eastAsia" w:ascii="宋体" w:hAnsi="宋体" w:eastAsia="宋体" w:cs="宋体"/>
          <w:color w:val="auto"/>
          <w:sz w:val="24"/>
          <w:u w:val="single"/>
        </w:rPr>
        <w:t>     （</w:t>
      </w:r>
      <w:r>
        <w:rPr>
          <w:rFonts w:hint="eastAsia" w:ascii="宋体" w:hAnsi="宋体" w:eastAsia="宋体" w:cs="宋体"/>
          <w:color w:val="auto"/>
          <w:sz w:val="24"/>
          <w:u w:val="single"/>
          <w:lang w:eastAsia="zh-CN"/>
        </w:rPr>
        <w:t>投标供应商</w:t>
      </w:r>
      <w:r>
        <w:rPr>
          <w:rFonts w:hint="eastAsia" w:ascii="宋体" w:hAnsi="宋体" w:eastAsia="宋体" w:cs="宋体"/>
          <w:color w:val="auto"/>
          <w:sz w:val="24"/>
          <w:u w:val="single"/>
        </w:rPr>
        <w:t>名称）</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rPr>
        <w:t>提交下述投标文件第一部分资格证明文件：投标文件电子文档：</w:t>
      </w:r>
      <w:r>
        <w:rPr>
          <w:rFonts w:hint="eastAsia" w:ascii="宋体" w:hAnsi="宋体" w:eastAsia="宋体" w:cs="宋体"/>
          <w:color w:val="auto"/>
          <w:sz w:val="24"/>
          <w:u w:val="single"/>
        </w:rPr>
        <w:t> 一 份</w:t>
      </w:r>
      <w:r>
        <w:rPr>
          <w:rFonts w:hint="eastAsia" w:ascii="宋体" w:hAnsi="宋体" w:eastAsia="宋体" w:cs="宋体"/>
          <w:color w:val="auto"/>
          <w:sz w:val="24"/>
        </w:rPr>
        <w:t>；第二部分商务和技术文件：投标文件电子文</w:t>
      </w:r>
      <w:r>
        <w:rPr>
          <w:rFonts w:hint="eastAsia" w:ascii="宋体" w:hAnsi="宋体" w:eastAsia="宋体" w:cs="宋体"/>
          <w:color w:val="auto"/>
          <w:sz w:val="24"/>
          <w:u w:val="none"/>
        </w:rPr>
        <w:t>档：</w:t>
      </w:r>
      <w:r>
        <w:rPr>
          <w:rFonts w:hint="eastAsia" w:ascii="宋体" w:hAnsi="宋体" w:eastAsia="宋体" w:cs="宋体"/>
          <w:color w:val="auto"/>
          <w:sz w:val="24"/>
          <w:u w:val="single"/>
        </w:rPr>
        <w:t>一 份</w:t>
      </w:r>
      <w:r>
        <w:rPr>
          <w:rFonts w:hint="eastAsia" w:ascii="宋体" w:hAnsi="宋体" w:eastAsia="宋体" w:cs="宋体"/>
          <w:color w:val="auto"/>
          <w:sz w:val="24"/>
        </w:rPr>
        <w:t>；参加采购项目</w:t>
      </w:r>
      <w:r>
        <w:rPr>
          <w:rFonts w:hint="eastAsia" w:ascii="宋体" w:hAnsi="宋体" w:eastAsia="宋体" w:cs="宋体"/>
          <w:color w:val="auto"/>
          <w:sz w:val="24"/>
          <w:u w:val="single"/>
        </w:rPr>
        <w:t>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rPr>
        <w:t> （项目名称</w:t>
      </w:r>
      <w:r>
        <w:rPr>
          <w:rFonts w:hint="eastAsia" w:ascii="宋体" w:hAnsi="宋体" w:cs="宋体"/>
          <w:color w:val="auto"/>
          <w:sz w:val="24"/>
          <w:u w:val="single"/>
          <w:lang w:eastAsia="zh-CN"/>
        </w:rPr>
        <w:t>）</w:t>
      </w:r>
      <w:r>
        <w:rPr>
          <w:rFonts w:hint="eastAsia" w:ascii="宋体" w:hAnsi="宋体" w:eastAsia="宋体" w:cs="宋体"/>
          <w:color w:val="auto"/>
          <w:sz w:val="24"/>
          <w:u w:val="single"/>
        </w:rPr>
        <w:t>  </w:t>
      </w:r>
      <w:r>
        <w:rPr>
          <w:rFonts w:hint="eastAsia" w:ascii="宋体" w:hAnsi="宋体" w:eastAsia="宋体" w:cs="宋体"/>
          <w:color w:val="auto"/>
          <w:sz w:val="24"/>
        </w:rPr>
        <w:t>投标，并在此声明，所递交的投标文件内容完整、真实。</w:t>
      </w:r>
    </w:p>
    <w:p w14:paraId="5F1B6816">
      <w:pPr>
        <w:adjustRightInd w:val="0"/>
        <w:snapToGrid w:val="0"/>
        <w:spacing w:beforeLines="50" w:line="360" w:lineRule="auto"/>
        <w:ind w:firstLine="482" w:firstLineChars="200"/>
        <w:jc w:val="left"/>
        <w:rPr>
          <w:rFonts w:hint="eastAsia" w:ascii="宋体" w:hAnsi="宋体" w:eastAsia="宋体" w:cs="宋体"/>
          <w:color w:val="auto"/>
          <w:sz w:val="24"/>
        </w:rPr>
      </w:pPr>
      <w:r>
        <w:rPr>
          <w:rFonts w:hint="eastAsia" w:ascii="宋体" w:hAnsi="宋体" w:eastAsia="宋体" w:cs="宋体"/>
          <w:b/>
          <w:color w:val="auto"/>
          <w:sz w:val="24"/>
        </w:rPr>
        <w:t>第一部分 资格证明文件</w:t>
      </w:r>
    </w:p>
    <w:p w14:paraId="216C8644">
      <w:pPr>
        <w:adjustRightInd w:val="0"/>
        <w:snapToGrid w:val="0"/>
        <w:spacing w:beforeLines="50" w:line="360" w:lineRule="auto"/>
        <w:ind w:firstLine="480" w:firstLineChars="200"/>
        <w:jc w:val="left"/>
        <w:rPr>
          <w:rFonts w:hint="eastAsia" w:ascii="宋体" w:hAnsi="宋体" w:eastAsia="宋体" w:cs="宋体"/>
          <w:color w:val="auto"/>
          <w:sz w:val="24"/>
        </w:rPr>
      </w:pPr>
      <w:r>
        <w:rPr>
          <w:rFonts w:hint="eastAsia" w:ascii="宋体" w:hAnsi="宋体" w:cs="宋体"/>
          <w:color w:val="auto"/>
          <w:sz w:val="24"/>
          <w:lang w:val="en-US" w:eastAsia="zh-CN"/>
        </w:rPr>
        <w:t>一、</w:t>
      </w:r>
      <w:r>
        <w:rPr>
          <w:rFonts w:hint="eastAsia" w:ascii="宋体" w:hAnsi="宋体" w:eastAsia="宋体" w:cs="宋体"/>
          <w:color w:val="auto"/>
          <w:sz w:val="24"/>
          <w:szCs w:val="24"/>
        </w:rPr>
        <w:t>授权委托书</w:t>
      </w:r>
    </w:p>
    <w:p w14:paraId="0A928D2C">
      <w:pPr>
        <w:adjustRightInd w:val="0"/>
        <w:snapToGrid w:val="0"/>
        <w:spacing w:beforeLines="50" w:line="360" w:lineRule="auto"/>
        <w:ind w:firstLine="480" w:firstLineChars="200"/>
        <w:jc w:val="left"/>
        <w:rPr>
          <w:rFonts w:hint="eastAsia" w:ascii="宋体" w:hAnsi="宋体" w:eastAsia="宋体" w:cs="宋体"/>
          <w:color w:val="auto"/>
          <w:sz w:val="24"/>
        </w:rPr>
      </w:pPr>
      <w:r>
        <w:rPr>
          <w:rFonts w:hint="eastAsia" w:ascii="宋体" w:hAnsi="宋体" w:cs="宋体"/>
          <w:color w:val="auto"/>
          <w:sz w:val="24"/>
          <w:szCs w:val="24"/>
          <w:lang w:val="en-US" w:eastAsia="zh-CN"/>
        </w:rPr>
        <w:t>二、</w:t>
      </w:r>
      <w:r>
        <w:rPr>
          <w:rFonts w:hint="eastAsia" w:ascii="宋体" w:hAnsi="宋体" w:eastAsia="宋体" w:cs="宋体"/>
          <w:color w:val="auto"/>
          <w:sz w:val="24"/>
          <w:szCs w:val="24"/>
        </w:rPr>
        <w:t>投标人提供的资格证明文件</w:t>
      </w:r>
    </w:p>
    <w:p w14:paraId="4E9A71EA">
      <w:pPr>
        <w:adjustRightInd w:val="0"/>
        <w:snapToGrid w:val="0"/>
        <w:spacing w:beforeLines="50" w:line="360" w:lineRule="auto"/>
        <w:ind w:firstLine="482" w:firstLineChars="200"/>
        <w:jc w:val="left"/>
        <w:rPr>
          <w:rFonts w:hint="eastAsia" w:ascii="宋体" w:hAnsi="宋体" w:eastAsia="宋体" w:cs="宋体"/>
          <w:b/>
          <w:color w:val="auto"/>
          <w:sz w:val="24"/>
        </w:rPr>
      </w:pPr>
      <w:r>
        <w:rPr>
          <w:rFonts w:hint="eastAsia" w:ascii="宋体" w:hAnsi="宋体" w:eastAsia="宋体" w:cs="宋体"/>
          <w:b/>
          <w:color w:val="auto"/>
          <w:sz w:val="24"/>
        </w:rPr>
        <w:t>第二部分 商务和技术文件</w:t>
      </w:r>
    </w:p>
    <w:p w14:paraId="74F2FBAA">
      <w:pPr>
        <w:adjustRightInd w:val="0"/>
        <w:snapToGrid w:val="0"/>
        <w:spacing w:beforeLines="50" w:line="360" w:lineRule="auto"/>
        <w:ind w:firstLine="480" w:firstLineChars="200"/>
        <w:jc w:val="left"/>
        <w:rPr>
          <w:rFonts w:hint="eastAsia" w:ascii="宋体" w:hAnsi="宋体" w:eastAsia="宋体" w:cs="宋体"/>
          <w:color w:val="auto"/>
          <w:sz w:val="24"/>
        </w:rPr>
      </w:pPr>
      <w:r>
        <w:rPr>
          <w:rFonts w:hint="eastAsia" w:ascii="宋体" w:hAnsi="宋体" w:cs="宋体"/>
          <w:color w:val="auto"/>
          <w:sz w:val="24"/>
          <w:lang w:val="en-US" w:eastAsia="zh-CN"/>
        </w:rPr>
        <w:t>三</w:t>
      </w:r>
      <w:r>
        <w:rPr>
          <w:rFonts w:hint="eastAsia" w:ascii="宋体" w:hAnsi="宋体" w:eastAsia="宋体" w:cs="宋体"/>
          <w:color w:val="auto"/>
          <w:sz w:val="24"/>
        </w:rPr>
        <w:t>、投标函</w:t>
      </w:r>
    </w:p>
    <w:p w14:paraId="7CDE3A90">
      <w:pPr>
        <w:pStyle w:val="3"/>
        <w:rPr>
          <w:rFonts w:hint="default" w:eastAsia="宋体"/>
          <w:lang w:val="en-US" w:eastAsia="zh-CN"/>
        </w:rPr>
      </w:pPr>
      <w:r>
        <w:rPr>
          <w:rFonts w:hint="eastAsia" w:ascii="宋体" w:hAnsi="宋体" w:cs="宋体"/>
          <w:color w:val="auto"/>
          <w:sz w:val="24"/>
          <w:lang w:val="en-US" w:eastAsia="zh-CN"/>
        </w:rPr>
        <w:t xml:space="preserve">    </w:t>
      </w:r>
      <w:r>
        <w:rPr>
          <w:rFonts w:hint="eastAsia" w:ascii="宋体" w:hAnsi="宋体" w:eastAsia="宋体" w:cs="宋体"/>
          <w:b w:val="0"/>
          <w:bCs w:val="0"/>
          <w:color w:val="auto"/>
          <w:kern w:val="2"/>
          <w:sz w:val="24"/>
          <w:szCs w:val="24"/>
          <w:lang w:val="en-US" w:eastAsia="zh-CN" w:bidi="ar-SA"/>
        </w:rPr>
        <w:t>四、</w:t>
      </w:r>
      <w:r>
        <w:rPr>
          <w:rFonts w:hint="eastAsia" w:ascii="宋体" w:hAnsi="宋体" w:cs="宋体"/>
          <w:b w:val="0"/>
          <w:bCs w:val="0"/>
          <w:color w:val="auto"/>
          <w:kern w:val="2"/>
          <w:sz w:val="24"/>
          <w:szCs w:val="24"/>
          <w:lang w:val="en-US" w:eastAsia="zh-CN" w:bidi="ar-SA"/>
        </w:rPr>
        <w:t>开标一览表</w:t>
      </w:r>
    </w:p>
    <w:p w14:paraId="26045BC8">
      <w:pPr>
        <w:adjustRightInd w:val="0"/>
        <w:snapToGrid w:val="0"/>
        <w:spacing w:beforeLines="50" w:line="360" w:lineRule="auto"/>
        <w:ind w:firstLine="480" w:firstLineChars="200"/>
        <w:jc w:val="left"/>
        <w:rPr>
          <w:rFonts w:hint="eastAsia" w:ascii="宋体" w:hAnsi="宋体" w:cs="宋体"/>
          <w:color w:val="auto"/>
          <w:sz w:val="24"/>
          <w:lang w:val="en-US" w:eastAsia="zh-CN"/>
        </w:rPr>
      </w:pPr>
      <w:r>
        <w:rPr>
          <w:rFonts w:hint="eastAsia" w:ascii="宋体" w:hAnsi="宋体" w:cs="宋体"/>
          <w:color w:val="auto"/>
          <w:sz w:val="24"/>
          <w:lang w:val="en-US" w:eastAsia="zh-CN"/>
        </w:rPr>
        <w:t>五、分项报价</w:t>
      </w:r>
    </w:p>
    <w:p w14:paraId="610707A1">
      <w:pPr>
        <w:adjustRightInd w:val="0"/>
        <w:snapToGrid w:val="0"/>
        <w:spacing w:beforeLines="50" w:line="360" w:lineRule="auto"/>
        <w:ind w:firstLine="480" w:firstLineChars="200"/>
        <w:jc w:val="left"/>
        <w:rPr>
          <w:rFonts w:hint="default" w:ascii="宋体" w:hAnsi="宋体" w:eastAsia="宋体" w:cs="宋体"/>
          <w:color w:val="auto"/>
          <w:sz w:val="24"/>
          <w:lang w:val="en-US" w:eastAsia="zh-CN"/>
        </w:rPr>
      </w:pPr>
      <w:r>
        <w:rPr>
          <w:rFonts w:hint="eastAsia" w:ascii="宋体" w:hAnsi="宋体" w:cs="宋体"/>
          <w:color w:val="auto"/>
          <w:sz w:val="24"/>
          <w:lang w:val="en-US" w:eastAsia="zh-CN"/>
        </w:rPr>
        <w:t>六</w:t>
      </w:r>
      <w:r>
        <w:rPr>
          <w:rFonts w:hint="eastAsia" w:ascii="宋体" w:hAnsi="宋体" w:eastAsia="宋体" w:cs="宋体"/>
          <w:color w:val="auto"/>
          <w:sz w:val="24"/>
        </w:rPr>
        <w:t>、</w:t>
      </w:r>
      <w:r>
        <w:rPr>
          <w:rFonts w:hint="eastAsia" w:ascii="宋体" w:hAnsi="宋体" w:cs="宋体"/>
          <w:color w:val="auto"/>
          <w:sz w:val="24"/>
          <w:lang w:val="en-US" w:eastAsia="zh-CN"/>
        </w:rPr>
        <w:t>采购需求响应表</w:t>
      </w:r>
    </w:p>
    <w:p w14:paraId="391945C4">
      <w:pPr>
        <w:adjustRightInd w:val="0"/>
        <w:snapToGrid w:val="0"/>
        <w:spacing w:beforeLines="50" w:line="360" w:lineRule="auto"/>
        <w:ind w:firstLine="480" w:firstLineChars="200"/>
        <w:jc w:val="left"/>
        <w:rPr>
          <w:rFonts w:hint="eastAsia" w:ascii="宋体" w:hAnsi="宋体" w:eastAsia="宋体" w:cs="宋体"/>
          <w:color w:val="auto"/>
          <w:sz w:val="24"/>
        </w:rPr>
      </w:pPr>
      <w:r>
        <w:rPr>
          <w:rFonts w:hint="eastAsia" w:ascii="宋体" w:hAnsi="宋体" w:cs="宋体"/>
          <w:color w:val="auto"/>
          <w:sz w:val="24"/>
          <w:lang w:val="en-US" w:eastAsia="zh-CN"/>
        </w:rPr>
        <w:t>七、</w:t>
      </w:r>
      <w:r>
        <w:rPr>
          <w:rFonts w:hint="eastAsia" w:ascii="宋体" w:hAnsi="宋体" w:eastAsia="宋体" w:cs="宋体"/>
          <w:color w:val="auto"/>
          <w:sz w:val="24"/>
        </w:rPr>
        <w:t>商务、合同条款偏离表</w:t>
      </w:r>
    </w:p>
    <w:p w14:paraId="4C1373E1">
      <w:pPr>
        <w:adjustRightInd w:val="0"/>
        <w:snapToGrid w:val="0"/>
        <w:spacing w:beforeLines="50" w:line="360" w:lineRule="auto"/>
        <w:ind w:firstLine="480" w:firstLineChars="200"/>
        <w:jc w:val="left"/>
        <w:rPr>
          <w:rFonts w:hint="eastAsia" w:ascii="宋体" w:hAnsi="宋体" w:eastAsia="宋体" w:cs="宋体"/>
          <w:color w:val="auto"/>
          <w:sz w:val="24"/>
        </w:rPr>
      </w:pPr>
      <w:r>
        <w:rPr>
          <w:rFonts w:hint="eastAsia" w:ascii="宋体" w:hAnsi="宋体" w:cs="宋体"/>
          <w:color w:val="auto"/>
          <w:sz w:val="24"/>
          <w:lang w:val="en-US" w:eastAsia="zh-CN"/>
        </w:rPr>
        <w:t>八</w:t>
      </w:r>
      <w:r>
        <w:rPr>
          <w:rFonts w:hint="eastAsia" w:ascii="宋体" w:hAnsi="宋体" w:eastAsia="宋体" w:cs="宋体"/>
          <w:color w:val="auto"/>
          <w:sz w:val="24"/>
        </w:rPr>
        <w:t>、采购需求偏离表</w:t>
      </w:r>
    </w:p>
    <w:p w14:paraId="0AD80CCB">
      <w:pPr>
        <w:adjustRightInd w:val="0"/>
        <w:snapToGrid w:val="0"/>
        <w:spacing w:beforeLines="50" w:line="360" w:lineRule="auto"/>
        <w:ind w:firstLine="480" w:firstLineChars="200"/>
        <w:jc w:val="left"/>
        <w:rPr>
          <w:rFonts w:hint="eastAsia" w:ascii="宋体" w:hAnsi="宋体" w:eastAsia="宋体" w:cs="宋体"/>
          <w:color w:val="auto"/>
          <w:sz w:val="24"/>
        </w:rPr>
      </w:pPr>
      <w:r>
        <w:rPr>
          <w:rFonts w:hint="eastAsia" w:ascii="宋体" w:hAnsi="宋体" w:cs="宋体"/>
          <w:color w:val="auto"/>
          <w:sz w:val="24"/>
          <w:lang w:val="en-US" w:eastAsia="zh-CN"/>
        </w:rPr>
        <w:t>九</w:t>
      </w:r>
      <w:r>
        <w:rPr>
          <w:rFonts w:hint="eastAsia" w:ascii="宋体" w:hAnsi="宋体" w:eastAsia="宋体" w:cs="宋体"/>
          <w:color w:val="auto"/>
          <w:sz w:val="24"/>
        </w:rPr>
        <w:t>、享受政府采购政策优惠的证明资料</w:t>
      </w:r>
    </w:p>
    <w:p w14:paraId="46DECB04">
      <w:pPr>
        <w:adjustRightInd w:val="0"/>
        <w:snapToGrid w:val="0"/>
        <w:spacing w:beforeLines="50" w:line="360" w:lineRule="auto"/>
        <w:ind w:firstLine="480" w:firstLineChars="200"/>
        <w:jc w:val="left"/>
        <w:rPr>
          <w:rFonts w:hint="eastAsia" w:ascii="宋体" w:hAnsi="宋体" w:eastAsia="宋体" w:cs="宋体"/>
          <w:color w:val="auto"/>
          <w:sz w:val="24"/>
        </w:rPr>
      </w:pPr>
      <w:r>
        <w:rPr>
          <w:rFonts w:hint="eastAsia" w:ascii="宋体" w:hAnsi="宋体" w:cs="宋体"/>
          <w:color w:val="auto"/>
          <w:sz w:val="24"/>
          <w:lang w:val="en-US" w:eastAsia="zh-CN"/>
        </w:rPr>
        <w:t>十</w:t>
      </w:r>
      <w:r>
        <w:rPr>
          <w:rFonts w:hint="eastAsia" w:ascii="宋体" w:hAnsi="宋体" w:eastAsia="宋体" w:cs="宋体"/>
          <w:color w:val="auto"/>
          <w:sz w:val="24"/>
        </w:rPr>
        <w:t>、投标</w:t>
      </w:r>
      <w:r>
        <w:rPr>
          <w:rFonts w:hint="eastAsia" w:ascii="宋体" w:hAnsi="宋体" w:cs="宋体"/>
          <w:color w:val="auto"/>
          <w:sz w:val="24"/>
          <w:lang w:val="en-US" w:eastAsia="zh-CN"/>
        </w:rPr>
        <w:t>货物</w:t>
      </w:r>
      <w:r>
        <w:rPr>
          <w:rFonts w:hint="eastAsia" w:ascii="宋体" w:hAnsi="宋体" w:eastAsia="宋体" w:cs="宋体"/>
          <w:color w:val="auto"/>
          <w:sz w:val="24"/>
        </w:rPr>
        <w:t>符合招标文件规定的证明文件</w:t>
      </w:r>
    </w:p>
    <w:p w14:paraId="56ED658F">
      <w:pPr>
        <w:pStyle w:val="3"/>
        <w:ind w:firstLine="480" w:firstLineChars="200"/>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十</w:t>
      </w:r>
      <w:r>
        <w:rPr>
          <w:rFonts w:hint="eastAsia" w:ascii="宋体" w:hAnsi="宋体" w:cs="宋体"/>
          <w:b w:val="0"/>
          <w:bCs w:val="0"/>
          <w:color w:val="auto"/>
          <w:kern w:val="2"/>
          <w:sz w:val="24"/>
          <w:szCs w:val="24"/>
          <w:lang w:val="en-US" w:eastAsia="zh-CN" w:bidi="ar-SA"/>
        </w:rPr>
        <w:t>一</w:t>
      </w:r>
      <w:r>
        <w:rPr>
          <w:rFonts w:hint="eastAsia" w:ascii="宋体" w:hAnsi="宋体" w:eastAsia="宋体" w:cs="宋体"/>
          <w:b w:val="0"/>
          <w:bCs w:val="0"/>
          <w:color w:val="auto"/>
          <w:kern w:val="2"/>
          <w:sz w:val="24"/>
          <w:szCs w:val="24"/>
          <w:lang w:val="en-US" w:eastAsia="zh-CN" w:bidi="ar-SA"/>
        </w:rPr>
        <w:t>、投标人认为需要提供的其他资料</w:t>
      </w:r>
    </w:p>
    <w:p w14:paraId="33080EDE">
      <w:pPr>
        <w:adjustRightInd w:val="0"/>
        <w:snapToGrid w:val="0"/>
        <w:spacing w:beforeLines="50"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在此，签字代表宣布同意如下：</w:t>
      </w:r>
    </w:p>
    <w:p w14:paraId="4F8DACCF">
      <w:pPr>
        <w:adjustRightInd w:val="0"/>
        <w:snapToGrid w:val="0"/>
        <w:spacing w:beforeLines="50"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lang w:val="en-US" w:eastAsia="zh-CN"/>
        </w:rPr>
        <w:t>1</w:t>
      </w:r>
      <w:r>
        <w:rPr>
          <w:rFonts w:hint="eastAsia" w:ascii="宋体" w:hAnsi="宋体" w:cs="宋体"/>
          <w:color w:val="auto"/>
          <w:sz w:val="24"/>
          <w:lang w:eastAsia="zh-CN"/>
        </w:rPr>
        <w:t>）供应商</w:t>
      </w:r>
      <w:r>
        <w:rPr>
          <w:rFonts w:hint="eastAsia" w:ascii="宋体" w:hAnsi="宋体" w:cs="宋体"/>
          <w:color w:val="auto"/>
          <w:sz w:val="24"/>
        </w:rPr>
        <w:t>严格按照招标文件的规定报价，见《开标一览表》。</w:t>
      </w:r>
    </w:p>
    <w:p w14:paraId="2FBB369F">
      <w:pPr>
        <w:keepNext w:val="0"/>
        <w:keepLines w:val="0"/>
        <w:pageBreakBefore w:val="0"/>
        <w:widowControl w:val="0"/>
        <w:kinsoku/>
        <w:wordWrap/>
        <w:overflowPunct/>
        <w:topLinePunct w:val="0"/>
        <w:autoSpaceDE/>
        <w:autoSpaceDN/>
        <w:bidi w:val="0"/>
        <w:adjustRightInd w:val="0"/>
        <w:snapToGrid w:val="0"/>
        <w:spacing w:beforeLines="50" w:line="432"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lang w:eastAsia="zh-CN"/>
        </w:rPr>
        <w:t>投标供应商</w:t>
      </w:r>
      <w:r>
        <w:rPr>
          <w:rFonts w:hint="eastAsia" w:ascii="宋体" w:hAnsi="宋体" w:eastAsia="宋体" w:cs="宋体"/>
          <w:color w:val="auto"/>
          <w:sz w:val="24"/>
        </w:rPr>
        <w:t>将按招标文件的规定履行合同责任和义务。</w:t>
      </w:r>
    </w:p>
    <w:p w14:paraId="69A571B5">
      <w:pPr>
        <w:keepNext w:val="0"/>
        <w:keepLines w:val="0"/>
        <w:pageBreakBefore w:val="0"/>
        <w:widowControl w:val="0"/>
        <w:kinsoku/>
        <w:wordWrap/>
        <w:overflowPunct/>
        <w:topLinePunct w:val="0"/>
        <w:autoSpaceDE/>
        <w:autoSpaceDN/>
        <w:bidi w:val="0"/>
        <w:adjustRightInd w:val="0"/>
        <w:snapToGrid w:val="0"/>
        <w:spacing w:beforeLines="50" w:line="432"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rPr>
        <w:t>我方在参与投标前已详细研究了招标文件的所有内容，包括澄清、修改文件（如果有）和所有已提供的参考资料以及有关附件，我方完全明白并认为此招标文件没有倾向性，也不存在排斥潜在</w:t>
      </w:r>
      <w:r>
        <w:rPr>
          <w:rFonts w:hint="eastAsia" w:ascii="宋体" w:hAnsi="宋体" w:eastAsia="宋体" w:cs="宋体"/>
          <w:color w:val="auto"/>
          <w:sz w:val="24"/>
          <w:lang w:eastAsia="zh-CN"/>
        </w:rPr>
        <w:t>投标供应商</w:t>
      </w:r>
      <w:r>
        <w:rPr>
          <w:rFonts w:hint="eastAsia" w:ascii="宋体" w:hAnsi="宋体" w:eastAsia="宋体" w:cs="宋体"/>
          <w:color w:val="auto"/>
          <w:sz w:val="24"/>
        </w:rPr>
        <w:t>的内容，我方同意招标文件的相关条款，放弃对招标文件提出误解和质疑的一切权力。</w:t>
      </w:r>
    </w:p>
    <w:p w14:paraId="68FAB222">
      <w:pPr>
        <w:keepNext w:val="0"/>
        <w:keepLines w:val="0"/>
        <w:pageBreakBefore w:val="0"/>
        <w:widowControl w:val="0"/>
        <w:kinsoku/>
        <w:wordWrap/>
        <w:overflowPunct/>
        <w:topLinePunct w:val="0"/>
        <w:autoSpaceDE/>
        <w:autoSpaceDN/>
        <w:bidi w:val="0"/>
        <w:adjustRightInd w:val="0"/>
        <w:snapToGrid w:val="0"/>
        <w:spacing w:beforeLines="50" w:line="432"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rPr>
        <w:t>本投标有效期为自招标文件规定的提交投标文件截止之日起</w:t>
      </w:r>
      <w:r>
        <w:rPr>
          <w:rFonts w:hint="eastAsia" w:ascii="宋体" w:hAnsi="宋体" w:cs="宋体"/>
          <w:color w:val="auto"/>
          <w:sz w:val="24"/>
          <w:u w:val="single"/>
          <w:lang w:val="en-US" w:eastAsia="zh-CN"/>
        </w:rPr>
        <w:t xml:space="preserve"> </w:t>
      </w:r>
      <w:r>
        <w:rPr>
          <w:rFonts w:hint="eastAsia" w:ascii="宋体" w:hAnsi="宋体" w:eastAsia="宋体" w:cs="宋体"/>
          <w:b/>
          <w:bCs/>
          <w:color w:val="auto"/>
          <w:sz w:val="24"/>
          <w:u w:val="single"/>
        </w:rPr>
        <w:t>90</w:t>
      </w:r>
      <w:r>
        <w:rPr>
          <w:rFonts w:hint="eastAsia" w:ascii="宋体" w:hAnsi="宋体" w:cs="宋体"/>
          <w:b/>
          <w:bCs/>
          <w:color w:val="auto"/>
          <w:sz w:val="24"/>
          <w:u w:val="single"/>
          <w:lang w:val="en-US" w:eastAsia="zh-CN"/>
        </w:rPr>
        <w:t xml:space="preserve"> </w:t>
      </w:r>
      <w:r>
        <w:rPr>
          <w:rFonts w:hint="eastAsia" w:ascii="宋体" w:hAnsi="宋体" w:eastAsia="宋体" w:cs="宋体"/>
          <w:color w:val="auto"/>
          <w:sz w:val="24"/>
        </w:rPr>
        <w:t>个日历日。在投标有效期内，</w:t>
      </w:r>
      <w:r>
        <w:rPr>
          <w:rFonts w:hint="eastAsia" w:ascii="宋体" w:hAnsi="宋体" w:eastAsia="宋体" w:cs="宋体"/>
          <w:color w:val="auto"/>
          <w:sz w:val="24"/>
          <w:lang w:eastAsia="zh-CN"/>
        </w:rPr>
        <w:t>投标供应商</w:t>
      </w:r>
      <w:r>
        <w:rPr>
          <w:rFonts w:hint="eastAsia" w:ascii="宋体" w:hAnsi="宋体" w:eastAsia="宋体" w:cs="宋体"/>
          <w:color w:val="auto"/>
          <w:sz w:val="24"/>
        </w:rPr>
        <w:t>同意遵守本投标文件中的承诺且在此期限期满之前投标文件对我方具有法律约束力。</w:t>
      </w:r>
    </w:p>
    <w:p w14:paraId="2C79305E">
      <w:pPr>
        <w:keepNext w:val="0"/>
        <w:keepLines w:val="0"/>
        <w:pageBreakBefore w:val="0"/>
        <w:widowControl w:val="0"/>
        <w:kinsoku/>
        <w:wordWrap/>
        <w:overflowPunct/>
        <w:topLinePunct w:val="0"/>
        <w:autoSpaceDE/>
        <w:autoSpaceDN/>
        <w:bidi w:val="0"/>
        <w:adjustRightInd w:val="0"/>
        <w:snapToGrid w:val="0"/>
        <w:spacing w:beforeLines="50" w:line="432"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rPr>
        <w:t>同意提供贵方可能要求的与其投标有关的一切数据或资料。</w:t>
      </w:r>
    </w:p>
    <w:p w14:paraId="4864F846">
      <w:pPr>
        <w:keepNext w:val="0"/>
        <w:keepLines w:val="0"/>
        <w:pageBreakBefore w:val="0"/>
        <w:widowControl w:val="0"/>
        <w:kinsoku/>
        <w:wordWrap/>
        <w:overflowPunct/>
        <w:topLinePunct w:val="0"/>
        <w:autoSpaceDE/>
        <w:autoSpaceDN/>
        <w:bidi w:val="0"/>
        <w:adjustRightInd w:val="0"/>
        <w:snapToGrid w:val="0"/>
        <w:spacing w:beforeLines="50" w:line="432"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rPr>
        <w:t>与本投标有关的一切正式往来信函请寄：</w:t>
      </w:r>
    </w:p>
    <w:p w14:paraId="4E00EFBF">
      <w:pPr>
        <w:adjustRightInd w:val="0"/>
        <w:snapToGrid w:val="0"/>
        <w:spacing w:beforeLines="50" w:line="360" w:lineRule="auto"/>
        <w:ind w:firstLine="480" w:firstLineChars="200"/>
        <w:rPr>
          <w:rFonts w:hint="default" w:ascii="宋体" w:hAnsi="宋体" w:eastAsia="宋体" w:cs="宋体"/>
          <w:color w:val="auto"/>
          <w:sz w:val="24"/>
          <w:u w:val="single"/>
          <w:lang w:val="en-US" w:eastAsia="zh-CN"/>
        </w:rPr>
      </w:pPr>
      <w:r>
        <w:rPr>
          <w:rFonts w:hint="eastAsia" w:ascii="宋体" w:hAnsi="宋体" w:eastAsia="宋体" w:cs="宋体"/>
          <w:color w:val="auto"/>
          <w:sz w:val="24"/>
        </w:rPr>
        <w:t>地址：</w:t>
      </w:r>
      <w:r>
        <w:rPr>
          <w:rFonts w:hint="eastAsia" w:ascii="宋体" w:hAnsi="宋体" w:cs="宋体"/>
          <w:color w:val="auto"/>
          <w:sz w:val="24"/>
          <w:u w:val="single"/>
          <w:lang w:val="en-US" w:eastAsia="zh-CN"/>
        </w:rPr>
        <w:t xml:space="preserve">                   </w:t>
      </w:r>
      <w:r>
        <w:rPr>
          <w:rFonts w:hint="eastAsia" w:ascii="宋体" w:hAnsi="宋体" w:cs="宋体"/>
          <w:color w:val="auto"/>
          <w:sz w:val="24"/>
          <w:u w:val="none"/>
          <w:lang w:val="en-US" w:eastAsia="zh-CN"/>
        </w:rPr>
        <w:t>；</w:t>
      </w:r>
    </w:p>
    <w:p w14:paraId="12864EC3">
      <w:pPr>
        <w:adjustRightInd w:val="0"/>
        <w:snapToGrid w:val="0"/>
        <w:spacing w:beforeLines="50" w:line="360" w:lineRule="auto"/>
        <w:ind w:firstLine="480" w:firstLineChars="200"/>
        <w:rPr>
          <w:rFonts w:hint="default" w:ascii="宋体" w:hAnsi="宋体" w:eastAsia="宋体" w:cs="宋体"/>
          <w:color w:val="auto"/>
          <w:sz w:val="24"/>
          <w:lang w:val="en-US" w:eastAsia="zh-CN"/>
        </w:rPr>
      </w:pPr>
      <w:r>
        <w:rPr>
          <w:rFonts w:hint="eastAsia" w:ascii="宋体" w:hAnsi="宋体" w:eastAsia="宋体" w:cs="宋体"/>
          <w:color w:val="auto"/>
          <w:sz w:val="24"/>
        </w:rPr>
        <w:t>邮编：</w:t>
      </w:r>
      <w:r>
        <w:rPr>
          <w:rFonts w:hint="eastAsia" w:ascii="宋体" w:hAnsi="宋体" w:cs="宋体"/>
          <w:color w:val="auto"/>
          <w:sz w:val="24"/>
          <w:u w:val="single"/>
          <w:lang w:val="en-US" w:eastAsia="zh-CN"/>
        </w:rPr>
        <w:t xml:space="preserve">                   </w:t>
      </w:r>
      <w:r>
        <w:rPr>
          <w:rFonts w:hint="eastAsia" w:ascii="宋体" w:hAnsi="宋体" w:cs="宋体"/>
          <w:color w:val="auto"/>
          <w:sz w:val="24"/>
          <w:u w:val="none"/>
          <w:lang w:val="en-US" w:eastAsia="zh-CN"/>
        </w:rPr>
        <w:t>；</w:t>
      </w:r>
    </w:p>
    <w:p w14:paraId="1E981568">
      <w:pPr>
        <w:adjustRightInd w:val="0"/>
        <w:snapToGrid w:val="0"/>
        <w:spacing w:beforeLines="50" w:line="360" w:lineRule="auto"/>
        <w:ind w:firstLine="480" w:firstLineChars="200"/>
        <w:rPr>
          <w:rFonts w:hint="default" w:ascii="宋体" w:hAnsi="宋体" w:eastAsia="宋体" w:cs="宋体"/>
          <w:color w:val="auto"/>
          <w:sz w:val="24"/>
          <w:lang w:val="en-US" w:eastAsia="zh-CN"/>
        </w:rPr>
      </w:pPr>
      <w:r>
        <w:rPr>
          <w:rFonts w:hint="eastAsia" w:ascii="宋体" w:hAnsi="宋体" w:eastAsia="宋体" w:cs="宋体"/>
          <w:color w:val="auto"/>
          <w:sz w:val="24"/>
        </w:rPr>
        <w:t>电话：</w:t>
      </w:r>
      <w:r>
        <w:rPr>
          <w:rFonts w:hint="eastAsia" w:ascii="宋体" w:hAnsi="宋体" w:cs="宋体"/>
          <w:color w:val="auto"/>
          <w:sz w:val="24"/>
          <w:u w:val="single"/>
          <w:lang w:val="en-US" w:eastAsia="zh-CN"/>
        </w:rPr>
        <w:t xml:space="preserve">                   </w:t>
      </w:r>
      <w:r>
        <w:rPr>
          <w:rFonts w:hint="eastAsia" w:ascii="宋体" w:hAnsi="宋体" w:cs="宋体"/>
          <w:color w:val="auto"/>
          <w:sz w:val="24"/>
          <w:u w:val="none"/>
          <w:lang w:val="en-US" w:eastAsia="zh-CN"/>
        </w:rPr>
        <w:t>；</w:t>
      </w:r>
      <w:r>
        <w:rPr>
          <w:rFonts w:hint="eastAsia" w:ascii="宋体" w:hAnsi="宋体" w:cs="宋体"/>
          <w:color w:val="auto"/>
          <w:sz w:val="24"/>
          <w:lang w:val="en-US" w:eastAsia="zh-CN"/>
        </w:rPr>
        <w:t xml:space="preserve">    </w:t>
      </w:r>
    </w:p>
    <w:p w14:paraId="4C93FFC2">
      <w:pPr>
        <w:adjustRightInd w:val="0"/>
        <w:snapToGrid w:val="0"/>
        <w:spacing w:beforeLines="50"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color w:val="auto"/>
          <w:sz w:val="24"/>
        </w:rPr>
        <w:t>电子邮箱：</w:t>
      </w:r>
      <w:r>
        <w:rPr>
          <w:rFonts w:hint="eastAsia" w:ascii="宋体" w:hAnsi="宋体" w:eastAsia="宋体" w:cs="宋体"/>
          <w:color w:val="auto"/>
          <w:sz w:val="24"/>
          <w:u w:val="single"/>
        </w:rPr>
        <w:t xml:space="preserve"> </w:t>
      </w:r>
      <w:r>
        <w:rPr>
          <w:rFonts w:hint="eastAsia" w:ascii="宋体" w:hAnsi="宋体" w:cs="宋体"/>
          <w:color w:val="auto"/>
          <w:sz w:val="24"/>
          <w:u w:val="single"/>
          <w:lang w:val="en-US" w:eastAsia="zh-CN"/>
        </w:rPr>
        <w:t xml:space="preserve">              。</w:t>
      </w:r>
    </w:p>
    <w:p w14:paraId="6316E6BF">
      <w:pPr>
        <w:pStyle w:val="24"/>
        <w:adjustRightInd w:val="0"/>
        <w:snapToGrid w:val="0"/>
        <w:spacing w:beforeLines="50" w:line="480" w:lineRule="auto"/>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rPr>
        <w:t>投标人名称（</w:t>
      </w:r>
      <w:r>
        <w:rPr>
          <w:rFonts w:hint="eastAsia" w:ascii="宋体" w:hAnsi="宋体" w:eastAsia="宋体" w:cs="宋体"/>
          <w:b/>
          <w:bCs/>
          <w:color w:val="auto"/>
          <w:sz w:val="24"/>
          <w:szCs w:val="24"/>
          <w:lang w:eastAsia="zh-CN"/>
        </w:rPr>
        <w:t>盖单位</w:t>
      </w:r>
      <w:r>
        <w:rPr>
          <w:rFonts w:hint="eastAsia" w:hAnsi="宋体" w:cs="宋体"/>
          <w:b/>
          <w:bCs/>
          <w:color w:val="auto"/>
          <w:sz w:val="24"/>
          <w:szCs w:val="24"/>
          <w:lang w:eastAsia="zh-CN"/>
        </w:rPr>
        <w:t>公</w:t>
      </w:r>
      <w:r>
        <w:rPr>
          <w:rFonts w:hint="eastAsia" w:ascii="宋体" w:hAnsi="宋体" w:eastAsia="宋体" w:cs="宋体"/>
          <w:b/>
          <w:bCs/>
          <w:color w:val="auto"/>
          <w:sz w:val="24"/>
          <w:szCs w:val="24"/>
          <w:lang w:eastAsia="zh-CN"/>
        </w:rPr>
        <w:t>章</w:t>
      </w:r>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hAnsi="宋体" w:cs="宋体"/>
          <w:b/>
          <w:bCs/>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p>
    <w:p w14:paraId="211374E6">
      <w:pPr>
        <w:adjustRightInd w:val="0"/>
        <w:snapToGrid w:val="0"/>
        <w:spacing w:beforeLines="50" w:line="480" w:lineRule="auto"/>
        <w:rPr>
          <w:rFonts w:hint="eastAsia" w:ascii="宋体" w:hAnsi="宋体" w:eastAsia="宋体" w:cs="宋体"/>
          <w:b/>
          <w:bCs/>
          <w:color w:val="auto"/>
          <w:sz w:val="24"/>
          <w:u w:val="single"/>
          <w:lang w:val="en-US" w:eastAsia="zh-CN"/>
        </w:rPr>
      </w:pPr>
      <w:r>
        <w:rPr>
          <w:rFonts w:hint="eastAsia" w:ascii="宋体" w:hAnsi="宋体" w:eastAsia="宋体" w:cs="宋体"/>
          <w:b/>
          <w:bCs/>
          <w:color w:val="auto"/>
          <w:sz w:val="24"/>
        </w:rPr>
        <w:t>法定代表人（单位负责人）或其授权的代理人（签字或印章）：</w:t>
      </w:r>
      <w:r>
        <w:rPr>
          <w:rFonts w:hint="eastAsia" w:ascii="宋体" w:hAnsi="宋体" w:eastAsia="宋体" w:cs="宋体"/>
          <w:b/>
          <w:bCs/>
          <w:color w:val="auto"/>
          <w:sz w:val="24"/>
          <w:u w:val="single"/>
          <w:lang w:val="en-US" w:eastAsia="zh-CN"/>
        </w:rPr>
        <w:t xml:space="preserve">              </w:t>
      </w:r>
    </w:p>
    <w:p w14:paraId="4C47E2EC">
      <w:pPr>
        <w:adjustRightInd w:val="0"/>
        <w:snapToGrid w:val="0"/>
        <w:spacing w:line="480" w:lineRule="auto"/>
        <w:rPr>
          <w:rFonts w:hint="eastAsia" w:ascii="宋体" w:hAnsi="宋体" w:eastAsia="宋体" w:cs="宋体"/>
          <w:b/>
          <w:bCs/>
          <w:color w:val="auto"/>
          <w:sz w:val="24"/>
        </w:rPr>
      </w:pPr>
      <w:r>
        <w:rPr>
          <w:rFonts w:hint="eastAsia" w:ascii="宋体" w:hAnsi="宋体" w:eastAsia="宋体" w:cs="宋体"/>
          <w:b/>
          <w:bCs/>
          <w:color w:val="auto"/>
          <w:sz w:val="24"/>
        </w:rPr>
        <w:t>日 期：</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r>
        <w:rPr>
          <w:rFonts w:hint="eastAsia" w:ascii="宋体" w:hAnsi="宋体" w:eastAsia="宋体" w:cs="宋体"/>
          <w:b/>
          <w:bCs/>
          <w:color w:val="auto"/>
          <w:sz w:val="24"/>
        </w:rPr>
        <w:t>年</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r>
        <w:rPr>
          <w:rFonts w:hint="eastAsia" w:ascii="宋体" w:hAnsi="宋体" w:eastAsia="宋体" w:cs="宋体"/>
          <w:b/>
          <w:bCs/>
          <w:color w:val="auto"/>
          <w:sz w:val="24"/>
        </w:rPr>
        <w:t>月</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r>
        <w:rPr>
          <w:rFonts w:hint="eastAsia" w:ascii="宋体" w:hAnsi="宋体" w:eastAsia="宋体" w:cs="宋体"/>
          <w:b/>
          <w:bCs/>
          <w:color w:val="auto"/>
          <w:sz w:val="24"/>
        </w:rPr>
        <w:t>日</w:t>
      </w:r>
    </w:p>
    <w:p w14:paraId="39BE90E2">
      <w:pPr>
        <w:pStyle w:val="62"/>
        <w:numPr>
          <w:ilvl w:val="0"/>
          <w:numId w:val="14"/>
        </w:numPr>
        <w:jc w:val="center"/>
        <w:rPr>
          <w:rFonts w:hint="eastAsia" w:ascii="宋体" w:hAnsi="宋体" w:cs="宋体"/>
          <w:b/>
          <w:bCs/>
          <w:color w:val="auto"/>
          <w:sz w:val="24"/>
          <w:lang w:val="en-US" w:eastAsia="zh-CN"/>
        </w:rPr>
      </w:pPr>
      <w:r>
        <w:rPr>
          <w:rFonts w:hint="eastAsia" w:ascii="宋体" w:hAnsi="宋体" w:cs="宋体"/>
          <w:b/>
          <w:bCs/>
          <w:color w:val="auto"/>
          <w:sz w:val="24"/>
          <w:lang w:val="en-US" w:eastAsia="zh-CN"/>
        </w:rPr>
        <w:t>开标一览表</w:t>
      </w:r>
    </w:p>
    <w:p w14:paraId="3188B0E3">
      <w:pPr>
        <w:pStyle w:val="62"/>
        <w:numPr>
          <w:ilvl w:val="0"/>
          <w:numId w:val="0"/>
        </w:numPr>
        <w:jc w:val="both"/>
        <w:rPr>
          <w:rFonts w:hint="default" w:ascii="宋体" w:hAnsi="宋体" w:cs="宋体"/>
          <w:b/>
          <w:bCs/>
          <w:color w:val="auto"/>
          <w:sz w:val="24"/>
          <w:lang w:val="en-US" w:eastAsia="zh-CN"/>
        </w:rPr>
      </w:pPr>
    </w:p>
    <w:tbl>
      <w:tblPr>
        <w:tblStyle w:val="44"/>
        <w:tblW w:w="91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31"/>
        <w:gridCol w:w="6887"/>
      </w:tblGrid>
      <w:tr w14:paraId="7921AE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3" w:hRule="atLeast"/>
          <w:jc w:val="center"/>
        </w:trPr>
        <w:tc>
          <w:tcPr>
            <w:tcW w:w="2231" w:type="dxa"/>
            <w:tcBorders>
              <w:top w:val="single" w:color="auto" w:sz="6" w:space="0"/>
              <w:left w:val="single" w:color="auto" w:sz="6" w:space="0"/>
              <w:bottom w:val="single" w:color="auto" w:sz="6" w:space="0"/>
              <w:right w:val="single" w:color="auto" w:sz="6" w:space="0"/>
            </w:tcBorders>
            <w:vAlign w:val="center"/>
          </w:tcPr>
          <w:p w14:paraId="5B1DF6A0">
            <w:pPr>
              <w:pageBreakBefore w:val="0"/>
              <w:kinsoku/>
              <w:overflowPunct/>
              <w:topLinePunct w:val="0"/>
              <w:bidi w:val="0"/>
              <w:adjustRightInd w:val="0"/>
              <w:snapToGrid w:val="0"/>
              <w:spacing w:line="240" w:lineRule="auto"/>
              <w:ind w:left="-88" w:leftChars="-42"/>
              <w:jc w:val="center"/>
              <w:textAlignment w:val="auto"/>
              <w:rPr>
                <w:rFonts w:hint="eastAsia" w:ascii="宋体" w:hAnsi="宋体" w:eastAsia="楷体"/>
                <w:b/>
                <w:bCs/>
                <w:color w:val="auto"/>
                <w:sz w:val="24"/>
                <w:szCs w:val="24"/>
                <w:highlight w:val="none"/>
                <w:lang w:eastAsia="zh-CN"/>
              </w:rPr>
            </w:pPr>
            <w:bookmarkStart w:id="488" w:name="_Toc3880"/>
            <w:bookmarkStart w:id="489" w:name="_Toc28962"/>
            <w:bookmarkStart w:id="490" w:name="_Toc6428"/>
            <w:bookmarkStart w:id="491" w:name="_Toc15427"/>
            <w:bookmarkStart w:id="492" w:name="_Toc32752"/>
            <w:bookmarkStart w:id="493" w:name="_Toc21118"/>
            <w:r>
              <w:rPr>
                <w:rFonts w:hint="eastAsia" w:ascii="宋体" w:hAnsi="宋体" w:eastAsia="楷体"/>
                <w:b/>
                <w:bCs/>
                <w:color w:val="auto"/>
                <w:sz w:val="24"/>
                <w:szCs w:val="24"/>
                <w:highlight w:val="none"/>
                <w:lang w:val="en-US" w:eastAsia="zh-CN"/>
              </w:rPr>
              <w:t>标  题</w:t>
            </w:r>
          </w:p>
        </w:tc>
        <w:tc>
          <w:tcPr>
            <w:tcW w:w="6887" w:type="dxa"/>
            <w:tcBorders>
              <w:top w:val="single" w:color="auto" w:sz="6" w:space="0"/>
              <w:left w:val="single" w:color="auto" w:sz="6" w:space="0"/>
              <w:bottom w:val="single" w:color="auto" w:sz="6" w:space="0"/>
            </w:tcBorders>
            <w:vAlign w:val="center"/>
          </w:tcPr>
          <w:p w14:paraId="778C29A7">
            <w:pPr>
              <w:pageBreakBefore w:val="0"/>
              <w:kinsoku/>
              <w:overflowPunct/>
              <w:topLinePunct w:val="0"/>
              <w:bidi w:val="0"/>
              <w:adjustRightInd w:val="0"/>
              <w:snapToGrid w:val="0"/>
              <w:spacing w:line="240" w:lineRule="auto"/>
              <w:ind w:left="-88" w:leftChars="-42" w:firstLine="120" w:firstLineChars="50"/>
              <w:jc w:val="center"/>
              <w:textAlignment w:val="auto"/>
              <w:rPr>
                <w:rFonts w:hint="eastAsia" w:ascii="宋体" w:hAnsi="宋体" w:eastAsia="楷体"/>
                <w:b/>
                <w:color w:val="auto"/>
                <w:sz w:val="24"/>
                <w:szCs w:val="24"/>
                <w:highlight w:val="none"/>
                <w:lang w:eastAsia="zh-CN"/>
              </w:rPr>
            </w:pPr>
            <w:r>
              <w:rPr>
                <w:rFonts w:hint="eastAsia" w:ascii="宋体" w:hAnsi="宋体" w:eastAsia="楷体"/>
                <w:b/>
                <w:bCs/>
                <w:color w:val="auto"/>
                <w:sz w:val="24"/>
                <w:szCs w:val="24"/>
                <w:highlight w:val="none"/>
                <w:lang w:val="en-US" w:eastAsia="zh-CN"/>
              </w:rPr>
              <w:t>内  容</w:t>
            </w:r>
          </w:p>
        </w:tc>
      </w:tr>
      <w:tr w14:paraId="0945EF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2231" w:type="dxa"/>
            <w:tcBorders>
              <w:top w:val="single" w:color="auto" w:sz="6" w:space="0"/>
              <w:left w:val="single" w:color="auto" w:sz="6" w:space="0"/>
              <w:bottom w:val="single" w:color="auto" w:sz="6" w:space="0"/>
              <w:right w:val="single" w:color="auto" w:sz="6" w:space="0"/>
            </w:tcBorders>
            <w:vAlign w:val="center"/>
          </w:tcPr>
          <w:p w14:paraId="04F15FB2">
            <w:pPr>
              <w:pageBreakBefore w:val="0"/>
              <w:kinsoku/>
              <w:overflowPunct/>
              <w:topLinePunct w:val="0"/>
              <w:bidi w:val="0"/>
              <w:adjustRightInd w:val="0"/>
              <w:snapToGrid w:val="0"/>
              <w:spacing w:line="240" w:lineRule="auto"/>
              <w:ind w:left="-88" w:leftChars="-42"/>
              <w:jc w:val="center"/>
              <w:textAlignment w:val="auto"/>
              <w:rPr>
                <w:rFonts w:hint="default" w:ascii="宋体" w:hAnsi="宋体" w:eastAsia="楷体"/>
                <w:b/>
                <w:bCs/>
                <w:color w:val="auto"/>
                <w:sz w:val="24"/>
                <w:szCs w:val="24"/>
                <w:highlight w:val="none"/>
                <w:lang w:val="en-US" w:eastAsia="zh-CN"/>
              </w:rPr>
            </w:pPr>
            <w:r>
              <w:rPr>
                <w:rFonts w:hint="eastAsia" w:ascii="宋体" w:hAnsi="宋体" w:eastAsia="楷体"/>
                <w:b/>
                <w:bCs/>
                <w:color w:val="auto"/>
                <w:sz w:val="24"/>
                <w:szCs w:val="24"/>
                <w:highlight w:val="none"/>
                <w:lang w:val="en-US" w:eastAsia="zh-CN"/>
              </w:rPr>
              <w:t>货物名称</w:t>
            </w:r>
          </w:p>
        </w:tc>
        <w:tc>
          <w:tcPr>
            <w:tcW w:w="6887" w:type="dxa"/>
            <w:tcBorders>
              <w:top w:val="single" w:color="auto" w:sz="6" w:space="0"/>
              <w:left w:val="single" w:color="auto" w:sz="6" w:space="0"/>
              <w:bottom w:val="single" w:color="auto" w:sz="6" w:space="0"/>
            </w:tcBorders>
          </w:tcPr>
          <w:p w14:paraId="60F259F9">
            <w:pPr>
              <w:pageBreakBefore w:val="0"/>
              <w:kinsoku/>
              <w:overflowPunct/>
              <w:topLinePunct w:val="0"/>
              <w:bidi w:val="0"/>
              <w:adjustRightInd w:val="0"/>
              <w:snapToGrid w:val="0"/>
              <w:spacing w:line="240" w:lineRule="auto"/>
              <w:ind w:left="-88" w:leftChars="-42" w:firstLine="120" w:firstLineChars="50"/>
              <w:textAlignment w:val="auto"/>
              <w:rPr>
                <w:rFonts w:ascii="宋体" w:hAnsi="宋体" w:eastAsia="楷体"/>
                <w:color w:val="auto"/>
                <w:sz w:val="24"/>
                <w:szCs w:val="24"/>
                <w:highlight w:val="none"/>
              </w:rPr>
            </w:pPr>
          </w:p>
        </w:tc>
      </w:tr>
      <w:tr w14:paraId="46E071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2231" w:type="dxa"/>
            <w:tcBorders>
              <w:top w:val="single" w:color="auto" w:sz="6" w:space="0"/>
              <w:left w:val="single" w:color="auto" w:sz="6" w:space="0"/>
              <w:bottom w:val="single" w:color="auto" w:sz="6" w:space="0"/>
              <w:right w:val="single" w:color="auto" w:sz="6" w:space="0"/>
            </w:tcBorders>
            <w:vAlign w:val="center"/>
          </w:tcPr>
          <w:p w14:paraId="14EB790D">
            <w:pPr>
              <w:pageBreakBefore w:val="0"/>
              <w:kinsoku/>
              <w:overflowPunct/>
              <w:topLinePunct w:val="0"/>
              <w:bidi w:val="0"/>
              <w:adjustRightInd w:val="0"/>
              <w:snapToGrid w:val="0"/>
              <w:spacing w:line="240" w:lineRule="auto"/>
              <w:ind w:left="-88" w:leftChars="-42"/>
              <w:jc w:val="center"/>
              <w:textAlignment w:val="auto"/>
              <w:rPr>
                <w:rFonts w:hint="default" w:ascii="宋体" w:hAnsi="宋体" w:eastAsia="楷体"/>
                <w:b/>
                <w:bCs/>
                <w:color w:val="auto"/>
                <w:sz w:val="24"/>
                <w:szCs w:val="24"/>
                <w:highlight w:val="none"/>
                <w:lang w:val="en-US" w:eastAsia="zh-CN"/>
              </w:rPr>
            </w:pPr>
            <w:r>
              <w:rPr>
                <w:rFonts w:hint="eastAsia" w:ascii="宋体" w:hAnsi="宋体" w:eastAsia="楷体"/>
                <w:b/>
                <w:bCs/>
                <w:color w:val="auto"/>
                <w:sz w:val="24"/>
                <w:szCs w:val="24"/>
                <w:highlight w:val="none"/>
                <w:lang w:val="en-US" w:eastAsia="zh-CN"/>
              </w:rPr>
              <w:t>总报价/折扣/单价</w:t>
            </w:r>
          </w:p>
        </w:tc>
        <w:tc>
          <w:tcPr>
            <w:tcW w:w="6887" w:type="dxa"/>
            <w:tcBorders>
              <w:top w:val="single" w:color="auto" w:sz="6" w:space="0"/>
              <w:left w:val="single" w:color="auto" w:sz="6" w:space="0"/>
              <w:bottom w:val="single" w:color="auto" w:sz="6" w:space="0"/>
            </w:tcBorders>
          </w:tcPr>
          <w:p w14:paraId="7981E14E">
            <w:pPr>
              <w:pageBreakBefore w:val="0"/>
              <w:kinsoku/>
              <w:overflowPunct/>
              <w:topLinePunct w:val="0"/>
              <w:bidi w:val="0"/>
              <w:adjustRightInd w:val="0"/>
              <w:snapToGrid w:val="0"/>
              <w:spacing w:line="240" w:lineRule="auto"/>
              <w:ind w:left="-88" w:leftChars="-42" w:firstLine="120" w:firstLineChars="50"/>
              <w:textAlignment w:val="auto"/>
              <w:rPr>
                <w:rFonts w:ascii="宋体" w:hAnsi="宋体" w:eastAsia="楷体"/>
                <w:color w:val="auto"/>
                <w:sz w:val="24"/>
                <w:szCs w:val="24"/>
                <w:highlight w:val="none"/>
              </w:rPr>
            </w:pPr>
          </w:p>
        </w:tc>
      </w:tr>
      <w:tr w14:paraId="275B6D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2231" w:type="dxa"/>
            <w:tcBorders>
              <w:top w:val="single" w:color="auto" w:sz="6" w:space="0"/>
              <w:left w:val="single" w:color="auto" w:sz="6" w:space="0"/>
              <w:bottom w:val="single" w:color="auto" w:sz="6" w:space="0"/>
              <w:right w:val="single" w:color="auto" w:sz="6" w:space="0"/>
            </w:tcBorders>
            <w:vAlign w:val="center"/>
          </w:tcPr>
          <w:p w14:paraId="38398DAE">
            <w:pPr>
              <w:pageBreakBefore w:val="0"/>
              <w:kinsoku/>
              <w:overflowPunct/>
              <w:topLinePunct w:val="0"/>
              <w:bidi w:val="0"/>
              <w:adjustRightInd w:val="0"/>
              <w:snapToGrid w:val="0"/>
              <w:spacing w:line="240" w:lineRule="auto"/>
              <w:ind w:left="-88" w:leftChars="-42"/>
              <w:jc w:val="center"/>
              <w:textAlignment w:val="auto"/>
              <w:rPr>
                <w:rFonts w:hint="default" w:ascii="宋体" w:hAnsi="宋体" w:eastAsia="楷体"/>
                <w:b/>
                <w:bCs/>
                <w:color w:val="auto"/>
                <w:sz w:val="24"/>
                <w:szCs w:val="24"/>
                <w:highlight w:val="none"/>
                <w:lang w:val="en-US" w:eastAsia="zh-CN"/>
              </w:rPr>
            </w:pPr>
            <w:r>
              <w:rPr>
                <w:rFonts w:hint="eastAsia" w:ascii="宋体" w:hAnsi="宋体" w:eastAsia="楷体"/>
                <w:b/>
                <w:bCs/>
                <w:color w:val="auto"/>
                <w:sz w:val="24"/>
                <w:szCs w:val="24"/>
                <w:highlight w:val="none"/>
                <w:lang w:val="en-US" w:eastAsia="zh-CN"/>
              </w:rPr>
              <w:t>交货期</w:t>
            </w:r>
          </w:p>
        </w:tc>
        <w:tc>
          <w:tcPr>
            <w:tcW w:w="6887" w:type="dxa"/>
            <w:tcBorders>
              <w:top w:val="single" w:color="auto" w:sz="6" w:space="0"/>
              <w:left w:val="single" w:color="auto" w:sz="6" w:space="0"/>
              <w:bottom w:val="single" w:color="auto" w:sz="6" w:space="0"/>
            </w:tcBorders>
          </w:tcPr>
          <w:p w14:paraId="1BAF5ED7">
            <w:pPr>
              <w:pageBreakBefore w:val="0"/>
              <w:kinsoku/>
              <w:overflowPunct/>
              <w:topLinePunct w:val="0"/>
              <w:bidi w:val="0"/>
              <w:adjustRightInd w:val="0"/>
              <w:snapToGrid w:val="0"/>
              <w:spacing w:line="240" w:lineRule="auto"/>
              <w:ind w:left="-88" w:leftChars="-42" w:firstLine="120" w:firstLineChars="50"/>
              <w:textAlignment w:val="auto"/>
              <w:rPr>
                <w:rFonts w:ascii="宋体" w:hAnsi="宋体" w:eastAsia="楷体"/>
                <w:color w:val="auto"/>
                <w:sz w:val="24"/>
                <w:szCs w:val="24"/>
                <w:highlight w:val="none"/>
              </w:rPr>
            </w:pPr>
          </w:p>
        </w:tc>
      </w:tr>
      <w:tr w14:paraId="254252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2231" w:type="dxa"/>
            <w:tcBorders>
              <w:top w:val="single" w:color="auto" w:sz="6" w:space="0"/>
              <w:left w:val="single" w:color="auto" w:sz="6" w:space="0"/>
              <w:bottom w:val="single" w:color="auto" w:sz="6" w:space="0"/>
              <w:right w:val="single" w:color="auto" w:sz="6" w:space="0"/>
            </w:tcBorders>
            <w:vAlign w:val="center"/>
          </w:tcPr>
          <w:p w14:paraId="02F556CB">
            <w:pPr>
              <w:pageBreakBefore w:val="0"/>
              <w:kinsoku/>
              <w:overflowPunct/>
              <w:topLinePunct w:val="0"/>
              <w:bidi w:val="0"/>
              <w:adjustRightInd w:val="0"/>
              <w:snapToGrid w:val="0"/>
              <w:spacing w:line="240" w:lineRule="auto"/>
              <w:ind w:left="-88" w:leftChars="-42"/>
              <w:jc w:val="center"/>
              <w:textAlignment w:val="auto"/>
              <w:rPr>
                <w:rFonts w:hint="default" w:ascii="宋体" w:hAnsi="宋体" w:eastAsia="楷体"/>
                <w:b/>
                <w:bCs/>
                <w:color w:val="auto"/>
                <w:sz w:val="24"/>
                <w:szCs w:val="24"/>
                <w:highlight w:val="none"/>
                <w:lang w:val="en-US" w:eastAsia="zh-CN"/>
              </w:rPr>
            </w:pPr>
            <w:r>
              <w:rPr>
                <w:rFonts w:hint="eastAsia" w:ascii="宋体" w:hAnsi="宋体" w:eastAsia="楷体"/>
                <w:b/>
                <w:bCs/>
                <w:color w:val="auto"/>
                <w:sz w:val="24"/>
                <w:szCs w:val="24"/>
                <w:highlight w:val="none"/>
                <w:lang w:val="en-US" w:eastAsia="zh-CN"/>
              </w:rPr>
              <w:t>服务要求</w:t>
            </w:r>
          </w:p>
        </w:tc>
        <w:tc>
          <w:tcPr>
            <w:tcW w:w="6887" w:type="dxa"/>
            <w:tcBorders>
              <w:top w:val="single" w:color="auto" w:sz="6" w:space="0"/>
              <w:left w:val="single" w:color="auto" w:sz="6" w:space="0"/>
              <w:bottom w:val="single" w:color="auto" w:sz="6" w:space="0"/>
            </w:tcBorders>
          </w:tcPr>
          <w:p w14:paraId="52C3F720">
            <w:pPr>
              <w:pageBreakBefore w:val="0"/>
              <w:kinsoku/>
              <w:overflowPunct/>
              <w:topLinePunct w:val="0"/>
              <w:bidi w:val="0"/>
              <w:adjustRightInd w:val="0"/>
              <w:snapToGrid w:val="0"/>
              <w:spacing w:line="240" w:lineRule="auto"/>
              <w:ind w:left="-88" w:leftChars="-42" w:firstLine="120" w:firstLineChars="50"/>
              <w:textAlignment w:val="auto"/>
              <w:rPr>
                <w:rFonts w:ascii="宋体" w:hAnsi="宋体" w:eastAsia="楷体"/>
                <w:color w:val="auto"/>
                <w:sz w:val="24"/>
                <w:szCs w:val="24"/>
                <w:highlight w:val="none"/>
              </w:rPr>
            </w:pPr>
          </w:p>
        </w:tc>
      </w:tr>
      <w:tr w14:paraId="7E615F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7" w:hRule="atLeast"/>
          <w:jc w:val="center"/>
        </w:trPr>
        <w:tc>
          <w:tcPr>
            <w:tcW w:w="2231" w:type="dxa"/>
            <w:tcBorders>
              <w:top w:val="single" w:color="auto" w:sz="6" w:space="0"/>
              <w:left w:val="single" w:color="auto" w:sz="6" w:space="0"/>
              <w:bottom w:val="single" w:color="auto" w:sz="6" w:space="0"/>
              <w:right w:val="single" w:color="auto" w:sz="6" w:space="0"/>
            </w:tcBorders>
            <w:vAlign w:val="center"/>
          </w:tcPr>
          <w:p w14:paraId="5CD8D857">
            <w:pPr>
              <w:pageBreakBefore w:val="0"/>
              <w:kinsoku/>
              <w:overflowPunct/>
              <w:topLinePunct w:val="0"/>
              <w:bidi w:val="0"/>
              <w:adjustRightInd w:val="0"/>
              <w:snapToGrid w:val="0"/>
              <w:spacing w:line="240" w:lineRule="auto"/>
              <w:ind w:left="-88" w:leftChars="-42"/>
              <w:jc w:val="center"/>
              <w:textAlignment w:val="auto"/>
              <w:rPr>
                <w:rFonts w:hint="default" w:ascii="宋体" w:hAnsi="宋体" w:eastAsia="楷体"/>
                <w:b/>
                <w:bCs/>
                <w:color w:val="auto"/>
                <w:sz w:val="24"/>
                <w:szCs w:val="24"/>
                <w:highlight w:val="none"/>
                <w:lang w:val="en-US" w:eastAsia="zh-CN"/>
              </w:rPr>
            </w:pPr>
            <w:r>
              <w:rPr>
                <w:rFonts w:hint="eastAsia" w:ascii="宋体" w:hAnsi="宋体" w:eastAsia="楷体"/>
                <w:b/>
                <w:bCs/>
                <w:color w:val="auto"/>
                <w:sz w:val="24"/>
                <w:szCs w:val="24"/>
                <w:highlight w:val="none"/>
                <w:lang w:val="en-US" w:eastAsia="zh-CN"/>
              </w:rPr>
              <w:t>保证金</w:t>
            </w:r>
          </w:p>
        </w:tc>
        <w:tc>
          <w:tcPr>
            <w:tcW w:w="6887" w:type="dxa"/>
            <w:tcBorders>
              <w:top w:val="single" w:color="auto" w:sz="6" w:space="0"/>
              <w:left w:val="single" w:color="auto" w:sz="6" w:space="0"/>
              <w:bottom w:val="single" w:color="auto" w:sz="6" w:space="0"/>
            </w:tcBorders>
          </w:tcPr>
          <w:p w14:paraId="6C912CE6">
            <w:pPr>
              <w:pageBreakBefore w:val="0"/>
              <w:kinsoku/>
              <w:overflowPunct/>
              <w:topLinePunct w:val="0"/>
              <w:bidi w:val="0"/>
              <w:adjustRightInd w:val="0"/>
              <w:snapToGrid w:val="0"/>
              <w:spacing w:line="240" w:lineRule="auto"/>
              <w:ind w:left="-88" w:leftChars="-42" w:firstLine="120" w:firstLineChars="50"/>
              <w:textAlignment w:val="auto"/>
              <w:rPr>
                <w:rFonts w:ascii="宋体" w:hAnsi="宋体" w:eastAsia="楷体"/>
                <w:color w:val="auto"/>
                <w:sz w:val="24"/>
                <w:szCs w:val="24"/>
                <w:highlight w:val="none"/>
              </w:rPr>
            </w:pPr>
          </w:p>
        </w:tc>
      </w:tr>
      <w:tr w14:paraId="22EE1B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7" w:hRule="atLeast"/>
          <w:jc w:val="center"/>
        </w:trPr>
        <w:tc>
          <w:tcPr>
            <w:tcW w:w="2231" w:type="dxa"/>
            <w:tcBorders>
              <w:top w:val="single" w:color="auto" w:sz="6" w:space="0"/>
              <w:left w:val="single" w:color="auto" w:sz="6" w:space="0"/>
              <w:right w:val="single" w:color="auto" w:sz="6" w:space="0"/>
            </w:tcBorders>
            <w:vAlign w:val="center"/>
          </w:tcPr>
          <w:p w14:paraId="604D7499">
            <w:pPr>
              <w:pageBreakBefore w:val="0"/>
              <w:kinsoku/>
              <w:overflowPunct/>
              <w:topLinePunct w:val="0"/>
              <w:bidi w:val="0"/>
              <w:adjustRightInd w:val="0"/>
              <w:snapToGrid w:val="0"/>
              <w:spacing w:line="240" w:lineRule="auto"/>
              <w:ind w:left="-88" w:leftChars="-42"/>
              <w:jc w:val="center"/>
              <w:textAlignment w:val="auto"/>
              <w:rPr>
                <w:rFonts w:hint="default" w:ascii="宋体" w:hAnsi="宋体" w:eastAsia="楷体"/>
                <w:b/>
                <w:bCs/>
                <w:color w:val="auto"/>
                <w:sz w:val="24"/>
                <w:szCs w:val="24"/>
                <w:highlight w:val="none"/>
                <w:lang w:val="en-US" w:eastAsia="zh-CN"/>
              </w:rPr>
            </w:pPr>
            <w:r>
              <w:rPr>
                <w:rFonts w:hint="eastAsia" w:ascii="宋体" w:hAnsi="宋体" w:eastAsia="楷体"/>
                <w:b/>
                <w:bCs/>
                <w:color w:val="auto"/>
                <w:sz w:val="24"/>
                <w:szCs w:val="24"/>
                <w:highlight w:val="none"/>
                <w:lang w:val="en-US" w:eastAsia="zh-CN"/>
              </w:rPr>
              <w:t>备注</w:t>
            </w:r>
          </w:p>
        </w:tc>
        <w:tc>
          <w:tcPr>
            <w:tcW w:w="6887" w:type="dxa"/>
            <w:tcBorders>
              <w:top w:val="single" w:color="auto" w:sz="6" w:space="0"/>
              <w:left w:val="single" w:color="auto" w:sz="6" w:space="0"/>
            </w:tcBorders>
          </w:tcPr>
          <w:p w14:paraId="4B21493B">
            <w:pPr>
              <w:pageBreakBefore w:val="0"/>
              <w:kinsoku/>
              <w:overflowPunct/>
              <w:topLinePunct w:val="0"/>
              <w:bidi w:val="0"/>
              <w:adjustRightInd w:val="0"/>
              <w:snapToGrid w:val="0"/>
              <w:spacing w:line="240" w:lineRule="auto"/>
              <w:ind w:left="-88" w:leftChars="-42" w:firstLine="120" w:firstLineChars="50"/>
              <w:textAlignment w:val="auto"/>
              <w:rPr>
                <w:rFonts w:ascii="宋体" w:hAnsi="宋体" w:eastAsia="楷体"/>
                <w:color w:val="auto"/>
                <w:sz w:val="24"/>
                <w:szCs w:val="24"/>
                <w:highlight w:val="none"/>
              </w:rPr>
            </w:pPr>
          </w:p>
        </w:tc>
      </w:tr>
    </w:tbl>
    <w:p w14:paraId="32AFDA1D">
      <w:pPr>
        <w:pageBreakBefore w:val="0"/>
        <w:kinsoku/>
        <w:overflowPunct/>
        <w:topLinePunct w:val="0"/>
        <w:bidi w:val="0"/>
        <w:adjustRightInd w:val="0"/>
        <w:snapToGrid w:val="0"/>
        <w:spacing w:line="240" w:lineRule="auto"/>
        <w:ind w:firstLine="482" w:firstLineChars="200"/>
        <w:textAlignment w:val="auto"/>
        <w:rPr>
          <w:rFonts w:hint="eastAsia" w:ascii="宋体" w:hAnsi="宋体" w:eastAsia="楷体"/>
          <w:b/>
          <w:color w:val="auto"/>
          <w:sz w:val="24"/>
          <w:szCs w:val="24"/>
          <w:highlight w:val="none"/>
        </w:rPr>
      </w:pPr>
    </w:p>
    <w:p w14:paraId="1117F1CB">
      <w:pPr>
        <w:pageBreakBefore w:val="0"/>
        <w:kinsoku/>
        <w:overflowPunct/>
        <w:topLinePunct w:val="0"/>
        <w:bidi w:val="0"/>
        <w:adjustRightInd w:val="0"/>
        <w:snapToGrid w:val="0"/>
        <w:spacing w:line="240" w:lineRule="auto"/>
        <w:ind w:firstLine="482" w:firstLineChars="200"/>
        <w:textAlignment w:val="auto"/>
        <w:rPr>
          <w:rFonts w:hint="default" w:ascii="宋体" w:hAnsi="宋体" w:eastAsia="楷体"/>
          <w:b/>
          <w:color w:val="auto"/>
          <w:sz w:val="24"/>
          <w:szCs w:val="24"/>
          <w:highlight w:val="none"/>
          <w:lang w:val="en-US" w:eastAsia="zh-CN"/>
        </w:rPr>
      </w:pPr>
      <w:r>
        <w:rPr>
          <w:rFonts w:hint="eastAsia" w:ascii="宋体" w:hAnsi="宋体" w:eastAsia="楷体"/>
          <w:b/>
          <w:color w:val="auto"/>
          <w:sz w:val="24"/>
          <w:szCs w:val="24"/>
          <w:highlight w:val="none"/>
          <w:lang w:val="en-US" w:eastAsia="zh-CN"/>
        </w:rPr>
        <w:t>备注：本项目“</w:t>
      </w:r>
      <w:r>
        <w:rPr>
          <w:rFonts w:hint="eastAsia" w:ascii="宋体" w:hAnsi="宋体" w:eastAsia="楷体"/>
          <w:b/>
          <w:bCs/>
          <w:color w:val="auto"/>
          <w:sz w:val="24"/>
          <w:szCs w:val="24"/>
          <w:highlight w:val="none"/>
          <w:lang w:val="en-US" w:eastAsia="zh-CN"/>
        </w:rPr>
        <w:t>总报价/折扣/单价</w:t>
      </w:r>
      <w:r>
        <w:rPr>
          <w:rFonts w:hint="eastAsia" w:ascii="宋体" w:hAnsi="宋体" w:eastAsia="楷体"/>
          <w:b/>
          <w:color w:val="auto"/>
          <w:sz w:val="24"/>
          <w:szCs w:val="24"/>
          <w:highlight w:val="none"/>
          <w:lang w:val="en-US" w:eastAsia="zh-CN"/>
        </w:rPr>
        <w:t>”的内容要求填写“总报价”</w:t>
      </w:r>
    </w:p>
    <w:p w14:paraId="72040798">
      <w:pPr>
        <w:ind w:firstLine="480" w:firstLineChars="200"/>
        <w:rPr>
          <w:rFonts w:hint="eastAsia" w:ascii="宋体" w:hAnsi="宋体" w:eastAsia="楷体"/>
          <w:color w:val="auto"/>
          <w:sz w:val="24"/>
          <w:szCs w:val="24"/>
          <w:highlight w:val="none"/>
        </w:rPr>
      </w:pPr>
    </w:p>
    <w:p w14:paraId="6CA3ABC5">
      <w:pPr>
        <w:adjustRightInd w:val="0"/>
        <w:snapToGrid w:val="0"/>
        <w:spacing w:line="360" w:lineRule="auto"/>
        <w:rPr>
          <w:rFonts w:hint="eastAsia" w:ascii="宋体" w:hAnsi="宋体" w:eastAsia="宋体" w:cs="宋体"/>
          <w:b w:val="0"/>
          <w:bCs w:val="0"/>
          <w:color w:val="auto"/>
          <w:sz w:val="24"/>
          <w:lang w:eastAsia="zh-CN"/>
        </w:rPr>
      </w:pPr>
    </w:p>
    <w:p w14:paraId="22FAB749">
      <w:pPr>
        <w:adjustRightInd w:val="0"/>
        <w:snapToGrid w:val="0"/>
        <w:spacing w:line="360" w:lineRule="auto"/>
        <w:rPr>
          <w:rFonts w:hint="eastAsia" w:ascii="宋体" w:hAnsi="宋体" w:eastAsia="宋体" w:cs="宋体"/>
          <w:b w:val="0"/>
          <w:bCs w:val="0"/>
          <w:color w:val="auto"/>
          <w:sz w:val="24"/>
          <w:lang w:eastAsia="zh-CN"/>
        </w:rPr>
      </w:pPr>
    </w:p>
    <w:p w14:paraId="00996658">
      <w:pPr>
        <w:adjustRightInd w:val="0"/>
        <w:snapToGrid w:val="0"/>
        <w:spacing w:line="480" w:lineRule="auto"/>
        <w:rPr>
          <w:rFonts w:hint="default"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rPr>
        <w:t>投标人名称（</w:t>
      </w:r>
      <w:r>
        <w:rPr>
          <w:rFonts w:hint="eastAsia" w:ascii="宋体" w:hAnsi="宋体" w:eastAsia="宋体" w:cs="宋体"/>
          <w:b/>
          <w:bCs/>
          <w:color w:val="auto"/>
          <w:sz w:val="24"/>
          <w:szCs w:val="24"/>
          <w:lang w:eastAsia="zh-CN"/>
        </w:rPr>
        <w:t>盖单位</w:t>
      </w:r>
      <w:r>
        <w:rPr>
          <w:rFonts w:hint="eastAsia" w:ascii="宋体" w:hAnsi="宋体" w:cs="宋体"/>
          <w:b/>
          <w:bCs/>
          <w:color w:val="auto"/>
          <w:sz w:val="24"/>
          <w:szCs w:val="24"/>
          <w:lang w:eastAsia="zh-CN"/>
        </w:rPr>
        <w:t>公</w:t>
      </w:r>
      <w:r>
        <w:rPr>
          <w:rFonts w:hint="eastAsia" w:ascii="宋体" w:hAnsi="宋体" w:eastAsia="宋体" w:cs="宋体"/>
          <w:b/>
          <w:bCs/>
          <w:color w:val="auto"/>
          <w:sz w:val="24"/>
          <w:szCs w:val="24"/>
          <w:lang w:eastAsia="zh-CN"/>
        </w:rPr>
        <w:t>章</w:t>
      </w:r>
      <w:r>
        <w:rPr>
          <w:rFonts w:hint="eastAsia" w:ascii="宋体" w:hAnsi="宋体" w:eastAsia="宋体" w:cs="宋体"/>
          <w:b/>
          <w:bCs/>
          <w:color w:val="auto"/>
          <w:sz w:val="24"/>
          <w:szCs w:val="24"/>
        </w:rPr>
        <w:t>）：</w:t>
      </w:r>
      <w:r>
        <w:rPr>
          <w:rFonts w:hint="eastAsia" w:ascii="宋体" w:hAnsi="宋体" w:cs="宋体"/>
          <w:b/>
          <w:bCs/>
          <w:color w:val="auto"/>
          <w:sz w:val="24"/>
          <w:szCs w:val="24"/>
          <w:u w:val="single"/>
          <w:lang w:val="en-US" w:eastAsia="zh-CN"/>
        </w:rPr>
        <w:t xml:space="preserve">                     </w:t>
      </w:r>
    </w:p>
    <w:p w14:paraId="21E8E578">
      <w:pPr>
        <w:adjustRightInd w:val="0"/>
        <w:snapToGrid w:val="0"/>
        <w:spacing w:line="480" w:lineRule="auto"/>
        <w:rPr>
          <w:rFonts w:hint="default" w:ascii="宋体" w:hAnsi="宋体" w:eastAsia="宋体" w:cs="宋体"/>
          <w:b/>
          <w:bCs/>
          <w:color w:val="auto"/>
          <w:sz w:val="24"/>
          <w:szCs w:val="24"/>
          <w:lang w:val="en-US" w:eastAsia="zh-CN"/>
        </w:rPr>
      </w:pPr>
      <w:r>
        <w:rPr>
          <w:rFonts w:hint="eastAsia" w:ascii="宋体" w:hAnsi="宋体" w:eastAsia="宋体" w:cs="宋体"/>
          <w:b/>
          <w:bCs/>
          <w:color w:val="auto"/>
          <w:spacing w:val="-2"/>
          <w:kern w:val="0"/>
          <w:sz w:val="24"/>
          <w:szCs w:val="24"/>
        </w:rPr>
        <w:t>法</w:t>
      </w:r>
      <w:r>
        <w:rPr>
          <w:rFonts w:hint="eastAsia" w:ascii="宋体" w:hAnsi="宋体" w:eastAsia="宋体" w:cs="宋体"/>
          <w:b/>
          <w:bCs/>
          <w:color w:val="auto"/>
          <w:kern w:val="0"/>
          <w:sz w:val="24"/>
          <w:szCs w:val="24"/>
        </w:rPr>
        <w:t>定</w:t>
      </w:r>
      <w:r>
        <w:rPr>
          <w:rFonts w:hint="eastAsia" w:ascii="宋体" w:hAnsi="宋体" w:eastAsia="宋体" w:cs="宋体"/>
          <w:b/>
          <w:bCs/>
          <w:color w:val="auto"/>
          <w:spacing w:val="-2"/>
          <w:kern w:val="0"/>
          <w:sz w:val="24"/>
          <w:szCs w:val="24"/>
        </w:rPr>
        <w:t>代</w:t>
      </w:r>
      <w:r>
        <w:rPr>
          <w:rFonts w:hint="eastAsia" w:ascii="宋体" w:hAnsi="宋体" w:eastAsia="宋体" w:cs="宋体"/>
          <w:b/>
          <w:bCs/>
          <w:color w:val="auto"/>
          <w:kern w:val="0"/>
          <w:sz w:val="24"/>
          <w:szCs w:val="24"/>
        </w:rPr>
        <w:t>表</w:t>
      </w:r>
      <w:r>
        <w:rPr>
          <w:rFonts w:hint="eastAsia" w:ascii="宋体" w:hAnsi="宋体" w:eastAsia="宋体" w:cs="宋体"/>
          <w:b/>
          <w:bCs/>
          <w:color w:val="auto"/>
          <w:spacing w:val="-2"/>
          <w:kern w:val="0"/>
          <w:sz w:val="24"/>
          <w:szCs w:val="24"/>
        </w:rPr>
        <w:t>人</w:t>
      </w:r>
      <w:r>
        <w:rPr>
          <w:rFonts w:hint="eastAsia" w:ascii="宋体" w:hAnsi="宋体" w:eastAsia="宋体" w:cs="宋体"/>
          <w:b/>
          <w:bCs/>
          <w:color w:val="auto"/>
          <w:kern w:val="0"/>
          <w:sz w:val="24"/>
          <w:szCs w:val="24"/>
        </w:rPr>
        <w:t>（</w:t>
      </w:r>
      <w:r>
        <w:rPr>
          <w:rFonts w:hint="eastAsia" w:ascii="宋体" w:hAnsi="宋体" w:eastAsia="宋体" w:cs="宋体"/>
          <w:b/>
          <w:bCs/>
          <w:color w:val="auto"/>
          <w:spacing w:val="-2"/>
          <w:kern w:val="0"/>
          <w:sz w:val="24"/>
          <w:szCs w:val="24"/>
        </w:rPr>
        <w:t>单</w:t>
      </w:r>
      <w:r>
        <w:rPr>
          <w:rFonts w:hint="eastAsia" w:ascii="宋体" w:hAnsi="宋体" w:eastAsia="宋体" w:cs="宋体"/>
          <w:b/>
          <w:bCs/>
          <w:color w:val="auto"/>
          <w:kern w:val="0"/>
          <w:sz w:val="24"/>
          <w:szCs w:val="24"/>
        </w:rPr>
        <w:t>位</w:t>
      </w:r>
      <w:r>
        <w:rPr>
          <w:rFonts w:hint="eastAsia" w:ascii="宋体" w:hAnsi="宋体" w:eastAsia="宋体" w:cs="宋体"/>
          <w:b/>
          <w:bCs/>
          <w:color w:val="auto"/>
          <w:spacing w:val="-2"/>
          <w:kern w:val="0"/>
          <w:sz w:val="24"/>
          <w:szCs w:val="24"/>
        </w:rPr>
        <w:t>负</w:t>
      </w:r>
      <w:r>
        <w:rPr>
          <w:rFonts w:hint="eastAsia" w:ascii="宋体" w:hAnsi="宋体" w:eastAsia="宋体" w:cs="宋体"/>
          <w:b/>
          <w:bCs/>
          <w:color w:val="auto"/>
          <w:kern w:val="0"/>
          <w:sz w:val="24"/>
          <w:szCs w:val="24"/>
        </w:rPr>
        <w:t>责人</w:t>
      </w:r>
      <w:r>
        <w:rPr>
          <w:rFonts w:hint="eastAsia" w:ascii="宋体" w:hAnsi="宋体" w:eastAsia="宋体" w:cs="宋体"/>
          <w:b/>
          <w:bCs/>
          <w:color w:val="auto"/>
          <w:spacing w:val="-2"/>
          <w:kern w:val="0"/>
          <w:sz w:val="24"/>
          <w:szCs w:val="24"/>
        </w:rPr>
        <w:t>）</w:t>
      </w:r>
      <w:r>
        <w:rPr>
          <w:rFonts w:hint="eastAsia" w:ascii="宋体" w:hAnsi="宋体" w:eastAsia="宋体" w:cs="宋体"/>
          <w:b/>
          <w:bCs/>
          <w:color w:val="auto"/>
          <w:sz w:val="24"/>
          <w:szCs w:val="24"/>
        </w:rPr>
        <w:t>或其授权的代理人（签字或印章）：</w:t>
      </w:r>
      <w:r>
        <w:rPr>
          <w:rFonts w:hint="eastAsia" w:ascii="宋体" w:hAnsi="宋体" w:eastAsia="宋体" w:cs="宋体"/>
          <w:b/>
          <w:bCs/>
          <w:color w:val="auto"/>
          <w:sz w:val="24"/>
          <w:szCs w:val="24"/>
          <w:u w:val="single"/>
        </w:rPr>
        <w:t xml:space="preserve">           </w:t>
      </w:r>
      <w:r>
        <w:rPr>
          <w:rFonts w:hint="eastAsia" w:ascii="宋体" w:hAnsi="宋体" w:cs="宋体"/>
          <w:b/>
          <w:bCs/>
          <w:color w:val="auto"/>
          <w:sz w:val="24"/>
          <w:szCs w:val="24"/>
          <w:u w:val="single"/>
          <w:lang w:val="en-US" w:eastAsia="zh-CN"/>
        </w:rPr>
        <w:t xml:space="preserve">   </w:t>
      </w:r>
    </w:p>
    <w:p w14:paraId="0A45C3A5">
      <w:pPr>
        <w:adjustRightInd w:val="0"/>
        <w:snapToGrid w:val="0"/>
        <w:spacing w:line="48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日</w:t>
      </w: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期：</w:t>
      </w:r>
      <w:r>
        <w:rPr>
          <w:rFonts w:hint="eastAsia" w:ascii="宋体" w:hAnsi="宋体" w:eastAsia="宋体" w:cs="宋体"/>
          <w:b/>
          <w:bCs/>
          <w:color w:val="auto"/>
          <w:sz w:val="24"/>
          <w:szCs w:val="24"/>
          <w:u w:val="single"/>
        </w:rPr>
        <w:t xml:space="preserve">     </w:t>
      </w:r>
      <w:r>
        <w:rPr>
          <w:rFonts w:hint="eastAsia" w:ascii="宋体" w:hAnsi="宋体" w:cs="宋体"/>
          <w:b/>
          <w:bCs/>
          <w:color w:val="auto"/>
          <w:sz w:val="24"/>
          <w:szCs w:val="24"/>
          <w:u w:val="single"/>
          <w:lang w:val="en-US" w:eastAsia="zh-CN"/>
        </w:rPr>
        <w:t xml:space="preserve"> </w:t>
      </w:r>
      <w:r>
        <w:rPr>
          <w:rFonts w:hint="eastAsia" w:ascii="宋体" w:hAnsi="宋体" w:eastAsia="宋体" w:cs="宋体"/>
          <w:b/>
          <w:bCs/>
          <w:color w:val="auto"/>
          <w:sz w:val="24"/>
          <w:szCs w:val="24"/>
        </w:rPr>
        <w:t>年</w:t>
      </w:r>
      <w:r>
        <w:rPr>
          <w:rFonts w:hint="eastAsia" w:ascii="宋体" w:hAnsi="宋体" w:eastAsia="宋体" w:cs="宋体"/>
          <w:b/>
          <w:bCs/>
          <w:color w:val="auto"/>
          <w:sz w:val="24"/>
          <w:szCs w:val="24"/>
          <w:u w:val="single"/>
        </w:rPr>
        <w:t xml:space="preserve">     </w:t>
      </w:r>
      <w:r>
        <w:rPr>
          <w:rFonts w:hint="eastAsia" w:ascii="宋体" w:hAnsi="宋体" w:eastAsia="宋体" w:cs="宋体"/>
          <w:b/>
          <w:bCs/>
          <w:color w:val="auto"/>
          <w:sz w:val="24"/>
          <w:szCs w:val="24"/>
        </w:rPr>
        <w:t>月</w:t>
      </w:r>
      <w:r>
        <w:rPr>
          <w:rFonts w:hint="eastAsia" w:ascii="宋体" w:hAnsi="宋体" w:eastAsia="宋体" w:cs="宋体"/>
          <w:b/>
          <w:bCs/>
          <w:color w:val="auto"/>
          <w:sz w:val="24"/>
          <w:szCs w:val="24"/>
          <w:u w:val="single"/>
        </w:rPr>
        <w:t xml:space="preserve">     </w:t>
      </w:r>
      <w:r>
        <w:rPr>
          <w:rFonts w:hint="eastAsia" w:ascii="宋体" w:hAnsi="宋体" w:eastAsia="宋体" w:cs="宋体"/>
          <w:b/>
          <w:bCs/>
          <w:color w:val="auto"/>
          <w:sz w:val="24"/>
          <w:szCs w:val="24"/>
        </w:rPr>
        <w:t>日</w:t>
      </w:r>
    </w:p>
    <w:p w14:paraId="7CBEFB71">
      <w:pPr>
        <w:numPr>
          <w:ilvl w:val="0"/>
          <w:numId w:val="15"/>
        </w:numPr>
        <w:adjustRightInd w:val="0"/>
        <w:snapToGrid w:val="0"/>
        <w:spacing w:beforeLines="50" w:line="360" w:lineRule="auto"/>
        <w:jc w:val="center"/>
        <w:rPr>
          <w:rStyle w:val="68"/>
          <w:rFonts w:hint="eastAsia"/>
          <w:sz w:val="28"/>
          <w:szCs w:val="28"/>
          <w:lang w:val="en-US" w:eastAsia="zh-CN"/>
        </w:rPr>
      </w:pPr>
      <w:r>
        <w:rPr>
          <w:rFonts w:hint="eastAsia" w:ascii="宋体" w:hAnsi="宋体" w:eastAsia="宋体" w:cs="宋体"/>
          <w:sz w:val="28"/>
          <w:szCs w:val="28"/>
          <w:lang w:val="en-US" w:eastAsia="zh-CN"/>
        </w:rPr>
        <w:br w:type="page"/>
      </w:r>
      <w:bookmarkStart w:id="494" w:name="_Toc31432"/>
      <w:r>
        <w:rPr>
          <w:rStyle w:val="68"/>
          <w:rFonts w:hint="eastAsia"/>
          <w:sz w:val="28"/>
          <w:szCs w:val="28"/>
          <w:lang w:val="en-US" w:eastAsia="zh-CN"/>
        </w:rPr>
        <w:t>分项报价</w:t>
      </w:r>
    </w:p>
    <w:p w14:paraId="295BDDE1">
      <w:pPr>
        <w:pStyle w:val="175"/>
        <w:ind w:firstLine="420" w:firstLineChars="200"/>
        <w:rPr>
          <w:rStyle w:val="46"/>
          <w:rFonts w:hint="eastAsia" w:ascii="Calibri" w:hAnsi="Calibri" w:eastAsia="宋体" w:cs="Times New Roman"/>
          <w:szCs w:val="24"/>
        </w:rPr>
      </w:pPr>
    </w:p>
    <w:p w14:paraId="3148322C">
      <w:pPr>
        <w:pStyle w:val="5"/>
        <w:jc w:val="left"/>
        <w:rPr>
          <w:rFonts w:hint="eastAsia" w:ascii="宋体" w:hAnsi="宋体" w:eastAsia="宋体" w:cs="宋体"/>
          <w:b w:val="0"/>
          <w:color w:val="auto"/>
          <w:kern w:val="0"/>
          <w:sz w:val="24"/>
          <w:szCs w:val="24"/>
        </w:rPr>
      </w:pPr>
      <w:bookmarkStart w:id="495" w:name="_Toc4027"/>
      <w:r>
        <w:rPr>
          <w:rFonts w:hint="eastAsia" w:ascii="宋体" w:hAnsi="宋体" w:eastAsia="宋体" w:cs="宋体"/>
          <w:b w:val="0"/>
          <w:bCs w:val="0"/>
          <w:color w:val="auto"/>
          <w:spacing w:val="6"/>
          <w:kern w:val="0"/>
          <w:sz w:val="24"/>
          <w:szCs w:val="24"/>
        </w:rPr>
        <w:t>附件</w:t>
      </w:r>
      <w:r>
        <w:rPr>
          <w:rFonts w:hint="eastAsia" w:ascii="宋体" w:hAnsi="宋体" w:eastAsia="宋体" w:cs="宋体"/>
          <w:b w:val="0"/>
          <w:bCs w:val="0"/>
          <w:color w:val="auto"/>
          <w:spacing w:val="6"/>
          <w:kern w:val="0"/>
          <w:sz w:val="24"/>
          <w:szCs w:val="24"/>
          <w:lang w:val="en-US" w:eastAsia="zh-CN"/>
        </w:rPr>
        <w:t>5</w:t>
      </w:r>
      <w:r>
        <w:rPr>
          <w:rFonts w:hint="eastAsia" w:ascii="宋体" w:hAnsi="宋体" w:eastAsia="宋体" w:cs="宋体"/>
          <w:b w:val="0"/>
          <w:bCs w:val="0"/>
          <w:color w:val="auto"/>
          <w:spacing w:val="6"/>
          <w:kern w:val="0"/>
          <w:sz w:val="24"/>
          <w:szCs w:val="24"/>
        </w:rPr>
        <w:t xml:space="preserve">-1 </w:t>
      </w:r>
      <w:r>
        <w:rPr>
          <w:rFonts w:hint="eastAsia" w:ascii="宋体" w:hAnsi="宋体" w:eastAsia="宋体" w:cs="宋体"/>
          <w:b w:val="0"/>
          <w:color w:val="auto"/>
          <w:spacing w:val="-2"/>
          <w:kern w:val="0"/>
          <w:sz w:val="24"/>
          <w:szCs w:val="24"/>
        </w:rPr>
        <w:t>分</w:t>
      </w:r>
      <w:r>
        <w:rPr>
          <w:rFonts w:hint="eastAsia" w:ascii="宋体" w:hAnsi="宋体" w:eastAsia="宋体" w:cs="宋体"/>
          <w:b w:val="0"/>
          <w:color w:val="auto"/>
          <w:kern w:val="0"/>
          <w:sz w:val="24"/>
          <w:szCs w:val="24"/>
        </w:rPr>
        <w:t>项</w:t>
      </w:r>
      <w:r>
        <w:rPr>
          <w:rFonts w:hint="eastAsia" w:ascii="宋体" w:hAnsi="宋体" w:eastAsia="宋体" w:cs="宋体"/>
          <w:b w:val="0"/>
          <w:color w:val="auto"/>
          <w:spacing w:val="-2"/>
          <w:kern w:val="0"/>
          <w:sz w:val="24"/>
          <w:szCs w:val="24"/>
        </w:rPr>
        <w:t>报</w:t>
      </w:r>
      <w:r>
        <w:rPr>
          <w:rFonts w:hint="eastAsia" w:ascii="宋体" w:hAnsi="宋体" w:eastAsia="宋体" w:cs="宋体"/>
          <w:b w:val="0"/>
          <w:color w:val="auto"/>
          <w:kern w:val="0"/>
          <w:sz w:val="24"/>
          <w:szCs w:val="24"/>
        </w:rPr>
        <w:t>价说明</w:t>
      </w:r>
      <w:bookmarkEnd w:id="495"/>
      <w:r>
        <w:rPr>
          <w:rFonts w:hint="eastAsia" w:ascii="宋体" w:hAnsi="宋体" w:eastAsia="宋体" w:cs="宋体"/>
          <w:b w:val="0"/>
          <w:color w:val="auto"/>
          <w:kern w:val="0"/>
          <w:sz w:val="24"/>
          <w:szCs w:val="24"/>
        </w:rPr>
        <w:t xml:space="preserve">  </w:t>
      </w:r>
    </w:p>
    <w:p w14:paraId="4AA1C6A5">
      <w:pPr>
        <w:autoSpaceDE w:val="0"/>
        <w:autoSpaceDN w:val="0"/>
        <w:adjustRightInd w:val="0"/>
        <w:snapToGrid w:val="0"/>
        <w:spacing w:line="360" w:lineRule="auto"/>
        <w:jc w:val="center"/>
        <w:rPr>
          <w:rFonts w:hint="eastAsia" w:ascii="宋体" w:hAnsi="宋体" w:eastAsia="宋体" w:cs="宋体"/>
          <w:b/>
          <w:color w:val="auto"/>
          <w:kern w:val="0"/>
          <w:sz w:val="28"/>
          <w:szCs w:val="28"/>
        </w:rPr>
      </w:pPr>
      <w:r>
        <w:rPr>
          <w:rFonts w:hint="eastAsia" w:ascii="宋体" w:hAnsi="宋体" w:eastAsia="宋体" w:cs="宋体"/>
          <w:b/>
          <w:color w:val="auto"/>
          <w:spacing w:val="-2"/>
          <w:kern w:val="0"/>
          <w:sz w:val="28"/>
          <w:szCs w:val="28"/>
        </w:rPr>
        <w:t>分</w:t>
      </w:r>
      <w:r>
        <w:rPr>
          <w:rFonts w:hint="eastAsia" w:ascii="宋体" w:hAnsi="宋体" w:eastAsia="宋体" w:cs="宋体"/>
          <w:b/>
          <w:color w:val="auto"/>
          <w:kern w:val="0"/>
          <w:sz w:val="28"/>
          <w:szCs w:val="28"/>
        </w:rPr>
        <w:t>项</w:t>
      </w:r>
      <w:r>
        <w:rPr>
          <w:rFonts w:hint="eastAsia" w:ascii="宋体" w:hAnsi="宋体" w:eastAsia="宋体" w:cs="宋体"/>
          <w:b/>
          <w:color w:val="auto"/>
          <w:spacing w:val="-2"/>
          <w:kern w:val="0"/>
          <w:sz w:val="28"/>
          <w:szCs w:val="28"/>
        </w:rPr>
        <w:t>报</w:t>
      </w:r>
      <w:r>
        <w:rPr>
          <w:rFonts w:hint="eastAsia" w:ascii="宋体" w:hAnsi="宋体" w:eastAsia="宋体" w:cs="宋体"/>
          <w:b/>
          <w:color w:val="auto"/>
          <w:kern w:val="0"/>
          <w:sz w:val="28"/>
          <w:szCs w:val="28"/>
        </w:rPr>
        <w:t>价说明</w:t>
      </w:r>
    </w:p>
    <w:p w14:paraId="38F2F7B2">
      <w:pPr>
        <w:autoSpaceDE w:val="0"/>
        <w:autoSpaceDN w:val="0"/>
        <w:adjustRightInd w:val="0"/>
        <w:snapToGrid w:val="0"/>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备注：投标人应按招标文件第二章相关要求，对本节</w:t>
      </w:r>
      <w:r>
        <w:rPr>
          <w:rFonts w:hint="eastAsia" w:ascii="宋体" w:hAnsi="宋体" w:eastAsia="宋体" w:cs="宋体"/>
          <w:bCs/>
          <w:color w:val="auto"/>
          <w:sz w:val="24"/>
          <w:szCs w:val="24"/>
        </w:rPr>
        <w:t>“</w:t>
      </w:r>
      <w:r>
        <w:rPr>
          <w:rFonts w:hint="eastAsia" w:ascii="宋体" w:hAnsi="宋体" w:eastAsia="宋体" w:cs="宋体"/>
          <w:color w:val="auto"/>
          <w:kern w:val="0"/>
          <w:sz w:val="24"/>
          <w:szCs w:val="24"/>
        </w:rPr>
        <w:t>分项报价明细表</w:t>
      </w:r>
      <w:r>
        <w:rPr>
          <w:rFonts w:hint="eastAsia" w:ascii="宋体" w:hAnsi="宋体" w:eastAsia="宋体" w:cs="宋体"/>
          <w:bCs/>
          <w:color w:val="auto"/>
          <w:sz w:val="24"/>
          <w:szCs w:val="24"/>
        </w:rPr>
        <w:t>”进行</w:t>
      </w:r>
      <w:r>
        <w:rPr>
          <w:rFonts w:hint="eastAsia" w:ascii="宋体" w:hAnsi="宋体" w:eastAsia="宋体" w:cs="宋体"/>
          <w:color w:val="auto"/>
          <w:kern w:val="0"/>
          <w:sz w:val="24"/>
          <w:szCs w:val="24"/>
        </w:rPr>
        <w:t>编制，并说明。</w:t>
      </w:r>
    </w:p>
    <w:p w14:paraId="2FF0E31A">
      <w:pPr>
        <w:rPr>
          <w:rFonts w:hint="eastAsia" w:ascii="宋体" w:hAnsi="宋体" w:eastAsia="宋体" w:cs="宋体"/>
          <w:color w:val="auto"/>
        </w:rPr>
      </w:pPr>
    </w:p>
    <w:p w14:paraId="5E73B118">
      <w:pPr>
        <w:pStyle w:val="16"/>
        <w:rPr>
          <w:rFonts w:hint="eastAsia"/>
        </w:rPr>
      </w:pPr>
    </w:p>
    <w:p w14:paraId="6E619CBC">
      <w:pPr>
        <w:pStyle w:val="5"/>
        <w:jc w:val="left"/>
        <w:rPr>
          <w:rFonts w:hint="eastAsia" w:ascii="宋体" w:hAnsi="宋体" w:eastAsia="宋体" w:cs="宋体"/>
          <w:b w:val="0"/>
          <w:bCs w:val="0"/>
          <w:color w:val="auto"/>
          <w:spacing w:val="6"/>
          <w:kern w:val="0"/>
          <w:sz w:val="21"/>
          <w:szCs w:val="21"/>
        </w:rPr>
      </w:pPr>
      <w:bookmarkStart w:id="496" w:name="_Toc2189"/>
    </w:p>
    <w:p w14:paraId="52D77FC9">
      <w:pPr>
        <w:pStyle w:val="5"/>
        <w:jc w:val="left"/>
        <w:rPr>
          <w:rFonts w:hint="eastAsia" w:ascii="宋体" w:hAnsi="宋体" w:eastAsia="宋体" w:cs="宋体"/>
          <w:b w:val="0"/>
          <w:color w:val="auto"/>
          <w:spacing w:val="-2"/>
          <w:kern w:val="0"/>
          <w:sz w:val="24"/>
          <w:szCs w:val="24"/>
        </w:rPr>
      </w:pPr>
      <w:r>
        <w:rPr>
          <w:rFonts w:hint="eastAsia" w:ascii="宋体" w:hAnsi="宋体" w:eastAsia="宋体" w:cs="宋体"/>
          <w:b w:val="0"/>
          <w:color w:val="auto"/>
          <w:spacing w:val="-2"/>
          <w:kern w:val="0"/>
          <w:sz w:val="24"/>
          <w:szCs w:val="24"/>
        </w:rPr>
        <w:br w:type="page"/>
      </w:r>
      <w:r>
        <w:rPr>
          <w:rFonts w:hint="eastAsia" w:ascii="宋体" w:hAnsi="宋体" w:eastAsia="宋体" w:cs="宋体"/>
          <w:b w:val="0"/>
          <w:color w:val="auto"/>
          <w:spacing w:val="-2"/>
          <w:kern w:val="0"/>
          <w:sz w:val="24"/>
          <w:szCs w:val="24"/>
        </w:rPr>
        <w:t>附件</w:t>
      </w:r>
      <w:r>
        <w:rPr>
          <w:rFonts w:hint="eastAsia" w:ascii="宋体" w:hAnsi="宋体" w:eastAsia="宋体" w:cs="宋体"/>
          <w:b w:val="0"/>
          <w:color w:val="auto"/>
          <w:spacing w:val="-2"/>
          <w:kern w:val="0"/>
          <w:sz w:val="24"/>
          <w:szCs w:val="24"/>
          <w:lang w:val="en-US" w:eastAsia="zh-CN"/>
        </w:rPr>
        <w:t>5</w:t>
      </w:r>
      <w:r>
        <w:rPr>
          <w:rFonts w:hint="eastAsia" w:ascii="宋体" w:hAnsi="宋体" w:eastAsia="宋体" w:cs="宋体"/>
          <w:b w:val="0"/>
          <w:color w:val="auto"/>
          <w:spacing w:val="-2"/>
          <w:kern w:val="0"/>
          <w:sz w:val="24"/>
          <w:szCs w:val="24"/>
        </w:rPr>
        <w:t>-2 分项报价明细表</w:t>
      </w:r>
      <w:bookmarkEnd w:id="496"/>
    </w:p>
    <w:p w14:paraId="798AE9B0">
      <w:pPr>
        <w:adjustRightInd w:val="0"/>
        <w:snapToGrid w:val="0"/>
        <w:spacing w:line="360" w:lineRule="auto"/>
        <w:jc w:val="center"/>
        <w:rPr>
          <w:rFonts w:hint="eastAsia" w:ascii="宋体" w:hAnsi="宋体" w:cs="宋体"/>
          <w:color w:val="auto"/>
          <w:sz w:val="24"/>
          <w:szCs w:val="24"/>
          <w:u w:val="single"/>
          <w:lang w:val="en-US" w:eastAsia="zh-CN"/>
        </w:rPr>
      </w:pPr>
      <w:r>
        <w:rPr>
          <w:rFonts w:hint="eastAsia" w:ascii="宋体" w:hAnsi="宋体" w:eastAsia="宋体" w:cs="宋体"/>
          <w:b/>
          <w:color w:val="auto"/>
          <w:spacing w:val="-2"/>
          <w:kern w:val="0"/>
          <w:position w:val="-3"/>
          <w:sz w:val="24"/>
          <w:szCs w:val="24"/>
        </w:rPr>
        <w:t>分</w:t>
      </w:r>
      <w:r>
        <w:rPr>
          <w:rFonts w:hint="eastAsia" w:ascii="宋体" w:hAnsi="宋体" w:eastAsia="宋体" w:cs="宋体"/>
          <w:b/>
          <w:color w:val="auto"/>
          <w:kern w:val="0"/>
          <w:position w:val="-3"/>
          <w:sz w:val="24"/>
          <w:szCs w:val="24"/>
        </w:rPr>
        <w:t>项</w:t>
      </w:r>
      <w:r>
        <w:rPr>
          <w:rFonts w:hint="eastAsia" w:ascii="宋体" w:hAnsi="宋体" w:eastAsia="宋体" w:cs="宋体"/>
          <w:b/>
          <w:color w:val="auto"/>
          <w:spacing w:val="-2"/>
          <w:kern w:val="0"/>
          <w:position w:val="-3"/>
          <w:sz w:val="24"/>
          <w:szCs w:val="24"/>
        </w:rPr>
        <w:t>报</w:t>
      </w:r>
      <w:r>
        <w:rPr>
          <w:rFonts w:hint="eastAsia" w:ascii="宋体" w:hAnsi="宋体" w:eastAsia="宋体" w:cs="宋体"/>
          <w:b/>
          <w:color w:val="auto"/>
          <w:kern w:val="0"/>
          <w:position w:val="-3"/>
          <w:sz w:val="24"/>
          <w:szCs w:val="24"/>
        </w:rPr>
        <w:t>价明细表</w:t>
      </w:r>
    </w:p>
    <w:p w14:paraId="504B5DAF">
      <w:pPr>
        <w:pStyle w:val="16"/>
        <w:rPr>
          <w:rFonts w:hint="default"/>
          <w:lang w:val="en-US" w:eastAsia="zh-CN"/>
        </w:rPr>
      </w:pPr>
      <w:r>
        <w:rPr>
          <w:rFonts w:hint="eastAsia" w:ascii="宋体" w:hAnsi="宋体" w:cs="宋体"/>
          <w:color w:val="auto"/>
          <w:sz w:val="24"/>
          <w:szCs w:val="24"/>
          <w:lang w:eastAsia="zh-CN"/>
        </w:rPr>
        <w:t>政府采购编号</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项目名称：</w:t>
      </w:r>
      <w:r>
        <w:rPr>
          <w:rFonts w:hint="eastAsia" w:ascii="宋体" w:hAnsi="宋体" w:eastAsia="宋体" w:cs="宋体"/>
          <w:color w:val="auto"/>
          <w:sz w:val="24"/>
          <w:szCs w:val="24"/>
          <w:u w:val="single"/>
        </w:rPr>
        <w:t xml:space="preserve">           </w:t>
      </w:r>
    </w:p>
    <w:tbl>
      <w:tblPr>
        <w:tblStyle w:val="44"/>
        <w:tblW w:w="5014" w:type="pct"/>
        <w:tblInd w:w="0" w:type="dxa"/>
        <w:tblLayout w:type="autofit"/>
        <w:tblCellMar>
          <w:top w:w="0" w:type="dxa"/>
          <w:left w:w="0" w:type="dxa"/>
          <w:bottom w:w="0" w:type="dxa"/>
          <w:right w:w="0" w:type="dxa"/>
        </w:tblCellMar>
      </w:tblPr>
      <w:tblGrid>
        <w:gridCol w:w="295"/>
        <w:gridCol w:w="976"/>
        <w:gridCol w:w="2156"/>
        <w:gridCol w:w="1068"/>
        <w:gridCol w:w="974"/>
        <w:gridCol w:w="984"/>
        <w:gridCol w:w="812"/>
        <w:gridCol w:w="819"/>
        <w:gridCol w:w="815"/>
      </w:tblGrid>
      <w:tr w14:paraId="5DE64B39">
        <w:tblPrEx>
          <w:tblCellMar>
            <w:top w:w="0" w:type="dxa"/>
            <w:left w:w="0" w:type="dxa"/>
            <w:bottom w:w="0" w:type="dxa"/>
            <w:right w:w="0" w:type="dxa"/>
          </w:tblCellMar>
        </w:tblPrEx>
        <w:trPr>
          <w:trHeight w:val="415" w:hRule="exact"/>
        </w:trPr>
        <w:tc>
          <w:tcPr>
            <w:tcW w:w="714" w:type="pct"/>
            <w:gridSpan w:val="2"/>
            <w:vMerge w:val="restart"/>
            <w:tcBorders>
              <w:top w:val="double" w:color="auto" w:sz="4" w:space="0"/>
              <w:left w:val="double" w:color="auto" w:sz="4" w:space="0"/>
              <w:right w:val="single" w:color="auto" w:sz="6" w:space="0"/>
            </w:tcBorders>
            <w:noWrap w:val="0"/>
            <w:vAlign w:val="center"/>
          </w:tcPr>
          <w:p w14:paraId="3842DEEE">
            <w:pPr>
              <w:autoSpaceDE w:val="0"/>
              <w:autoSpaceDN w:val="0"/>
              <w:adjustRightInd w:val="0"/>
              <w:snapToGrid w:val="0"/>
              <w:spacing w:line="360" w:lineRule="auto"/>
              <w:ind w:right="-20"/>
              <w:jc w:val="center"/>
              <w:rPr>
                <w:rFonts w:hint="eastAsia" w:ascii="宋体" w:hAnsi="宋体" w:eastAsia="宋体" w:cs="宋体"/>
                <w:color w:val="auto"/>
                <w:kern w:val="0"/>
                <w:position w:val="-1"/>
                <w:sz w:val="24"/>
                <w:szCs w:val="24"/>
              </w:rPr>
            </w:pPr>
            <w:r>
              <w:rPr>
                <w:rFonts w:hint="eastAsia" w:ascii="宋体" w:hAnsi="宋体" w:eastAsia="宋体" w:cs="宋体"/>
                <w:color w:val="auto"/>
                <w:kern w:val="0"/>
                <w:position w:val="-1"/>
                <w:sz w:val="24"/>
                <w:szCs w:val="24"/>
              </w:rPr>
              <w:t>标的名称</w:t>
            </w:r>
          </w:p>
        </w:tc>
        <w:tc>
          <w:tcPr>
            <w:tcW w:w="1211" w:type="pct"/>
            <w:vMerge w:val="restart"/>
            <w:tcBorders>
              <w:top w:val="double" w:color="auto" w:sz="4" w:space="0"/>
              <w:left w:val="single" w:color="auto" w:sz="6" w:space="0"/>
              <w:bottom w:val="single" w:color="auto" w:sz="6" w:space="0"/>
              <w:right w:val="single" w:color="auto" w:sz="4" w:space="0"/>
            </w:tcBorders>
            <w:noWrap w:val="0"/>
            <w:vAlign w:val="center"/>
          </w:tcPr>
          <w:p w14:paraId="6D19EB4B">
            <w:pPr>
              <w:autoSpaceDE w:val="0"/>
              <w:autoSpaceDN w:val="0"/>
              <w:adjustRightInd w:val="0"/>
              <w:snapToGrid w:val="0"/>
              <w:spacing w:line="360" w:lineRule="auto"/>
              <w:ind w:right="-20"/>
              <w:jc w:val="center"/>
              <w:rPr>
                <w:rFonts w:hint="eastAsia" w:ascii="宋体" w:hAnsi="宋体" w:eastAsia="宋体" w:cs="宋体"/>
                <w:color w:val="auto"/>
                <w:sz w:val="24"/>
                <w:szCs w:val="24"/>
              </w:rPr>
            </w:pPr>
            <w:r>
              <w:rPr>
                <w:rFonts w:hint="eastAsia" w:ascii="宋体" w:hAnsi="宋体" w:eastAsia="宋体" w:cs="宋体"/>
                <w:color w:val="auto"/>
                <w:sz w:val="24"/>
                <w:szCs w:val="24"/>
              </w:rPr>
              <w:t>规格型号</w:t>
            </w:r>
          </w:p>
          <w:p w14:paraId="0749DACE">
            <w:pPr>
              <w:autoSpaceDE w:val="0"/>
              <w:autoSpaceDN w:val="0"/>
              <w:adjustRightInd w:val="0"/>
              <w:snapToGrid w:val="0"/>
              <w:spacing w:line="360" w:lineRule="auto"/>
              <w:ind w:right="-20"/>
              <w:jc w:val="center"/>
              <w:rPr>
                <w:rFonts w:hint="eastAsia" w:ascii="宋体" w:hAnsi="宋体" w:eastAsia="宋体" w:cs="宋体"/>
                <w:color w:val="auto"/>
                <w:sz w:val="24"/>
                <w:szCs w:val="24"/>
              </w:rPr>
            </w:pPr>
            <w:r>
              <w:rPr>
                <w:rFonts w:hint="eastAsia" w:ascii="宋体" w:hAnsi="宋体" w:eastAsia="宋体" w:cs="宋体"/>
                <w:color w:val="auto"/>
                <w:sz w:val="24"/>
                <w:szCs w:val="24"/>
              </w:rPr>
              <w:t>（或项目特征</w:t>
            </w:r>
            <w:r>
              <w:rPr>
                <w:rFonts w:hint="eastAsia" w:ascii="宋体" w:hAnsi="宋体" w:cs="宋体"/>
                <w:color w:val="auto"/>
                <w:sz w:val="24"/>
                <w:szCs w:val="24"/>
                <w:lang w:eastAsia="zh-CN"/>
              </w:rPr>
              <w:t>描述）</w:t>
            </w:r>
            <w:r>
              <w:rPr>
                <w:rFonts w:hint="eastAsia" w:ascii="宋体" w:hAnsi="宋体" w:eastAsia="宋体" w:cs="宋体"/>
                <w:color w:val="auto"/>
                <w:sz w:val="24"/>
                <w:szCs w:val="24"/>
              </w:rPr>
              <w:t>述）</w:t>
            </w:r>
          </w:p>
        </w:tc>
        <w:tc>
          <w:tcPr>
            <w:tcW w:w="600" w:type="pct"/>
            <w:vMerge w:val="restart"/>
            <w:tcBorders>
              <w:top w:val="double" w:color="auto" w:sz="4" w:space="0"/>
              <w:left w:val="single" w:color="auto" w:sz="4" w:space="0"/>
              <w:bottom w:val="single" w:color="auto" w:sz="6" w:space="0"/>
              <w:right w:val="single" w:color="auto" w:sz="6" w:space="0"/>
            </w:tcBorders>
            <w:noWrap w:val="0"/>
            <w:vAlign w:val="center"/>
          </w:tcPr>
          <w:p w14:paraId="67ECA38C">
            <w:pPr>
              <w:autoSpaceDE w:val="0"/>
              <w:autoSpaceDN w:val="0"/>
              <w:adjustRightInd w:val="0"/>
              <w:snapToGrid w:val="0"/>
              <w:spacing w:line="360" w:lineRule="auto"/>
              <w:ind w:right="-20"/>
              <w:jc w:val="center"/>
              <w:rPr>
                <w:rFonts w:hint="eastAsia" w:ascii="宋体" w:hAnsi="宋体" w:eastAsia="宋体" w:cs="宋体"/>
                <w:color w:val="auto"/>
                <w:sz w:val="24"/>
                <w:szCs w:val="24"/>
              </w:rPr>
            </w:pPr>
            <w:r>
              <w:rPr>
                <w:rFonts w:hint="eastAsia" w:ascii="宋体" w:hAnsi="宋体" w:eastAsia="宋体" w:cs="宋体"/>
                <w:color w:val="auto"/>
                <w:sz w:val="24"/>
                <w:szCs w:val="24"/>
              </w:rPr>
              <w:t>品牌/产地</w:t>
            </w:r>
          </w:p>
        </w:tc>
        <w:tc>
          <w:tcPr>
            <w:tcW w:w="547" w:type="pct"/>
            <w:vMerge w:val="restart"/>
            <w:tcBorders>
              <w:top w:val="double" w:color="auto" w:sz="4" w:space="0"/>
              <w:left w:val="single" w:color="auto" w:sz="6" w:space="0"/>
              <w:right w:val="single" w:color="auto" w:sz="4" w:space="0"/>
            </w:tcBorders>
            <w:noWrap w:val="0"/>
            <w:vAlign w:val="center"/>
          </w:tcPr>
          <w:p w14:paraId="2F3AD912">
            <w:pPr>
              <w:autoSpaceDE w:val="0"/>
              <w:autoSpaceDN w:val="0"/>
              <w:adjustRightInd w:val="0"/>
              <w:snapToGrid w:val="0"/>
              <w:spacing w:line="360" w:lineRule="auto"/>
              <w:ind w:right="-20"/>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制造商</w:t>
            </w:r>
          </w:p>
        </w:tc>
        <w:tc>
          <w:tcPr>
            <w:tcW w:w="550" w:type="pct"/>
            <w:vMerge w:val="restart"/>
            <w:tcBorders>
              <w:top w:val="double" w:color="auto" w:sz="4" w:space="0"/>
              <w:left w:val="single" w:color="auto" w:sz="6" w:space="0"/>
              <w:right w:val="single" w:color="auto" w:sz="4" w:space="0"/>
            </w:tcBorders>
            <w:noWrap w:val="0"/>
            <w:vAlign w:val="center"/>
          </w:tcPr>
          <w:p w14:paraId="675E00EF">
            <w:pPr>
              <w:autoSpaceDE w:val="0"/>
              <w:autoSpaceDN w:val="0"/>
              <w:adjustRightInd w:val="0"/>
              <w:snapToGrid w:val="0"/>
              <w:spacing w:line="360" w:lineRule="auto"/>
              <w:ind w:right="-20"/>
              <w:jc w:val="center"/>
              <w:rPr>
                <w:rFonts w:hint="eastAsia" w:ascii="宋体" w:hAnsi="宋体" w:eastAsia="宋体" w:cs="宋体"/>
                <w:color w:val="auto"/>
                <w:kern w:val="0"/>
                <w:position w:val="-1"/>
                <w:sz w:val="24"/>
                <w:szCs w:val="24"/>
              </w:rPr>
            </w:pPr>
            <w:r>
              <w:rPr>
                <w:rFonts w:hint="eastAsia" w:ascii="宋体" w:hAnsi="宋体" w:eastAsia="宋体" w:cs="宋体"/>
                <w:color w:val="auto"/>
                <w:kern w:val="0"/>
                <w:sz w:val="24"/>
                <w:szCs w:val="24"/>
              </w:rPr>
              <w:t>数量/单位</w:t>
            </w:r>
          </w:p>
        </w:tc>
        <w:tc>
          <w:tcPr>
            <w:tcW w:w="916" w:type="pct"/>
            <w:gridSpan w:val="2"/>
            <w:tcBorders>
              <w:top w:val="double" w:color="auto" w:sz="4" w:space="0"/>
              <w:left w:val="single" w:color="auto" w:sz="4" w:space="0"/>
              <w:bottom w:val="single" w:color="auto" w:sz="6" w:space="0"/>
              <w:right w:val="single" w:color="auto" w:sz="6" w:space="0"/>
            </w:tcBorders>
            <w:noWrap w:val="0"/>
            <w:vAlign w:val="center"/>
          </w:tcPr>
          <w:p w14:paraId="7C469404">
            <w:pPr>
              <w:autoSpaceDE w:val="0"/>
              <w:autoSpaceDN w:val="0"/>
              <w:adjustRightInd w:val="0"/>
              <w:snapToGrid w:val="0"/>
              <w:spacing w:line="360" w:lineRule="auto"/>
              <w:ind w:right="-20"/>
              <w:jc w:val="center"/>
              <w:rPr>
                <w:rFonts w:hint="eastAsia" w:ascii="宋体" w:hAnsi="宋体" w:eastAsia="宋体" w:cs="宋体"/>
                <w:color w:val="auto"/>
                <w:kern w:val="0"/>
                <w:position w:val="-1"/>
                <w:sz w:val="24"/>
                <w:szCs w:val="24"/>
              </w:rPr>
            </w:pPr>
            <w:r>
              <w:rPr>
                <w:rFonts w:hint="eastAsia" w:ascii="宋体" w:hAnsi="宋体" w:eastAsia="宋体" w:cs="宋体"/>
                <w:color w:val="auto"/>
                <w:kern w:val="0"/>
                <w:position w:val="-1"/>
                <w:sz w:val="24"/>
                <w:szCs w:val="24"/>
              </w:rPr>
              <w:t>金额（元）</w:t>
            </w:r>
          </w:p>
        </w:tc>
        <w:tc>
          <w:tcPr>
            <w:tcW w:w="458" w:type="pct"/>
            <w:vMerge w:val="restart"/>
            <w:tcBorders>
              <w:top w:val="double" w:color="auto" w:sz="4" w:space="0"/>
              <w:left w:val="single" w:color="auto" w:sz="6" w:space="0"/>
              <w:bottom w:val="single" w:color="auto" w:sz="6" w:space="0"/>
              <w:right w:val="double" w:color="auto" w:sz="4" w:space="0"/>
            </w:tcBorders>
            <w:noWrap w:val="0"/>
            <w:vAlign w:val="center"/>
          </w:tcPr>
          <w:p w14:paraId="25C9E9B4">
            <w:pPr>
              <w:autoSpaceDE w:val="0"/>
              <w:autoSpaceDN w:val="0"/>
              <w:adjustRightInd w:val="0"/>
              <w:snapToGrid w:val="0"/>
              <w:spacing w:line="360" w:lineRule="auto"/>
              <w:ind w:right="-20"/>
              <w:jc w:val="center"/>
              <w:rPr>
                <w:rFonts w:hint="eastAsia" w:ascii="宋体" w:hAnsi="宋体" w:eastAsia="宋体" w:cs="宋体"/>
                <w:color w:val="auto"/>
                <w:kern w:val="0"/>
                <w:position w:val="-1"/>
                <w:sz w:val="24"/>
                <w:szCs w:val="24"/>
              </w:rPr>
            </w:pPr>
            <w:r>
              <w:rPr>
                <w:rFonts w:hint="eastAsia" w:ascii="宋体" w:hAnsi="宋体" w:eastAsia="宋体" w:cs="宋体"/>
                <w:color w:val="auto"/>
                <w:kern w:val="0"/>
                <w:position w:val="-1"/>
                <w:sz w:val="24"/>
                <w:szCs w:val="24"/>
              </w:rPr>
              <w:t>备注</w:t>
            </w:r>
          </w:p>
        </w:tc>
      </w:tr>
      <w:tr w14:paraId="0D1E092F">
        <w:tblPrEx>
          <w:tblCellMar>
            <w:top w:w="0" w:type="dxa"/>
            <w:left w:w="0" w:type="dxa"/>
            <w:bottom w:w="0" w:type="dxa"/>
            <w:right w:w="0" w:type="dxa"/>
          </w:tblCellMar>
        </w:tblPrEx>
        <w:trPr>
          <w:trHeight w:val="415" w:hRule="exact"/>
        </w:trPr>
        <w:tc>
          <w:tcPr>
            <w:tcW w:w="714" w:type="pct"/>
            <w:gridSpan w:val="2"/>
            <w:vMerge w:val="continue"/>
            <w:tcBorders>
              <w:left w:val="double" w:color="auto" w:sz="4" w:space="0"/>
              <w:bottom w:val="single" w:color="auto" w:sz="6" w:space="0"/>
              <w:right w:val="single" w:color="auto" w:sz="6" w:space="0"/>
            </w:tcBorders>
            <w:noWrap w:val="0"/>
            <w:vAlign w:val="top"/>
          </w:tcPr>
          <w:p w14:paraId="226950D9">
            <w:pPr>
              <w:autoSpaceDE w:val="0"/>
              <w:autoSpaceDN w:val="0"/>
              <w:adjustRightInd w:val="0"/>
              <w:snapToGrid w:val="0"/>
              <w:spacing w:line="360" w:lineRule="auto"/>
              <w:ind w:left="352" w:right="-20"/>
              <w:jc w:val="left"/>
              <w:rPr>
                <w:rFonts w:hint="eastAsia" w:ascii="宋体" w:hAnsi="宋体" w:eastAsia="宋体" w:cs="宋体"/>
                <w:color w:val="auto"/>
                <w:kern w:val="0"/>
                <w:sz w:val="24"/>
                <w:szCs w:val="24"/>
              </w:rPr>
            </w:pPr>
          </w:p>
        </w:tc>
        <w:tc>
          <w:tcPr>
            <w:tcW w:w="1211" w:type="pct"/>
            <w:vMerge w:val="continue"/>
            <w:tcBorders>
              <w:top w:val="single" w:color="auto" w:sz="6" w:space="0"/>
              <w:left w:val="single" w:color="auto" w:sz="6" w:space="0"/>
              <w:bottom w:val="single" w:color="auto" w:sz="6" w:space="0"/>
              <w:right w:val="single" w:color="auto" w:sz="4" w:space="0"/>
            </w:tcBorders>
            <w:noWrap w:val="0"/>
            <w:vAlign w:val="center"/>
          </w:tcPr>
          <w:p w14:paraId="25FD625F">
            <w:pPr>
              <w:autoSpaceDE w:val="0"/>
              <w:autoSpaceDN w:val="0"/>
              <w:adjustRightInd w:val="0"/>
              <w:snapToGrid w:val="0"/>
              <w:spacing w:line="360" w:lineRule="auto"/>
              <w:ind w:right="-20"/>
              <w:jc w:val="center"/>
              <w:rPr>
                <w:rFonts w:hint="eastAsia" w:ascii="宋体" w:hAnsi="宋体" w:eastAsia="宋体" w:cs="宋体"/>
                <w:color w:val="auto"/>
                <w:kern w:val="0"/>
                <w:sz w:val="24"/>
                <w:szCs w:val="24"/>
              </w:rPr>
            </w:pPr>
          </w:p>
        </w:tc>
        <w:tc>
          <w:tcPr>
            <w:tcW w:w="600" w:type="pct"/>
            <w:vMerge w:val="continue"/>
            <w:tcBorders>
              <w:top w:val="single" w:color="auto" w:sz="6" w:space="0"/>
              <w:left w:val="single" w:color="auto" w:sz="4" w:space="0"/>
              <w:bottom w:val="single" w:color="auto" w:sz="6" w:space="0"/>
              <w:right w:val="single" w:color="auto" w:sz="6" w:space="0"/>
            </w:tcBorders>
            <w:noWrap w:val="0"/>
            <w:vAlign w:val="center"/>
          </w:tcPr>
          <w:p w14:paraId="3C0B7C88">
            <w:pPr>
              <w:autoSpaceDE w:val="0"/>
              <w:autoSpaceDN w:val="0"/>
              <w:adjustRightInd w:val="0"/>
              <w:snapToGrid w:val="0"/>
              <w:spacing w:line="360" w:lineRule="auto"/>
              <w:ind w:right="-20"/>
              <w:jc w:val="center"/>
              <w:rPr>
                <w:rFonts w:hint="eastAsia" w:ascii="宋体" w:hAnsi="宋体" w:eastAsia="宋体" w:cs="宋体"/>
                <w:color w:val="auto"/>
                <w:kern w:val="0"/>
                <w:sz w:val="24"/>
                <w:szCs w:val="24"/>
              </w:rPr>
            </w:pPr>
          </w:p>
        </w:tc>
        <w:tc>
          <w:tcPr>
            <w:tcW w:w="547" w:type="pct"/>
            <w:vMerge w:val="continue"/>
            <w:tcBorders>
              <w:left w:val="single" w:color="auto" w:sz="6" w:space="0"/>
              <w:bottom w:val="single" w:color="auto" w:sz="6" w:space="0"/>
              <w:right w:val="single" w:color="auto" w:sz="4" w:space="0"/>
            </w:tcBorders>
            <w:noWrap w:val="0"/>
            <w:vAlign w:val="center"/>
          </w:tcPr>
          <w:p w14:paraId="1B489DC7">
            <w:pPr>
              <w:autoSpaceDE w:val="0"/>
              <w:autoSpaceDN w:val="0"/>
              <w:adjustRightInd w:val="0"/>
              <w:snapToGrid w:val="0"/>
              <w:spacing w:line="360" w:lineRule="auto"/>
              <w:ind w:right="-20"/>
              <w:jc w:val="center"/>
              <w:rPr>
                <w:rFonts w:hint="eastAsia" w:ascii="宋体" w:hAnsi="宋体" w:eastAsia="宋体" w:cs="宋体"/>
                <w:color w:val="auto"/>
                <w:kern w:val="0"/>
                <w:sz w:val="24"/>
                <w:szCs w:val="24"/>
              </w:rPr>
            </w:pPr>
          </w:p>
        </w:tc>
        <w:tc>
          <w:tcPr>
            <w:tcW w:w="550" w:type="pct"/>
            <w:vMerge w:val="continue"/>
            <w:tcBorders>
              <w:left w:val="single" w:color="auto" w:sz="6" w:space="0"/>
              <w:bottom w:val="single" w:color="auto" w:sz="6" w:space="0"/>
              <w:right w:val="single" w:color="auto" w:sz="4" w:space="0"/>
            </w:tcBorders>
            <w:noWrap w:val="0"/>
            <w:vAlign w:val="center"/>
          </w:tcPr>
          <w:p w14:paraId="015C59C5">
            <w:pPr>
              <w:autoSpaceDE w:val="0"/>
              <w:autoSpaceDN w:val="0"/>
              <w:adjustRightInd w:val="0"/>
              <w:snapToGrid w:val="0"/>
              <w:spacing w:line="360" w:lineRule="auto"/>
              <w:ind w:right="-20"/>
              <w:jc w:val="center"/>
              <w:rPr>
                <w:rFonts w:hint="eastAsia" w:ascii="宋体" w:hAnsi="宋体" w:eastAsia="宋体" w:cs="宋体"/>
                <w:color w:val="auto"/>
                <w:kern w:val="0"/>
                <w:sz w:val="24"/>
                <w:szCs w:val="24"/>
              </w:rPr>
            </w:pPr>
          </w:p>
        </w:tc>
        <w:tc>
          <w:tcPr>
            <w:tcW w:w="456" w:type="pct"/>
            <w:tcBorders>
              <w:top w:val="single" w:color="auto" w:sz="6" w:space="0"/>
              <w:left w:val="single" w:color="auto" w:sz="4" w:space="0"/>
              <w:bottom w:val="single" w:color="auto" w:sz="6" w:space="0"/>
              <w:right w:val="single" w:color="auto" w:sz="4" w:space="0"/>
            </w:tcBorders>
            <w:noWrap w:val="0"/>
            <w:vAlign w:val="center"/>
          </w:tcPr>
          <w:p w14:paraId="6D32DF0B">
            <w:pPr>
              <w:autoSpaceDE w:val="0"/>
              <w:autoSpaceDN w:val="0"/>
              <w:adjustRightInd w:val="0"/>
              <w:snapToGrid w:val="0"/>
              <w:spacing w:line="360" w:lineRule="auto"/>
              <w:ind w:right="-20"/>
              <w:jc w:val="center"/>
              <w:rPr>
                <w:rFonts w:hint="eastAsia" w:ascii="宋体" w:hAnsi="宋体" w:eastAsia="宋体" w:cs="宋体"/>
                <w:color w:val="auto"/>
                <w:kern w:val="0"/>
                <w:sz w:val="24"/>
                <w:szCs w:val="24"/>
              </w:rPr>
            </w:pPr>
            <w:r>
              <w:rPr>
                <w:rFonts w:hint="eastAsia" w:ascii="宋体" w:hAnsi="宋体" w:eastAsia="宋体" w:cs="宋体"/>
                <w:color w:val="auto"/>
                <w:kern w:val="0"/>
                <w:position w:val="-1"/>
                <w:sz w:val="24"/>
                <w:szCs w:val="24"/>
              </w:rPr>
              <w:t>单价</w:t>
            </w:r>
          </w:p>
        </w:tc>
        <w:tc>
          <w:tcPr>
            <w:tcW w:w="459" w:type="pct"/>
            <w:tcBorders>
              <w:top w:val="single" w:color="auto" w:sz="6" w:space="0"/>
              <w:left w:val="single" w:color="auto" w:sz="4" w:space="0"/>
              <w:bottom w:val="single" w:color="auto" w:sz="6" w:space="0"/>
              <w:right w:val="single" w:color="auto" w:sz="6" w:space="0"/>
            </w:tcBorders>
            <w:noWrap w:val="0"/>
            <w:vAlign w:val="center"/>
          </w:tcPr>
          <w:p w14:paraId="057B488A">
            <w:pPr>
              <w:autoSpaceDE w:val="0"/>
              <w:autoSpaceDN w:val="0"/>
              <w:adjustRightInd w:val="0"/>
              <w:snapToGrid w:val="0"/>
              <w:spacing w:line="360" w:lineRule="auto"/>
              <w:ind w:left="70" w:right="-2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小计</w:t>
            </w:r>
          </w:p>
        </w:tc>
        <w:tc>
          <w:tcPr>
            <w:tcW w:w="458" w:type="pct"/>
            <w:vMerge w:val="continue"/>
            <w:tcBorders>
              <w:top w:val="single" w:color="auto" w:sz="6" w:space="0"/>
              <w:left w:val="single" w:color="auto" w:sz="6" w:space="0"/>
              <w:bottom w:val="single" w:color="auto" w:sz="6" w:space="0"/>
              <w:right w:val="double" w:color="auto" w:sz="4" w:space="0"/>
            </w:tcBorders>
            <w:noWrap w:val="0"/>
            <w:vAlign w:val="top"/>
          </w:tcPr>
          <w:p w14:paraId="289363FC">
            <w:pPr>
              <w:autoSpaceDE w:val="0"/>
              <w:autoSpaceDN w:val="0"/>
              <w:adjustRightInd w:val="0"/>
              <w:snapToGrid w:val="0"/>
              <w:spacing w:line="360" w:lineRule="auto"/>
              <w:ind w:left="422" w:right="-20"/>
              <w:jc w:val="left"/>
              <w:rPr>
                <w:rFonts w:hint="eastAsia" w:ascii="宋体" w:hAnsi="宋体" w:eastAsia="宋体" w:cs="宋体"/>
                <w:color w:val="auto"/>
                <w:kern w:val="0"/>
                <w:sz w:val="24"/>
                <w:szCs w:val="24"/>
              </w:rPr>
            </w:pPr>
          </w:p>
        </w:tc>
      </w:tr>
      <w:tr w14:paraId="5CB22581">
        <w:tblPrEx>
          <w:tblCellMar>
            <w:top w:w="0" w:type="dxa"/>
            <w:left w:w="0" w:type="dxa"/>
            <w:bottom w:w="0" w:type="dxa"/>
            <w:right w:w="0" w:type="dxa"/>
          </w:tblCellMar>
        </w:tblPrEx>
        <w:trPr>
          <w:trHeight w:val="378" w:hRule="exact"/>
        </w:trPr>
        <w:tc>
          <w:tcPr>
            <w:tcW w:w="166" w:type="pct"/>
            <w:tcBorders>
              <w:top w:val="single" w:color="auto" w:sz="6" w:space="0"/>
              <w:left w:val="double" w:color="auto" w:sz="4" w:space="0"/>
              <w:bottom w:val="single" w:color="auto" w:sz="6" w:space="0"/>
              <w:right w:val="single" w:color="auto" w:sz="6" w:space="0"/>
            </w:tcBorders>
            <w:noWrap w:val="0"/>
            <w:vAlign w:val="center"/>
          </w:tcPr>
          <w:p w14:paraId="5B798737">
            <w:pPr>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548" w:type="pct"/>
            <w:tcBorders>
              <w:top w:val="single" w:color="auto" w:sz="6" w:space="0"/>
              <w:left w:val="single" w:color="auto" w:sz="6" w:space="0"/>
              <w:bottom w:val="single" w:color="auto" w:sz="6" w:space="0"/>
              <w:right w:val="single" w:color="auto" w:sz="6" w:space="0"/>
            </w:tcBorders>
            <w:noWrap w:val="0"/>
            <w:vAlign w:val="center"/>
          </w:tcPr>
          <w:p w14:paraId="3A581690">
            <w:pPr>
              <w:autoSpaceDE w:val="0"/>
              <w:autoSpaceDN w:val="0"/>
              <w:adjustRightInd w:val="0"/>
              <w:snapToGrid w:val="0"/>
              <w:spacing w:line="360" w:lineRule="auto"/>
              <w:jc w:val="center"/>
              <w:rPr>
                <w:rFonts w:hint="eastAsia" w:ascii="宋体" w:hAnsi="宋体" w:eastAsia="宋体" w:cs="宋体"/>
                <w:color w:val="auto"/>
                <w:kern w:val="0"/>
                <w:sz w:val="24"/>
                <w:szCs w:val="24"/>
              </w:rPr>
            </w:pPr>
          </w:p>
        </w:tc>
        <w:tc>
          <w:tcPr>
            <w:tcW w:w="1211" w:type="pct"/>
            <w:tcBorders>
              <w:top w:val="single" w:color="auto" w:sz="6" w:space="0"/>
              <w:left w:val="single" w:color="auto" w:sz="6" w:space="0"/>
              <w:bottom w:val="single" w:color="auto" w:sz="6" w:space="0"/>
              <w:right w:val="single" w:color="auto" w:sz="4" w:space="0"/>
            </w:tcBorders>
            <w:noWrap w:val="0"/>
            <w:vAlign w:val="top"/>
          </w:tcPr>
          <w:p w14:paraId="0204C2AA">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600" w:type="pct"/>
            <w:tcBorders>
              <w:top w:val="single" w:color="auto" w:sz="6" w:space="0"/>
              <w:left w:val="single" w:color="auto" w:sz="4" w:space="0"/>
              <w:bottom w:val="single" w:color="auto" w:sz="6" w:space="0"/>
              <w:right w:val="single" w:color="auto" w:sz="6" w:space="0"/>
            </w:tcBorders>
            <w:noWrap w:val="0"/>
            <w:vAlign w:val="top"/>
          </w:tcPr>
          <w:p w14:paraId="60FEB9E6">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547" w:type="pct"/>
            <w:tcBorders>
              <w:top w:val="single" w:color="auto" w:sz="6" w:space="0"/>
              <w:left w:val="single" w:color="auto" w:sz="6" w:space="0"/>
              <w:bottom w:val="single" w:color="auto" w:sz="6" w:space="0"/>
              <w:right w:val="single" w:color="auto" w:sz="4" w:space="0"/>
            </w:tcBorders>
            <w:noWrap w:val="0"/>
            <w:vAlign w:val="top"/>
          </w:tcPr>
          <w:p w14:paraId="64F90F8E">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550" w:type="pct"/>
            <w:tcBorders>
              <w:top w:val="single" w:color="auto" w:sz="6" w:space="0"/>
              <w:left w:val="single" w:color="auto" w:sz="6" w:space="0"/>
              <w:bottom w:val="single" w:color="auto" w:sz="6" w:space="0"/>
              <w:right w:val="single" w:color="auto" w:sz="4" w:space="0"/>
            </w:tcBorders>
            <w:noWrap w:val="0"/>
            <w:vAlign w:val="top"/>
          </w:tcPr>
          <w:p w14:paraId="2A3FADFE">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456" w:type="pct"/>
            <w:tcBorders>
              <w:top w:val="single" w:color="auto" w:sz="6" w:space="0"/>
              <w:left w:val="single" w:color="auto" w:sz="6" w:space="0"/>
              <w:bottom w:val="single" w:color="auto" w:sz="6" w:space="0"/>
              <w:right w:val="single" w:color="auto" w:sz="6" w:space="0"/>
            </w:tcBorders>
            <w:noWrap w:val="0"/>
            <w:vAlign w:val="top"/>
          </w:tcPr>
          <w:p w14:paraId="27156E64">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459" w:type="pct"/>
            <w:tcBorders>
              <w:top w:val="single" w:color="auto" w:sz="6" w:space="0"/>
              <w:left w:val="single" w:color="auto" w:sz="6" w:space="0"/>
              <w:bottom w:val="single" w:color="auto" w:sz="6" w:space="0"/>
              <w:right w:val="single" w:color="auto" w:sz="6" w:space="0"/>
            </w:tcBorders>
            <w:noWrap w:val="0"/>
            <w:vAlign w:val="top"/>
          </w:tcPr>
          <w:p w14:paraId="4380A3A1">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458" w:type="pct"/>
            <w:tcBorders>
              <w:top w:val="single" w:color="auto" w:sz="6" w:space="0"/>
              <w:left w:val="single" w:color="auto" w:sz="6" w:space="0"/>
              <w:bottom w:val="single" w:color="auto" w:sz="6" w:space="0"/>
              <w:right w:val="double" w:color="auto" w:sz="4" w:space="0"/>
            </w:tcBorders>
            <w:noWrap w:val="0"/>
            <w:vAlign w:val="top"/>
          </w:tcPr>
          <w:p w14:paraId="468E7F4D">
            <w:pPr>
              <w:autoSpaceDE w:val="0"/>
              <w:autoSpaceDN w:val="0"/>
              <w:adjustRightInd w:val="0"/>
              <w:snapToGrid w:val="0"/>
              <w:spacing w:line="360" w:lineRule="auto"/>
              <w:jc w:val="left"/>
              <w:rPr>
                <w:rFonts w:hint="eastAsia" w:ascii="宋体" w:hAnsi="宋体" w:eastAsia="宋体" w:cs="宋体"/>
                <w:color w:val="auto"/>
                <w:kern w:val="0"/>
                <w:sz w:val="24"/>
                <w:szCs w:val="24"/>
              </w:rPr>
            </w:pPr>
          </w:p>
        </w:tc>
      </w:tr>
      <w:tr w14:paraId="6246CEA6">
        <w:tblPrEx>
          <w:tblCellMar>
            <w:top w:w="0" w:type="dxa"/>
            <w:left w:w="0" w:type="dxa"/>
            <w:bottom w:w="0" w:type="dxa"/>
            <w:right w:w="0" w:type="dxa"/>
          </w:tblCellMar>
        </w:tblPrEx>
        <w:trPr>
          <w:trHeight w:val="415" w:hRule="exact"/>
        </w:trPr>
        <w:tc>
          <w:tcPr>
            <w:tcW w:w="166" w:type="pct"/>
            <w:tcBorders>
              <w:top w:val="single" w:color="auto" w:sz="6" w:space="0"/>
              <w:left w:val="double" w:color="auto" w:sz="4" w:space="0"/>
              <w:bottom w:val="single" w:color="auto" w:sz="6" w:space="0"/>
              <w:right w:val="single" w:color="auto" w:sz="6" w:space="0"/>
            </w:tcBorders>
            <w:noWrap w:val="0"/>
            <w:vAlign w:val="center"/>
          </w:tcPr>
          <w:p w14:paraId="3ED9DEC8">
            <w:pPr>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548" w:type="pct"/>
            <w:tcBorders>
              <w:top w:val="single" w:color="auto" w:sz="6" w:space="0"/>
              <w:left w:val="single" w:color="auto" w:sz="6" w:space="0"/>
              <w:bottom w:val="single" w:color="auto" w:sz="6" w:space="0"/>
              <w:right w:val="single" w:color="auto" w:sz="6" w:space="0"/>
            </w:tcBorders>
            <w:noWrap w:val="0"/>
            <w:vAlign w:val="center"/>
          </w:tcPr>
          <w:p w14:paraId="2010129F">
            <w:pPr>
              <w:autoSpaceDE w:val="0"/>
              <w:autoSpaceDN w:val="0"/>
              <w:adjustRightInd w:val="0"/>
              <w:snapToGrid w:val="0"/>
              <w:spacing w:line="360" w:lineRule="auto"/>
              <w:jc w:val="center"/>
              <w:rPr>
                <w:rFonts w:hint="eastAsia" w:ascii="宋体" w:hAnsi="宋体" w:eastAsia="宋体" w:cs="宋体"/>
                <w:color w:val="auto"/>
                <w:kern w:val="0"/>
                <w:sz w:val="24"/>
                <w:szCs w:val="24"/>
              </w:rPr>
            </w:pPr>
          </w:p>
        </w:tc>
        <w:tc>
          <w:tcPr>
            <w:tcW w:w="1211" w:type="pct"/>
            <w:tcBorders>
              <w:top w:val="single" w:color="auto" w:sz="6" w:space="0"/>
              <w:left w:val="single" w:color="auto" w:sz="6" w:space="0"/>
              <w:bottom w:val="single" w:color="auto" w:sz="6" w:space="0"/>
              <w:right w:val="single" w:color="auto" w:sz="4" w:space="0"/>
            </w:tcBorders>
            <w:noWrap w:val="0"/>
            <w:vAlign w:val="top"/>
          </w:tcPr>
          <w:p w14:paraId="57A63B10">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600" w:type="pct"/>
            <w:tcBorders>
              <w:top w:val="single" w:color="auto" w:sz="6" w:space="0"/>
              <w:left w:val="single" w:color="auto" w:sz="4" w:space="0"/>
              <w:bottom w:val="single" w:color="auto" w:sz="6" w:space="0"/>
              <w:right w:val="single" w:color="auto" w:sz="6" w:space="0"/>
            </w:tcBorders>
            <w:noWrap w:val="0"/>
            <w:vAlign w:val="top"/>
          </w:tcPr>
          <w:p w14:paraId="66FC07C3">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547" w:type="pct"/>
            <w:tcBorders>
              <w:top w:val="single" w:color="auto" w:sz="6" w:space="0"/>
              <w:left w:val="single" w:color="auto" w:sz="6" w:space="0"/>
              <w:bottom w:val="single" w:color="auto" w:sz="6" w:space="0"/>
              <w:right w:val="single" w:color="auto" w:sz="4" w:space="0"/>
            </w:tcBorders>
            <w:noWrap w:val="0"/>
            <w:vAlign w:val="top"/>
          </w:tcPr>
          <w:p w14:paraId="160AB534">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550" w:type="pct"/>
            <w:tcBorders>
              <w:top w:val="single" w:color="auto" w:sz="6" w:space="0"/>
              <w:left w:val="single" w:color="auto" w:sz="6" w:space="0"/>
              <w:bottom w:val="single" w:color="auto" w:sz="6" w:space="0"/>
              <w:right w:val="single" w:color="auto" w:sz="4" w:space="0"/>
            </w:tcBorders>
            <w:noWrap w:val="0"/>
            <w:vAlign w:val="top"/>
          </w:tcPr>
          <w:p w14:paraId="48B7087C">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456" w:type="pct"/>
            <w:tcBorders>
              <w:top w:val="single" w:color="auto" w:sz="6" w:space="0"/>
              <w:left w:val="single" w:color="auto" w:sz="6" w:space="0"/>
              <w:bottom w:val="single" w:color="auto" w:sz="6" w:space="0"/>
              <w:right w:val="single" w:color="auto" w:sz="6" w:space="0"/>
            </w:tcBorders>
            <w:noWrap w:val="0"/>
            <w:vAlign w:val="top"/>
          </w:tcPr>
          <w:p w14:paraId="2A76D939">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459" w:type="pct"/>
            <w:tcBorders>
              <w:top w:val="single" w:color="auto" w:sz="6" w:space="0"/>
              <w:left w:val="single" w:color="auto" w:sz="6" w:space="0"/>
              <w:bottom w:val="single" w:color="auto" w:sz="6" w:space="0"/>
              <w:right w:val="single" w:color="auto" w:sz="6" w:space="0"/>
            </w:tcBorders>
            <w:noWrap w:val="0"/>
            <w:vAlign w:val="top"/>
          </w:tcPr>
          <w:p w14:paraId="2D94B4D4">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458" w:type="pct"/>
            <w:tcBorders>
              <w:top w:val="single" w:color="auto" w:sz="6" w:space="0"/>
              <w:left w:val="single" w:color="auto" w:sz="6" w:space="0"/>
              <w:bottom w:val="single" w:color="auto" w:sz="6" w:space="0"/>
              <w:right w:val="double" w:color="auto" w:sz="4" w:space="0"/>
            </w:tcBorders>
            <w:noWrap w:val="0"/>
            <w:vAlign w:val="top"/>
          </w:tcPr>
          <w:p w14:paraId="47D70145">
            <w:pPr>
              <w:autoSpaceDE w:val="0"/>
              <w:autoSpaceDN w:val="0"/>
              <w:adjustRightInd w:val="0"/>
              <w:snapToGrid w:val="0"/>
              <w:spacing w:line="360" w:lineRule="auto"/>
              <w:jc w:val="left"/>
              <w:rPr>
                <w:rFonts w:hint="eastAsia" w:ascii="宋体" w:hAnsi="宋体" w:eastAsia="宋体" w:cs="宋体"/>
                <w:color w:val="auto"/>
                <w:kern w:val="0"/>
                <w:sz w:val="24"/>
                <w:szCs w:val="24"/>
              </w:rPr>
            </w:pPr>
          </w:p>
        </w:tc>
      </w:tr>
      <w:tr w14:paraId="7EA7C6BB">
        <w:tblPrEx>
          <w:tblCellMar>
            <w:top w:w="0" w:type="dxa"/>
            <w:left w:w="0" w:type="dxa"/>
            <w:bottom w:w="0" w:type="dxa"/>
            <w:right w:w="0" w:type="dxa"/>
          </w:tblCellMar>
        </w:tblPrEx>
        <w:trPr>
          <w:trHeight w:val="415" w:hRule="exact"/>
        </w:trPr>
        <w:tc>
          <w:tcPr>
            <w:tcW w:w="166" w:type="pct"/>
            <w:tcBorders>
              <w:top w:val="single" w:color="auto" w:sz="6" w:space="0"/>
              <w:left w:val="double" w:color="auto" w:sz="4" w:space="0"/>
              <w:bottom w:val="single" w:color="auto" w:sz="6" w:space="0"/>
              <w:right w:val="single" w:color="auto" w:sz="6" w:space="0"/>
            </w:tcBorders>
            <w:noWrap w:val="0"/>
            <w:vAlign w:val="center"/>
          </w:tcPr>
          <w:p w14:paraId="35DCCBE1">
            <w:pPr>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548" w:type="pct"/>
            <w:tcBorders>
              <w:top w:val="single" w:color="auto" w:sz="6" w:space="0"/>
              <w:left w:val="single" w:color="auto" w:sz="6" w:space="0"/>
              <w:bottom w:val="single" w:color="auto" w:sz="6" w:space="0"/>
              <w:right w:val="single" w:color="auto" w:sz="6" w:space="0"/>
            </w:tcBorders>
            <w:noWrap w:val="0"/>
            <w:vAlign w:val="center"/>
          </w:tcPr>
          <w:p w14:paraId="008318BD">
            <w:pPr>
              <w:autoSpaceDE w:val="0"/>
              <w:autoSpaceDN w:val="0"/>
              <w:adjustRightInd w:val="0"/>
              <w:snapToGrid w:val="0"/>
              <w:spacing w:line="360" w:lineRule="auto"/>
              <w:jc w:val="center"/>
              <w:rPr>
                <w:rFonts w:hint="eastAsia" w:ascii="宋体" w:hAnsi="宋体" w:eastAsia="宋体" w:cs="宋体"/>
                <w:color w:val="auto"/>
                <w:kern w:val="0"/>
                <w:sz w:val="24"/>
                <w:szCs w:val="24"/>
              </w:rPr>
            </w:pPr>
          </w:p>
        </w:tc>
        <w:tc>
          <w:tcPr>
            <w:tcW w:w="1211" w:type="pct"/>
            <w:tcBorders>
              <w:top w:val="single" w:color="auto" w:sz="6" w:space="0"/>
              <w:left w:val="single" w:color="auto" w:sz="6" w:space="0"/>
              <w:bottom w:val="single" w:color="auto" w:sz="6" w:space="0"/>
              <w:right w:val="single" w:color="auto" w:sz="4" w:space="0"/>
            </w:tcBorders>
            <w:noWrap w:val="0"/>
            <w:vAlign w:val="top"/>
          </w:tcPr>
          <w:p w14:paraId="15F406D0">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600" w:type="pct"/>
            <w:tcBorders>
              <w:top w:val="single" w:color="auto" w:sz="6" w:space="0"/>
              <w:left w:val="single" w:color="auto" w:sz="4" w:space="0"/>
              <w:bottom w:val="single" w:color="auto" w:sz="6" w:space="0"/>
              <w:right w:val="single" w:color="auto" w:sz="6" w:space="0"/>
            </w:tcBorders>
            <w:noWrap w:val="0"/>
            <w:vAlign w:val="top"/>
          </w:tcPr>
          <w:p w14:paraId="4C0FEC04">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547" w:type="pct"/>
            <w:tcBorders>
              <w:top w:val="single" w:color="auto" w:sz="6" w:space="0"/>
              <w:left w:val="single" w:color="auto" w:sz="6" w:space="0"/>
              <w:bottom w:val="single" w:color="auto" w:sz="6" w:space="0"/>
              <w:right w:val="single" w:color="auto" w:sz="4" w:space="0"/>
            </w:tcBorders>
            <w:noWrap w:val="0"/>
            <w:vAlign w:val="top"/>
          </w:tcPr>
          <w:p w14:paraId="2FBE5708">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550" w:type="pct"/>
            <w:tcBorders>
              <w:top w:val="single" w:color="auto" w:sz="6" w:space="0"/>
              <w:left w:val="single" w:color="auto" w:sz="6" w:space="0"/>
              <w:bottom w:val="single" w:color="auto" w:sz="6" w:space="0"/>
              <w:right w:val="single" w:color="auto" w:sz="4" w:space="0"/>
            </w:tcBorders>
            <w:noWrap w:val="0"/>
            <w:vAlign w:val="top"/>
          </w:tcPr>
          <w:p w14:paraId="35B37CAE">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456" w:type="pct"/>
            <w:tcBorders>
              <w:top w:val="single" w:color="auto" w:sz="6" w:space="0"/>
              <w:left w:val="single" w:color="auto" w:sz="6" w:space="0"/>
              <w:bottom w:val="single" w:color="auto" w:sz="6" w:space="0"/>
              <w:right w:val="single" w:color="auto" w:sz="6" w:space="0"/>
            </w:tcBorders>
            <w:noWrap w:val="0"/>
            <w:vAlign w:val="top"/>
          </w:tcPr>
          <w:p w14:paraId="3F972332">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459" w:type="pct"/>
            <w:tcBorders>
              <w:top w:val="single" w:color="auto" w:sz="6" w:space="0"/>
              <w:left w:val="single" w:color="auto" w:sz="6" w:space="0"/>
              <w:bottom w:val="single" w:color="auto" w:sz="6" w:space="0"/>
              <w:right w:val="single" w:color="auto" w:sz="6" w:space="0"/>
            </w:tcBorders>
            <w:noWrap w:val="0"/>
            <w:vAlign w:val="top"/>
          </w:tcPr>
          <w:p w14:paraId="0AC21505">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458" w:type="pct"/>
            <w:tcBorders>
              <w:top w:val="single" w:color="auto" w:sz="6" w:space="0"/>
              <w:left w:val="single" w:color="auto" w:sz="6" w:space="0"/>
              <w:bottom w:val="single" w:color="auto" w:sz="6" w:space="0"/>
              <w:right w:val="double" w:color="auto" w:sz="4" w:space="0"/>
            </w:tcBorders>
            <w:noWrap w:val="0"/>
            <w:vAlign w:val="top"/>
          </w:tcPr>
          <w:p w14:paraId="5B82190B">
            <w:pPr>
              <w:autoSpaceDE w:val="0"/>
              <w:autoSpaceDN w:val="0"/>
              <w:adjustRightInd w:val="0"/>
              <w:snapToGrid w:val="0"/>
              <w:spacing w:line="360" w:lineRule="auto"/>
              <w:jc w:val="left"/>
              <w:rPr>
                <w:rFonts w:hint="eastAsia" w:ascii="宋体" w:hAnsi="宋体" w:eastAsia="宋体" w:cs="宋体"/>
                <w:color w:val="auto"/>
                <w:kern w:val="0"/>
                <w:sz w:val="24"/>
                <w:szCs w:val="24"/>
              </w:rPr>
            </w:pPr>
          </w:p>
        </w:tc>
      </w:tr>
      <w:tr w14:paraId="0C96E090">
        <w:tblPrEx>
          <w:tblCellMar>
            <w:top w:w="0" w:type="dxa"/>
            <w:left w:w="0" w:type="dxa"/>
            <w:bottom w:w="0" w:type="dxa"/>
            <w:right w:w="0" w:type="dxa"/>
          </w:tblCellMar>
        </w:tblPrEx>
        <w:trPr>
          <w:trHeight w:val="415" w:hRule="exact"/>
        </w:trPr>
        <w:tc>
          <w:tcPr>
            <w:tcW w:w="166" w:type="pct"/>
            <w:tcBorders>
              <w:top w:val="single" w:color="auto" w:sz="6" w:space="0"/>
              <w:left w:val="double" w:color="auto" w:sz="4" w:space="0"/>
              <w:bottom w:val="single" w:color="auto" w:sz="6" w:space="0"/>
              <w:right w:val="single" w:color="auto" w:sz="6" w:space="0"/>
            </w:tcBorders>
            <w:noWrap w:val="0"/>
            <w:vAlign w:val="center"/>
          </w:tcPr>
          <w:p w14:paraId="3F82BB6F">
            <w:pPr>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548" w:type="pct"/>
            <w:tcBorders>
              <w:top w:val="single" w:color="auto" w:sz="6" w:space="0"/>
              <w:left w:val="single" w:color="auto" w:sz="6" w:space="0"/>
              <w:bottom w:val="single" w:color="auto" w:sz="6" w:space="0"/>
              <w:right w:val="single" w:color="auto" w:sz="6" w:space="0"/>
            </w:tcBorders>
            <w:noWrap w:val="0"/>
            <w:vAlign w:val="center"/>
          </w:tcPr>
          <w:p w14:paraId="2BFF65DC">
            <w:pPr>
              <w:autoSpaceDE w:val="0"/>
              <w:autoSpaceDN w:val="0"/>
              <w:adjustRightInd w:val="0"/>
              <w:snapToGrid w:val="0"/>
              <w:spacing w:line="360" w:lineRule="auto"/>
              <w:jc w:val="center"/>
              <w:rPr>
                <w:rFonts w:hint="eastAsia" w:ascii="宋体" w:hAnsi="宋体" w:eastAsia="宋体" w:cs="宋体"/>
                <w:color w:val="auto"/>
                <w:kern w:val="0"/>
                <w:sz w:val="24"/>
                <w:szCs w:val="24"/>
              </w:rPr>
            </w:pPr>
          </w:p>
        </w:tc>
        <w:tc>
          <w:tcPr>
            <w:tcW w:w="1211" w:type="pct"/>
            <w:tcBorders>
              <w:top w:val="single" w:color="auto" w:sz="6" w:space="0"/>
              <w:left w:val="single" w:color="auto" w:sz="6" w:space="0"/>
              <w:bottom w:val="single" w:color="auto" w:sz="6" w:space="0"/>
              <w:right w:val="single" w:color="auto" w:sz="4" w:space="0"/>
            </w:tcBorders>
            <w:noWrap w:val="0"/>
            <w:vAlign w:val="top"/>
          </w:tcPr>
          <w:p w14:paraId="73899983">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600" w:type="pct"/>
            <w:tcBorders>
              <w:top w:val="single" w:color="auto" w:sz="6" w:space="0"/>
              <w:left w:val="single" w:color="auto" w:sz="4" w:space="0"/>
              <w:bottom w:val="single" w:color="auto" w:sz="6" w:space="0"/>
              <w:right w:val="single" w:color="auto" w:sz="6" w:space="0"/>
            </w:tcBorders>
            <w:noWrap w:val="0"/>
            <w:vAlign w:val="top"/>
          </w:tcPr>
          <w:p w14:paraId="3FC58745">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547" w:type="pct"/>
            <w:tcBorders>
              <w:top w:val="single" w:color="auto" w:sz="6" w:space="0"/>
              <w:left w:val="single" w:color="auto" w:sz="6" w:space="0"/>
              <w:bottom w:val="single" w:color="auto" w:sz="6" w:space="0"/>
              <w:right w:val="single" w:color="auto" w:sz="4" w:space="0"/>
            </w:tcBorders>
            <w:noWrap w:val="0"/>
            <w:vAlign w:val="top"/>
          </w:tcPr>
          <w:p w14:paraId="52F08B74">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550" w:type="pct"/>
            <w:tcBorders>
              <w:top w:val="single" w:color="auto" w:sz="6" w:space="0"/>
              <w:left w:val="single" w:color="auto" w:sz="6" w:space="0"/>
              <w:bottom w:val="single" w:color="auto" w:sz="6" w:space="0"/>
              <w:right w:val="single" w:color="auto" w:sz="4" w:space="0"/>
            </w:tcBorders>
            <w:noWrap w:val="0"/>
            <w:vAlign w:val="top"/>
          </w:tcPr>
          <w:p w14:paraId="50D67E8B">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456" w:type="pct"/>
            <w:tcBorders>
              <w:top w:val="single" w:color="auto" w:sz="6" w:space="0"/>
              <w:left w:val="single" w:color="auto" w:sz="4" w:space="0"/>
              <w:bottom w:val="single" w:color="auto" w:sz="6" w:space="0"/>
              <w:right w:val="single" w:color="auto" w:sz="6" w:space="0"/>
            </w:tcBorders>
            <w:noWrap w:val="0"/>
            <w:vAlign w:val="top"/>
          </w:tcPr>
          <w:p w14:paraId="3EC2EB3A">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459" w:type="pct"/>
            <w:tcBorders>
              <w:top w:val="single" w:color="auto" w:sz="6" w:space="0"/>
              <w:left w:val="single" w:color="auto" w:sz="6" w:space="0"/>
              <w:bottom w:val="single" w:color="auto" w:sz="6" w:space="0"/>
              <w:right w:val="single" w:color="auto" w:sz="6" w:space="0"/>
            </w:tcBorders>
            <w:noWrap w:val="0"/>
            <w:vAlign w:val="top"/>
          </w:tcPr>
          <w:p w14:paraId="28B2DCB8">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458" w:type="pct"/>
            <w:tcBorders>
              <w:top w:val="single" w:color="auto" w:sz="6" w:space="0"/>
              <w:left w:val="single" w:color="auto" w:sz="6" w:space="0"/>
              <w:bottom w:val="single" w:color="auto" w:sz="6" w:space="0"/>
              <w:right w:val="double" w:color="auto" w:sz="4" w:space="0"/>
            </w:tcBorders>
            <w:noWrap w:val="0"/>
            <w:vAlign w:val="top"/>
          </w:tcPr>
          <w:p w14:paraId="5A4B0F85">
            <w:pPr>
              <w:autoSpaceDE w:val="0"/>
              <w:autoSpaceDN w:val="0"/>
              <w:adjustRightInd w:val="0"/>
              <w:snapToGrid w:val="0"/>
              <w:spacing w:line="360" w:lineRule="auto"/>
              <w:jc w:val="left"/>
              <w:rPr>
                <w:rFonts w:hint="eastAsia" w:ascii="宋体" w:hAnsi="宋体" w:eastAsia="宋体" w:cs="宋体"/>
                <w:color w:val="auto"/>
                <w:kern w:val="0"/>
                <w:sz w:val="24"/>
                <w:szCs w:val="24"/>
              </w:rPr>
            </w:pPr>
          </w:p>
        </w:tc>
      </w:tr>
      <w:tr w14:paraId="242295E5">
        <w:tblPrEx>
          <w:tblCellMar>
            <w:top w:w="0" w:type="dxa"/>
            <w:left w:w="0" w:type="dxa"/>
            <w:bottom w:w="0" w:type="dxa"/>
            <w:right w:w="0" w:type="dxa"/>
          </w:tblCellMar>
        </w:tblPrEx>
        <w:trPr>
          <w:trHeight w:val="415" w:hRule="exact"/>
        </w:trPr>
        <w:tc>
          <w:tcPr>
            <w:tcW w:w="166" w:type="pct"/>
            <w:tcBorders>
              <w:top w:val="single" w:color="auto" w:sz="6" w:space="0"/>
              <w:left w:val="double" w:color="auto" w:sz="4" w:space="0"/>
              <w:bottom w:val="single" w:color="auto" w:sz="6" w:space="0"/>
              <w:right w:val="single" w:color="auto" w:sz="6" w:space="0"/>
            </w:tcBorders>
            <w:noWrap w:val="0"/>
            <w:vAlign w:val="center"/>
          </w:tcPr>
          <w:p w14:paraId="64AE88D2">
            <w:pPr>
              <w:jc w:val="center"/>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548" w:type="pct"/>
            <w:tcBorders>
              <w:top w:val="single" w:color="auto" w:sz="6" w:space="0"/>
              <w:left w:val="single" w:color="auto" w:sz="6" w:space="0"/>
              <w:bottom w:val="single" w:color="auto" w:sz="6" w:space="0"/>
              <w:right w:val="single" w:color="auto" w:sz="6" w:space="0"/>
            </w:tcBorders>
            <w:noWrap w:val="0"/>
            <w:vAlign w:val="center"/>
          </w:tcPr>
          <w:p w14:paraId="0A35DCC4">
            <w:pPr>
              <w:autoSpaceDE w:val="0"/>
              <w:autoSpaceDN w:val="0"/>
              <w:adjustRightInd w:val="0"/>
              <w:snapToGrid w:val="0"/>
              <w:spacing w:line="360" w:lineRule="auto"/>
              <w:jc w:val="center"/>
              <w:rPr>
                <w:rFonts w:hint="eastAsia" w:ascii="宋体" w:hAnsi="宋体" w:eastAsia="宋体" w:cs="宋体"/>
                <w:color w:val="auto"/>
                <w:kern w:val="0"/>
                <w:sz w:val="24"/>
                <w:szCs w:val="24"/>
              </w:rPr>
            </w:pPr>
          </w:p>
        </w:tc>
        <w:tc>
          <w:tcPr>
            <w:tcW w:w="1211" w:type="pct"/>
            <w:tcBorders>
              <w:top w:val="single" w:color="auto" w:sz="6" w:space="0"/>
              <w:left w:val="single" w:color="auto" w:sz="6" w:space="0"/>
              <w:bottom w:val="single" w:color="auto" w:sz="6" w:space="0"/>
              <w:right w:val="single" w:color="auto" w:sz="4" w:space="0"/>
            </w:tcBorders>
            <w:noWrap w:val="0"/>
            <w:vAlign w:val="top"/>
          </w:tcPr>
          <w:p w14:paraId="76A51DAC">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600" w:type="pct"/>
            <w:tcBorders>
              <w:top w:val="single" w:color="auto" w:sz="6" w:space="0"/>
              <w:left w:val="single" w:color="auto" w:sz="4" w:space="0"/>
              <w:bottom w:val="single" w:color="auto" w:sz="6" w:space="0"/>
              <w:right w:val="single" w:color="auto" w:sz="6" w:space="0"/>
            </w:tcBorders>
            <w:noWrap w:val="0"/>
            <w:vAlign w:val="top"/>
          </w:tcPr>
          <w:p w14:paraId="44CDAA32">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547" w:type="pct"/>
            <w:tcBorders>
              <w:top w:val="single" w:color="auto" w:sz="6" w:space="0"/>
              <w:left w:val="single" w:color="auto" w:sz="6" w:space="0"/>
              <w:bottom w:val="single" w:color="auto" w:sz="6" w:space="0"/>
              <w:right w:val="single" w:color="auto" w:sz="4" w:space="0"/>
            </w:tcBorders>
            <w:noWrap w:val="0"/>
            <w:vAlign w:val="top"/>
          </w:tcPr>
          <w:p w14:paraId="5A353814">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550" w:type="pct"/>
            <w:tcBorders>
              <w:top w:val="single" w:color="auto" w:sz="6" w:space="0"/>
              <w:left w:val="single" w:color="auto" w:sz="6" w:space="0"/>
              <w:bottom w:val="single" w:color="auto" w:sz="6" w:space="0"/>
              <w:right w:val="single" w:color="auto" w:sz="4" w:space="0"/>
            </w:tcBorders>
            <w:noWrap w:val="0"/>
            <w:vAlign w:val="top"/>
          </w:tcPr>
          <w:p w14:paraId="4ECAA92E">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456" w:type="pct"/>
            <w:tcBorders>
              <w:top w:val="single" w:color="auto" w:sz="6" w:space="0"/>
              <w:left w:val="single" w:color="auto" w:sz="4" w:space="0"/>
              <w:bottom w:val="single" w:color="auto" w:sz="6" w:space="0"/>
              <w:right w:val="single" w:color="auto" w:sz="6" w:space="0"/>
            </w:tcBorders>
            <w:noWrap w:val="0"/>
            <w:vAlign w:val="top"/>
          </w:tcPr>
          <w:p w14:paraId="154C12BB">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459" w:type="pct"/>
            <w:tcBorders>
              <w:top w:val="single" w:color="auto" w:sz="6" w:space="0"/>
              <w:left w:val="single" w:color="auto" w:sz="6" w:space="0"/>
              <w:bottom w:val="single" w:color="auto" w:sz="6" w:space="0"/>
              <w:right w:val="single" w:color="auto" w:sz="6" w:space="0"/>
            </w:tcBorders>
            <w:noWrap w:val="0"/>
            <w:vAlign w:val="top"/>
          </w:tcPr>
          <w:p w14:paraId="0D148618">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458" w:type="pct"/>
            <w:tcBorders>
              <w:top w:val="single" w:color="auto" w:sz="6" w:space="0"/>
              <w:left w:val="single" w:color="auto" w:sz="6" w:space="0"/>
              <w:bottom w:val="single" w:color="auto" w:sz="6" w:space="0"/>
              <w:right w:val="double" w:color="auto" w:sz="4" w:space="0"/>
            </w:tcBorders>
            <w:noWrap w:val="0"/>
            <w:vAlign w:val="top"/>
          </w:tcPr>
          <w:p w14:paraId="554AB6B6">
            <w:pPr>
              <w:autoSpaceDE w:val="0"/>
              <w:autoSpaceDN w:val="0"/>
              <w:adjustRightInd w:val="0"/>
              <w:snapToGrid w:val="0"/>
              <w:spacing w:line="360" w:lineRule="auto"/>
              <w:jc w:val="left"/>
              <w:rPr>
                <w:rFonts w:hint="eastAsia" w:ascii="宋体" w:hAnsi="宋体" w:eastAsia="宋体" w:cs="宋体"/>
                <w:color w:val="auto"/>
                <w:kern w:val="0"/>
                <w:sz w:val="24"/>
                <w:szCs w:val="24"/>
              </w:rPr>
            </w:pPr>
          </w:p>
        </w:tc>
      </w:tr>
      <w:tr w14:paraId="761D9C49">
        <w:tblPrEx>
          <w:tblCellMar>
            <w:top w:w="0" w:type="dxa"/>
            <w:left w:w="0" w:type="dxa"/>
            <w:bottom w:w="0" w:type="dxa"/>
            <w:right w:w="0" w:type="dxa"/>
          </w:tblCellMar>
        </w:tblPrEx>
        <w:trPr>
          <w:trHeight w:val="415" w:hRule="exact"/>
        </w:trPr>
        <w:tc>
          <w:tcPr>
            <w:tcW w:w="166" w:type="pct"/>
            <w:tcBorders>
              <w:top w:val="single" w:color="auto" w:sz="6" w:space="0"/>
              <w:left w:val="double" w:color="auto" w:sz="4" w:space="0"/>
              <w:bottom w:val="single" w:color="auto" w:sz="6" w:space="0"/>
              <w:right w:val="single" w:color="auto" w:sz="6" w:space="0"/>
            </w:tcBorders>
            <w:noWrap w:val="0"/>
            <w:vAlign w:val="center"/>
          </w:tcPr>
          <w:p w14:paraId="428E1B8B">
            <w:pPr>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548" w:type="pct"/>
            <w:tcBorders>
              <w:top w:val="single" w:color="auto" w:sz="6" w:space="0"/>
              <w:left w:val="single" w:color="auto" w:sz="6" w:space="0"/>
              <w:bottom w:val="single" w:color="auto" w:sz="6" w:space="0"/>
              <w:right w:val="single" w:color="auto" w:sz="6" w:space="0"/>
            </w:tcBorders>
            <w:noWrap w:val="0"/>
            <w:vAlign w:val="top"/>
          </w:tcPr>
          <w:p w14:paraId="4FF2E1B6">
            <w:pPr>
              <w:autoSpaceDE w:val="0"/>
              <w:autoSpaceDN w:val="0"/>
              <w:adjustRightInd w:val="0"/>
              <w:snapToGrid w:val="0"/>
              <w:spacing w:line="360" w:lineRule="auto"/>
              <w:ind w:left="527" w:right="507"/>
              <w:jc w:val="center"/>
              <w:rPr>
                <w:rFonts w:hint="eastAsia" w:ascii="宋体" w:hAnsi="宋体" w:eastAsia="宋体" w:cs="宋体"/>
                <w:color w:val="auto"/>
                <w:kern w:val="0"/>
                <w:sz w:val="24"/>
                <w:szCs w:val="24"/>
              </w:rPr>
            </w:pPr>
          </w:p>
        </w:tc>
        <w:tc>
          <w:tcPr>
            <w:tcW w:w="1211" w:type="pct"/>
            <w:tcBorders>
              <w:top w:val="single" w:color="auto" w:sz="6" w:space="0"/>
              <w:left w:val="single" w:color="auto" w:sz="6" w:space="0"/>
              <w:bottom w:val="single" w:color="auto" w:sz="6" w:space="0"/>
              <w:right w:val="single" w:color="auto" w:sz="4" w:space="0"/>
            </w:tcBorders>
            <w:noWrap w:val="0"/>
            <w:vAlign w:val="top"/>
          </w:tcPr>
          <w:p w14:paraId="596A36CD">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600" w:type="pct"/>
            <w:tcBorders>
              <w:top w:val="single" w:color="auto" w:sz="6" w:space="0"/>
              <w:left w:val="single" w:color="auto" w:sz="4" w:space="0"/>
              <w:bottom w:val="single" w:color="auto" w:sz="6" w:space="0"/>
              <w:right w:val="single" w:color="auto" w:sz="6" w:space="0"/>
            </w:tcBorders>
            <w:noWrap w:val="0"/>
            <w:vAlign w:val="top"/>
          </w:tcPr>
          <w:p w14:paraId="518B1AB3">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547" w:type="pct"/>
            <w:tcBorders>
              <w:top w:val="single" w:color="auto" w:sz="6" w:space="0"/>
              <w:left w:val="single" w:color="auto" w:sz="6" w:space="0"/>
              <w:bottom w:val="single" w:color="auto" w:sz="6" w:space="0"/>
              <w:right w:val="single" w:color="auto" w:sz="4" w:space="0"/>
            </w:tcBorders>
            <w:noWrap w:val="0"/>
            <w:vAlign w:val="top"/>
          </w:tcPr>
          <w:p w14:paraId="61E29783">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550" w:type="pct"/>
            <w:tcBorders>
              <w:top w:val="single" w:color="auto" w:sz="6" w:space="0"/>
              <w:left w:val="single" w:color="auto" w:sz="6" w:space="0"/>
              <w:bottom w:val="single" w:color="auto" w:sz="6" w:space="0"/>
              <w:right w:val="single" w:color="auto" w:sz="4" w:space="0"/>
            </w:tcBorders>
            <w:noWrap w:val="0"/>
            <w:vAlign w:val="top"/>
          </w:tcPr>
          <w:p w14:paraId="31AF3400">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456" w:type="pct"/>
            <w:tcBorders>
              <w:top w:val="single" w:color="auto" w:sz="6" w:space="0"/>
              <w:left w:val="single" w:color="auto" w:sz="4" w:space="0"/>
              <w:bottom w:val="single" w:color="auto" w:sz="6" w:space="0"/>
              <w:right w:val="single" w:color="auto" w:sz="6" w:space="0"/>
            </w:tcBorders>
            <w:noWrap w:val="0"/>
            <w:vAlign w:val="top"/>
          </w:tcPr>
          <w:p w14:paraId="3338444B">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459" w:type="pct"/>
            <w:tcBorders>
              <w:top w:val="single" w:color="auto" w:sz="6" w:space="0"/>
              <w:left w:val="single" w:color="auto" w:sz="6" w:space="0"/>
              <w:bottom w:val="single" w:color="auto" w:sz="6" w:space="0"/>
              <w:right w:val="single" w:color="auto" w:sz="6" w:space="0"/>
            </w:tcBorders>
            <w:noWrap w:val="0"/>
            <w:vAlign w:val="top"/>
          </w:tcPr>
          <w:p w14:paraId="1848E589">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458" w:type="pct"/>
            <w:tcBorders>
              <w:top w:val="single" w:color="auto" w:sz="6" w:space="0"/>
              <w:left w:val="single" w:color="auto" w:sz="6" w:space="0"/>
              <w:bottom w:val="single" w:color="auto" w:sz="6" w:space="0"/>
              <w:right w:val="double" w:color="auto" w:sz="4" w:space="0"/>
            </w:tcBorders>
            <w:noWrap w:val="0"/>
            <w:vAlign w:val="top"/>
          </w:tcPr>
          <w:p w14:paraId="790B7C30">
            <w:pPr>
              <w:autoSpaceDE w:val="0"/>
              <w:autoSpaceDN w:val="0"/>
              <w:adjustRightInd w:val="0"/>
              <w:snapToGrid w:val="0"/>
              <w:spacing w:line="360" w:lineRule="auto"/>
              <w:jc w:val="left"/>
              <w:rPr>
                <w:rFonts w:hint="eastAsia" w:ascii="宋体" w:hAnsi="宋体" w:eastAsia="宋体" w:cs="宋体"/>
                <w:color w:val="auto"/>
                <w:kern w:val="0"/>
                <w:sz w:val="24"/>
                <w:szCs w:val="24"/>
              </w:rPr>
            </w:pPr>
          </w:p>
        </w:tc>
      </w:tr>
      <w:tr w14:paraId="79AEC089">
        <w:tblPrEx>
          <w:tblCellMar>
            <w:top w:w="0" w:type="dxa"/>
            <w:left w:w="0" w:type="dxa"/>
            <w:bottom w:w="0" w:type="dxa"/>
            <w:right w:w="0" w:type="dxa"/>
          </w:tblCellMar>
        </w:tblPrEx>
        <w:trPr>
          <w:trHeight w:val="415" w:hRule="exact"/>
        </w:trPr>
        <w:tc>
          <w:tcPr>
            <w:tcW w:w="3625" w:type="pct"/>
            <w:gridSpan w:val="6"/>
            <w:tcBorders>
              <w:top w:val="single" w:color="auto" w:sz="6" w:space="0"/>
              <w:left w:val="double" w:color="auto" w:sz="4" w:space="0"/>
              <w:bottom w:val="double" w:color="auto" w:sz="4" w:space="0"/>
              <w:right w:val="single" w:color="auto" w:sz="6" w:space="0"/>
            </w:tcBorders>
            <w:noWrap w:val="0"/>
            <w:vAlign w:val="center"/>
          </w:tcPr>
          <w:p w14:paraId="7B197DF1">
            <w:pPr>
              <w:autoSpaceDE w:val="0"/>
              <w:autoSpaceDN w:val="0"/>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position w:val="-1"/>
                <w:sz w:val="24"/>
                <w:szCs w:val="24"/>
              </w:rPr>
              <w:t>投标报价（元）：</w:t>
            </w:r>
          </w:p>
        </w:tc>
        <w:tc>
          <w:tcPr>
            <w:tcW w:w="456" w:type="pct"/>
            <w:tcBorders>
              <w:top w:val="single" w:color="auto" w:sz="6" w:space="0"/>
              <w:left w:val="single" w:color="auto" w:sz="6" w:space="0"/>
              <w:bottom w:val="double" w:color="auto" w:sz="4" w:space="0"/>
              <w:right w:val="single" w:color="auto" w:sz="6" w:space="0"/>
            </w:tcBorders>
            <w:noWrap w:val="0"/>
            <w:vAlign w:val="top"/>
          </w:tcPr>
          <w:p w14:paraId="264B45D7">
            <w:pPr>
              <w:autoSpaceDE w:val="0"/>
              <w:autoSpaceDN w:val="0"/>
              <w:adjustRightInd w:val="0"/>
              <w:snapToGrid w:val="0"/>
              <w:spacing w:line="360" w:lineRule="auto"/>
              <w:jc w:val="center"/>
              <w:rPr>
                <w:rFonts w:hint="eastAsia" w:ascii="宋体" w:hAnsi="宋体" w:eastAsia="宋体" w:cs="宋体"/>
                <w:color w:val="auto"/>
                <w:kern w:val="0"/>
                <w:position w:val="-1"/>
                <w:sz w:val="24"/>
                <w:szCs w:val="24"/>
              </w:rPr>
            </w:pPr>
          </w:p>
        </w:tc>
        <w:tc>
          <w:tcPr>
            <w:tcW w:w="459" w:type="pct"/>
            <w:tcBorders>
              <w:top w:val="single" w:color="auto" w:sz="6" w:space="0"/>
              <w:left w:val="single" w:color="auto" w:sz="6" w:space="0"/>
              <w:bottom w:val="double" w:color="auto" w:sz="4" w:space="0"/>
              <w:right w:val="single" w:color="auto" w:sz="6" w:space="0"/>
            </w:tcBorders>
            <w:noWrap w:val="0"/>
            <w:vAlign w:val="top"/>
          </w:tcPr>
          <w:p w14:paraId="0DE30787">
            <w:pPr>
              <w:autoSpaceDE w:val="0"/>
              <w:autoSpaceDN w:val="0"/>
              <w:adjustRightInd w:val="0"/>
              <w:snapToGrid w:val="0"/>
              <w:spacing w:line="360" w:lineRule="auto"/>
              <w:jc w:val="left"/>
              <w:rPr>
                <w:rFonts w:hint="eastAsia" w:ascii="宋体" w:hAnsi="宋体" w:eastAsia="宋体" w:cs="宋体"/>
                <w:color w:val="auto"/>
                <w:kern w:val="0"/>
                <w:sz w:val="24"/>
                <w:szCs w:val="24"/>
              </w:rPr>
            </w:pPr>
          </w:p>
        </w:tc>
        <w:tc>
          <w:tcPr>
            <w:tcW w:w="458" w:type="pct"/>
            <w:tcBorders>
              <w:top w:val="single" w:color="auto" w:sz="6" w:space="0"/>
              <w:left w:val="single" w:color="auto" w:sz="6" w:space="0"/>
              <w:bottom w:val="double" w:color="auto" w:sz="4" w:space="0"/>
              <w:right w:val="double" w:color="auto" w:sz="4" w:space="0"/>
            </w:tcBorders>
            <w:noWrap w:val="0"/>
            <w:vAlign w:val="top"/>
          </w:tcPr>
          <w:p w14:paraId="46696E18">
            <w:pPr>
              <w:autoSpaceDE w:val="0"/>
              <w:autoSpaceDN w:val="0"/>
              <w:adjustRightInd w:val="0"/>
              <w:snapToGrid w:val="0"/>
              <w:spacing w:line="360" w:lineRule="auto"/>
              <w:jc w:val="left"/>
              <w:rPr>
                <w:rFonts w:hint="eastAsia" w:ascii="宋体" w:hAnsi="宋体" w:eastAsia="宋体" w:cs="宋体"/>
                <w:color w:val="auto"/>
                <w:kern w:val="0"/>
                <w:sz w:val="24"/>
                <w:szCs w:val="24"/>
              </w:rPr>
            </w:pPr>
          </w:p>
        </w:tc>
      </w:tr>
    </w:tbl>
    <w:p w14:paraId="3DF22CC2">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注：</w:t>
      </w:r>
      <w:r>
        <w:rPr>
          <w:rFonts w:hint="eastAsia" w:ascii="宋体" w:hAnsi="宋体" w:eastAsia="宋体" w:cs="宋体"/>
          <w:color w:val="auto"/>
          <w:sz w:val="24"/>
          <w:szCs w:val="24"/>
          <w:lang w:val="en-US" w:eastAsia="zh-CN"/>
        </w:rPr>
        <w:t>1.</w:t>
      </w:r>
      <w:r>
        <w:rPr>
          <w:rFonts w:hint="eastAsia" w:ascii="宋体" w:hAnsi="宋体" w:eastAsia="宋体" w:cs="宋体"/>
          <w:b/>
          <w:color w:val="auto"/>
          <w:sz w:val="24"/>
          <w:szCs w:val="24"/>
        </w:rPr>
        <w:t>本表应对应</w:t>
      </w:r>
      <w:r>
        <w:rPr>
          <w:rFonts w:hint="eastAsia" w:ascii="宋体" w:hAnsi="宋体" w:eastAsia="宋体" w:cs="宋体"/>
          <w:color w:val="auto"/>
          <w:sz w:val="24"/>
          <w:szCs w:val="24"/>
        </w:rPr>
        <w:t>“</w:t>
      </w:r>
      <w:r>
        <w:rPr>
          <w:rFonts w:hint="eastAsia" w:ascii="宋体" w:hAnsi="宋体" w:eastAsia="宋体" w:cs="宋体"/>
          <w:b/>
          <w:color w:val="auto"/>
          <w:sz w:val="24"/>
          <w:szCs w:val="24"/>
        </w:rPr>
        <w:t>开标一览表</w:t>
      </w:r>
      <w:r>
        <w:rPr>
          <w:rFonts w:hint="eastAsia" w:ascii="宋体" w:hAnsi="宋体" w:eastAsia="宋体" w:cs="宋体"/>
          <w:color w:val="auto"/>
          <w:sz w:val="24"/>
          <w:szCs w:val="24"/>
        </w:rPr>
        <w:t>”</w:t>
      </w:r>
      <w:r>
        <w:rPr>
          <w:rFonts w:hint="eastAsia" w:ascii="宋体" w:hAnsi="宋体" w:eastAsia="宋体" w:cs="宋体"/>
          <w:b/>
          <w:color w:val="auto"/>
          <w:sz w:val="24"/>
          <w:szCs w:val="24"/>
        </w:rPr>
        <w:t>，按包填写</w:t>
      </w:r>
      <w:r>
        <w:rPr>
          <w:rFonts w:hint="eastAsia" w:ascii="宋体" w:hAnsi="宋体" w:eastAsia="宋体" w:cs="宋体"/>
          <w:color w:val="auto"/>
          <w:sz w:val="24"/>
          <w:szCs w:val="24"/>
        </w:rPr>
        <w:t>。投标人如果不提供分项报价明细表，其</w:t>
      </w:r>
      <w:r>
        <w:rPr>
          <w:rFonts w:hint="eastAsia" w:ascii="宋体" w:hAnsi="宋体" w:eastAsia="宋体" w:cs="宋体"/>
          <w:b/>
          <w:color w:val="auto"/>
          <w:sz w:val="24"/>
          <w:szCs w:val="24"/>
        </w:rPr>
        <w:t>投标无效</w:t>
      </w:r>
      <w:r>
        <w:rPr>
          <w:rFonts w:hint="eastAsia" w:ascii="宋体" w:hAnsi="宋体" w:eastAsia="宋体" w:cs="宋体"/>
          <w:color w:val="auto"/>
          <w:sz w:val="24"/>
          <w:szCs w:val="24"/>
        </w:rPr>
        <w:t>。</w:t>
      </w:r>
    </w:p>
    <w:p w14:paraId="5920C195">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不得填写“免费”或“赠与”，也不得进行“零”报价，否则</w:t>
      </w:r>
      <w:r>
        <w:rPr>
          <w:rFonts w:hint="eastAsia" w:ascii="宋体" w:hAnsi="宋体" w:eastAsia="宋体" w:cs="宋体"/>
          <w:b/>
          <w:color w:val="auto"/>
          <w:sz w:val="24"/>
          <w:szCs w:val="24"/>
        </w:rPr>
        <w:t>投标无效</w:t>
      </w:r>
      <w:r>
        <w:rPr>
          <w:rFonts w:hint="eastAsia" w:ascii="宋体" w:hAnsi="宋体" w:eastAsia="宋体" w:cs="宋体"/>
          <w:color w:val="auto"/>
          <w:sz w:val="24"/>
          <w:szCs w:val="24"/>
        </w:rPr>
        <w:t>。</w:t>
      </w:r>
    </w:p>
    <w:p w14:paraId="203256ED">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如果开标一览表内容与本表内容不一致的，以开标一览表内容为准。</w:t>
      </w:r>
    </w:p>
    <w:p w14:paraId="4EEBED97">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bCs/>
          <w:color w:val="auto"/>
          <w:sz w:val="24"/>
          <w:szCs w:val="24"/>
        </w:rPr>
        <w:t>投标人在投标截止时间前修改“开标一览表”中的投标报价的，应按第二章第13.7款规定修改本表相应内容。否则，</w:t>
      </w:r>
      <w:r>
        <w:rPr>
          <w:rFonts w:hint="eastAsia" w:ascii="宋体" w:hAnsi="宋体" w:eastAsia="宋体" w:cs="宋体"/>
          <w:color w:val="auto"/>
          <w:sz w:val="24"/>
          <w:szCs w:val="24"/>
        </w:rPr>
        <w:t>本表相应内容按投标报价修改的相同比例进行调整。</w:t>
      </w:r>
    </w:p>
    <w:p w14:paraId="0DE3FC3E">
      <w:pPr>
        <w:adjustRightInd w:val="0"/>
        <w:snapToGrid w:val="0"/>
        <w:spacing w:line="360" w:lineRule="auto"/>
        <w:rPr>
          <w:rFonts w:hint="eastAsia" w:ascii="宋体" w:hAnsi="宋体" w:eastAsia="宋体" w:cs="宋体"/>
          <w:b/>
          <w:bCs/>
          <w:color w:val="auto"/>
          <w:sz w:val="24"/>
          <w:szCs w:val="24"/>
        </w:rPr>
      </w:pPr>
    </w:p>
    <w:p w14:paraId="21754E6C">
      <w:pPr>
        <w:adjustRightInd w:val="0"/>
        <w:snapToGrid w:val="0"/>
        <w:spacing w:line="360" w:lineRule="auto"/>
        <w:rPr>
          <w:rFonts w:hint="default"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rPr>
        <w:t>投标人名称（</w:t>
      </w:r>
      <w:r>
        <w:rPr>
          <w:rFonts w:hint="eastAsia" w:ascii="宋体" w:hAnsi="宋体" w:eastAsia="宋体" w:cs="宋体"/>
          <w:b/>
          <w:bCs/>
          <w:color w:val="auto"/>
          <w:sz w:val="24"/>
          <w:szCs w:val="24"/>
          <w:lang w:eastAsia="zh-CN"/>
        </w:rPr>
        <w:t>盖单位</w:t>
      </w:r>
      <w:r>
        <w:rPr>
          <w:rFonts w:hint="eastAsia" w:ascii="宋体" w:hAnsi="宋体" w:cs="宋体"/>
          <w:b/>
          <w:bCs/>
          <w:color w:val="auto"/>
          <w:sz w:val="24"/>
          <w:szCs w:val="24"/>
          <w:lang w:eastAsia="zh-CN"/>
        </w:rPr>
        <w:t>公</w:t>
      </w:r>
      <w:r>
        <w:rPr>
          <w:rFonts w:hint="eastAsia" w:ascii="宋体" w:hAnsi="宋体" w:eastAsia="宋体" w:cs="宋体"/>
          <w:b/>
          <w:bCs/>
          <w:color w:val="auto"/>
          <w:sz w:val="24"/>
          <w:szCs w:val="24"/>
          <w:lang w:eastAsia="zh-CN"/>
        </w:rPr>
        <w:t>章</w:t>
      </w:r>
      <w:r>
        <w:rPr>
          <w:rFonts w:hint="eastAsia" w:ascii="宋体" w:hAnsi="宋体" w:eastAsia="宋体" w:cs="宋体"/>
          <w:b/>
          <w:bCs/>
          <w:color w:val="auto"/>
          <w:sz w:val="24"/>
          <w:szCs w:val="24"/>
        </w:rPr>
        <w:t>）：</w:t>
      </w:r>
      <w:r>
        <w:rPr>
          <w:rFonts w:hint="eastAsia" w:ascii="宋体" w:hAnsi="宋体" w:cs="宋体"/>
          <w:b/>
          <w:bCs/>
          <w:color w:val="auto"/>
          <w:sz w:val="24"/>
          <w:szCs w:val="24"/>
          <w:u w:val="single"/>
          <w:lang w:val="en-US" w:eastAsia="zh-CN"/>
        </w:rPr>
        <w:t xml:space="preserve">                </w:t>
      </w:r>
    </w:p>
    <w:p w14:paraId="286735D0">
      <w:pPr>
        <w:adjustRightInd w:val="0"/>
        <w:snapToGrid w:val="0"/>
        <w:spacing w:line="360" w:lineRule="auto"/>
        <w:rPr>
          <w:rFonts w:hint="eastAsia" w:ascii="宋体" w:hAnsi="宋体" w:eastAsia="宋体" w:cs="宋体"/>
          <w:b/>
          <w:bCs/>
          <w:color w:val="auto"/>
          <w:sz w:val="24"/>
          <w:szCs w:val="24"/>
        </w:rPr>
      </w:pPr>
      <w:r>
        <w:rPr>
          <w:rFonts w:hint="eastAsia" w:ascii="宋体" w:hAnsi="宋体" w:eastAsia="宋体" w:cs="宋体"/>
          <w:b/>
          <w:bCs/>
          <w:color w:val="auto"/>
          <w:spacing w:val="-2"/>
          <w:kern w:val="0"/>
          <w:sz w:val="24"/>
          <w:szCs w:val="24"/>
        </w:rPr>
        <w:t>法</w:t>
      </w:r>
      <w:r>
        <w:rPr>
          <w:rFonts w:hint="eastAsia" w:ascii="宋体" w:hAnsi="宋体" w:eastAsia="宋体" w:cs="宋体"/>
          <w:b/>
          <w:bCs/>
          <w:color w:val="auto"/>
          <w:kern w:val="0"/>
          <w:sz w:val="24"/>
          <w:szCs w:val="24"/>
        </w:rPr>
        <w:t>定</w:t>
      </w:r>
      <w:r>
        <w:rPr>
          <w:rFonts w:hint="eastAsia" w:ascii="宋体" w:hAnsi="宋体" w:eastAsia="宋体" w:cs="宋体"/>
          <w:b/>
          <w:bCs/>
          <w:color w:val="auto"/>
          <w:spacing w:val="-2"/>
          <w:kern w:val="0"/>
          <w:sz w:val="24"/>
          <w:szCs w:val="24"/>
        </w:rPr>
        <w:t>代</w:t>
      </w:r>
      <w:r>
        <w:rPr>
          <w:rFonts w:hint="eastAsia" w:ascii="宋体" w:hAnsi="宋体" w:eastAsia="宋体" w:cs="宋体"/>
          <w:b/>
          <w:bCs/>
          <w:color w:val="auto"/>
          <w:kern w:val="0"/>
          <w:sz w:val="24"/>
          <w:szCs w:val="24"/>
        </w:rPr>
        <w:t>表</w:t>
      </w:r>
      <w:r>
        <w:rPr>
          <w:rFonts w:hint="eastAsia" w:ascii="宋体" w:hAnsi="宋体" w:eastAsia="宋体" w:cs="宋体"/>
          <w:b/>
          <w:bCs/>
          <w:color w:val="auto"/>
          <w:spacing w:val="-2"/>
          <w:kern w:val="0"/>
          <w:sz w:val="24"/>
          <w:szCs w:val="24"/>
        </w:rPr>
        <w:t>人</w:t>
      </w:r>
      <w:r>
        <w:rPr>
          <w:rFonts w:hint="eastAsia" w:ascii="宋体" w:hAnsi="宋体" w:eastAsia="宋体" w:cs="宋体"/>
          <w:b/>
          <w:bCs/>
          <w:color w:val="auto"/>
          <w:kern w:val="0"/>
          <w:sz w:val="24"/>
          <w:szCs w:val="24"/>
        </w:rPr>
        <w:t>（</w:t>
      </w:r>
      <w:r>
        <w:rPr>
          <w:rFonts w:hint="eastAsia" w:ascii="宋体" w:hAnsi="宋体" w:eastAsia="宋体" w:cs="宋体"/>
          <w:b/>
          <w:bCs/>
          <w:color w:val="auto"/>
          <w:spacing w:val="-2"/>
          <w:kern w:val="0"/>
          <w:sz w:val="24"/>
          <w:szCs w:val="24"/>
        </w:rPr>
        <w:t>单</w:t>
      </w:r>
      <w:r>
        <w:rPr>
          <w:rFonts w:hint="eastAsia" w:ascii="宋体" w:hAnsi="宋体" w:eastAsia="宋体" w:cs="宋体"/>
          <w:b/>
          <w:bCs/>
          <w:color w:val="auto"/>
          <w:kern w:val="0"/>
          <w:sz w:val="24"/>
          <w:szCs w:val="24"/>
        </w:rPr>
        <w:t>位</w:t>
      </w:r>
      <w:r>
        <w:rPr>
          <w:rFonts w:hint="eastAsia" w:ascii="宋体" w:hAnsi="宋体" w:eastAsia="宋体" w:cs="宋体"/>
          <w:b/>
          <w:bCs/>
          <w:color w:val="auto"/>
          <w:spacing w:val="-2"/>
          <w:kern w:val="0"/>
          <w:sz w:val="24"/>
          <w:szCs w:val="24"/>
        </w:rPr>
        <w:t>负</w:t>
      </w:r>
      <w:r>
        <w:rPr>
          <w:rFonts w:hint="eastAsia" w:ascii="宋体" w:hAnsi="宋体" w:eastAsia="宋体" w:cs="宋体"/>
          <w:b/>
          <w:bCs/>
          <w:color w:val="auto"/>
          <w:kern w:val="0"/>
          <w:sz w:val="24"/>
          <w:szCs w:val="24"/>
        </w:rPr>
        <w:t>责人</w:t>
      </w:r>
      <w:r>
        <w:rPr>
          <w:rFonts w:hint="eastAsia" w:ascii="宋体" w:hAnsi="宋体" w:eastAsia="宋体" w:cs="宋体"/>
          <w:b/>
          <w:bCs/>
          <w:color w:val="auto"/>
          <w:spacing w:val="-2"/>
          <w:kern w:val="0"/>
          <w:sz w:val="24"/>
          <w:szCs w:val="24"/>
        </w:rPr>
        <w:t>）</w:t>
      </w:r>
      <w:r>
        <w:rPr>
          <w:rFonts w:hint="eastAsia" w:ascii="宋体" w:hAnsi="宋体" w:eastAsia="宋体" w:cs="宋体"/>
          <w:b/>
          <w:bCs/>
          <w:color w:val="auto"/>
          <w:sz w:val="24"/>
          <w:szCs w:val="24"/>
        </w:rPr>
        <w:t>或其授权的代理人（签字或印章）：</w:t>
      </w:r>
      <w:r>
        <w:rPr>
          <w:rFonts w:hint="eastAsia" w:ascii="宋体" w:hAnsi="宋体" w:eastAsia="宋体" w:cs="宋体"/>
          <w:b/>
          <w:bCs/>
          <w:color w:val="auto"/>
          <w:sz w:val="24"/>
          <w:szCs w:val="24"/>
          <w:u w:val="single"/>
        </w:rPr>
        <w:t xml:space="preserve">    </w:t>
      </w:r>
      <w:r>
        <w:rPr>
          <w:rFonts w:hint="eastAsia" w:ascii="宋体" w:hAnsi="宋体" w:cs="宋体"/>
          <w:b/>
          <w:bCs/>
          <w:color w:val="auto"/>
          <w:sz w:val="24"/>
          <w:szCs w:val="24"/>
          <w:u w:val="single"/>
          <w:lang w:val="en-US" w:eastAsia="zh-CN"/>
        </w:rPr>
        <w:t xml:space="preserve">  </w:t>
      </w:r>
      <w:r>
        <w:rPr>
          <w:rFonts w:hint="eastAsia" w:ascii="宋体" w:hAnsi="宋体" w:eastAsia="宋体" w:cs="宋体"/>
          <w:b/>
          <w:bCs/>
          <w:color w:val="auto"/>
          <w:sz w:val="24"/>
          <w:szCs w:val="24"/>
          <w:u w:val="single"/>
        </w:rPr>
        <w:t xml:space="preserve">   </w:t>
      </w:r>
    </w:p>
    <w:p w14:paraId="729CA2E2">
      <w:pPr>
        <w:adjustRightInd w:val="0"/>
        <w:snapToGrid w:val="0"/>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日</w:t>
      </w:r>
      <w:r>
        <w:rPr>
          <w:rFonts w:hint="eastAsia" w:ascii="宋体" w:hAnsi="宋体" w:cs="宋体"/>
          <w:b/>
          <w:bCs/>
          <w:color w:val="auto"/>
          <w:sz w:val="24"/>
          <w:szCs w:val="24"/>
          <w:lang w:val="en-US" w:eastAsia="zh-CN"/>
        </w:rPr>
        <w:t xml:space="preserve"> </w:t>
      </w:r>
      <w:r>
        <w:rPr>
          <w:rFonts w:hint="eastAsia" w:ascii="宋体" w:hAnsi="宋体" w:eastAsia="宋体" w:cs="宋体"/>
          <w:b/>
          <w:bCs/>
          <w:color w:val="auto"/>
          <w:sz w:val="24"/>
          <w:szCs w:val="24"/>
        </w:rPr>
        <w:t>期：</w:t>
      </w:r>
      <w:r>
        <w:rPr>
          <w:rFonts w:hint="eastAsia" w:ascii="宋体" w:hAnsi="宋体" w:eastAsia="宋体" w:cs="宋体"/>
          <w:b/>
          <w:bCs/>
          <w:color w:val="auto"/>
          <w:sz w:val="24"/>
          <w:szCs w:val="24"/>
          <w:u w:val="single"/>
        </w:rPr>
        <w:t xml:space="preserve">      </w:t>
      </w:r>
      <w:r>
        <w:rPr>
          <w:rFonts w:hint="eastAsia" w:ascii="宋体" w:hAnsi="宋体" w:eastAsia="宋体" w:cs="宋体"/>
          <w:b/>
          <w:bCs/>
          <w:color w:val="auto"/>
          <w:sz w:val="24"/>
          <w:szCs w:val="24"/>
        </w:rPr>
        <w:t>年</w:t>
      </w:r>
      <w:r>
        <w:rPr>
          <w:rFonts w:hint="eastAsia" w:ascii="宋体" w:hAnsi="宋体" w:eastAsia="宋体" w:cs="宋体"/>
          <w:b/>
          <w:bCs/>
          <w:color w:val="auto"/>
          <w:sz w:val="24"/>
          <w:szCs w:val="24"/>
          <w:u w:val="single"/>
        </w:rPr>
        <w:t xml:space="preserve">    </w:t>
      </w:r>
      <w:r>
        <w:rPr>
          <w:rFonts w:hint="eastAsia" w:ascii="宋体" w:hAnsi="宋体" w:eastAsia="宋体" w:cs="宋体"/>
          <w:b/>
          <w:bCs/>
          <w:color w:val="auto"/>
          <w:sz w:val="24"/>
          <w:szCs w:val="24"/>
        </w:rPr>
        <w:t>月</w:t>
      </w:r>
      <w:r>
        <w:rPr>
          <w:rFonts w:hint="eastAsia" w:ascii="宋体" w:hAnsi="宋体" w:eastAsia="宋体" w:cs="宋体"/>
          <w:b/>
          <w:bCs/>
          <w:color w:val="auto"/>
          <w:sz w:val="24"/>
          <w:szCs w:val="24"/>
          <w:u w:val="single"/>
        </w:rPr>
        <w:t xml:space="preserve">   </w:t>
      </w:r>
      <w:r>
        <w:rPr>
          <w:rFonts w:hint="eastAsia" w:ascii="宋体" w:hAnsi="宋体" w:eastAsia="宋体" w:cs="宋体"/>
          <w:b/>
          <w:bCs/>
          <w:color w:val="auto"/>
          <w:sz w:val="24"/>
          <w:szCs w:val="24"/>
        </w:rPr>
        <w:t>日</w:t>
      </w:r>
    </w:p>
    <w:p w14:paraId="53D2BAB8">
      <w:pPr>
        <w:keepNext w:val="0"/>
        <w:keepLines w:val="0"/>
        <w:pageBreakBefore w:val="0"/>
        <w:widowControl w:val="0"/>
        <w:kinsoku/>
        <w:wordWrap/>
        <w:overflowPunct/>
        <w:topLinePunct w:val="0"/>
        <w:bidi w:val="0"/>
        <w:adjustRightInd w:val="0"/>
        <w:snapToGrid w:val="0"/>
        <w:spacing w:line="360" w:lineRule="auto"/>
        <w:jc w:val="left"/>
        <w:textAlignment w:val="auto"/>
        <w:rPr>
          <w:rFonts w:hint="eastAsia" w:ascii="宋体" w:hAnsi="宋体" w:eastAsia="宋体" w:cs="宋体"/>
          <w:b/>
          <w:bCs/>
          <w:color w:val="auto"/>
          <w:kern w:val="2"/>
          <w:sz w:val="28"/>
          <w:szCs w:val="32"/>
          <w:highlight w:val="none"/>
          <w:lang w:val="en-US" w:eastAsia="zh-CN" w:bidi="ar-SA"/>
        </w:rPr>
      </w:pPr>
    </w:p>
    <w:p w14:paraId="215EDEF7">
      <w:pPr>
        <w:adjustRightInd w:val="0"/>
        <w:snapToGrid w:val="0"/>
        <w:spacing w:line="360" w:lineRule="auto"/>
        <w:jc w:val="both"/>
        <w:rPr>
          <w:rFonts w:hint="eastAsia" w:ascii="宋体" w:hAnsi="宋体" w:eastAsia="宋体" w:cs="宋体"/>
          <w:color w:val="auto"/>
          <w:sz w:val="24"/>
          <w:szCs w:val="24"/>
        </w:rPr>
        <w:sectPr>
          <w:pgSz w:w="11906" w:h="16838"/>
          <w:pgMar w:top="1474" w:right="1474" w:bottom="1474" w:left="1588" w:header="851" w:footer="992" w:gutter="0"/>
          <w:pgNumType w:fmt="decimal"/>
          <w:cols w:space="720" w:num="1"/>
          <w:docGrid w:type="lines" w:linePitch="312" w:charSpace="0"/>
        </w:sectPr>
      </w:pPr>
    </w:p>
    <w:p w14:paraId="12F96163">
      <w:pPr>
        <w:adjustRightInd w:val="0"/>
        <w:snapToGrid w:val="0"/>
        <w:spacing w:beforeLines="50" w:line="360" w:lineRule="auto"/>
        <w:jc w:val="center"/>
        <w:rPr>
          <w:rFonts w:hint="default" w:ascii="宋体" w:hAnsi="宋体" w:cs="宋体"/>
          <w:b/>
          <w:bCs/>
          <w:color w:val="auto"/>
          <w:sz w:val="28"/>
          <w:szCs w:val="28"/>
          <w:lang w:val="en-US"/>
        </w:rPr>
      </w:pPr>
      <w:r>
        <w:rPr>
          <w:rStyle w:val="68"/>
          <w:rFonts w:hint="eastAsia"/>
          <w:sz w:val="28"/>
          <w:szCs w:val="28"/>
          <w:lang w:val="en-US" w:eastAsia="zh-CN"/>
        </w:rPr>
        <w:t>六、</w:t>
      </w:r>
      <w:bookmarkEnd w:id="494"/>
      <w:r>
        <w:rPr>
          <w:rStyle w:val="68"/>
          <w:rFonts w:hint="eastAsia"/>
          <w:sz w:val="28"/>
          <w:szCs w:val="28"/>
          <w:lang w:val="en-US" w:eastAsia="zh-CN"/>
        </w:rPr>
        <w:t>采购需求响应</w:t>
      </w:r>
    </w:p>
    <w:p w14:paraId="0023A994">
      <w:pPr>
        <w:adjustRightInd w:val="0"/>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备注：</w:t>
      </w:r>
    </w:p>
    <w:p w14:paraId="79A697A1">
      <w:pPr>
        <w:adjustRightInd w:val="0"/>
        <w:snapToGrid w:val="0"/>
        <w:spacing w:line="360" w:lineRule="auto"/>
        <w:rPr>
          <w:rFonts w:hint="eastAsia" w:ascii="宋体" w:hAnsi="宋体" w:eastAsia="宋体" w:cs="宋体"/>
          <w:color w:val="auto"/>
          <w:sz w:val="24"/>
        </w:rPr>
      </w:pPr>
      <w:r>
        <w:rPr>
          <w:rFonts w:hint="eastAsia" w:ascii="宋体" w:hAnsi="宋体" w:eastAsia="宋体" w:cs="宋体"/>
          <w:color w:val="auto"/>
          <w:sz w:val="24"/>
          <w:lang w:val="en-US" w:eastAsia="zh-CN"/>
        </w:rPr>
        <w:t>1.</w:t>
      </w:r>
      <w:r>
        <w:rPr>
          <w:rFonts w:hint="eastAsia" w:ascii="宋体" w:hAnsi="宋体" w:eastAsia="宋体" w:cs="宋体"/>
          <w:color w:val="auto"/>
          <w:sz w:val="24"/>
        </w:rPr>
        <w:t>投标人应按招标文件第五章采购需求自行编写采购需求</w:t>
      </w:r>
      <w:r>
        <w:rPr>
          <w:rFonts w:hint="eastAsia" w:ascii="宋体" w:hAnsi="宋体" w:eastAsia="宋体" w:cs="宋体"/>
          <w:color w:val="auto"/>
          <w:sz w:val="24"/>
          <w:lang w:eastAsia="zh-CN"/>
        </w:rPr>
        <w:t>投标文件</w:t>
      </w:r>
      <w:r>
        <w:rPr>
          <w:rFonts w:hint="eastAsia" w:ascii="宋体" w:hAnsi="宋体" w:eastAsia="宋体" w:cs="宋体"/>
          <w:color w:val="auto"/>
          <w:sz w:val="24"/>
        </w:rPr>
        <w:t>（其内容可包括，且不限于详细的技术指标和性能、售后服务和技术服务的组织及保证措施等，格式自拟）。</w:t>
      </w:r>
    </w:p>
    <w:p w14:paraId="6AADA9D6">
      <w:pPr>
        <w:adjustRightInd w:val="0"/>
        <w:snapToGrid w:val="0"/>
        <w:spacing w:before="50" w:line="360" w:lineRule="auto"/>
        <w:rPr>
          <w:rFonts w:hint="eastAsia" w:ascii="宋体" w:hAnsi="宋体" w:eastAsia="宋体" w:cs="宋体"/>
          <w:b/>
          <w:bCs/>
          <w:color w:val="auto"/>
          <w:sz w:val="24"/>
          <w:szCs w:val="24"/>
        </w:rPr>
      </w:pPr>
    </w:p>
    <w:p w14:paraId="25273B11">
      <w:pPr>
        <w:adjustRightInd w:val="0"/>
        <w:snapToGrid w:val="0"/>
        <w:spacing w:before="50" w:line="360" w:lineRule="auto"/>
        <w:rPr>
          <w:rFonts w:hint="default"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rPr>
        <w:t>投标人名称（</w:t>
      </w:r>
      <w:r>
        <w:rPr>
          <w:rFonts w:hint="eastAsia" w:ascii="宋体" w:hAnsi="宋体" w:eastAsia="宋体" w:cs="宋体"/>
          <w:b/>
          <w:bCs/>
          <w:color w:val="auto"/>
          <w:sz w:val="24"/>
          <w:szCs w:val="24"/>
          <w:lang w:eastAsia="zh-CN"/>
        </w:rPr>
        <w:t>盖单位</w:t>
      </w:r>
      <w:r>
        <w:rPr>
          <w:rFonts w:hint="eastAsia" w:ascii="宋体" w:hAnsi="宋体" w:cs="宋体"/>
          <w:b/>
          <w:bCs/>
          <w:color w:val="auto"/>
          <w:sz w:val="24"/>
          <w:szCs w:val="24"/>
          <w:lang w:eastAsia="zh-CN"/>
        </w:rPr>
        <w:t>公</w:t>
      </w:r>
      <w:r>
        <w:rPr>
          <w:rFonts w:hint="eastAsia" w:ascii="宋体" w:hAnsi="宋体" w:eastAsia="宋体" w:cs="宋体"/>
          <w:b/>
          <w:bCs/>
          <w:color w:val="auto"/>
          <w:sz w:val="24"/>
          <w:szCs w:val="24"/>
          <w:lang w:eastAsia="zh-CN"/>
        </w:rPr>
        <w:t>章</w:t>
      </w:r>
      <w:r>
        <w:rPr>
          <w:rFonts w:hint="eastAsia" w:ascii="宋体" w:hAnsi="宋体" w:eastAsia="宋体" w:cs="宋体"/>
          <w:b/>
          <w:bCs/>
          <w:color w:val="auto"/>
          <w:sz w:val="24"/>
          <w:szCs w:val="24"/>
        </w:rPr>
        <w:t>）：</w:t>
      </w:r>
      <w:r>
        <w:rPr>
          <w:rFonts w:hint="eastAsia" w:ascii="宋体" w:hAnsi="宋体" w:cs="宋体"/>
          <w:b/>
          <w:bCs/>
          <w:color w:val="auto"/>
          <w:sz w:val="24"/>
          <w:szCs w:val="24"/>
          <w:u w:val="single"/>
          <w:lang w:val="en-US" w:eastAsia="zh-CN"/>
        </w:rPr>
        <w:t xml:space="preserve">                  </w:t>
      </w:r>
    </w:p>
    <w:p w14:paraId="646C8D44">
      <w:pPr>
        <w:adjustRightInd w:val="0"/>
        <w:snapToGrid w:val="0"/>
        <w:spacing w:before="50" w:line="360" w:lineRule="auto"/>
        <w:rPr>
          <w:rFonts w:hint="eastAsia" w:ascii="宋体" w:hAnsi="宋体" w:eastAsia="宋体" w:cs="宋体"/>
          <w:b/>
          <w:bCs/>
          <w:color w:val="auto"/>
          <w:sz w:val="24"/>
          <w:szCs w:val="24"/>
        </w:rPr>
      </w:pPr>
      <w:r>
        <w:rPr>
          <w:rFonts w:hint="eastAsia" w:ascii="宋体" w:hAnsi="宋体" w:eastAsia="宋体" w:cs="宋体"/>
          <w:b/>
          <w:bCs/>
          <w:color w:val="auto"/>
          <w:spacing w:val="-2"/>
          <w:kern w:val="0"/>
          <w:sz w:val="24"/>
          <w:szCs w:val="24"/>
        </w:rPr>
        <w:t>法</w:t>
      </w:r>
      <w:r>
        <w:rPr>
          <w:rFonts w:hint="eastAsia" w:ascii="宋体" w:hAnsi="宋体" w:eastAsia="宋体" w:cs="宋体"/>
          <w:b/>
          <w:bCs/>
          <w:color w:val="auto"/>
          <w:kern w:val="0"/>
          <w:sz w:val="24"/>
          <w:szCs w:val="24"/>
        </w:rPr>
        <w:t>定</w:t>
      </w:r>
      <w:r>
        <w:rPr>
          <w:rFonts w:hint="eastAsia" w:ascii="宋体" w:hAnsi="宋体" w:eastAsia="宋体" w:cs="宋体"/>
          <w:b/>
          <w:bCs/>
          <w:color w:val="auto"/>
          <w:spacing w:val="-2"/>
          <w:kern w:val="0"/>
          <w:sz w:val="24"/>
          <w:szCs w:val="24"/>
        </w:rPr>
        <w:t>代</w:t>
      </w:r>
      <w:r>
        <w:rPr>
          <w:rFonts w:hint="eastAsia" w:ascii="宋体" w:hAnsi="宋体" w:eastAsia="宋体" w:cs="宋体"/>
          <w:b/>
          <w:bCs/>
          <w:color w:val="auto"/>
          <w:kern w:val="0"/>
          <w:sz w:val="24"/>
          <w:szCs w:val="24"/>
        </w:rPr>
        <w:t>表</w:t>
      </w:r>
      <w:r>
        <w:rPr>
          <w:rFonts w:hint="eastAsia" w:ascii="宋体" w:hAnsi="宋体" w:eastAsia="宋体" w:cs="宋体"/>
          <w:b/>
          <w:bCs/>
          <w:color w:val="auto"/>
          <w:spacing w:val="-2"/>
          <w:kern w:val="0"/>
          <w:sz w:val="24"/>
          <w:szCs w:val="24"/>
        </w:rPr>
        <w:t>人</w:t>
      </w:r>
      <w:r>
        <w:rPr>
          <w:rFonts w:hint="eastAsia" w:ascii="宋体" w:hAnsi="宋体" w:eastAsia="宋体" w:cs="宋体"/>
          <w:b/>
          <w:bCs/>
          <w:color w:val="auto"/>
          <w:kern w:val="0"/>
          <w:sz w:val="24"/>
          <w:szCs w:val="24"/>
        </w:rPr>
        <w:t>（</w:t>
      </w:r>
      <w:r>
        <w:rPr>
          <w:rFonts w:hint="eastAsia" w:ascii="宋体" w:hAnsi="宋体" w:eastAsia="宋体" w:cs="宋体"/>
          <w:b/>
          <w:bCs/>
          <w:color w:val="auto"/>
          <w:spacing w:val="-2"/>
          <w:kern w:val="0"/>
          <w:sz w:val="24"/>
          <w:szCs w:val="24"/>
        </w:rPr>
        <w:t>单</w:t>
      </w:r>
      <w:r>
        <w:rPr>
          <w:rFonts w:hint="eastAsia" w:ascii="宋体" w:hAnsi="宋体" w:eastAsia="宋体" w:cs="宋体"/>
          <w:b/>
          <w:bCs/>
          <w:color w:val="auto"/>
          <w:kern w:val="0"/>
          <w:sz w:val="24"/>
          <w:szCs w:val="24"/>
        </w:rPr>
        <w:t>位</w:t>
      </w:r>
      <w:r>
        <w:rPr>
          <w:rFonts w:hint="eastAsia" w:ascii="宋体" w:hAnsi="宋体" w:eastAsia="宋体" w:cs="宋体"/>
          <w:b/>
          <w:bCs/>
          <w:color w:val="auto"/>
          <w:spacing w:val="-2"/>
          <w:kern w:val="0"/>
          <w:sz w:val="24"/>
          <w:szCs w:val="24"/>
        </w:rPr>
        <w:t>负</w:t>
      </w:r>
      <w:r>
        <w:rPr>
          <w:rFonts w:hint="eastAsia" w:ascii="宋体" w:hAnsi="宋体" w:eastAsia="宋体" w:cs="宋体"/>
          <w:b/>
          <w:bCs/>
          <w:color w:val="auto"/>
          <w:kern w:val="0"/>
          <w:sz w:val="24"/>
          <w:szCs w:val="24"/>
        </w:rPr>
        <w:t>责人</w:t>
      </w:r>
      <w:r>
        <w:rPr>
          <w:rFonts w:hint="eastAsia" w:ascii="宋体" w:hAnsi="宋体" w:eastAsia="宋体" w:cs="宋体"/>
          <w:b/>
          <w:bCs/>
          <w:color w:val="auto"/>
          <w:spacing w:val="-2"/>
          <w:kern w:val="0"/>
          <w:sz w:val="24"/>
          <w:szCs w:val="24"/>
        </w:rPr>
        <w:t>）</w:t>
      </w:r>
      <w:r>
        <w:rPr>
          <w:rFonts w:hint="eastAsia" w:ascii="宋体" w:hAnsi="宋体" w:eastAsia="宋体" w:cs="宋体"/>
          <w:b/>
          <w:bCs/>
          <w:color w:val="auto"/>
          <w:sz w:val="24"/>
          <w:szCs w:val="24"/>
        </w:rPr>
        <w:t>或其授权的代理人（签字或印章）：</w:t>
      </w:r>
      <w:r>
        <w:rPr>
          <w:rFonts w:hint="eastAsia" w:ascii="宋体" w:hAnsi="宋体" w:eastAsia="宋体" w:cs="宋体"/>
          <w:b/>
          <w:bCs/>
          <w:color w:val="auto"/>
          <w:sz w:val="24"/>
          <w:szCs w:val="24"/>
          <w:u w:val="single"/>
        </w:rPr>
        <w:t xml:space="preserve">           </w:t>
      </w:r>
    </w:p>
    <w:p w14:paraId="4EBE2C40">
      <w:pPr>
        <w:adjustRightInd w:val="0"/>
        <w:snapToGrid w:val="0"/>
        <w:spacing w:line="480" w:lineRule="auto"/>
        <w:rPr>
          <w:rFonts w:hint="eastAsia" w:ascii="宋体" w:hAnsi="宋体" w:eastAsia="宋体" w:cs="宋体"/>
          <w:b/>
          <w:bCs/>
          <w:color w:val="auto"/>
          <w:sz w:val="24"/>
        </w:rPr>
      </w:pPr>
      <w:r>
        <w:rPr>
          <w:rFonts w:hint="eastAsia" w:ascii="宋体" w:hAnsi="宋体" w:eastAsia="宋体" w:cs="宋体"/>
          <w:b/>
          <w:bCs/>
          <w:color w:val="auto"/>
          <w:sz w:val="24"/>
        </w:rPr>
        <w:t>日 期：</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r>
        <w:rPr>
          <w:rFonts w:hint="eastAsia" w:ascii="宋体" w:hAnsi="宋体" w:eastAsia="宋体" w:cs="宋体"/>
          <w:b/>
          <w:bCs/>
          <w:color w:val="auto"/>
          <w:sz w:val="24"/>
        </w:rPr>
        <w:t>年</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r>
        <w:rPr>
          <w:rFonts w:hint="eastAsia" w:ascii="宋体" w:hAnsi="宋体" w:eastAsia="宋体" w:cs="宋体"/>
          <w:b/>
          <w:bCs/>
          <w:color w:val="auto"/>
          <w:sz w:val="24"/>
        </w:rPr>
        <w:t>月</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r>
        <w:rPr>
          <w:rFonts w:hint="eastAsia" w:ascii="宋体" w:hAnsi="宋体" w:eastAsia="宋体" w:cs="宋体"/>
          <w:b/>
          <w:bCs/>
          <w:color w:val="auto"/>
          <w:sz w:val="24"/>
        </w:rPr>
        <w:t>日</w:t>
      </w:r>
    </w:p>
    <w:p w14:paraId="106A1BD8">
      <w:pPr>
        <w:adjustRightInd w:val="0"/>
        <w:snapToGrid w:val="0"/>
        <w:spacing w:before="156" w:beforeLines="50" w:line="360" w:lineRule="auto"/>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响应</w:t>
      </w:r>
      <w:r>
        <w:rPr>
          <w:rFonts w:hint="eastAsia" w:ascii="宋体" w:hAnsi="宋体" w:eastAsia="宋体" w:cs="宋体"/>
          <w:b/>
          <w:bCs/>
          <w:color w:val="auto"/>
          <w:sz w:val="28"/>
          <w:szCs w:val="28"/>
          <w:lang w:eastAsia="zh-CN"/>
        </w:rPr>
        <w:t>一</w:t>
      </w:r>
      <w:r>
        <w:rPr>
          <w:rFonts w:hint="eastAsia" w:ascii="宋体" w:hAnsi="宋体" w:eastAsia="宋体" w:cs="宋体"/>
          <w:b/>
          <w:bCs/>
          <w:color w:val="auto"/>
          <w:sz w:val="28"/>
          <w:szCs w:val="28"/>
        </w:rPr>
        <w:t>览表</w:t>
      </w:r>
    </w:p>
    <w:p w14:paraId="613CFE3D">
      <w:pPr>
        <w:jc w:val="center"/>
        <w:rPr>
          <w:rFonts w:hint="eastAsia" w:ascii="宋体" w:hAnsi="宋体" w:eastAsia="宋体" w:cs="宋体"/>
          <w:color w:val="auto"/>
          <w:szCs w:val="21"/>
        </w:rPr>
      </w:pPr>
    </w:p>
    <w:tbl>
      <w:tblPr>
        <w:tblStyle w:val="44"/>
        <w:tblW w:w="4998"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38"/>
        <w:gridCol w:w="2302"/>
        <w:gridCol w:w="2617"/>
        <w:gridCol w:w="1220"/>
        <w:gridCol w:w="1397"/>
        <w:gridCol w:w="1476"/>
      </w:tblGrid>
      <w:tr w14:paraId="0758F5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80" w:hRule="atLeast"/>
        </w:trPr>
        <w:tc>
          <w:tcPr>
            <w:tcW w:w="425" w:type="pct"/>
            <w:noWrap w:val="0"/>
            <w:vAlign w:val="center"/>
          </w:tcPr>
          <w:p w14:paraId="2E7CED19">
            <w:pPr>
              <w:jc w:val="center"/>
              <w:rPr>
                <w:rFonts w:hint="eastAsia" w:ascii="宋体" w:hAnsi="宋体" w:eastAsia="宋体" w:cs="宋体"/>
                <w:color w:val="auto"/>
                <w:sz w:val="24"/>
                <w:szCs w:val="24"/>
                <w:lang w:eastAsia="zh-CN"/>
              </w:rPr>
            </w:pPr>
            <w:r>
              <w:rPr>
                <w:rFonts w:hint="eastAsia" w:ascii="宋体" w:hAnsi="宋体" w:cs="宋体"/>
                <w:color w:val="auto"/>
                <w:sz w:val="24"/>
                <w:lang w:val="en-US" w:eastAsia="zh-CN"/>
              </w:rPr>
              <w:t>序号</w:t>
            </w:r>
          </w:p>
        </w:tc>
        <w:tc>
          <w:tcPr>
            <w:tcW w:w="1168" w:type="pct"/>
            <w:tcBorders>
              <w:left w:val="single" w:color="auto" w:sz="4" w:space="0"/>
            </w:tcBorders>
            <w:noWrap w:val="0"/>
            <w:vAlign w:val="center"/>
          </w:tcPr>
          <w:p w14:paraId="2C94BF50">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标的名称</w:t>
            </w:r>
          </w:p>
        </w:tc>
        <w:tc>
          <w:tcPr>
            <w:tcW w:w="1328" w:type="pct"/>
            <w:noWrap w:val="0"/>
            <w:vAlign w:val="center"/>
          </w:tcPr>
          <w:p w14:paraId="3F1FE151">
            <w:pPr>
              <w:jc w:val="center"/>
              <w:rPr>
                <w:rFonts w:hint="eastAsia" w:ascii="宋体" w:hAnsi="宋体" w:eastAsia="宋体" w:cs="宋体"/>
                <w:color w:val="auto"/>
                <w:sz w:val="24"/>
                <w:szCs w:val="24"/>
              </w:rPr>
            </w:pPr>
            <w:r>
              <w:rPr>
                <w:rFonts w:hint="eastAsia" w:ascii="宋体" w:hAnsi="宋体" w:eastAsia="宋体" w:cs="宋体"/>
                <w:color w:val="auto"/>
                <w:sz w:val="24"/>
                <w:szCs w:val="24"/>
              </w:rPr>
              <w:t>主要技术参数或规格</w:t>
            </w:r>
          </w:p>
        </w:tc>
        <w:tc>
          <w:tcPr>
            <w:tcW w:w="619" w:type="pct"/>
            <w:noWrap w:val="0"/>
            <w:vAlign w:val="center"/>
          </w:tcPr>
          <w:p w14:paraId="159890ED">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数量</w:t>
            </w:r>
          </w:p>
        </w:tc>
        <w:tc>
          <w:tcPr>
            <w:tcW w:w="709" w:type="pct"/>
            <w:noWrap w:val="0"/>
            <w:vAlign w:val="center"/>
          </w:tcPr>
          <w:p w14:paraId="7D087662">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节能产品</w:t>
            </w:r>
          </w:p>
        </w:tc>
        <w:tc>
          <w:tcPr>
            <w:tcW w:w="749" w:type="pct"/>
            <w:noWrap w:val="0"/>
            <w:vAlign w:val="center"/>
          </w:tcPr>
          <w:p w14:paraId="6CB2E16F">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进口产品</w:t>
            </w:r>
          </w:p>
        </w:tc>
      </w:tr>
      <w:tr w14:paraId="15C911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5" w:type="pct"/>
            <w:tcBorders>
              <w:bottom w:val="single" w:color="auto" w:sz="4" w:space="0"/>
            </w:tcBorders>
            <w:noWrap w:val="0"/>
            <w:vAlign w:val="top"/>
          </w:tcPr>
          <w:p w14:paraId="551C2DBE">
            <w:pPr>
              <w:rPr>
                <w:rFonts w:hint="eastAsia" w:ascii="宋体" w:hAnsi="宋体" w:eastAsia="宋体" w:cs="宋体"/>
                <w:color w:val="auto"/>
                <w:sz w:val="24"/>
                <w:szCs w:val="24"/>
              </w:rPr>
            </w:pPr>
          </w:p>
        </w:tc>
        <w:tc>
          <w:tcPr>
            <w:tcW w:w="1168" w:type="pct"/>
            <w:tcBorders>
              <w:left w:val="single" w:color="auto" w:sz="4" w:space="0"/>
              <w:bottom w:val="single" w:color="auto" w:sz="4" w:space="0"/>
            </w:tcBorders>
            <w:noWrap w:val="0"/>
            <w:vAlign w:val="top"/>
          </w:tcPr>
          <w:p w14:paraId="455C05BE">
            <w:pPr>
              <w:rPr>
                <w:rFonts w:hint="eastAsia" w:ascii="宋体" w:hAnsi="宋体" w:eastAsia="宋体" w:cs="宋体"/>
                <w:color w:val="auto"/>
                <w:sz w:val="24"/>
                <w:szCs w:val="24"/>
              </w:rPr>
            </w:pPr>
          </w:p>
        </w:tc>
        <w:tc>
          <w:tcPr>
            <w:tcW w:w="1328" w:type="pct"/>
            <w:noWrap w:val="0"/>
            <w:vAlign w:val="top"/>
          </w:tcPr>
          <w:p w14:paraId="11425D89">
            <w:pPr>
              <w:rPr>
                <w:rFonts w:hint="eastAsia" w:ascii="宋体" w:hAnsi="宋体" w:eastAsia="宋体" w:cs="宋体"/>
                <w:color w:val="auto"/>
                <w:sz w:val="24"/>
                <w:szCs w:val="24"/>
              </w:rPr>
            </w:pPr>
          </w:p>
        </w:tc>
        <w:tc>
          <w:tcPr>
            <w:tcW w:w="619" w:type="pct"/>
            <w:noWrap w:val="0"/>
            <w:vAlign w:val="top"/>
          </w:tcPr>
          <w:p w14:paraId="1D729535">
            <w:pPr>
              <w:rPr>
                <w:rFonts w:hint="eastAsia" w:ascii="宋体" w:hAnsi="宋体" w:eastAsia="宋体" w:cs="宋体"/>
                <w:color w:val="auto"/>
                <w:sz w:val="24"/>
                <w:szCs w:val="24"/>
              </w:rPr>
            </w:pPr>
          </w:p>
        </w:tc>
        <w:tc>
          <w:tcPr>
            <w:tcW w:w="709" w:type="pct"/>
            <w:noWrap w:val="0"/>
            <w:vAlign w:val="center"/>
          </w:tcPr>
          <w:p w14:paraId="4D9C6772">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iCs/>
                <w:color w:val="auto"/>
                <w:sz w:val="24"/>
                <w:szCs w:val="24"/>
              </w:rPr>
              <w:sym w:font="Wingdings" w:char="00A8"/>
            </w:r>
          </w:p>
        </w:tc>
        <w:tc>
          <w:tcPr>
            <w:tcW w:w="749" w:type="pct"/>
            <w:noWrap w:val="0"/>
            <w:vAlign w:val="center"/>
          </w:tcPr>
          <w:p w14:paraId="4817A914">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iCs/>
                <w:color w:val="auto"/>
                <w:sz w:val="24"/>
                <w:szCs w:val="24"/>
              </w:rPr>
              <w:sym w:font="Wingdings" w:char="00A8"/>
            </w:r>
          </w:p>
        </w:tc>
      </w:tr>
      <w:tr w14:paraId="350C71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5" w:type="pct"/>
            <w:tcBorders>
              <w:top w:val="single" w:color="auto" w:sz="4" w:space="0"/>
            </w:tcBorders>
            <w:noWrap w:val="0"/>
            <w:vAlign w:val="top"/>
          </w:tcPr>
          <w:p w14:paraId="49861F03">
            <w:pPr>
              <w:rPr>
                <w:rFonts w:hint="eastAsia" w:ascii="宋体" w:hAnsi="宋体" w:eastAsia="宋体" w:cs="宋体"/>
                <w:color w:val="auto"/>
                <w:sz w:val="24"/>
                <w:szCs w:val="24"/>
              </w:rPr>
            </w:pPr>
          </w:p>
        </w:tc>
        <w:tc>
          <w:tcPr>
            <w:tcW w:w="1168" w:type="pct"/>
            <w:tcBorders>
              <w:top w:val="single" w:color="auto" w:sz="4" w:space="0"/>
              <w:left w:val="single" w:color="auto" w:sz="4" w:space="0"/>
            </w:tcBorders>
            <w:noWrap w:val="0"/>
            <w:vAlign w:val="top"/>
          </w:tcPr>
          <w:p w14:paraId="51E67876">
            <w:pPr>
              <w:rPr>
                <w:rFonts w:hint="eastAsia" w:ascii="宋体" w:hAnsi="宋体" w:eastAsia="宋体" w:cs="宋体"/>
                <w:color w:val="auto"/>
                <w:sz w:val="24"/>
                <w:szCs w:val="24"/>
              </w:rPr>
            </w:pPr>
          </w:p>
        </w:tc>
        <w:tc>
          <w:tcPr>
            <w:tcW w:w="1328" w:type="pct"/>
            <w:noWrap w:val="0"/>
            <w:vAlign w:val="top"/>
          </w:tcPr>
          <w:p w14:paraId="172AEC6E">
            <w:pPr>
              <w:rPr>
                <w:rFonts w:hint="eastAsia" w:ascii="宋体" w:hAnsi="宋体" w:eastAsia="宋体" w:cs="宋体"/>
                <w:color w:val="auto"/>
                <w:sz w:val="24"/>
                <w:szCs w:val="24"/>
              </w:rPr>
            </w:pPr>
          </w:p>
        </w:tc>
        <w:tc>
          <w:tcPr>
            <w:tcW w:w="619" w:type="pct"/>
            <w:noWrap w:val="0"/>
            <w:vAlign w:val="top"/>
          </w:tcPr>
          <w:p w14:paraId="1AD70310">
            <w:pPr>
              <w:rPr>
                <w:rFonts w:hint="eastAsia" w:ascii="宋体" w:hAnsi="宋体" w:eastAsia="宋体" w:cs="宋体"/>
                <w:color w:val="auto"/>
                <w:sz w:val="24"/>
                <w:szCs w:val="24"/>
              </w:rPr>
            </w:pPr>
          </w:p>
        </w:tc>
        <w:tc>
          <w:tcPr>
            <w:tcW w:w="1285" w:type="dxa"/>
            <w:noWrap w:val="0"/>
            <w:vAlign w:val="center"/>
          </w:tcPr>
          <w:p w14:paraId="3E555ADE">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iCs/>
                <w:color w:val="auto"/>
                <w:sz w:val="24"/>
                <w:szCs w:val="24"/>
              </w:rPr>
              <w:sym w:font="Wingdings" w:char="00A8"/>
            </w:r>
          </w:p>
        </w:tc>
        <w:tc>
          <w:tcPr>
            <w:tcW w:w="1357" w:type="dxa"/>
            <w:noWrap w:val="0"/>
            <w:vAlign w:val="center"/>
          </w:tcPr>
          <w:p w14:paraId="0821F8D7">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iCs/>
                <w:color w:val="auto"/>
                <w:sz w:val="24"/>
                <w:szCs w:val="24"/>
              </w:rPr>
              <w:sym w:font="Wingdings" w:char="00A8"/>
            </w:r>
          </w:p>
        </w:tc>
      </w:tr>
      <w:tr w14:paraId="21F779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5" w:type="pct"/>
            <w:tcBorders>
              <w:bottom w:val="single" w:color="auto" w:sz="4" w:space="0"/>
            </w:tcBorders>
            <w:noWrap w:val="0"/>
            <w:vAlign w:val="top"/>
          </w:tcPr>
          <w:p w14:paraId="3938E103">
            <w:pPr>
              <w:rPr>
                <w:rFonts w:hint="eastAsia" w:ascii="宋体" w:hAnsi="宋体" w:eastAsia="宋体" w:cs="宋体"/>
                <w:color w:val="auto"/>
                <w:sz w:val="24"/>
                <w:szCs w:val="24"/>
              </w:rPr>
            </w:pPr>
          </w:p>
        </w:tc>
        <w:tc>
          <w:tcPr>
            <w:tcW w:w="1168" w:type="pct"/>
            <w:tcBorders>
              <w:left w:val="single" w:color="auto" w:sz="4" w:space="0"/>
              <w:bottom w:val="single" w:color="auto" w:sz="4" w:space="0"/>
            </w:tcBorders>
            <w:noWrap w:val="0"/>
            <w:vAlign w:val="top"/>
          </w:tcPr>
          <w:p w14:paraId="78526A7B">
            <w:pPr>
              <w:rPr>
                <w:rFonts w:hint="eastAsia" w:ascii="宋体" w:hAnsi="宋体" w:eastAsia="宋体" w:cs="宋体"/>
                <w:color w:val="auto"/>
                <w:sz w:val="24"/>
                <w:szCs w:val="24"/>
              </w:rPr>
            </w:pPr>
          </w:p>
        </w:tc>
        <w:tc>
          <w:tcPr>
            <w:tcW w:w="1328" w:type="pct"/>
            <w:noWrap w:val="0"/>
            <w:vAlign w:val="top"/>
          </w:tcPr>
          <w:p w14:paraId="7F288D0A">
            <w:pPr>
              <w:rPr>
                <w:rFonts w:hint="eastAsia" w:ascii="宋体" w:hAnsi="宋体" w:eastAsia="宋体" w:cs="宋体"/>
                <w:color w:val="auto"/>
                <w:sz w:val="24"/>
                <w:szCs w:val="24"/>
              </w:rPr>
            </w:pPr>
          </w:p>
        </w:tc>
        <w:tc>
          <w:tcPr>
            <w:tcW w:w="619" w:type="pct"/>
            <w:noWrap w:val="0"/>
            <w:vAlign w:val="top"/>
          </w:tcPr>
          <w:p w14:paraId="3527A0D0">
            <w:pPr>
              <w:rPr>
                <w:rFonts w:hint="eastAsia" w:ascii="宋体" w:hAnsi="宋体" w:eastAsia="宋体" w:cs="宋体"/>
                <w:color w:val="auto"/>
                <w:sz w:val="24"/>
                <w:szCs w:val="24"/>
              </w:rPr>
            </w:pPr>
          </w:p>
        </w:tc>
        <w:tc>
          <w:tcPr>
            <w:tcW w:w="1285" w:type="dxa"/>
            <w:noWrap w:val="0"/>
            <w:vAlign w:val="center"/>
          </w:tcPr>
          <w:p w14:paraId="25DA9574">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iCs/>
                <w:color w:val="auto"/>
                <w:sz w:val="24"/>
                <w:szCs w:val="24"/>
              </w:rPr>
              <w:sym w:font="Wingdings" w:char="00A8"/>
            </w:r>
          </w:p>
        </w:tc>
        <w:tc>
          <w:tcPr>
            <w:tcW w:w="1357" w:type="dxa"/>
            <w:noWrap w:val="0"/>
            <w:vAlign w:val="center"/>
          </w:tcPr>
          <w:p w14:paraId="79A1561C">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iCs/>
                <w:color w:val="auto"/>
                <w:sz w:val="24"/>
                <w:szCs w:val="24"/>
              </w:rPr>
              <w:sym w:font="Wingdings" w:char="00A8"/>
            </w:r>
          </w:p>
        </w:tc>
      </w:tr>
      <w:tr w14:paraId="1EA5E9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5" w:type="pct"/>
            <w:tcBorders>
              <w:top w:val="single" w:color="auto" w:sz="4" w:space="0"/>
              <w:bottom w:val="single" w:color="auto" w:sz="4" w:space="0"/>
            </w:tcBorders>
            <w:noWrap w:val="0"/>
            <w:vAlign w:val="top"/>
          </w:tcPr>
          <w:p w14:paraId="2B81D8A5">
            <w:pPr>
              <w:rPr>
                <w:rFonts w:hint="eastAsia" w:ascii="宋体" w:hAnsi="宋体" w:eastAsia="宋体" w:cs="宋体"/>
                <w:color w:val="auto"/>
                <w:sz w:val="24"/>
                <w:szCs w:val="24"/>
              </w:rPr>
            </w:pPr>
          </w:p>
        </w:tc>
        <w:tc>
          <w:tcPr>
            <w:tcW w:w="1168" w:type="pct"/>
            <w:tcBorders>
              <w:top w:val="single" w:color="auto" w:sz="4" w:space="0"/>
              <w:left w:val="single" w:color="auto" w:sz="4" w:space="0"/>
              <w:bottom w:val="single" w:color="auto" w:sz="4" w:space="0"/>
            </w:tcBorders>
            <w:noWrap w:val="0"/>
            <w:vAlign w:val="top"/>
          </w:tcPr>
          <w:p w14:paraId="19E4F629">
            <w:pPr>
              <w:rPr>
                <w:rFonts w:hint="eastAsia" w:ascii="宋体" w:hAnsi="宋体" w:eastAsia="宋体" w:cs="宋体"/>
                <w:color w:val="auto"/>
                <w:sz w:val="24"/>
                <w:szCs w:val="24"/>
              </w:rPr>
            </w:pPr>
          </w:p>
        </w:tc>
        <w:tc>
          <w:tcPr>
            <w:tcW w:w="1328" w:type="pct"/>
            <w:noWrap w:val="0"/>
            <w:vAlign w:val="top"/>
          </w:tcPr>
          <w:p w14:paraId="2DC0FF22">
            <w:pPr>
              <w:rPr>
                <w:rFonts w:hint="eastAsia" w:ascii="宋体" w:hAnsi="宋体" w:eastAsia="宋体" w:cs="宋体"/>
                <w:color w:val="auto"/>
                <w:sz w:val="24"/>
                <w:szCs w:val="24"/>
              </w:rPr>
            </w:pPr>
          </w:p>
        </w:tc>
        <w:tc>
          <w:tcPr>
            <w:tcW w:w="619" w:type="pct"/>
            <w:noWrap w:val="0"/>
            <w:vAlign w:val="top"/>
          </w:tcPr>
          <w:p w14:paraId="498E816D">
            <w:pPr>
              <w:rPr>
                <w:rFonts w:hint="eastAsia" w:ascii="宋体" w:hAnsi="宋体" w:eastAsia="宋体" w:cs="宋体"/>
                <w:color w:val="auto"/>
                <w:sz w:val="24"/>
                <w:szCs w:val="24"/>
              </w:rPr>
            </w:pPr>
          </w:p>
        </w:tc>
        <w:tc>
          <w:tcPr>
            <w:tcW w:w="1285" w:type="dxa"/>
            <w:noWrap w:val="0"/>
            <w:vAlign w:val="center"/>
          </w:tcPr>
          <w:p w14:paraId="0F548114">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iCs/>
                <w:color w:val="auto"/>
                <w:sz w:val="24"/>
                <w:szCs w:val="24"/>
              </w:rPr>
              <w:sym w:font="Wingdings" w:char="00A8"/>
            </w:r>
          </w:p>
        </w:tc>
        <w:tc>
          <w:tcPr>
            <w:tcW w:w="1357" w:type="dxa"/>
            <w:noWrap w:val="0"/>
            <w:vAlign w:val="center"/>
          </w:tcPr>
          <w:p w14:paraId="25B28CD6">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iCs/>
                <w:color w:val="auto"/>
                <w:sz w:val="24"/>
                <w:szCs w:val="24"/>
              </w:rPr>
              <w:sym w:font="Wingdings" w:char="00A8"/>
            </w:r>
          </w:p>
        </w:tc>
      </w:tr>
      <w:tr w14:paraId="2F3E7C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5" w:type="pct"/>
            <w:tcBorders>
              <w:top w:val="single" w:color="auto" w:sz="4" w:space="0"/>
            </w:tcBorders>
            <w:noWrap w:val="0"/>
            <w:vAlign w:val="top"/>
          </w:tcPr>
          <w:p w14:paraId="5FBEA7E3">
            <w:pPr>
              <w:rPr>
                <w:rFonts w:hint="eastAsia" w:ascii="宋体" w:hAnsi="宋体" w:eastAsia="宋体" w:cs="宋体"/>
                <w:color w:val="auto"/>
                <w:sz w:val="24"/>
                <w:szCs w:val="24"/>
              </w:rPr>
            </w:pPr>
          </w:p>
        </w:tc>
        <w:tc>
          <w:tcPr>
            <w:tcW w:w="1168" w:type="pct"/>
            <w:tcBorders>
              <w:top w:val="single" w:color="auto" w:sz="4" w:space="0"/>
              <w:left w:val="single" w:color="auto" w:sz="4" w:space="0"/>
            </w:tcBorders>
            <w:noWrap w:val="0"/>
            <w:vAlign w:val="top"/>
          </w:tcPr>
          <w:p w14:paraId="0310B7BB">
            <w:pPr>
              <w:rPr>
                <w:rFonts w:hint="eastAsia" w:ascii="宋体" w:hAnsi="宋体" w:eastAsia="宋体" w:cs="宋体"/>
                <w:color w:val="auto"/>
                <w:sz w:val="24"/>
                <w:szCs w:val="24"/>
              </w:rPr>
            </w:pPr>
          </w:p>
        </w:tc>
        <w:tc>
          <w:tcPr>
            <w:tcW w:w="1328" w:type="pct"/>
            <w:noWrap w:val="0"/>
            <w:vAlign w:val="top"/>
          </w:tcPr>
          <w:p w14:paraId="208E557A">
            <w:pPr>
              <w:rPr>
                <w:rFonts w:hint="eastAsia" w:ascii="宋体" w:hAnsi="宋体" w:eastAsia="宋体" w:cs="宋体"/>
                <w:color w:val="auto"/>
                <w:sz w:val="24"/>
                <w:szCs w:val="24"/>
              </w:rPr>
            </w:pPr>
          </w:p>
        </w:tc>
        <w:tc>
          <w:tcPr>
            <w:tcW w:w="619" w:type="pct"/>
            <w:noWrap w:val="0"/>
            <w:vAlign w:val="top"/>
          </w:tcPr>
          <w:p w14:paraId="7C71EBF3">
            <w:pPr>
              <w:rPr>
                <w:rFonts w:hint="eastAsia" w:ascii="宋体" w:hAnsi="宋体" w:eastAsia="宋体" w:cs="宋体"/>
                <w:color w:val="auto"/>
                <w:sz w:val="24"/>
                <w:szCs w:val="24"/>
              </w:rPr>
            </w:pPr>
          </w:p>
        </w:tc>
        <w:tc>
          <w:tcPr>
            <w:tcW w:w="1285" w:type="dxa"/>
            <w:noWrap w:val="0"/>
            <w:vAlign w:val="center"/>
          </w:tcPr>
          <w:p w14:paraId="3FF700F3">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iCs/>
                <w:color w:val="auto"/>
                <w:sz w:val="24"/>
                <w:szCs w:val="24"/>
              </w:rPr>
              <w:sym w:font="Wingdings" w:char="00A8"/>
            </w:r>
          </w:p>
        </w:tc>
        <w:tc>
          <w:tcPr>
            <w:tcW w:w="1357" w:type="dxa"/>
            <w:noWrap w:val="0"/>
            <w:vAlign w:val="center"/>
          </w:tcPr>
          <w:p w14:paraId="4F0997AC">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iCs/>
                <w:color w:val="auto"/>
                <w:sz w:val="24"/>
                <w:szCs w:val="24"/>
              </w:rPr>
              <w:sym w:font="Wingdings" w:char="00A8"/>
            </w:r>
          </w:p>
        </w:tc>
      </w:tr>
    </w:tbl>
    <w:p w14:paraId="0F9CB36B">
      <w:pPr>
        <w:rPr>
          <w:rFonts w:hint="eastAsia" w:ascii="宋体" w:hAnsi="宋体" w:eastAsia="宋体" w:cs="宋体"/>
          <w:sz w:val="28"/>
          <w:szCs w:val="28"/>
          <w:lang w:val="en-US" w:eastAsia="zh-CN"/>
        </w:rPr>
      </w:pPr>
    </w:p>
    <w:p w14:paraId="29A068A4">
      <w:pPr>
        <w:adjustRightInd w:val="0"/>
        <w:snapToGrid w:val="0"/>
        <w:spacing w:line="360" w:lineRule="auto"/>
        <w:rPr>
          <w:rFonts w:hint="eastAsia" w:ascii="宋体" w:hAnsi="宋体" w:eastAsia="宋体" w:cs="宋体"/>
          <w:b/>
          <w:bCs/>
          <w:color w:val="auto"/>
          <w:sz w:val="24"/>
          <w:szCs w:val="24"/>
        </w:rPr>
      </w:pPr>
    </w:p>
    <w:p w14:paraId="687A57F0">
      <w:pPr>
        <w:adjustRightInd w:val="0"/>
        <w:snapToGrid w:val="0"/>
        <w:spacing w:line="360" w:lineRule="auto"/>
        <w:rPr>
          <w:rFonts w:hint="default"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rPr>
        <w:t>投标人名称（</w:t>
      </w:r>
      <w:r>
        <w:rPr>
          <w:rFonts w:hint="eastAsia" w:ascii="宋体" w:hAnsi="宋体" w:eastAsia="宋体" w:cs="宋体"/>
          <w:b/>
          <w:bCs/>
          <w:color w:val="auto"/>
          <w:sz w:val="24"/>
          <w:szCs w:val="24"/>
          <w:lang w:eastAsia="zh-CN"/>
        </w:rPr>
        <w:t>盖单位</w:t>
      </w:r>
      <w:r>
        <w:rPr>
          <w:rFonts w:hint="eastAsia" w:ascii="宋体" w:hAnsi="宋体" w:cs="宋体"/>
          <w:b/>
          <w:bCs/>
          <w:color w:val="auto"/>
          <w:sz w:val="24"/>
          <w:szCs w:val="24"/>
          <w:lang w:eastAsia="zh-CN"/>
        </w:rPr>
        <w:t>公</w:t>
      </w:r>
      <w:r>
        <w:rPr>
          <w:rFonts w:hint="eastAsia" w:ascii="宋体" w:hAnsi="宋体" w:eastAsia="宋体" w:cs="宋体"/>
          <w:b/>
          <w:bCs/>
          <w:color w:val="auto"/>
          <w:sz w:val="24"/>
          <w:szCs w:val="24"/>
          <w:lang w:eastAsia="zh-CN"/>
        </w:rPr>
        <w:t>章</w:t>
      </w:r>
      <w:r>
        <w:rPr>
          <w:rFonts w:hint="eastAsia" w:ascii="宋体" w:hAnsi="宋体" w:eastAsia="宋体" w:cs="宋体"/>
          <w:b/>
          <w:bCs/>
          <w:color w:val="auto"/>
          <w:sz w:val="24"/>
          <w:szCs w:val="24"/>
        </w:rPr>
        <w:t>）：</w:t>
      </w:r>
      <w:r>
        <w:rPr>
          <w:rFonts w:hint="eastAsia" w:ascii="宋体" w:hAnsi="宋体" w:cs="宋体"/>
          <w:b/>
          <w:bCs/>
          <w:color w:val="auto"/>
          <w:sz w:val="24"/>
          <w:szCs w:val="24"/>
          <w:u w:val="single"/>
          <w:lang w:val="en-US" w:eastAsia="zh-CN"/>
        </w:rPr>
        <w:t xml:space="preserve">                 </w:t>
      </w:r>
    </w:p>
    <w:p w14:paraId="3083881B">
      <w:pPr>
        <w:adjustRightInd w:val="0"/>
        <w:snapToGrid w:val="0"/>
        <w:spacing w:line="360" w:lineRule="auto"/>
        <w:rPr>
          <w:rFonts w:hint="eastAsia" w:ascii="宋体" w:hAnsi="宋体" w:eastAsia="宋体" w:cs="宋体"/>
          <w:b/>
          <w:bCs/>
          <w:color w:val="auto"/>
          <w:sz w:val="24"/>
          <w:szCs w:val="24"/>
          <w:u w:val="single"/>
        </w:rPr>
      </w:pPr>
      <w:r>
        <w:rPr>
          <w:rFonts w:hint="eastAsia" w:ascii="宋体" w:hAnsi="宋体" w:eastAsia="宋体" w:cs="宋体"/>
          <w:b/>
          <w:bCs/>
          <w:color w:val="auto"/>
          <w:spacing w:val="-2"/>
          <w:kern w:val="0"/>
          <w:sz w:val="24"/>
          <w:szCs w:val="24"/>
        </w:rPr>
        <w:t>法</w:t>
      </w:r>
      <w:r>
        <w:rPr>
          <w:rFonts w:hint="eastAsia" w:ascii="宋体" w:hAnsi="宋体" w:eastAsia="宋体" w:cs="宋体"/>
          <w:b/>
          <w:bCs/>
          <w:color w:val="auto"/>
          <w:kern w:val="0"/>
          <w:sz w:val="24"/>
          <w:szCs w:val="24"/>
        </w:rPr>
        <w:t>定</w:t>
      </w:r>
      <w:r>
        <w:rPr>
          <w:rFonts w:hint="eastAsia" w:ascii="宋体" w:hAnsi="宋体" w:eastAsia="宋体" w:cs="宋体"/>
          <w:b/>
          <w:bCs/>
          <w:color w:val="auto"/>
          <w:spacing w:val="-2"/>
          <w:kern w:val="0"/>
          <w:sz w:val="24"/>
          <w:szCs w:val="24"/>
        </w:rPr>
        <w:t>代</w:t>
      </w:r>
      <w:r>
        <w:rPr>
          <w:rFonts w:hint="eastAsia" w:ascii="宋体" w:hAnsi="宋体" w:eastAsia="宋体" w:cs="宋体"/>
          <w:b/>
          <w:bCs/>
          <w:color w:val="auto"/>
          <w:kern w:val="0"/>
          <w:sz w:val="24"/>
          <w:szCs w:val="24"/>
        </w:rPr>
        <w:t>表</w:t>
      </w:r>
      <w:r>
        <w:rPr>
          <w:rFonts w:hint="eastAsia" w:ascii="宋体" w:hAnsi="宋体" w:eastAsia="宋体" w:cs="宋体"/>
          <w:b/>
          <w:bCs/>
          <w:color w:val="auto"/>
          <w:spacing w:val="-2"/>
          <w:kern w:val="0"/>
          <w:sz w:val="24"/>
          <w:szCs w:val="24"/>
        </w:rPr>
        <w:t>人</w:t>
      </w:r>
      <w:r>
        <w:rPr>
          <w:rFonts w:hint="eastAsia" w:ascii="宋体" w:hAnsi="宋体" w:eastAsia="宋体" w:cs="宋体"/>
          <w:b/>
          <w:bCs/>
          <w:color w:val="auto"/>
          <w:kern w:val="0"/>
          <w:sz w:val="24"/>
          <w:szCs w:val="24"/>
        </w:rPr>
        <w:t>（</w:t>
      </w:r>
      <w:r>
        <w:rPr>
          <w:rFonts w:hint="eastAsia" w:ascii="宋体" w:hAnsi="宋体" w:eastAsia="宋体" w:cs="宋体"/>
          <w:b/>
          <w:bCs/>
          <w:color w:val="auto"/>
          <w:spacing w:val="-2"/>
          <w:kern w:val="0"/>
          <w:sz w:val="24"/>
          <w:szCs w:val="24"/>
        </w:rPr>
        <w:t>单</w:t>
      </w:r>
      <w:r>
        <w:rPr>
          <w:rFonts w:hint="eastAsia" w:ascii="宋体" w:hAnsi="宋体" w:eastAsia="宋体" w:cs="宋体"/>
          <w:b/>
          <w:bCs/>
          <w:color w:val="auto"/>
          <w:kern w:val="0"/>
          <w:sz w:val="24"/>
          <w:szCs w:val="24"/>
        </w:rPr>
        <w:t>位</w:t>
      </w:r>
      <w:r>
        <w:rPr>
          <w:rFonts w:hint="eastAsia" w:ascii="宋体" w:hAnsi="宋体" w:eastAsia="宋体" w:cs="宋体"/>
          <w:b/>
          <w:bCs/>
          <w:color w:val="auto"/>
          <w:spacing w:val="-2"/>
          <w:kern w:val="0"/>
          <w:sz w:val="24"/>
          <w:szCs w:val="24"/>
        </w:rPr>
        <w:t>负</w:t>
      </w:r>
      <w:r>
        <w:rPr>
          <w:rFonts w:hint="eastAsia" w:ascii="宋体" w:hAnsi="宋体" w:eastAsia="宋体" w:cs="宋体"/>
          <w:b/>
          <w:bCs/>
          <w:color w:val="auto"/>
          <w:kern w:val="0"/>
          <w:sz w:val="24"/>
          <w:szCs w:val="24"/>
        </w:rPr>
        <w:t>责人</w:t>
      </w:r>
      <w:r>
        <w:rPr>
          <w:rFonts w:hint="eastAsia" w:ascii="宋体" w:hAnsi="宋体" w:eastAsia="宋体" w:cs="宋体"/>
          <w:b/>
          <w:bCs/>
          <w:color w:val="auto"/>
          <w:spacing w:val="-2"/>
          <w:kern w:val="0"/>
          <w:sz w:val="24"/>
          <w:szCs w:val="24"/>
        </w:rPr>
        <w:t>）</w:t>
      </w:r>
      <w:r>
        <w:rPr>
          <w:rFonts w:hint="eastAsia" w:ascii="宋体" w:hAnsi="宋体" w:eastAsia="宋体" w:cs="宋体"/>
          <w:b/>
          <w:bCs/>
          <w:color w:val="auto"/>
          <w:sz w:val="24"/>
          <w:szCs w:val="24"/>
        </w:rPr>
        <w:t>或其授权的代理人（签字或印章）：</w:t>
      </w:r>
      <w:r>
        <w:rPr>
          <w:rFonts w:hint="eastAsia" w:ascii="宋体" w:hAnsi="宋体" w:eastAsia="宋体" w:cs="宋体"/>
          <w:b/>
          <w:bCs/>
          <w:color w:val="auto"/>
          <w:sz w:val="24"/>
          <w:szCs w:val="24"/>
          <w:u w:val="single"/>
        </w:rPr>
        <w:t xml:space="preserve">             </w:t>
      </w:r>
    </w:p>
    <w:p w14:paraId="5C48D260">
      <w:pPr>
        <w:adjustRightInd w:val="0"/>
        <w:snapToGrid w:val="0"/>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日</w:t>
      </w:r>
      <w:r>
        <w:rPr>
          <w:rFonts w:hint="eastAsia" w:ascii="宋体" w:hAnsi="宋体" w:cs="宋体"/>
          <w:b/>
          <w:bCs/>
          <w:color w:val="auto"/>
          <w:sz w:val="24"/>
          <w:szCs w:val="24"/>
          <w:lang w:val="en-US" w:eastAsia="zh-CN"/>
        </w:rPr>
        <w:t xml:space="preserve"> </w:t>
      </w:r>
      <w:r>
        <w:rPr>
          <w:rFonts w:hint="eastAsia" w:ascii="宋体" w:hAnsi="宋体" w:eastAsia="宋体" w:cs="宋体"/>
          <w:b/>
          <w:bCs/>
          <w:color w:val="auto"/>
          <w:sz w:val="24"/>
          <w:szCs w:val="24"/>
        </w:rPr>
        <w:t>期：</w:t>
      </w:r>
      <w:r>
        <w:rPr>
          <w:rFonts w:hint="eastAsia" w:ascii="宋体" w:hAnsi="宋体" w:eastAsia="宋体" w:cs="宋体"/>
          <w:b/>
          <w:bCs/>
          <w:color w:val="auto"/>
          <w:sz w:val="24"/>
          <w:szCs w:val="24"/>
          <w:u w:val="single"/>
        </w:rPr>
        <w:t xml:space="preserve">      </w:t>
      </w:r>
      <w:r>
        <w:rPr>
          <w:rFonts w:hint="eastAsia" w:ascii="宋体" w:hAnsi="宋体" w:eastAsia="宋体" w:cs="宋体"/>
          <w:b/>
          <w:bCs/>
          <w:color w:val="auto"/>
          <w:sz w:val="24"/>
          <w:szCs w:val="24"/>
        </w:rPr>
        <w:t>年</w:t>
      </w:r>
      <w:r>
        <w:rPr>
          <w:rFonts w:hint="eastAsia" w:ascii="宋体" w:hAnsi="宋体" w:eastAsia="宋体" w:cs="宋体"/>
          <w:b/>
          <w:bCs/>
          <w:color w:val="auto"/>
          <w:sz w:val="24"/>
          <w:szCs w:val="24"/>
          <w:u w:val="single"/>
        </w:rPr>
        <w:t xml:space="preserve">     </w:t>
      </w:r>
      <w:r>
        <w:rPr>
          <w:rFonts w:hint="eastAsia" w:ascii="宋体" w:hAnsi="宋体" w:eastAsia="宋体" w:cs="宋体"/>
          <w:b/>
          <w:bCs/>
          <w:color w:val="auto"/>
          <w:sz w:val="24"/>
          <w:szCs w:val="24"/>
        </w:rPr>
        <w:t>月</w:t>
      </w:r>
      <w:r>
        <w:rPr>
          <w:rFonts w:hint="eastAsia" w:ascii="宋体" w:hAnsi="宋体" w:eastAsia="宋体" w:cs="宋体"/>
          <w:b/>
          <w:bCs/>
          <w:color w:val="auto"/>
          <w:sz w:val="24"/>
          <w:szCs w:val="24"/>
          <w:u w:val="single"/>
        </w:rPr>
        <w:t xml:space="preserve">     </w:t>
      </w:r>
      <w:r>
        <w:rPr>
          <w:rFonts w:hint="eastAsia" w:ascii="宋体" w:hAnsi="宋体" w:eastAsia="宋体" w:cs="宋体"/>
          <w:b/>
          <w:bCs/>
          <w:color w:val="auto"/>
          <w:sz w:val="24"/>
          <w:szCs w:val="24"/>
        </w:rPr>
        <w:t>日</w:t>
      </w:r>
    </w:p>
    <w:p w14:paraId="0A44E481">
      <w:pPr>
        <w:adjustRightInd w:val="0"/>
        <w:snapToGrid w:val="0"/>
        <w:spacing w:line="360" w:lineRule="auto"/>
        <w:rPr>
          <w:rFonts w:hint="eastAsia" w:ascii="宋体" w:hAnsi="宋体" w:eastAsia="宋体" w:cs="宋体"/>
          <w:color w:val="auto"/>
          <w:szCs w:val="21"/>
        </w:rPr>
      </w:pPr>
    </w:p>
    <w:p w14:paraId="35D4A365">
      <w:pPr>
        <w:pStyle w:val="12"/>
        <w:rPr>
          <w:rFonts w:hint="eastAsia" w:ascii="宋体" w:hAnsi="宋体" w:eastAsia="宋体" w:cs="宋体"/>
          <w:sz w:val="28"/>
          <w:szCs w:val="28"/>
          <w:lang w:val="en-US" w:eastAsia="zh-CN"/>
        </w:rPr>
      </w:pPr>
    </w:p>
    <w:p w14:paraId="0FEBB636">
      <w:pPr>
        <w:pStyle w:val="4"/>
        <w:bidi w:val="0"/>
        <w:rPr>
          <w:rFonts w:hint="eastAsia" w:ascii="宋体" w:hAnsi="宋体" w:eastAsia="宋体" w:cs="宋体"/>
          <w:sz w:val="28"/>
          <w:szCs w:val="28"/>
        </w:rPr>
      </w:pPr>
      <w:bookmarkStart w:id="497" w:name="_Toc27123"/>
      <w:r>
        <w:rPr>
          <w:rFonts w:hint="eastAsia" w:ascii="宋体" w:hAnsi="宋体" w:cs="宋体"/>
          <w:sz w:val="28"/>
          <w:szCs w:val="28"/>
          <w:lang w:val="en-US" w:eastAsia="zh-CN"/>
        </w:rPr>
        <w:t>七</w:t>
      </w:r>
      <w:r>
        <w:rPr>
          <w:rFonts w:hint="eastAsia" w:ascii="宋体" w:hAnsi="宋体" w:eastAsia="宋体" w:cs="宋体"/>
          <w:sz w:val="28"/>
          <w:szCs w:val="28"/>
        </w:rPr>
        <w:t>、商务、合同条款偏离表</w:t>
      </w:r>
      <w:bookmarkEnd w:id="488"/>
      <w:bookmarkEnd w:id="489"/>
      <w:bookmarkEnd w:id="490"/>
      <w:bookmarkEnd w:id="491"/>
      <w:bookmarkEnd w:id="492"/>
      <w:bookmarkEnd w:id="493"/>
      <w:bookmarkEnd w:id="497"/>
    </w:p>
    <w:p w14:paraId="5786C7B3">
      <w:pPr>
        <w:adjustRightInd w:val="0"/>
        <w:snapToGrid w:val="0"/>
        <w:spacing w:line="360" w:lineRule="auto"/>
        <w:rPr>
          <w:rFonts w:hint="eastAsia" w:ascii="宋体" w:hAnsi="宋体" w:eastAsia="宋体" w:cs="宋体"/>
          <w:color w:val="auto"/>
          <w:sz w:val="24"/>
          <w:u w:val="single"/>
          <w:lang w:val="en-US" w:eastAsia="zh-CN"/>
        </w:rPr>
      </w:pPr>
      <w:r>
        <w:rPr>
          <w:rFonts w:hint="eastAsia" w:ascii="宋体" w:hAnsi="宋体" w:eastAsia="宋体" w:cs="宋体"/>
          <w:color w:val="auto"/>
          <w:sz w:val="24"/>
        </w:rPr>
        <w:t>项目名称：</w:t>
      </w:r>
      <w:r>
        <w:rPr>
          <w:rFonts w:hint="eastAsia" w:ascii="宋体" w:hAnsi="宋体" w:eastAsia="宋体" w:cs="宋体"/>
          <w:color w:val="auto"/>
          <w:sz w:val="24"/>
          <w:u w:val="single"/>
          <w:lang w:val="en-US" w:eastAsia="zh-CN"/>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lang w:val="en-US" w:eastAsia="zh-CN"/>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采购</w:t>
      </w:r>
      <w:r>
        <w:rPr>
          <w:rFonts w:hint="eastAsia" w:ascii="宋体" w:hAnsi="宋体" w:cs="宋体"/>
          <w:color w:val="auto"/>
          <w:sz w:val="24"/>
          <w:lang w:val="en-US" w:eastAsia="zh-CN"/>
        </w:rPr>
        <w:t>计划</w:t>
      </w:r>
      <w:r>
        <w:rPr>
          <w:rFonts w:hint="eastAsia" w:ascii="宋体" w:hAnsi="宋体" w:eastAsia="宋体" w:cs="宋体"/>
          <w:color w:val="auto"/>
          <w:sz w:val="24"/>
        </w:rPr>
        <w:t>编号：</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tbl>
      <w:tblPr>
        <w:tblStyle w:val="44"/>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1757"/>
        <w:gridCol w:w="1811"/>
        <w:gridCol w:w="2182"/>
        <w:gridCol w:w="2073"/>
        <w:gridCol w:w="798"/>
      </w:tblGrid>
      <w:tr w14:paraId="478036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0" w:type="auto"/>
            <w:gridSpan w:val="6"/>
            <w:tcBorders>
              <w:tl2br w:val="nil"/>
              <w:tr2bl w:val="nil"/>
            </w:tcBorders>
            <w:noWrap w:val="0"/>
            <w:vAlign w:val="center"/>
          </w:tcPr>
          <w:p w14:paraId="07F35B2E">
            <w:pPr>
              <w:adjustRightInd w:val="0"/>
              <w:snapToGrid w:val="0"/>
              <w:spacing w:line="360" w:lineRule="auto"/>
              <w:jc w:val="left"/>
              <w:rPr>
                <w:rFonts w:hint="eastAsia" w:ascii="宋体" w:hAnsi="宋体" w:eastAsia="宋体" w:cs="宋体"/>
                <w:b/>
                <w:color w:val="000000"/>
                <w:sz w:val="24"/>
              </w:rPr>
            </w:pPr>
            <w:r>
              <w:rPr>
                <w:rFonts w:hint="eastAsia" w:ascii="宋体" w:hAnsi="宋体" w:eastAsia="宋体" w:cs="宋体"/>
                <w:b/>
                <w:color w:val="000000"/>
                <w:sz w:val="24"/>
              </w:rPr>
              <w:t>对本项目</w:t>
            </w:r>
            <w:r>
              <w:rPr>
                <w:rFonts w:hint="eastAsia" w:ascii="宋体" w:hAnsi="宋体" w:eastAsia="宋体" w:cs="宋体"/>
                <w:b/>
                <w:color w:val="000000"/>
                <w:sz w:val="24"/>
                <w:lang w:val="en-US" w:eastAsia="zh-CN"/>
              </w:rPr>
              <w:t>商务、</w:t>
            </w:r>
            <w:r>
              <w:rPr>
                <w:rFonts w:hint="eastAsia" w:ascii="宋体" w:hAnsi="宋体" w:eastAsia="宋体" w:cs="宋体"/>
                <w:b/>
                <w:color w:val="000000"/>
                <w:sz w:val="24"/>
              </w:rPr>
              <w:t>合同条款的偏离情况（</w:t>
            </w:r>
            <w:r>
              <w:rPr>
                <w:rFonts w:hint="eastAsia"/>
                <w:b/>
                <w:color w:val="auto"/>
                <w:sz w:val="24"/>
              </w:rPr>
              <w:t>请进行勾选</w:t>
            </w:r>
            <w:r>
              <w:rPr>
                <w:rFonts w:hint="eastAsia"/>
                <w:b/>
                <w:color w:val="auto"/>
                <w:sz w:val="24"/>
                <w:lang w:val="en-US" w:eastAsia="zh-CN"/>
              </w:rPr>
              <w:t>打</w:t>
            </w:r>
            <w:r>
              <w:rPr>
                <w:rFonts w:hint="eastAsia"/>
                <w:b/>
                <w:color w:val="auto"/>
                <w:sz w:val="24"/>
                <w:lang w:eastAsia="zh-CN"/>
              </w:rPr>
              <w:t>“√”</w:t>
            </w:r>
            <w:r>
              <w:rPr>
                <w:rFonts w:hint="eastAsia" w:ascii="宋体" w:hAnsi="宋体" w:eastAsia="宋体" w:cs="宋体"/>
                <w:b/>
                <w:color w:val="000000"/>
                <w:sz w:val="24"/>
              </w:rPr>
              <w:t>）：</w:t>
            </w:r>
          </w:p>
          <w:p w14:paraId="69473B5F">
            <w:pPr>
              <w:adjustRightInd w:val="0"/>
              <w:snapToGrid w:val="0"/>
              <w:spacing w:line="360" w:lineRule="auto"/>
              <w:jc w:val="left"/>
              <w:rPr>
                <w:rFonts w:hint="eastAsia" w:ascii="宋体" w:hAnsi="宋体" w:eastAsia="宋体" w:cs="宋体"/>
                <w:b/>
                <w:color w:val="000000"/>
                <w:sz w:val="24"/>
              </w:rPr>
            </w:pPr>
            <w:r>
              <w:rPr>
                <w:rFonts w:hint="eastAsia" w:ascii="宋体" w:hAnsi="宋体" w:eastAsia="宋体" w:cs="宋体"/>
                <w:b/>
                <w:color w:val="000000"/>
                <w:sz w:val="24"/>
              </w:rPr>
              <w:sym w:font="Wingdings" w:char="00A8"/>
            </w:r>
            <w:r>
              <w:rPr>
                <w:rFonts w:hint="eastAsia" w:ascii="宋体" w:hAnsi="宋体" w:eastAsia="宋体" w:cs="宋体"/>
                <w:b/>
                <w:color w:val="000000"/>
                <w:sz w:val="24"/>
              </w:rPr>
              <w:t>无偏离</w:t>
            </w:r>
            <w:r>
              <w:rPr>
                <w:rFonts w:hint="eastAsia" w:ascii="宋体" w:hAnsi="宋体" w:eastAsia="宋体" w:cs="宋体"/>
                <w:color w:val="000000"/>
                <w:sz w:val="24"/>
              </w:rPr>
              <w:t>（</w:t>
            </w:r>
            <w:r>
              <w:rPr>
                <w:rFonts w:hint="eastAsia" w:ascii="宋体" w:hAnsi="宋体" w:eastAsia="宋体" w:cs="宋体"/>
                <w:color w:val="000000"/>
                <w:sz w:val="24"/>
                <w:szCs w:val="21"/>
              </w:rPr>
              <w:t>如无偏离，仅勾选无偏离即可</w:t>
            </w:r>
            <w:r>
              <w:rPr>
                <w:rFonts w:hint="eastAsia" w:ascii="宋体" w:hAnsi="宋体" w:eastAsia="宋体" w:cs="宋体"/>
                <w:color w:val="000000"/>
                <w:sz w:val="24"/>
              </w:rPr>
              <w:t>）</w:t>
            </w:r>
          </w:p>
          <w:p w14:paraId="67657AC8">
            <w:pPr>
              <w:adjustRightInd w:val="0"/>
              <w:snapToGrid w:val="0"/>
              <w:spacing w:line="360" w:lineRule="auto"/>
              <w:jc w:val="left"/>
              <w:rPr>
                <w:rFonts w:hint="eastAsia" w:ascii="宋体" w:hAnsi="宋体" w:eastAsia="宋体" w:cs="宋体"/>
                <w:color w:val="000000"/>
                <w:sz w:val="24"/>
              </w:rPr>
            </w:pPr>
            <w:r>
              <w:rPr>
                <w:rFonts w:hint="eastAsia" w:ascii="宋体" w:hAnsi="宋体" w:eastAsia="宋体" w:cs="宋体"/>
                <w:b/>
                <w:color w:val="000000"/>
                <w:sz w:val="24"/>
              </w:rPr>
              <w:sym w:font="Wingdings" w:char="00A8"/>
            </w:r>
            <w:r>
              <w:rPr>
                <w:rFonts w:hint="eastAsia" w:ascii="宋体" w:hAnsi="宋体" w:eastAsia="宋体" w:cs="宋体"/>
                <w:b/>
                <w:color w:val="000000"/>
                <w:sz w:val="24"/>
              </w:rPr>
              <w:t>有偏离</w:t>
            </w:r>
            <w:r>
              <w:rPr>
                <w:rFonts w:hint="eastAsia" w:ascii="宋体" w:hAnsi="宋体" w:eastAsia="宋体" w:cs="宋体"/>
                <w:color w:val="000000"/>
                <w:sz w:val="24"/>
              </w:rPr>
              <w:t>（</w:t>
            </w:r>
            <w:r>
              <w:rPr>
                <w:rFonts w:hint="eastAsia" w:ascii="宋体" w:hAnsi="宋体" w:eastAsia="宋体" w:cs="宋体"/>
                <w:color w:val="000000"/>
                <w:sz w:val="24"/>
                <w:szCs w:val="21"/>
              </w:rPr>
              <w:t>如有偏离，</w:t>
            </w:r>
            <w:r>
              <w:rPr>
                <w:rFonts w:hint="eastAsia" w:ascii="宋体" w:hAnsi="宋体" w:eastAsia="宋体" w:cs="宋体"/>
                <w:color w:val="000000"/>
                <w:sz w:val="24"/>
              </w:rPr>
              <w:t>则应在本表中对偏离项逐一列明）</w:t>
            </w:r>
          </w:p>
        </w:tc>
      </w:tr>
      <w:tr w14:paraId="695D988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839" w:type="dxa"/>
            <w:tcBorders>
              <w:tl2br w:val="nil"/>
              <w:tr2bl w:val="nil"/>
            </w:tcBorders>
            <w:noWrap w:val="0"/>
            <w:vAlign w:val="center"/>
          </w:tcPr>
          <w:p w14:paraId="612C35D8">
            <w:pPr>
              <w:adjustRightInd w:val="0"/>
              <w:snapToGrid w:val="0"/>
              <w:jc w:val="center"/>
              <w:rPr>
                <w:rFonts w:hint="eastAsia" w:ascii="宋体" w:hAnsi="宋体" w:eastAsia="宋体" w:cs="宋体"/>
                <w:color w:val="000000"/>
                <w:sz w:val="24"/>
              </w:rPr>
            </w:pPr>
            <w:r>
              <w:rPr>
                <w:rFonts w:hint="eastAsia" w:ascii="宋体" w:hAnsi="宋体" w:eastAsia="宋体" w:cs="宋体"/>
                <w:color w:val="000000"/>
                <w:sz w:val="24"/>
              </w:rPr>
              <w:t>序号</w:t>
            </w:r>
          </w:p>
        </w:tc>
        <w:tc>
          <w:tcPr>
            <w:tcW w:w="1757" w:type="dxa"/>
            <w:tcBorders>
              <w:tl2br w:val="nil"/>
              <w:tr2bl w:val="nil"/>
            </w:tcBorders>
            <w:noWrap w:val="0"/>
            <w:vAlign w:val="center"/>
          </w:tcPr>
          <w:p w14:paraId="7EA141CC">
            <w:pPr>
              <w:adjustRightInd w:val="0"/>
              <w:snapToGrid w:val="0"/>
              <w:jc w:val="center"/>
              <w:rPr>
                <w:rFonts w:hint="eastAsia" w:ascii="宋体" w:hAnsi="宋体" w:eastAsia="宋体" w:cs="宋体"/>
                <w:color w:val="000000"/>
                <w:sz w:val="24"/>
              </w:rPr>
            </w:pPr>
            <w:r>
              <w:rPr>
                <w:rFonts w:hint="eastAsia" w:ascii="宋体" w:hAnsi="宋体" w:eastAsia="宋体" w:cs="宋体"/>
                <w:color w:val="000000"/>
                <w:sz w:val="24"/>
                <w:szCs w:val="21"/>
              </w:rPr>
              <w:t>招标文件</w:t>
            </w:r>
            <w:r>
              <w:rPr>
                <w:rFonts w:hint="eastAsia" w:ascii="宋体" w:hAnsi="宋体" w:eastAsia="宋体" w:cs="宋体"/>
                <w:color w:val="000000"/>
                <w:sz w:val="24"/>
                <w:szCs w:val="21"/>
                <w:lang w:val="en-US" w:eastAsia="zh-CN"/>
              </w:rPr>
              <w:t>章节条款号</w:t>
            </w:r>
          </w:p>
        </w:tc>
        <w:tc>
          <w:tcPr>
            <w:tcW w:w="1811" w:type="dxa"/>
            <w:tcBorders>
              <w:tl2br w:val="nil"/>
              <w:tr2bl w:val="nil"/>
            </w:tcBorders>
            <w:noWrap w:val="0"/>
            <w:vAlign w:val="center"/>
          </w:tcPr>
          <w:p w14:paraId="7D8E539C">
            <w:pPr>
              <w:adjustRightInd w:val="0"/>
              <w:snapToGrid w:val="0"/>
              <w:jc w:val="center"/>
              <w:rPr>
                <w:rFonts w:hint="eastAsia" w:ascii="宋体" w:hAnsi="宋体" w:eastAsia="宋体" w:cs="宋体"/>
                <w:color w:val="000000"/>
                <w:sz w:val="24"/>
              </w:rPr>
            </w:pPr>
            <w:r>
              <w:rPr>
                <w:rFonts w:hint="eastAsia" w:ascii="宋体" w:hAnsi="宋体" w:eastAsia="宋体" w:cs="宋体"/>
                <w:color w:val="000000"/>
                <w:sz w:val="24"/>
                <w:szCs w:val="21"/>
              </w:rPr>
              <w:t>招标文件</w:t>
            </w:r>
            <w:r>
              <w:rPr>
                <w:rFonts w:hint="eastAsia" w:ascii="宋体" w:hAnsi="宋体" w:eastAsia="宋体" w:cs="宋体"/>
                <w:color w:val="000000"/>
                <w:sz w:val="24"/>
              </w:rPr>
              <w:t>要求</w:t>
            </w:r>
          </w:p>
        </w:tc>
        <w:tc>
          <w:tcPr>
            <w:tcW w:w="2182" w:type="dxa"/>
            <w:tcBorders>
              <w:tl2br w:val="nil"/>
              <w:tr2bl w:val="nil"/>
            </w:tcBorders>
            <w:noWrap w:val="0"/>
            <w:vAlign w:val="center"/>
          </w:tcPr>
          <w:p w14:paraId="0B12F49C">
            <w:pPr>
              <w:adjustRightInd w:val="0"/>
              <w:snapToGrid w:val="0"/>
              <w:jc w:val="center"/>
              <w:rPr>
                <w:rFonts w:hint="eastAsia" w:ascii="宋体" w:hAnsi="宋体" w:eastAsia="宋体" w:cs="宋体"/>
                <w:color w:val="000000"/>
                <w:sz w:val="24"/>
              </w:rPr>
            </w:pPr>
            <w:r>
              <w:rPr>
                <w:rFonts w:hint="eastAsia" w:ascii="宋体" w:hAnsi="宋体" w:eastAsia="宋体" w:cs="宋体"/>
                <w:color w:val="000000"/>
                <w:sz w:val="24"/>
              </w:rPr>
              <w:t>投标文件内容</w:t>
            </w:r>
          </w:p>
        </w:tc>
        <w:tc>
          <w:tcPr>
            <w:tcW w:w="2073" w:type="dxa"/>
            <w:tcBorders>
              <w:tl2br w:val="nil"/>
              <w:tr2bl w:val="nil"/>
            </w:tcBorders>
            <w:noWrap w:val="0"/>
            <w:vAlign w:val="center"/>
          </w:tcPr>
          <w:p w14:paraId="2C103A7F">
            <w:pPr>
              <w:adjustRightInd w:val="0"/>
              <w:snapToGrid w:val="0"/>
              <w:jc w:val="center"/>
              <w:rPr>
                <w:rFonts w:hint="eastAsia" w:ascii="宋体" w:hAnsi="宋体" w:eastAsia="宋体" w:cs="宋体"/>
                <w:color w:val="000000"/>
                <w:sz w:val="24"/>
              </w:rPr>
            </w:pPr>
            <w:r>
              <w:rPr>
                <w:rFonts w:hint="eastAsia" w:ascii="宋体" w:hAnsi="宋体" w:eastAsia="宋体" w:cs="宋体"/>
                <w:color w:val="000000"/>
                <w:sz w:val="24"/>
              </w:rPr>
              <w:t>偏离情况</w:t>
            </w:r>
          </w:p>
        </w:tc>
        <w:tc>
          <w:tcPr>
            <w:tcW w:w="798" w:type="dxa"/>
            <w:tcBorders>
              <w:tl2br w:val="nil"/>
              <w:tr2bl w:val="nil"/>
            </w:tcBorders>
            <w:noWrap w:val="0"/>
            <w:vAlign w:val="center"/>
          </w:tcPr>
          <w:p w14:paraId="2B985339">
            <w:pPr>
              <w:adjustRightInd w:val="0"/>
              <w:snapToGrid w:val="0"/>
              <w:jc w:val="center"/>
              <w:rPr>
                <w:rFonts w:hint="eastAsia" w:ascii="宋体" w:hAnsi="宋体" w:eastAsia="宋体" w:cs="宋体"/>
                <w:color w:val="000000"/>
                <w:sz w:val="24"/>
              </w:rPr>
            </w:pPr>
            <w:r>
              <w:rPr>
                <w:rFonts w:hint="eastAsia" w:ascii="宋体" w:hAnsi="宋体" w:eastAsia="宋体" w:cs="宋体"/>
                <w:color w:val="000000"/>
                <w:sz w:val="24"/>
              </w:rPr>
              <w:t>说明</w:t>
            </w:r>
          </w:p>
        </w:tc>
      </w:tr>
      <w:tr w14:paraId="194359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39" w:type="dxa"/>
            <w:tcBorders>
              <w:tl2br w:val="nil"/>
              <w:tr2bl w:val="nil"/>
            </w:tcBorders>
            <w:noWrap w:val="0"/>
            <w:vAlign w:val="center"/>
          </w:tcPr>
          <w:p w14:paraId="630FC87F">
            <w:pPr>
              <w:adjustRightInd w:val="0"/>
              <w:snapToGrid w:val="0"/>
              <w:jc w:val="center"/>
              <w:rPr>
                <w:rFonts w:hint="eastAsia" w:ascii="宋体" w:hAnsi="宋体" w:eastAsia="宋体" w:cs="宋体"/>
                <w:color w:val="000000"/>
                <w:sz w:val="24"/>
              </w:rPr>
            </w:pPr>
          </w:p>
        </w:tc>
        <w:tc>
          <w:tcPr>
            <w:tcW w:w="1757" w:type="dxa"/>
            <w:tcBorders>
              <w:tl2br w:val="nil"/>
              <w:tr2bl w:val="nil"/>
            </w:tcBorders>
            <w:noWrap w:val="0"/>
            <w:vAlign w:val="center"/>
          </w:tcPr>
          <w:p w14:paraId="17F73407">
            <w:pPr>
              <w:adjustRightInd w:val="0"/>
              <w:snapToGrid w:val="0"/>
              <w:jc w:val="center"/>
              <w:rPr>
                <w:rFonts w:hint="eastAsia" w:ascii="宋体" w:hAnsi="宋体" w:eastAsia="宋体" w:cs="宋体"/>
                <w:color w:val="000000"/>
                <w:sz w:val="24"/>
              </w:rPr>
            </w:pPr>
          </w:p>
        </w:tc>
        <w:tc>
          <w:tcPr>
            <w:tcW w:w="1811" w:type="dxa"/>
            <w:tcBorders>
              <w:tl2br w:val="nil"/>
              <w:tr2bl w:val="nil"/>
            </w:tcBorders>
            <w:noWrap w:val="0"/>
            <w:vAlign w:val="center"/>
          </w:tcPr>
          <w:p w14:paraId="213AD8F8">
            <w:pPr>
              <w:adjustRightInd w:val="0"/>
              <w:snapToGrid w:val="0"/>
              <w:jc w:val="center"/>
              <w:rPr>
                <w:rFonts w:hint="eastAsia" w:ascii="宋体" w:hAnsi="宋体" w:eastAsia="宋体" w:cs="宋体"/>
                <w:color w:val="000000"/>
                <w:sz w:val="24"/>
              </w:rPr>
            </w:pPr>
          </w:p>
        </w:tc>
        <w:tc>
          <w:tcPr>
            <w:tcW w:w="2182" w:type="dxa"/>
            <w:tcBorders>
              <w:tl2br w:val="nil"/>
              <w:tr2bl w:val="nil"/>
            </w:tcBorders>
            <w:noWrap w:val="0"/>
            <w:vAlign w:val="center"/>
          </w:tcPr>
          <w:p w14:paraId="2CB2C8ED">
            <w:pPr>
              <w:adjustRightInd w:val="0"/>
              <w:snapToGrid w:val="0"/>
              <w:jc w:val="center"/>
              <w:rPr>
                <w:rFonts w:hint="eastAsia" w:ascii="宋体" w:hAnsi="宋体" w:eastAsia="宋体" w:cs="宋体"/>
                <w:color w:val="000000"/>
                <w:sz w:val="24"/>
              </w:rPr>
            </w:pPr>
          </w:p>
        </w:tc>
        <w:tc>
          <w:tcPr>
            <w:tcW w:w="2073" w:type="dxa"/>
            <w:tcBorders>
              <w:tl2br w:val="nil"/>
              <w:tr2bl w:val="nil"/>
            </w:tcBorders>
            <w:noWrap w:val="0"/>
            <w:vAlign w:val="center"/>
          </w:tcPr>
          <w:p w14:paraId="47EEA9F3">
            <w:pPr>
              <w:adjustRightInd w:val="0"/>
              <w:snapToGrid w:val="0"/>
              <w:jc w:val="center"/>
              <w:rPr>
                <w:rFonts w:hint="eastAsia" w:ascii="宋体" w:hAnsi="宋体" w:eastAsia="宋体" w:cs="宋体"/>
                <w:color w:val="000000"/>
                <w:sz w:val="24"/>
              </w:rPr>
            </w:pPr>
          </w:p>
        </w:tc>
        <w:tc>
          <w:tcPr>
            <w:tcW w:w="798" w:type="dxa"/>
            <w:tcBorders>
              <w:tl2br w:val="nil"/>
              <w:tr2bl w:val="nil"/>
            </w:tcBorders>
            <w:noWrap w:val="0"/>
            <w:vAlign w:val="center"/>
          </w:tcPr>
          <w:p w14:paraId="007BC076">
            <w:pPr>
              <w:adjustRightInd w:val="0"/>
              <w:snapToGrid w:val="0"/>
              <w:jc w:val="center"/>
              <w:rPr>
                <w:rFonts w:hint="eastAsia" w:ascii="宋体" w:hAnsi="宋体" w:eastAsia="宋体" w:cs="宋体"/>
                <w:color w:val="000000"/>
                <w:sz w:val="24"/>
              </w:rPr>
            </w:pPr>
          </w:p>
        </w:tc>
      </w:tr>
      <w:tr w14:paraId="20ED8D2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39" w:type="dxa"/>
            <w:tcBorders>
              <w:tl2br w:val="nil"/>
              <w:tr2bl w:val="nil"/>
            </w:tcBorders>
            <w:noWrap w:val="0"/>
            <w:vAlign w:val="center"/>
          </w:tcPr>
          <w:p w14:paraId="4F9A9CAD">
            <w:pPr>
              <w:adjustRightInd w:val="0"/>
              <w:snapToGrid w:val="0"/>
              <w:jc w:val="center"/>
              <w:rPr>
                <w:rFonts w:hint="eastAsia" w:ascii="宋体" w:hAnsi="宋体" w:eastAsia="宋体" w:cs="宋体"/>
                <w:color w:val="000000"/>
                <w:sz w:val="24"/>
              </w:rPr>
            </w:pPr>
          </w:p>
        </w:tc>
        <w:tc>
          <w:tcPr>
            <w:tcW w:w="1757" w:type="dxa"/>
            <w:tcBorders>
              <w:tl2br w:val="nil"/>
              <w:tr2bl w:val="nil"/>
            </w:tcBorders>
            <w:noWrap w:val="0"/>
            <w:vAlign w:val="center"/>
          </w:tcPr>
          <w:p w14:paraId="24AA3355">
            <w:pPr>
              <w:adjustRightInd w:val="0"/>
              <w:snapToGrid w:val="0"/>
              <w:jc w:val="center"/>
              <w:rPr>
                <w:rFonts w:hint="eastAsia" w:ascii="宋体" w:hAnsi="宋体" w:eastAsia="宋体" w:cs="宋体"/>
                <w:color w:val="000000"/>
                <w:sz w:val="24"/>
              </w:rPr>
            </w:pPr>
          </w:p>
        </w:tc>
        <w:tc>
          <w:tcPr>
            <w:tcW w:w="1811" w:type="dxa"/>
            <w:tcBorders>
              <w:tl2br w:val="nil"/>
              <w:tr2bl w:val="nil"/>
            </w:tcBorders>
            <w:noWrap w:val="0"/>
            <w:vAlign w:val="center"/>
          </w:tcPr>
          <w:p w14:paraId="17F6618E">
            <w:pPr>
              <w:adjustRightInd w:val="0"/>
              <w:snapToGrid w:val="0"/>
              <w:jc w:val="center"/>
              <w:rPr>
                <w:rFonts w:hint="eastAsia" w:ascii="宋体" w:hAnsi="宋体" w:eastAsia="宋体" w:cs="宋体"/>
                <w:color w:val="000000"/>
                <w:sz w:val="24"/>
              </w:rPr>
            </w:pPr>
          </w:p>
        </w:tc>
        <w:tc>
          <w:tcPr>
            <w:tcW w:w="2182" w:type="dxa"/>
            <w:tcBorders>
              <w:tl2br w:val="nil"/>
              <w:tr2bl w:val="nil"/>
            </w:tcBorders>
            <w:noWrap w:val="0"/>
            <w:vAlign w:val="center"/>
          </w:tcPr>
          <w:p w14:paraId="4E4A2E8E">
            <w:pPr>
              <w:adjustRightInd w:val="0"/>
              <w:snapToGrid w:val="0"/>
              <w:jc w:val="center"/>
              <w:rPr>
                <w:rFonts w:hint="eastAsia" w:ascii="宋体" w:hAnsi="宋体" w:eastAsia="宋体" w:cs="宋体"/>
                <w:color w:val="000000"/>
                <w:sz w:val="24"/>
              </w:rPr>
            </w:pPr>
          </w:p>
        </w:tc>
        <w:tc>
          <w:tcPr>
            <w:tcW w:w="2073" w:type="dxa"/>
            <w:tcBorders>
              <w:tl2br w:val="nil"/>
              <w:tr2bl w:val="nil"/>
            </w:tcBorders>
            <w:noWrap w:val="0"/>
            <w:vAlign w:val="center"/>
          </w:tcPr>
          <w:p w14:paraId="4E73C6FC">
            <w:pPr>
              <w:adjustRightInd w:val="0"/>
              <w:snapToGrid w:val="0"/>
              <w:jc w:val="center"/>
              <w:rPr>
                <w:rFonts w:hint="eastAsia" w:ascii="宋体" w:hAnsi="宋体" w:eastAsia="宋体" w:cs="宋体"/>
                <w:color w:val="000000"/>
                <w:sz w:val="24"/>
              </w:rPr>
            </w:pPr>
          </w:p>
        </w:tc>
        <w:tc>
          <w:tcPr>
            <w:tcW w:w="798" w:type="dxa"/>
            <w:tcBorders>
              <w:tl2br w:val="nil"/>
              <w:tr2bl w:val="nil"/>
            </w:tcBorders>
            <w:noWrap w:val="0"/>
            <w:vAlign w:val="center"/>
          </w:tcPr>
          <w:p w14:paraId="56FE5979">
            <w:pPr>
              <w:adjustRightInd w:val="0"/>
              <w:snapToGrid w:val="0"/>
              <w:jc w:val="center"/>
              <w:rPr>
                <w:rFonts w:hint="eastAsia" w:ascii="宋体" w:hAnsi="宋体" w:eastAsia="宋体" w:cs="宋体"/>
                <w:color w:val="000000"/>
                <w:sz w:val="24"/>
              </w:rPr>
            </w:pPr>
          </w:p>
        </w:tc>
      </w:tr>
      <w:tr w14:paraId="5290986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460" w:type="dxa"/>
            <w:gridSpan w:val="6"/>
            <w:tcBorders>
              <w:tl2br w:val="nil"/>
              <w:tr2bl w:val="nil"/>
            </w:tcBorders>
            <w:noWrap w:val="0"/>
            <w:vAlign w:val="center"/>
          </w:tcPr>
          <w:p w14:paraId="2C9FF51D">
            <w:pPr>
              <w:adjustRightInd w:val="0"/>
              <w:snapToGrid w:val="0"/>
              <w:ind w:firstLine="482" w:firstLineChars="200"/>
              <w:jc w:val="left"/>
              <w:rPr>
                <w:rFonts w:hint="eastAsia" w:ascii="宋体" w:hAnsi="宋体" w:eastAsia="宋体" w:cs="宋体"/>
                <w:color w:val="000000"/>
                <w:sz w:val="24"/>
              </w:rPr>
            </w:pPr>
            <w:r>
              <w:rPr>
                <w:rFonts w:hint="eastAsia" w:ascii="宋体" w:hAnsi="宋体" w:eastAsia="宋体" w:cs="宋体"/>
                <w:b/>
                <w:color w:val="auto"/>
                <w:sz w:val="24"/>
                <w:szCs w:val="24"/>
              </w:rPr>
              <w:t>投标人保证：除本商务、合同条款偏离表列出的偏离外，我单位对招标文件的其他商务、合同条款完全响应，无偏离。</w:t>
            </w:r>
          </w:p>
        </w:tc>
      </w:tr>
    </w:tbl>
    <w:p w14:paraId="67705863">
      <w:pPr>
        <w:adjustRightInd w:val="0"/>
        <w:snapToGrid w:val="0"/>
        <w:spacing w:before="50" w:line="360" w:lineRule="auto"/>
        <w:rPr>
          <w:rFonts w:hint="eastAsia" w:ascii="宋体" w:hAnsi="宋体" w:eastAsia="宋体" w:cs="宋体"/>
          <w:b w:val="0"/>
          <w:bCs w:val="0"/>
          <w:color w:val="auto"/>
          <w:sz w:val="24"/>
          <w:lang w:eastAsia="zh-CN"/>
        </w:rPr>
      </w:pPr>
    </w:p>
    <w:p w14:paraId="5C914500">
      <w:pPr>
        <w:adjustRightInd w:val="0"/>
        <w:snapToGrid w:val="0"/>
        <w:spacing w:before="50" w:line="360" w:lineRule="auto"/>
        <w:rPr>
          <w:rFonts w:hint="default"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rPr>
        <w:t>投标人名称（</w:t>
      </w:r>
      <w:r>
        <w:rPr>
          <w:rFonts w:hint="eastAsia" w:ascii="宋体" w:hAnsi="宋体" w:eastAsia="宋体" w:cs="宋体"/>
          <w:b/>
          <w:bCs/>
          <w:color w:val="auto"/>
          <w:sz w:val="24"/>
          <w:szCs w:val="24"/>
          <w:lang w:eastAsia="zh-CN"/>
        </w:rPr>
        <w:t>盖单位</w:t>
      </w:r>
      <w:r>
        <w:rPr>
          <w:rFonts w:hint="eastAsia" w:ascii="宋体" w:hAnsi="宋体" w:cs="宋体"/>
          <w:b/>
          <w:bCs/>
          <w:color w:val="auto"/>
          <w:sz w:val="24"/>
          <w:szCs w:val="24"/>
          <w:lang w:eastAsia="zh-CN"/>
        </w:rPr>
        <w:t>公</w:t>
      </w:r>
      <w:r>
        <w:rPr>
          <w:rFonts w:hint="eastAsia" w:ascii="宋体" w:hAnsi="宋体" w:eastAsia="宋体" w:cs="宋体"/>
          <w:b/>
          <w:bCs/>
          <w:color w:val="auto"/>
          <w:sz w:val="24"/>
          <w:szCs w:val="24"/>
          <w:lang w:eastAsia="zh-CN"/>
        </w:rPr>
        <w:t>章</w:t>
      </w:r>
      <w:r>
        <w:rPr>
          <w:rFonts w:hint="eastAsia" w:ascii="宋体" w:hAnsi="宋体" w:eastAsia="宋体" w:cs="宋体"/>
          <w:b/>
          <w:bCs/>
          <w:color w:val="auto"/>
          <w:sz w:val="24"/>
          <w:szCs w:val="24"/>
        </w:rPr>
        <w:t>）：</w:t>
      </w:r>
      <w:r>
        <w:rPr>
          <w:rFonts w:hint="eastAsia" w:ascii="宋体" w:hAnsi="宋体" w:cs="宋体"/>
          <w:b/>
          <w:bCs/>
          <w:color w:val="auto"/>
          <w:sz w:val="24"/>
          <w:szCs w:val="24"/>
          <w:u w:val="single"/>
          <w:lang w:val="en-US" w:eastAsia="zh-CN"/>
        </w:rPr>
        <w:t xml:space="preserve">                  </w:t>
      </w:r>
    </w:p>
    <w:p w14:paraId="1FB55249">
      <w:pPr>
        <w:adjustRightInd w:val="0"/>
        <w:snapToGrid w:val="0"/>
        <w:spacing w:before="50" w:line="360" w:lineRule="auto"/>
        <w:rPr>
          <w:rFonts w:hint="eastAsia" w:ascii="宋体" w:hAnsi="宋体" w:eastAsia="宋体" w:cs="宋体"/>
          <w:b/>
          <w:bCs/>
          <w:color w:val="auto"/>
          <w:sz w:val="24"/>
          <w:szCs w:val="24"/>
        </w:rPr>
      </w:pPr>
      <w:r>
        <w:rPr>
          <w:rFonts w:hint="eastAsia" w:ascii="宋体" w:hAnsi="宋体" w:eastAsia="宋体" w:cs="宋体"/>
          <w:b/>
          <w:bCs/>
          <w:color w:val="auto"/>
          <w:spacing w:val="-2"/>
          <w:kern w:val="0"/>
          <w:sz w:val="24"/>
          <w:szCs w:val="24"/>
        </w:rPr>
        <w:t>法</w:t>
      </w:r>
      <w:r>
        <w:rPr>
          <w:rFonts w:hint="eastAsia" w:ascii="宋体" w:hAnsi="宋体" w:eastAsia="宋体" w:cs="宋体"/>
          <w:b/>
          <w:bCs/>
          <w:color w:val="auto"/>
          <w:kern w:val="0"/>
          <w:sz w:val="24"/>
          <w:szCs w:val="24"/>
        </w:rPr>
        <w:t>定</w:t>
      </w:r>
      <w:r>
        <w:rPr>
          <w:rFonts w:hint="eastAsia" w:ascii="宋体" w:hAnsi="宋体" w:eastAsia="宋体" w:cs="宋体"/>
          <w:b/>
          <w:bCs/>
          <w:color w:val="auto"/>
          <w:spacing w:val="-2"/>
          <w:kern w:val="0"/>
          <w:sz w:val="24"/>
          <w:szCs w:val="24"/>
        </w:rPr>
        <w:t>代</w:t>
      </w:r>
      <w:r>
        <w:rPr>
          <w:rFonts w:hint="eastAsia" w:ascii="宋体" w:hAnsi="宋体" w:eastAsia="宋体" w:cs="宋体"/>
          <w:b/>
          <w:bCs/>
          <w:color w:val="auto"/>
          <w:kern w:val="0"/>
          <w:sz w:val="24"/>
          <w:szCs w:val="24"/>
        </w:rPr>
        <w:t>表</w:t>
      </w:r>
      <w:r>
        <w:rPr>
          <w:rFonts w:hint="eastAsia" w:ascii="宋体" w:hAnsi="宋体" w:eastAsia="宋体" w:cs="宋体"/>
          <w:b/>
          <w:bCs/>
          <w:color w:val="auto"/>
          <w:spacing w:val="-2"/>
          <w:kern w:val="0"/>
          <w:sz w:val="24"/>
          <w:szCs w:val="24"/>
        </w:rPr>
        <w:t>人</w:t>
      </w:r>
      <w:r>
        <w:rPr>
          <w:rFonts w:hint="eastAsia" w:ascii="宋体" w:hAnsi="宋体" w:eastAsia="宋体" w:cs="宋体"/>
          <w:b/>
          <w:bCs/>
          <w:color w:val="auto"/>
          <w:kern w:val="0"/>
          <w:sz w:val="24"/>
          <w:szCs w:val="24"/>
        </w:rPr>
        <w:t>（</w:t>
      </w:r>
      <w:r>
        <w:rPr>
          <w:rFonts w:hint="eastAsia" w:ascii="宋体" w:hAnsi="宋体" w:eastAsia="宋体" w:cs="宋体"/>
          <w:b/>
          <w:bCs/>
          <w:color w:val="auto"/>
          <w:spacing w:val="-2"/>
          <w:kern w:val="0"/>
          <w:sz w:val="24"/>
          <w:szCs w:val="24"/>
        </w:rPr>
        <w:t>单</w:t>
      </w:r>
      <w:r>
        <w:rPr>
          <w:rFonts w:hint="eastAsia" w:ascii="宋体" w:hAnsi="宋体" w:eastAsia="宋体" w:cs="宋体"/>
          <w:b/>
          <w:bCs/>
          <w:color w:val="auto"/>
          <w:kern w:val="0"/>
          <w:sz w:val="24"/>
          <w:szCs w:val="24"/>
        </w:rPr>
        <w:t>位</w:t>
      </w:r>
      <w:r>
        <w:rPr>
          <w:rFonts w:hint="eastAsia" w:ascii="宋体" w:hAnsi="宋体" w:eastAsia="宋体" w:cs="宋体"/>
          <w:b/>
          <w:bCs/>
          <w:color w:val="auto"/>
          <w:spacing w:val="-2"/>
          <w:kern w:val="0"/>
          <w:sz w:val="24"/>
          <w:szCs w:val="24"/>
        </w:rPr>
        <w:t>负</w:t>
      </w:r>
      <w:r>
        <w:rPr>
          <w:rFonts w:hint="eastAsia" w:ascii="宋体" w:hAnsi="宋体" w:eastAsia="宋体" w:cs="宋体"/>
          <w:b/>
          <w:bCs/>
          <w:color w:val="auto"/>
          <w:kern w:val="0"/>
          <w:sz w:val="24"/>
          <w:szCs w:val="24"/>
        </w:rPr>
        <w:t>责人</w:t>
      </w:r>
      <w:r>
        <w:rPr>
          <w:rFonts w:hint="eastAsia" w:ascii="宋体" w:hAnsi="宋体" w:eastAsia="宋体" w:cs="宋体"/>
          <w:b/>
          <w:bCs/>
          <w:color w:val="auto"/>
          <w:spacing w:val="-2"/>
          <w:kern w:val="0"/>
          <w:sz w:val="24"/>
          <w:szCs w:val="24"/>
        </w:rPr>
        <w:t>）</w:t>
      </w:r>
      <w:r>
        <w:rPr>
          <w:rFonts w:hint="eastAsia" w:ascii="宋体" w:hAnsi="宋体" w:eastAsia="宋体" w:cs="宋体"/>
          <w:b/>
          <w:bCs/>
          <w:color w:val="auto"/>
          <w:sz w:val="24"/>
          <w:szCs w:val="24"/>
        </w:rPr>
        <w:t>或其授权的代理人（签字或印章）：</w:t>
      </w:r>
      <w:r>
        <w:rPr>
          <w:rFonts w:hint="eastAsia" w:ascii="宋体" w:hAnsi="宋体" w:eastAsia="宋体" w:cs="宋体"/>
          <w:b/>
          <w:bCs/>
          <w:color w:val="auto"/>
          <w:sz w:val="24"/>
          <w:szCs w:val="24"/>
          <w:u w:val="single"/>
        </w:rPr>
        <w:t xml:space="preserve">           </w:t>
      </w:r>
    </w:p>
    <w:p w14:paraId="1593DE1B">
      <w:pPr>
        <w:adjustRightInd w:val="0"/>
        <w:snapToGrid w:val="0"/>
        <w:spacing w:line="480" w:lineRule="auto"/>
        <w:rPr>
          <w:rFonts w:hint="eastAsia" w:ascii="宋体" w:hAnsi="宋体" w:eastAsia="宋体" w:cs="宋体"/>
          <w:b/>
          <w:color w:val="auto"/>
          <w:sz w:val="24"/>
        </w:rPr>
      </w:pPr>
      <w:r>
        <w:rPr>
          <w:rFonts w:hint="eastAsia" w:ascii="宋体" w:hAnsi="宋体" w:eastAsia="宋体" w:cs="宋体"/>
          <w:b/>
          <w:bCs/>
          <w:color w:val="auto"/>
          <w:sz w:val="24"/>
        </w:rPr>
        <w:t>日 期：</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r>
        <w:rPr>
          <w:rFonts w:hint="eastAsia" w:ascii="宋体" w:hAnsi="宋体" w:eastAsia="宋体" w:cs="宋体"/>
          <w:b/>
          <w:bCs/>
          <w:color w:val="auto"/>
          <w:sz w:val="24"/>
        </w:rPr>
        <w:t>年</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r>
        <w:rPr>
          <w:rFonts w:hint="eastAsia" w:ascii="宋体" w:hAnsi="宋体" w:eastAsia="宋体" w:cs="宋体"/>
          <w:b/>
          <w:bCs/>
          <w:color w:val="auto"/>
          <w:sz w:val="24"/>
        </w:rPr>
        <w:t>月</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r>
        <w:rPr>
          <w:rFonts w:hint="eastAsia" w:ascii="宋体" w:hAnsi="宋体" w:eastAsia="宋体" w:cs="宋体"/>
          <w:b/>
          <w:bCs/>
          <w:color w:val="auto"/>
          <w:sz w:val="24"/>
        </w:rPr>
        <w:t>日</w:t>
      </w:r>
    </w:p>
    <w:p w14:paraId="6DF38D0F">
      <w:pPr>
        <w:adjustRightInd w:val="0"/>
        <w:snapToGrid w:val="0"/>
        <w:spacing w:before="50" w:line="360" w:lineRule="auto"/>
        <w:ind w:left="-88" w:leftChars="-42"/>
        <w:rPr>
          <w:rFonts w:hint="eastAsia" w:ascii="宋体" w:hAnsi="宋体" w:eastAsia="宋体" w:cs="宋体"/>
          <w:color w:val="auto"/>
          <w:sz w:val="24"/>
          <w:lang w:eastAsia="zh-CN"/>
        </w:rPr>
      </w:pPr>
      <w:r>
        <w:rPr>
          <w:rFonts w:hint="eastAsia" w:ascii="宋体" w:hAnsi="宋体" w:eastAsia="宋体" w:cs="宋体"/>
          <w:b/>
          <w:color w:val="auto"/>
          <w:sz w:val="24"/>
        </w:rPr>
        <w:t>备注</w:t>
      </w:r>
      <w:r>
        <w:rPr>
          <w:rFonts w:hint="eastAsia" w:ascii="宋体" w:hAnsi="宋体" w:eastAsia="宋体" w:cs="宋体"/>
          <w:color w:val="auto"/>
          <w:sz w:val="24"/>
        </w:rPr>
        <w:t>：（1）</w:t>
      </w:r>
      <w:r>
        <w:rPr>
          <w:rFonts w:hint="eastAsia" w:ascii="宋体" w:hAnsi="宋体" w:eastAsia="宋体" w:cs="宋体"/>
          <w:color w:val="000000"/>
          <w:sz w:val="24"/>
        </w:rPr>
        <w:t xml:space="preserve"> </w:t>
      </w:r>
      <w:r>
        <w:rPr>
          <w:rFonts w:hint="eastAsia" w:ascii="宋体" w:hAnsi="宋体" w:eastAsia="宋体" w:cs="宋体"/>
          <w:sz w:val="24"/>
        </w:rPr>
        <w:t>对</w:t>
      </w:r>
      <w:r>
        <w:rPr>
          <w:rFonts w:hint="eastAsia" w:ascii="宋体" w:hAnsi="宋体" w:eastAsia="宋体" w:cs="宋体"/>
          <w:sz w:val="24"/>
          <w:lang w:val="en-US" w:eastAsia="zh-CN"/>
        </w:rPr>
        <w:t>商务、</w:t>
      </w:r>
      <w:r>
        <w:rPr>
          <w:rFonts w:hint="eastAsia" w:ascii="宋体" w:hAnsi="宋体" w:eastAsia="宋体" w:cs="宋体"/>
          <w:sz w:val="24"/>
        </w:rPr>
        <w:t>合同条款中的所有要求，除本表所列明的所有偏离外，均视作供应商已对</w:t>
      </w:r>
      <w:r>
        <w:rPr>
          <w:rFonts w:hint="eastAsia" w:ascii="宋体" w:hAnsi="宋体" w:eastAsia="宋体" w:cs="宋体"/>
          <w:sz w:val="24"/>
          <w:lang w:val="en-US" w:eastAsia="zh-CN"/>
        </w:rPr>
        <w:t>招标文件</w:t>
      </w:r>
      <w:r>
        <w:rPr>
          <w:rFonts w:hint="eastAsia" w:ascii="宋体" w:hAnsi="宋体" w:eastAsia="宋体" w:cs="宋体"/>
          <w:sz w:val="24"/>
        </w:rPr>
        <w:t>理解和响应</w:t>
      </w:r>
      <w:r>
        <w:rPr>
          <w:rFonts w:hint="eastAsia" w:ascii="宋体" w:hAnsi="宋体" w:eastAsia="宋体" w:cs="宋体"/>
          <w:color w:val="auto"/>
          <w:sz w:val="24"/>
          <w:lang w:eastAsia="zh-CN"/>
        </w:rPr>
        <w:t>。</w:t>
      </w:r>
    </w:p>
    <w:p w14:paraId="08EA892F">
      <w:pPr>
        <w:adjustRightInd w:val="0"/>
        <w:snapToGrid w:val="0"/>
        <w:spacing w:before="50" w:line="360" w:lineRule="auto"/>
        <w:ind w:left="-88" w:leftChars="-42" w:firstLine="720" w:firstLineChars="300"/>
        <w:rPr>
          <w:rFonts w:hint="eastAsia" w:ascii="宋体" w:hAnsi="宋体" w:eastAsia="宋体" w:cs="宋体"/>
          <w:b/>
          <w:color w:val="auto"/>
          <w:sz w:val="24"/>
          <w:lang w:eastAsia="zh-CN"/>
        </w:rPr>
      </w:pPr>
      <w:r>
        <w:rPr>
          <w:rFonts w:hint="eastAsia" w:ascii="宋体" w:hAnsi="宋体" w:eastAsia="宋体" w:cs="宋体"/>
          <w:color w:val="auto"/>
          <w:sz w:val="24"/>
        </w:rPr>
        <w:t>（2）</w:t>
      </w:r>
      <w:r>
        <w:rPr>
          <w:rFonts w:hint="eastAsia" w:ascii="宋体" w:hAnsi="宋体" w:eastAsia="宋体" w:cs="宋体"/>
          <w:bCs/>
          <w:color w:val="auto"/>
          <w:sz w:val="24"/>
          <w:lang w:eastAsia="zh-CN"/>
        </w:rPr>
        <w:t>投标供应商</w:t>
      </w:r>
      <w:r>
        <w:rPr>
          <w:rFonts w:hint="eastAsia" w:ascii="宋体" w:hAnsi="宋体" w:eastAsia="宋体" w:cs="宋体"/>
          <w:bCs/>
          <w:color w:val="auto"/>
          <w:sz w:val="24"/>
        </w:rPr>
        <w:t>如果对招标文件第二章投标须</w:t>
      </w:r>
      <w:r>
        <w:rPr>
          <w:rFonts w:hint="eastAsia" w:ascii="宋体" w:hAnsi="宋体" w:eastAsia="宋体" w:cs="宋体"/>
          <w:color w:val="auto"/>
          <w:sz w:val="24"/>
          <w:lang w:eastAsia="zh-CN"/>
        </w:rPr>
        <w:t>知及</w:t>
      </w:r>
      <w:r>
        <w:rPr>
          <w:rFonts w:hint="eastAsia" w:ascii="宋体" w:hAnsi="宋体" w:eastAsia="宋体" w:cs="宋体"/>
          <w:bCs/>
          <w:color w:val="auto"/>
          <w:sz w:val="24"/>
        </w:rPr>
        <w:t>第六章政府采购合同条款的响应有偏离，应将偏离条款逐条如实应答，并作出说明</w:t>
      </w:r>
      <w:r>
        <w:rPr>
          <w:rFonts w:hint="eastAsia" w:ascii="宋体" w:hAnsi="宋体" w:eastAsia="宋体" w:cs="宋体"/>
          <w:bCs/>
          <w:color w:val="auto"/>
          <w:sz w:val="24"/>
          <w:lang w:eastAsia="zh-CN"/>
        </w:rPr>
        <w:t>，</w:t>
      </w:r>
      <w:r>
        <w:rPr>
          <w:rFonts w:hint="eastAsia" w:ascii="宋体" w:hAnsi="宋体" w:eastAsia="宋体" w:cs="宋体"/>
          <w:sz w:val="24"/>
        </w:rPr>
        <w:t>“偏离情况”列应</w:t>
      </w:r>
      <w:r>
        <w:rPr>
          <w:rFonts w:hint="eastAsia" w:ascii="宋体" w:hAnsi="宋体" w:eastAsia="宋体" w:cs="宋体"/>
          <w:color w:val="000000"/>
          <w:sz w:val="24"/>
        </w:rPr>
        <w:t>据实</w:t>
      </w:r>
      <w:r>
        <w:rPr>
          <w:rFonts w:hint="eastAsia" w:ascii="宋体" w:hAnsi="宋体" w:eastAsia="宋体" w:cs="宋体"/>
          <w:sz w:val="24"/>
        </w:rPr>
        <w:t>填写“正偏离”或“负偏离”</w:t>
      </w:r>
      <w:r>
        <w:rPr>
          <w:rFonts w:hint="eastAsia" w:ascii="宋体" w:hAnsi="宋体" w:eastAsia="宋体" w:cs="宋体"/>
          <w:sz w:val="24"/>
          <w:lang w:eastAsia="zh-CN"/>
        </w:rPr>
        <w:t>。</w:t>
      </w:r>
    </w:p>
    <w:p w14:paraId="6BBFFD70">
      <w:pPr>
        <w:adjustRightInd w:val="0"/>
        <w:snapToGrid w:val="0"/>
        <w:spacing w:before="50" w:line="360" w:lineRule="auto"/>
        <w:ind w:left="-88" w:leftChars="-42" w:firstLine="720" w:firstLineChars="300"/>
        <w:rPr>
          <w:rFonts w:hint="eastAsia" w:ascii="宋体" w:hAnsi="宋体" w:eastAsia="宋体" w:cs="宋体"/>
          <w:color w:val="auto"/>
          <w:sz w:val="24"/>
          <w:lang w:eastAsia="zh-CN"/>
        </w:rPr>
      </w:pPr>
      <w:r>
        <w:rPr>
          <w:rFonts w:hint="eastAsia" w:ascii="宋体" w:hAnsi="宋体" w:eastAsia="宋体" w:cs="宋体"/>
          <w:color w:val="auto"/>
          <w:sz w:val="24"/>
        </w:rPr>
        <w:t>（3）如不提供此表，则视为</w:t>
      </w:r>
      <w:r>
        <w:rPr>
          <w:rFonts w:hint="eastAsia" w:ascii="宋体" w:hAnsi="宋体" w:eastAsia="宋体" w:cs="宋体"/>
          <w:color w:val="auto"/>
          <w:sz w:val="24"/>
          <w:lang w:eastAsia="zh-CN"/>
        </w:rPr>
        <w:t>投标供应商</w:t>
      </w:r>
      <w:r>
        <w:rPr>
          <w:rFonts w:hint="eastAsia" w:ascii="宋体" w:hAnsi="宋体" w:eastAsia="宋体" w:cs="宋体"/>
          <w:color w:val="auto"/>
          <w:sz w:val="24"/>
        </w:rPr>
        <w:t>不满足招标文件第二章及第六章的所有条款要求，其投标无效</w:t>
      </w:r>
      <w:r>
        <w:rPr>
          <w:rFonts w:hint="eastAsia" w:ascii="宋体" w:hAnsi="宋体" w:eastAsia="宋体" w:cs="宋体"/>
          <w:color w:val="auto"/>
          <w:sz w:val="24"/>
          <w:lang w:eastAsia="zh-CN"/>
        </w:rPr>
        <w:t>。</w:t>
      </w:r>
    </w:p>
    <w:p w14:paraId="3B31CC91">
      <w:pPr>
        <w:adjustRightInd w:val="0"/>
        <w:snapToGrid w:val="0"/>
        <w:spacing w:before="50" w:line="360" w:lineRule="auto"/>
        <w:ind w:left="-88" w:leftChars="-42" w:firstLine="720" w:firstLineChars="300"/>
        <w:rPr>
          <w:rFonts w:hint="eastAsia" w:ascii="宋体" w:hAnsi="宋体" w:eastAsia="宋体" w:cs="宋体"/>
          <w:color w:val="auto"/>
        </w:rPr>
      </w:pPr>
      <w:r>
        <w:rPr>
          <w:rFonts w:hint="eastAsia" w:ascii="宋体" w:hAnsi="宋体" w:eastAsia="宋体" w:cs="宋体"/>
          <w:color w:val="auto"/>
          <w:sz w:val="24"/>
        </w:rPr>
        <w:t>（4）在采购人与</w:t>
      </w:r>
      <w:r>
        <w:rPr>
          <w:rFonts w:hint="eastAsia" w:ascii="宋体" w:hAnsi="宋体" w:eastAsia="宋体" w:cs="宋体"/>
          <w:color w:val="auto"/>
          <w:sz w:val="24"/>
          <w:lang w:eastAsia="zh-CN"/>
        </w:rPr>
        <w:t>中标投标供应商</w:t>
      </w:r>
      <w:r>
        <w:rPr>
          <w:rFonts w:hint="eastAsia" w:ascii="宋体" w:hAnsi="宋体" w:eastAsia="宋体" w:cs="宋体"/>
          <w:color w:val="auto"/>
          <w:sz w:val="24"/>
        </w:rPr>
        <w:t>签订合同时，如</w:t>
      </w:r>
      <w:r>
        <w:rPr>
          <w:rFonts w:hint="eastAsia" w:ascii="宋体" w:hAnsi="宋体" w:eastAsia="宋体" w:cs="宋体"/>
          <w:color w:val="auto"/>
          <w:sz w:val="24"/>
          <w:lang w:eastAsia="zh-CN"/>
        </w:rPr>
        <w:t>中标投标供应商</w:t>
      </w:r>
      <w:r>
        <w:rPr>
          <w:rFonts w:hint="eastAsia" w:ascii="宋体" w:hAnsi="宋体" w:eastAsia="宋体" w:cs="宋体"/>
          <w:color w:val="auto"/>
          <w:sz w:val="24"/>
        </w:rPr>
        <w:t>未在投标文件“商务、合同条款偏离表”中列出偏离说明，无论已发生或即将发生任何情形，均视为完全符合招标文件要求，并写入合同。若</w:t>
      </w:r>
      <w:r>
        <w:rPr>
          <w:rFonts w:hint="eastAsia" w:ascii="宋体" w:hAnsi="宋体" w:eastAsia="宋体" w:cs="宋体"/>
          <w:color w:val="auto"/>
          <w:sz w:val="24"/>
          <w:lang w:eastAsia="zh-CN"/>
        </w:rPr>
        <w:t>中标投标供应商</w:t>
      </w:r>
      <w:r>
        <w:rPr>
          <w:rFonts w:hint="eastAsia" w:ascii="宋体" w:hAnsi="宋体" w:eastAsia="宋体" w:cs="宋体"/>
          <w:color w:val="auto"/>
          <w:sz w:val="24"/>
        </w:rPr>
        <w:t>在合同签订前，以上述事项为借口而不履行合同签订手续及执行合同，则视作拒绝与采购人签订合同。</w:t>
      </w:r>
    </w:p>
    <w:p w14:paraId="1EE8416B">
      <w:pPr>
        <w:pStyle w:val="4"/>
        <w:bidi w:val="0"/>
        <w:rPr>
          <w:rFonts w:hint="eastAsia" w:ascii="宋体" w:hAnsi="宋体" w:eastAsia="宋体" w:cs="宋体"/>
          <w:color w:val="auto"/>
          <w:sz w:val="28"/>
          <w:szCs w:val="28"/>
        </w:rPr>
      </w:pPr>
      <w:bookmarkStart w:id="498" w:name="_Toc16805"/>
      <w:bookmarkStart w:id="499" w:name="_Toc12282"/>
      <w:bookmarkStart w:id="500" w:name="_Toc29967"/>
      <w:bookmarkStart w:id="501" w:name="_Toc28953"/>
      <w:bookmarkStart w:id="502" w:name="_Toc15155"/>
      <w:bookmarkStart w:id="503" w:name="_Toc6902"/>
      <w:bookmarkStart w:id="504" w:name="_Toc25686"/>
      <w:r>
        <w:rPr>
          <w:rFonts w:hint="eastAsia" w:ascii="宋体" w:hAnsi="宋体" w:cs="宋体"/>
          <w:sz w:val="28"/>
          <w:szCs w:val="28"/>
          <w:lang w:val="en-US" w:eastAsia="zh-CN"/>
        </w:rPr>
        <w:t>八</w:t>
      </w:r>
      <w:r>
        <w:rPr>
          <w:rFonts w:hint="eastAsia" w:ascii="宋体" w:hAnsi="宋体" w:eastAsia="宋体" w:cs="宋体"/>
          <w:sz w:val="28"/>
          <w:szCs w:val="28"/>
        </w:rPr>
        <w:t>、采购需求偏离表</w:t>
      </w:r>
      <w:bookmarkEnd w:id="498"/>
      <w:bookmarkEnd w:id="499"/>
      <w:bookmarkEnd w:id="500"/>
      <w:bookmarkEnd w:id="501"/>
      <w:bookmarkEnd w:id="502"/>
      <w:bookmarkEnd w:id="503"/>
      <w:bookmarkEnd w:id="504"/>
    </w:p>
    <w:p w14:paraId="67C0FB47">
      <w:pPr>
        <w:adjustRightInd w:val="0"/>
        <w:snapToGrid w:val="0"/>
        <w:spacing w:line="360" w:lineRule="auto"/>
        <w:rPr>
          <w:rFonts w:hint="eastAsia" w:ascii="宋体" w:hAnsi="宋体" w:eastAsia="宋体" w:cs="宋体"/>
          <w:color w:val="auto"/>
          <w:sz w:val="24"/>
          <w:u w:val="single"/>
          <w:lang w:val="en-US" w:eastAsia="zh-CN"/>
        </w:rPr>
      </w:pPr>
      <w:r>
        <w:rPr>
          <w:rFonts w:hint="eastAsia" w:ascii="宋体" w:hAnsi="宋体" w:eastAsia="宋体" w:cs="宋体"/>
          <w:color w:val="auto"/>
          <w:sz w:val="24"/>
        </w:rPr>
        <w:t xml:space="preserve"> 项目名称：</w:t>
      </w:r>
      <w:r>
        <w:rPr>
          <w:rFonts w:hint="eastAsia" w:ascii="宋体" w:hAnsi="宋体" w:eastAsia="宋体" w:cs="宋体"/>
          <w:color w:val="auto"/>
          <w:sz w:val="24"/>
          <w:u w:val="single"/>
          <w:lang w:val="en-US" w:eastAsia="zh-CN"/>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采购</w:t>
      </w:r>
      <w:r>
        <w:rPr>
          <w:rFonts w:hint="eastAsia" w:ascii="宋体" w:hAnsi="宋体" w:cs="宋体"/>
          <w:color w:val="auto"/>
          <w:sz w:val="24"/>
          <w:lang w:val="en-US" w:eastAsia="zh-CN"/>
        </w:rPr>
        <w:t>计划</w:t>
      </w:r>
      <w:r>
        <w:rPr>
          <w:rFonts w:hint="eastAsia" w:ascii="宋体" w:hAnsi="宋体" w:eastAsia="宋体" w:cs="宋体"/>
          <w:color w:val="auto"/>
          <w:sz w:val="24"/>
        </w:rPr>
        <w:t>编号：</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tbl>
      <w:tblPr>
        <w:tblStyle w:val="44"/>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746"/>
        <w:gridCol w:w="1800"/>
        <w:gridCol w:w="2168"/>
        <w:gridCol w:w="2060"/>
        <w:gridCol w:w="788"/>
      </w:tblGrid>
      <w:tr w14:paraId="69D25A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tcBorders>
              <w:tl2br w:val="nil"/>
              <w:tr2bl w:val="nil"/>
            </w:tcBorders>
            <w:noWrap w:val="0"/>
            <w:vAlign w:val="center"/>
          </w:tcPr>
          <w:p w14:paraId="2C7FC4BE">
            <w:pPr>
              <w:adjustRightInd w:val="0"/>
              <w:snapToGrid w:val="0"/>
              <w:spacing w:line="360" w:lineRule="auto"/>
              <w:jc w:val="left"/>
              <w:rPr>
                <w:rFonts w:hint="eastAsia" w:ascii="宋体" w:hAnsi="宋体" w:eastAsia="宋体" w:cs="宋体"/>
                <w:b/>
                <w:color w:val="000000"/>
                <w:sz w:val="24"/>
              </w:rPr>
            </w:pPr>
            <w:r>
              <w:rPr>
                <w:rFonts w:hint="eastAsia" w:ascii="宋体" w:hAnsi="宋体" w:eastAsia="宋体" w:cs="宋体"/>
                <w:b/>
                <w:color w:val="000000"/>
                <w:sz w:val="24"/>
              </w:rPr>
              <w:t>对本项目</w:t>
            </w:r>
            <w:r>
              <w:rPr>
                <w:rFonts w:hint="eastAsia" w:ascii="宋体" w:hAnsi="宋体" w:eastAsia="宋体" w:cs="宋体"/>
                <w:b/>
                <w:color w:val="000000"/>
                <w:sz w:val="24"/>
                <w:lang w:val="en-US" w:eastAsia="zh-CN"/>
              </w:rPr>
              <w:t>采购需求</w:t>
            </w:r>
            <w:r>
              <w:rPr>
                <w:rFonts w:hint="eastAsia" w:ascii="宋体" w:hAnsi="宋体" w:eastAsia="宋体" w:cs="宋体"/>
                <w:b/>
                <w:color w:val="000000"/>
                <w:sz w:val="24"/>
              </w:rPr>
              <w:t>条款的偏离情况（</w:t>
            </w:r>
            <w:r>
              <w:rPr>
                <w:rFonts w:hint="eastAsia"/>
                <w:b/>
                <w:color w:val="auto"/>
                <w:sz w:val="24"/>
              </w:rPr>
              <w:t>请进行勾选</w:t>
            </w:r>
            <w:r>
              <w:rPr>
                <w:rFonts w:hint="eastAsia"/>
                <w:b/>
                <w:color w:val="auto"/>
                <w:sz w:val="24"/>
                <w:lang w:val="en-US" w:eastAsia="zh-CN"/>
              </w:rPr>
              <w:t>打</w:t>
            </w:r>
            <w:r>
              <w:rPr>
                <w:rFonts w:hint="eastAsia"/>
                <w:b/>
                <w:color w:val="auto"/>
                <w:sz w:val="24"/>
                <w:lang w:eastAsia="zh-CN"/>
              </w:rPr>
              <w:t>“√”</w:t>
            </w:r>
            <w:r>
              <w:rPr>
                <w:rFonts w:hint="eastAsia" w:ascii="宋体" w:hAnsi="宋体" w:eastAsia="宋体" w:cs="宋体"/>
                <w:b/>
                <w:color w:val="000000"/>
                <w:sz w:val="24"/>
              </w:rPr>
              <w:t>：</w:t>
            </w:r>
          </w:p>
          <w:p w14:paraId="1DE9010E">
            <w:pPr>
              <w:adjustRightInd w:val="0"/>
              <w:snapToGrid w:val="0"/>
              <w:spacing w:line="360" w:lineRule="auto"/>
              <w:jc w:val="left"/>
              <w:rPr>
                <w:rFonts w:hint="eastAsia" w:ascii="宋体" w:hAnsi="宋体" w:eastAsia="宋体" w:cs="宋体"/>
                <w:b/>
                <w:color w:val="000000"/>
                <w:sz w:val="24"/>
              </w:rPr>
            </w:pPr>
            <w:r>
              <w:rPr>
                <w:rFonts w:hint="eastAsia" w:ascii="宋体" w:hAnsi="宋体" w:eastAsia="宋体" w:cs="宋体"/>
                <w:b/>
                <w:color w:val="000000"/>
                <w:sz w:val="24"/>
              </w:rPr>
              <w:sym w:font="Wingdings" w:char="00A8"/>
            </w:r>
            <w:r>
              <w:rPr>
                <w:rFonts w:hint="eastAsia" w:ascii="宋体" w:hAnsi="宋体" w:eastAsia="宋体" w:cs="宋体"/>
                <w:b/>
                <w:color w:val="000000"/>
                <w:sz w:val="24"/>
              </w:rPr>
              <w:t>无偏离</w:t>
            </w:r>
            <w:r>
              <w:rPr>
                <w:rFonts w:hint="eastAsia" w:ascii="宋体" w:hAnsi="宋体" w:eastAsia="宋体" w:cs="宋体"/>
                <w:color w:val="000000"/>
                <w:sz w:val="24"/>
              </w:rPr>
              <w:t>（</w:t>
            </w:r>
            <w:r>
              <w:rPr>
                <w:rFonts w:hint="eastAsia" w:ascii="宋体" w:hAnsi="宋体" w:eastAsia="宋体" w:cs="宋体"/>
                <w:color w:val="000000"/>
                <w:sz w:val="24"/>
                <w:szCs w:val="21"/>
              </w:rPr>
              <w:t>如无偏离，仅勾选无偏离即可</w:t>
            </w:r>
            <w:r>
              <w:rPr>
                <w:rFonts w:hint="eastAsia" w:ascii="宋体" w:hAnsi="宋体" w:eastAsia="宋体" w:cs="宋体"/>
                <w:color w:val="000000"/>
                <w:sz w:val="24"/>
              </w:rPr>
              <w:t>）</w:t>
            </w:r>
          </w:p>
          <w:p w14:paraId="1D140B25">
            <w:pPr>
              <w:adjustRightInd w:val="0"/>
              <w:snapToGrid w:val="0"/>
              <w:spacing w:line="360" w:lineRule="auto"/>
              <w:jc w:val="left"/>
              <w:rPr>
                <w:rFonts w:hint="eastAsia" w:ascii="宋体" w:hAnsi="宋体" w:eastAsia="宋体" w:cs="宋体"/>
                <w:color w:val="000000"/>
                <w:sz w:val="24"/>
              </w:rPr>
            </w:pPr>
            <w:r>
              <w:rPr>
                <w:rFonts w:hint="eastAsia" w:ascii="宋体" w:hAnsi="宋体" w:eastAsia="宋体" w:cs="宋体"/>
                <w:b/>
                <w:color w:val="000000"/>
                <w:sz w:val="24"/>
              </w:rPr>
              <w:sym w:font="Wingdings" w:char="00A8"/>
            </w:r>
            <w:r>
              <w:rPr>
                <w:rFonts w:hint="eastAsia" w:ascii="宋体" w:hAnsi="宋体" w:eastAsia="宋体" w:cs="宋体"/>
                <w:b/>
                <w:color w:val="000000"/>
                <w:sz w:val="24"/>
              </w:rPr>
              <w:t>有偏离</w:t>
            </w:r>
            <w:r>
              <w:rPr>
                <w:rFonts w:hint="eastAsia" w:ascii="宋体" w:hAnsi="宋体" w:eastAsia="宋体" w:cs="宋体"/>
                <w:color w:val="000000"/>
                <w:sz w:val="24"/>
              </w:rPr>
              <w:t>（</w:t>
            </w:r>
            <w:r>
              <w:rPr>
                <w:rFonts w:hint="eastAsia" w:ascii="宋体" w:hAnsi="宋体" w:eastAsia="宋体" w:cs="宋体"/>
                <w:color w:val="000000"/>
                <w:sz w:val="24"/>
                <w:szCs w:val="21"/>
              </w:rPr>
              <w:t>如有偏离，</w:t>
            </w:r>
            <w:r>
              <w:rPr>
                <w:rFonts w:hint="eastAsia" w:ascii="宋体" w:hAnsi="宋体" w:eastAsia="宋体" w:cs="宋体"/>
                <w:color w:val="000000"/>
                <w:sz w:val="24"/>
              </w:rPr>
              <w:t>则应在本表中对偏离项逐一列明）</w:t>
            </w:r>
          </w:p>
        </w:tc>
      </w:tr>
      <w:tr w14:paraId="6DD9DA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tcBorders>
              <w:tl2br w:val="nil"/>
              <w:tr2bl w:val="nil"/>
            </w:tcBorders>
            <w:noWrap w:val="0"/>
            <w:vAlign w:val="center"/>
          </w:tcPr>
          <w:p w14:paraId="0E5E6E5E">
            <w:pPr>
              <w:adjustRightInd w:val="0"/>
              <w:snapToGrid w:val="0"/>
              <w:jc w:val="center"/>
              <w:rPr>
                <w:rFonts w:hint="eastAsia" w:ascii="宋体" w:hAnsi="宋体" w:eastAsia="宋体" w:cs="宋体"/>
                <w:color w:val="000000"/>
                <w:sz w:val="24"/>
              </w:rPr>
            </w:pPr>
            <w:r>
              <w:rPr>
                <w:rFonts w:hint="eastAsia" w:ascii="宋体" w:hAnsi="宋体" w:eastAsia="宋体" w:cs="宋体"/>
                <w:color w:val="000000"/>
                <w:sz w:val="24"/>
              </w:rPr>
              <w:t>序号</w:t>
            </w:r>
          </w:p>
        </w:tc>
        <w:tc>
          <w:tcPr>
            <w:tcW w:w="1746" w:type="dxa"/>
            <w:tcBorders>
              <w:tl2br w:val="nil"/>
              <w:tr2bl w:val="nil"/>
            </w:tcBorders>
            <w:noWrap w:val="0"/>
            <w:vAlign w:val="center"/>
          </w:tcPr>
          <w:p w14:paraId="57076DE4">
            <w:pPr>
              <w:adjustRightInd w:val="0"/>
              <w:snapToGrid w:val="0"/>
              <w:jc w:val="center"/>
              <w:rPr>
                <w:rFonts w:hint="eastAsia" w:ascii="宋体" w:hAnsi="宋体" w:eastAsia="宋体" w:cs="宋体"/>
                <w:color w:val="000000"/>
                <w:sz w:val="24"/>
              </w:rPr>
            </w:pPr>
            <w:r>
              <w:rPr>
                <w:rFonts w:hint="eastAsia" w:ascii="宋体" w:hAnsi="宋体" w:eastAsia="宋体" w:cs="宋体"/>
                <w:color w:val="000000"/>
                <w:sz w:val="24"/>
                <w:szCs w:val="21"/>
              </w:rPr>
              <w:t>招标文件</w:t>
            </w:r>
            <w:r>
              <w:rPr>
                <w:rFonts w:hint="eastAsia" w:ascii="宋体" w:hAnsi="宋体" w:eastAsia="宋体" w:cs="宋体"/>
                <w:color w:val="000000"/>
                <w:sz w:val="24"/>
                <w:szCs w:val="21"/>
                <w:lang w:val="en-US" w:eastAsia="zh-CN"/>
              </w:rPr>
              <w:t>章节条款号</w:t>
            </w:r>
          </w:p>
        </w:tc>
        <w:tc>
          <w:tcPr>
            <w:tcW w:w="1800" w:type="dxa"/>
            <w:tcBorders>
              <w:tl2br w:val="nil"/>
              <w:tr2bl w:val="nil"/>
            </w:tcBorders>
            <w:noWrap w:val="0"/>
            <w:vAlign w:val="center"/>
          </w:tcPr>
          <w:p w14:paraId="700F93A7">
            <w:pPr>
              <w:adjustRightInd w:val="0"/>
              <w:snapToGrid w:val="0"/>
              <w:jc w:val="center"/>
              <w:rPr>
                <w:rFonts w:hint="eastAsia" w:ascii="宋体" w:hAnsi="宋体" w:eastAsia="宋体" w:cs="宋体"/>
                <w:color w:val="000000"/>
                <w:sz w:val="24"/>
              </w:rPr>
            </w:pPr>
            <w:r>
              <w:rPr>
                <w:rFonts w:hint="eastAsia" w:ascii="宋体" w:hAnsi="宋体" w:eastAsia="宋体" w:cs="宋体"/>
                <w:color w:val="000000"/>
                <w:sz w:val="24"/>
                <w:szCs w:val="21"/>
              </w:rPr>
              <w:t>招标文件</w:t>
            </w:r>
            <w:r>
              <w:rPr>
                <w:rFonts w:hint="eastAsia" w:ascii="宋体" w:hAnsi="宋体" w:eastAsia="宋体" w:cs="宋体"/>
                <w:color w:val="000000"/>
                <w:sz w:val="24"/>
              </w:rPr>
              <w:t>要求</w:t>
            </w:r>
          </w:p>
        </w:tc>
        <w:tc>
          <w:tcPr>
            <w:tcW w:w="2168" w:type="dxa"/>
            <w:tcBorders>
              <w:tl2br w:val="nil"/>
              <w:tr2bl w:val="nil"/>
            </w:tcBorders>
            <w:noWrap w:val="0"/>
            <w:vAlign w:val="center"/>
          </w:tcPr>
          <w:p w14:paraId="34A642A8">
            <w:pPr>
              <w:adjustRightInd w:val="0"/>
              <w:snapToGrid w:val="0"/>
              <w:jc w:val="center"/>
              <w:rPr>
                <w:rFonts w:hint="eastAsia" w:ascii="宋体" w:hAnsi="宋体" w:eastAsia="宋体" w:cs="宋体"/>
                <w:color w:val="000000"/>
                <w:sz w:val="24"/>
              </w:rPr>
            </w:pPr>
            <w:r>
              <w:rPr>
                <w:rFonts w:hint="eastAsia" w:ascii="宋体" w:hAnsi="宋体" w:eastAsia="宋体" w:cs="宋体"/>
                <w:color w:val="000000"/>
                <w:sz w:val="24"/>
              </w:rPr>
              <w:t>投标文件内容</w:t>
            </w:r>
          </w:p>
        </w:tc>
        <w:tc>
          <w:tcPr>
            <w:tcW w:w="2060" w:type="dxa"/>
            <w:tcBorders>
              <w:tl2br w:val="nil"/>
              <w:tr2bl w:val="nil"/>
            </w:tcBorders>
            <w:noWrap w:val="0"/>
            <w:vAlign w:val="center"/>
          </w:tcPr>
          <w:p w14:paraId="306FE31C">
            <w:pPr>
              <w:adjustRightInd w:val="0"/>
              <w:snapToGrid w:val="0"/>
              <w:jc w:val="center"/>
              <w:rPr>
                <w:rFonts w:hint="eastAsia" w:ascii="宋体" w:hAnsi="宋体" w:eastAsia="宋体" w:cs="宋体"/>
                <w:color w:val="000000"/>
                <w:sz w:val="24"/>
              </w:rPr>
            </w:pPr>
            <w:r>
              <w:rPr>
                <w:rFonts w:hint="eastAsia" w:ascii="宋体" w:hAnsi="宋体" w:eastAsia="宋体" w:cs="宋体"/>
                <w:color w:val="000000"/>
                <w:sz w:val="24"/>
              </w:rPr>
              <w:t>偏离情况</w:t>
            </w:r>
          </w:p>
        </w:tc>
        <w:tc>
          <w:tcPr>
            <w:tcW w:w="788" w:type="dxa"/>
            <w:tcBorders>
              <w:tl2br w:val="nil"/>
              <w:tr2bl w:val="nil"/>
            </w:tcBorders>
            <w:noWrap w:val="0"/>
            <w:vAlign w:val="center"/>
          </w:tcPr>
          <w:p w14:paraId="5F784A90">
            <w:pPr>
              <w:adjustRightInd w:val="0"/>
              <w:snapToGrid w:val="0"/>
              <w:jc w:val="center"/>
              <w:rPr>
                <w:rFonts w:hint="eastAsia" w:ascii="宋体" w:hAnsi="宋体" w:eastAsia="宋体" w:cs="宋体"/>
                <w:color w:val="000000"/>
                <w:sz w:val="24"/>
              </w:rPr>
            </w:pPr>
            <w:r>
              <w:rPr>
                <w:rFonts w:hint="eastAsia" w:ascii="宋体" w:hAnsi="宋体" w:eastAsia="宋体" w:cs="宋体"/>
                <w:color w:val="000000"/>
                <w:sz w:val="24"/>
              </w:rPr>
              <w:t>说明</w:t>
            </w:r>
          </w:p>
        </w:tc>
      </w:tr>
      <w:tr w14:paraId="673F46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34" w:type="dxa"/>
            <w:tcBorders>
              <w:tl2br w:val="nil"/>
              <w:tr2bl w:val="nil"/>
            </w:tcBorders>
            <w:noWrap w:val="0"/>
            <w:vAlign w:val="center"/>
          </w:tcPr>
          <w:p w14:paraId="19CDEA30">
            <w:pPr>
              <w:adjustRightInd w:val="0"/>
              <w:snapToGrid w:val="0"/>
              <w:jc w:val="center"/>
              <w:rPr>
                <w:rFonts w:hint="eastAsia" w:ascii="宋体" w:hAnsi="宋体" w:eastAsia="宋体" w:cs="宋体"/>
                <w:color w:val="000000"/>
                <w:sz w:val="24"/>
              </w:rPr>
            </w:pPr>
          </w:p>
        </w:tc>
        <w:tc>
          <w:tcPr>
            <w:tcW w:w="1746" w:type="dxa"/>
            <w:tcBorders>
              <w:tl2br w:val="nil"/>
              <w:tr2bl w:val="nil"/>
            </w:tcBorders>
            <w:noWrap w:val="0"/>
            <w:vAlign w:val="center"/>
          </w:tcPr>
          <w:p w14:paraId="5377DC1D">
            <w:pPr>
              <w:adjustRightInd w:val="0"/>
              <w:snapToGrid w:val="0"/>
              <w:jc w:val="center"/>
              <w:rPr>
                <w:rFonts w:hint="eastAsia" w:ascii="宋体" w:hAnsi="宋体" w:eastAsia="宋体" w:cs="宋体"/>
                <w:color w:val="000000"/>
                <w:sz w:val="24"/>
              </w:rPr>
            </w:pPr>
          </w:p>
        </w:tc>
        <w:tc>
          <w:tcPr>
            <w:tcW w:w="1800" w:type="dxa"/>
            <w:tcBorders>
              <w:tl2br w:val="nil"/>
              <w:tr2bl w:val="nil"/>
            </w:tcBorders>
            <w:noWrap w:val="0"/>
            <w:vAlign w:val="center"/>
          </w:tcPr>
          <w:p w14:paraId="35854BC8">
            <w:pPr>
              <w:adjustRightInd w:val="0"/>
              <w:snapToGrid w:val="0"/>
              <w:jc w:val="center"/>
              <w:rPr>
                <w:rFonts w:hint="eastAsia" w:ascii="宋体" w:hAnsi="宋体" w:eastAsia="宋体" w:cs="宋体"/>
                <w:color w:val="000000"/>
                <w:sz w:val="24"/>
              </w:rPr>
            </w:pPr>
          </w:p>
        </w:tc>
        <w:tc>
          <w:tcPr>
            <w:tcW w:w="2168" w:type="dxa"/>
            <w:tcBorders>
              <w:tl2br w:val="nil"/>
              <w:tr2bl w:val="nil"/>
            </w:tcBorders>
            <w:noWrap w:val="0"/>
            <w:vAlign w:val="center"/>
          </w:tcPr>
          <w:p w14:paraId="5DB65DB9">
            <w:pPr>
              <w:adjustRightInd w:val="0"/>
              <w:snapToGrid w:val="0"/>
              <w:jc w:val="center"/>
              <w:rPr>
                <w:rFonts w:hint="eastAsia" w:ascii="宋体" w:hAnsi="宋体" w:eastAsia="宋体" w:cs="宋体"/>
                <w:color w:val="000000"/>
                <w:sz w:val="24"/>
              </w:rPr>
            </w:pPr>
          </w:p>
        </w:tc>
        <w:tc>
          <w:tcPr>
            <w:tcW w:w="2060" w:type="dxa"/>
            <w:tcBorders>
              <w:tl2br w:val="nil"/>
              <w:tr2bl w:val="nil"/>
            </w:tcBorders>
            <w:noWrap w:val="0"/>
            <w:vAlign w:val="center"/>
          </w:tcPr>
          <w:p w14:paraId="75406B15">
            <w:pPr>
              <w:adjustRightInd w:val="0"/>
              <w:snapToGrid w:val="0"/>
              <w:jc w:val="center"/>
              <w:rPr>
                <w:rFonts w:hint="eastAsia" w:ascii="宋体" w:hAnsi="宋体" w:eastAsia="宋体" w:cs="宋体"/>
                <w:color w:val="000000"/>
                <w:sz w:val="24"/>
              </w:rPr>
            </w:pPr>
          </w:p>
        </w:tc>
        <w:tc>
          <w:tcPr>
            <w:tcW w:w="788" w:type="dxa"/>
            <w:tcBorders>
              <w:tl2br w:val="nil"/>
              <w:tr2bl w:val="nil"/>
            </w:tcBorders>
            <w:noWrap w:val="0"/>
            <w:vAlign w:val="center"/>
          </w:tcPr>
          <w:p w14:paraId="21CFC18B">
            <w:pPr>
              <w:adjustRightInd w:val="0"/>
              <w:snapToGrid w:val="0"/>
              <w:jc w:val="center"/>
              <w:rPr>
                <w:rFonts w:hint="eastAsia" w:ascii="宋体" w:hAnsi="宋体" w:eastAsia="宋体" w:cs="宋体"/>
                <w:color w:val="000000"/>
                <w:sz w:val="24"/>
              </w:rPr>
            </w:pPr>
          </w:p>
        </w:tc>
      </w:tr>
      <w:tr w14:paraId="40E088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34" w:type="dxa"/>
            <w:tcBorders>
              <w:tl2br w:val="nil"/>
              <w:tr2bl w:val="nil"/>
            </w:tcBorders>
            <w:noWrap w:val="0"/>
            <w:vAlign w:val="center"/>
          </w:tcPr>
          <w:p w14:paraId="3C76EA8E">
            <w:pPr>
              <w:adjustRightInd w:val="0"/>
              <w:snapToGrid w:val="0"/>
              <w:jc w:val="center"/>
              <w:rPr>
                <w:rFonts w:hint="eastAsia" w:ascii="宋体" w:hAnsi="宋体" w:eastAsia="宋体" w:cs="宋体"/>
                <w:color w:val="000000"/>
                <w:sz w:val="24"/>
              </w:rPr>
            </w:pPr>
          </w:p>
        </w:tc>
        <w:tc>
          <w:tcPr>
            <w:tcW w:w="1746" w:type="dxa"/>
            <w:tcBorders>
              <w:tl2br w:val="nil"/>
              <w:tr2bl w:val="nil"/>
            </w:tcBorders>
            <w:noWrap w:val="0"/>
            <w:vAlign w:val="center"/>
          </w:tcPr>
          <w:p w14:paraId="2777F20C">
            <w:pPr>
              <w:adjustRightInd w:val="0"/>
              <w:snapToGrid w:val="0"/>
              <w:jc w:val="center"/>
              <w:rPr>
                <w:rFonts w:hint="eastAsia" w:ascii="宋体" w:hAnsi="宋体" w:eastAsia="宋体" w:cs="宋体"/>
                <w:color w:val="000000"/>
                <w:sz w:val="24"/>
              </w:rPr>
            </w:pPr>
          </w:p>
        </w:tc>
        <w:tc>
          <w:tcPr>
            <w:tcW w:w="1800" w:type="dxa"/>
            <w:tcBorders>
              <w:tl2br w:val="nil"/>
              <w:tr2bl w:val="nil"/>
            </w:tcBorders>
            <w:noWrap w:val="0"/>
            <w:vAlign w:val="center"/>
          </w:tcPr>
          <w:p w14:paraId="43B7750E">
            <w:pPr>
              <w:adjustRightInd w:val="0"/>
              <w:snapToGrid w:val="0"/>
              <w:jc w:val="center"/>
              <w:rPr>
                <w:rFonts w:hint="eastAsia" w:ascii="宋体" w:hAnsi="宋体" w:eastAsia="宋体" w:cs="宋体"/>
                <w:color w:val="000000"/>
                <w:sz w:val="24"/>
              </w:rPr>
            </w:pPr>
          </w:p>
        </w:tc>
        <w:tc>
          <w:tcPr>
            <w:tcW w:w="2168" w:type="dxa"/>
            <w:tcBorders>
              <w:tl2br w:val="nil"/>
              <w:tr2bl w:val="nil"/>
            </w:tcBorders>
            <w:noWrap w:val="0"/>
            <w:vAlign w:val="center"/>
          </w:tcPr>
          <w:p w14:paraId="18EB0A3C">
            <w:pPr>
              <w:adjustRightInd w:val="0"/>
              <w:snapToGrid w:val="0"/>
              <w:jc w:val="center"/>
              <w:rPr>
                <w:rFonts w:hint="eastAsia" w:ascii="宋体" w:hAnsi="宋体" w:eastAsia="宋体" w:cs="宋体"/>
                <w:color w:val="000000"/>
                <w:sz w:val="24"/>
              </w:rPr>
            </w:pPr>
          </w:p>
        </w:tc>
        <w:tc>
          <w:tcPr>
            <w:tcW w:w="2060" w:type="dxa"/>
            <w:tcBorders>
              <w:tl2br w:val="nil"/>
              <w:tr2bl w:val="nil"/>
            </w:tcBorders>
            <w:noWrap w:val="0"/>
            <w:vAlign w:val="center"/>
          </w:tcPr>
          <w:p w14:paraId="3F136A57">
            <w:pPr>
              <w:adjustRightInd w:val="0"/>
              <w:snapToGrid w:val="0"/>
              <w:jc w:val="center"/>
              <w:rPr>
                <w:rFonts w:hint="eastAsia" w:ascii="宋体" w:hAnsi="宋体" w:eastAsia="宋体" w:cs="宋体"/>
                <w:color w:val="000000"/>
                <w:sz w:val="24"/>
              </w:rPr>
            </w:pPr>
          </w:p>
        </w:tc>
        <w:tc>
          <w:tcPr>
            <w:tcW w:w="788" w:type="dxa"/>
            <w:tcBorders>
              <w:tl2br w:val="nil"/>
              <w:tr2bl w:val="nil"/>
            </w:tcBorders>
            <w:noWrap w:val="0"/>
            <w:vAlign w:val="center"/>
          </w:tcPr>
          <w:p w14:paraId="6181666F">
            <w:pPr>
              <w:adjustRightInd w:val="0"/>
              <w:snapToGrid w:val="0"/>
              <w:jc w:val="center"/>
              <w:rPr>
                <w:rFonts w:hint="eastAsia" w:ascii="宋体" w:hAnsi="宋体" w:eastAsia="宋体" w:cs="宋体"/>
                <w:color w:val="000000"/>
                <w:sz w:val="24"/>
              </w:rPr>
            </w:pPr>
          </w:p>
        </w:tc>
      </w:tr>
      <w:tr w14:paraId="08F7BE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9396" w:type="dxa"/>
            <w:gridSpan w:val="6"/>
            <w:tcBorders>
              <w:tl2br w:val="nil"/>
              <w:tr2bl w:val="nil"/>
            </w:tcBorders>
            <w:noWrap w:val="0"/>
            <w:vAlign w:val="center"/>
          </w:tcPr>
          <w:p w14:paraId="1115F0FE">
            <w:pPr>
              <w:adjustRightInd w:val="0"/>
              <w:snapToGrid w:val="0"/>
              <w:ind w:firstLine="482" w:firstLineChars="200"/>
              <w:jc w:val="left"/>
              <w:rPr>
                <w:rFonts w:hint="eastAsia" w:ascii="宋体" w:hAnsi="宋体" w:eastAsia="宋体" w:cs="宋体"/>
                <w:color w:val="000000"/>
                <w:sz w:val="24"/>
              </w:rPr>
            </w:pPr>
            <w:r>
              <w:rPr>
                <w:rFonts w:hint="eastAsia" w:ascii="宋体" w:hAnsi="宋体" w:eastAsia="宋体" w:cs="宋体"/>
                <w:b/>
                <w:color w:val="auto"/>
                <w:sz w:val="24"/>
                <w:szCs w:val="24"/>
              </w:rPr>
              <w:t>投标人保证：除本采购需求偏离表列出的偏离外，我单位对招标文件的其他采购需求条款完全响应，无偏离。</w:t>
            </w:r>
          </w:p>
        </w:tc>
      </w:tr>
    </w:tbl>
    <w:p w14:paraId="3B4F0256">
      <w:pPr>
        <w:adjustRightInd w:val="0"/>
        <w:snapToGrid w:val="0"/>
        <w:spacing w:before="50" w:line="360" w:lineRule="auto"/>
        <w:ind w:left="-88" w:leftChars="-42"/>
        <w:rPr>
          <w:rFonts w:hint="eastAsia" w:ascii="宋体" w:hAnsi="宋体" w:eastAsia="宋体" w:cs="宋体"/>
          <w:b/>
          <w:color w:val="auto"/>
          <w:sz w:val="24"/>
        </w:rPr>
      </w:pPr>
    </w:p>
    <w:p w14:paraId="01FAFDE9">
      <w:pPr>
        <w:adjustRightInd w:val="0"/>
        <w:snapToGrid w:val="0"/>
        <w:spacing w:before="50" w:line="360" w:lineRule="auto"/>
        <w:rPr>
          <w:rFonts w:hint="eastAsia" w:ascii="宋体" w:hAnsi="宋体" w:eastAsia="宋体" w:cs="宋体"/>
          <w:b/>
          <w:bCs/>
          <w:color w:val="auto"/>
          <w:sz w:val="24"/>
          <w:u w:val="single"/>
          <w:lang w:val="en-US" w:eastAsia="zh-CN"/>
        </w:rPr>
      </w:pPr>
      <w:r>
        <w:rPr>
          <w:rFonts w:hint="eastAsia" w:ascii="宋体" w:hAnsi="宋体" w:eastAsia="宋体" w:cs="宋体"/>
          <w:b/>
          <w:bCs/>
          <w:color w:val="auto"/>
          <w:sz w:val="24"/>
          <w:lang w:eastAsia="zh-CN"/>
        </w:rPr>
        <w:t>投标供应商</w:t>
      </w:r>
      <w:r>
        <w:rPr>
          <w:rFonts w:hint="eastAsia" w:ascii="宋体" w:hAnsi="宋体" w:eastAsia="宋体" w:cs="宋体"/>
          <w:b/>
          <w:bCs/>
          <w:color w:val="auto"/>
          <w:sz w:val="24"/>
        </w:rPr>
        <w:t>名称（盖单位</w:t>
      </w:r>
      <w:r>
        <w:rPr>
          <w:rFonts w:hint="eastAsia" w:ascii="宋体" w:hAnsi="宋体" w:cs="宋体"/>
          <w:b/>
          <w:bCs/>
          <w:color w:val="auto"/>
          <w:sz w:val="24"/>
          <w:lang w:eastAsia="zh-CN"/>
        </w:rPr>
        <w:t>公</w:t>
      </w:r>
      <w:r>
        <w:rPr>
          <w:rFonts w:hint="eastAsia" w:ascii="宋体" w:hAnsi="宋体" w:eastAsia="宋体" w:cs="宋体"/>
          <w:b/>
          <w:bCs/>
          <w:color w:val="auto"/>
          <w:sz w:val="24"/>
        </w:rPr>
        <w:t>章）：</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p>
    <w:p w14:paraId="2816FA81">
      <w:pPr>
        <w:adjustRightInd w:val="0"/>
        <w:snapToGrid w:val="0"/>
        <w:spacing w:before="50" w:line="360" w:lineRule="auto"/>
        <w:rPr>
          <w:rFonts w:hint="eastAsia" w:ascii="宋体" w:hAnsi="宋体" w:eastAsia="宋体" w:cs="宋体"/>
          <w:b/>
          <w:bCs/>
          <w:color w:val="auto"/>
          <w:sz w:val="24"/>
          <w:u w:val="single"/>
          <w:lang w:val="en-US" w:eastAsia="zh-CN"/>
        </w:rPr>
      </w:pPr>
      <w:r>
        <w:rPr>
          <w:rFonts w:hint="eastAsia" w:ascii="宋体" w:hAnsi="宋体" w:eastAsia="宋体" w:cs="宋体"/>
          <w:b/>
          <w:bCs/>
          <w:color w:val="auto"/>
          <w:sz w:val="24"/>
        </w:rPr>
        <w:t>法定代表人（单位负责人）或其授权的代理人（签字或印章）：</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p>
    <w:p w14:paraId="103BC73F">
      <w:pPr>
        <w:adjustRightInd w:val="0"/>
        <w:snapToGrid w:val="0"/>
        <w:spacing w:line="480" w:lineRule="auto"/>
        <w:rPr>
          <w:rFonts w:hint="eastAsia" w:ascii="宋体" w:hAnsi="宋体" w:eastAsia="宋体" w:cs="宋体"/>
          <w:b/>
          <w:bCs/>
          <w:color w:val="auto"/>
          <w:sz w:val="24"/>
        </w:rPr>
      </w:pPr>
      <w:r>
        <w:rPr>
          <w:rFonts w:hint="eastAsia" w:ascii="宋体" w:hAnsi="宋体" w:eastAsia="宋体" w:cs="宋体"/>
          <w:b/>
          <w:bCs/>
          <w:color w:val="auto"/>
          <w:sz w:val="24"/>
        </w:rPr>
        <w:t>日 期：</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r>
        <w:rPr>
          <w:rFonts w:hint="eastAsia" w:ascii="宋体" w:hAnsi="宋体" w:eastAsia="宋体" w:cs="宋体"/>
          <w:b/>
          <w:bCs/>
          <w:color w:val="auto"/>
          <w:sz w:val="24"/>
        </w:rPr>
        <w:t>年</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r>
        <w:rPr>
          <w:rFonts w:hint="eastAsia" w:ascii="宋体" w:hAnsi="宋体" w:eastAsia="宋体" w:cs="宋体"/>
          <w:b/>
          <w:bCs/>
          <w:color w:val="auto"/>
          <w:sz w:val="24"/>
        </w:rPr>
        <w:t>月</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r>
        <w:rPr>
          <w:rFonts w:hint="eastAsia" w:ascii="宋体" w:hAnsi="宋体" w:eastAsia="宋体" w:cs="宋体"/>
          <w:b/>
          <w:bCs/>
          <w:color w:val="auto"/>
          <w:sz w:val="24"/>
        </w:rPr>
        <w:t>日</w:t>
      </w:r>
    </w:p>
    <w:p w14:paraId="6ABECCCF">
      <w:pPr>
        <w:adjustRightInd w:val="0"/>
        <w:snapToGrid w:val="0"/>
        <w:spacing w:before="50" w:line="360" w:lineRule="auto"/>
        <w:ind w:left="-88" w:leftChars="-42"/>
        <w:rPr>
          <w:rFonts w:hint="eastAsia" w:ascii="宋体" w:hAnsi="宋体" w:eastAsia="宋体" w:cs="宋体"/>
          <w:b/>
          <w:color w:val="auto"/>
          <w:sz w:val="24"/>
        </w:rPr>
      </w:pPr>
    </w:p>
    <w:p w14:paraId="4077DD6C">
      <w:pPr>
        <w:adjustRightInd w:val="0"/>
        <w:snapToGrid w:val="0"/>
        <w:spacing w:before="50" w:line="360" w:lineRule="auto"/>
        <w:ind w:left="-88" w:leftChars="-42"/>
        <w:rPr>
          <w:rFonts w:hint="eastAsia" w:ascii="宋体" w:hAnsi="宋体" w:eastAsia="宋体" w:cs="宋体"/>
          <w:color w:val="auto"/>
          <w:sz w:val="24"/>
          <w:lang w:eastAsia="zh-CN"/>
        </w:rPr>
      </w:pPr>
      <w:r>
        <w:rPr>
          <w:rFonts w:hint="eastAsia" w:ascii="宋体" w:hAnsi="宋体" w:eastAsia="宋体" w:cs="宋体"/>
          <w:b/>
          <w:color w:val="auto"/>
          <w:sz w:val="24"/>
        </w:rPr>
        <w:t>备注</w:t>
      </w:r>
      <w:r>
        <w:rPr>
          <w:rFonts w:hint="eastAsia" w:ascii="宋体" w:hAnsi="宋体" w:eastAsia="宋体" w:cs="宋体"/>
          <w:color w:val="auto"/>
          <w:sz w:val="24"/>
        </w:rPr>
        <w:t>：（1）</w:t>
      </w:r>
      <w:r>
        <w:rPr>
          <w:rFonts w:hint="eastAsia" w:ascii="宋体" w:hAnsi="宋体" w:eastAsia="宋体" w:cs="宋体"/>
          <w:sz w:val="24"/>
        </w:rPr>
        <w:t>对</w:t>
      </w:r>
      <w:r>
        <w:rPr>
          <w:rFonts w:hint="eastAsia" w:ascii="宋体" w:hAnsi="宋体" w:eastAsia="宋体" w:cs="宋体"/>
          <w:sz w:val="24"/>
          <w:lang w:val="en-US" w:eastAsia="zh-CN"/>
        </w:rPr>
        <w:t>采购需求</w:t>
      </w:r>
      <w:r>
        <w:rPr>
          <w:rFonts w:hint="eastAsia" w:ascii="宋体" w:hAnsi="宋体" w:eastAsia="宋体" w:cs="宋体"/>
          <w:sz w:val="24"/>
        </w:rPr>
        <w:t>条款中的所有要求，除本表所列明的所有偏离外，均视作供应商已对之理解和响应</w:t>
      </w:r>
      <w:r>
        <w:rPr>
          <w:rFonts w:hint="eastAsia" w:ascii="宋体" w:hAnsi="宋体" w:eastAsia="宋体" w:cs="宋体"/>
          <w:color w:val="auto"/>
          <w:sz w:val="24"/>
          <w:lang w:eastAsia="zh-CN"/>
        </w:rPr>
        <w:t>。</w:t>
      </w:r>
    </w:p>
    <w:p w14:paraId="3E9948EA">
      <w:pPr>
        <w:adjustRightInd w:val="0"/>
        <w:snapToGrid w:val="0"/>
        <w:spacing w:before="50" w:line="360" w:lineRule="auto"/>
        <w:ind w:left="-88" w:leftChars="-42" w:firstLine="720" w:firstLineChars="300"/>
        <w:rPr>
          <w:rFonts w:hint="eastAsia" w:ascii="宋体" w:hAnsi="宋体" w:eastAsia="宋体" w:cs="宋体"/>
          <w:color w:val="auto"/>
          <w:sz w:val="24"/>
          <w:lang w:eastAsia="zh-CN"/>
        </w:rPr>
      </w:pPr>
      <w:r>
        <w:rPr>
          <w:rFonts w:hint="eastAsia" w:ascii="宋体" w:hAnsi="宋体" w:eastAsia="宋体" w:cs="宋体"/>
          <w:color w:val="auto"/>
          <w:sz w:val="24"/>
        </w:rPr>
        <w:t>（2）</w:t>
      </w:r>
      <w:r>
        <w:rPr>
          <w:rFonts w:hint="eastAsia" w:ascii="宋体" w:hAnsi="宋体" w:eastAsia="宋体" w:cs="宋体"/>
          <w:bCs/>
          <w:color w:val="auto"/>
          <w:sz w:val="24"/>
          <w:lang w:eastAsia="zh-CN"/>
        </w:rPr>
        <w:t>投标供应商</w:t>
      </w:r>
      <w:r>
        <w:rPr>
          <w:rFonts w:hint="eastAsia" w:ascii="宋体" w:hAnsi="宋体" w:eastAsia="宋体" w:cs="宋体"/>
          <w:bCs/>
          <w:color w:val="auto"/>
          <w:sz w:val="24"/>
        </w:rPr>
        <w:t>如果对招标文件第五章“采购需求”的响应有偏离，应将偏离条款逐条如实应答，并作出说明</w:t>
      </w:r>
      <w:r>
        <w:rPr>
          <w:rFonts w:hint="eastAsia" w:ascii="宋体" w:hAnsi="宋体" w:eastAsia="宋体" w:cs="宋体"/>
          <w:bCs/>
          <w:color w:val="auto"/>
          <w:sz w:val="24"/>
          <w:lang w:eastAsia="zh-CN"/>
        </w:rPr>
        <w:t>，</w:t>
      </w:r>
      <w:r>
        <w:rPr>
          <w:rFonts w:hint="eastAsia" w:ascii="宋体" w:hAnsi="宋体" w:eastAsia="宋体" w:cs="宋体"/>
          <w:sz w:val="24"/>
        </w:rPr>
        <w:t>“偏离情况”列应</w:t>
      </w:r>
      <w:r>
        <w:rPr>
          <w:rFonts w:hint="eastAsia" w:ascii="宋体" w:hAnsi="宋体" w:eastAsia="宋体" w:cs="宋体"/>
          <w:color w:val="000000"/>
          <w:sz w:val="24"/>
        </w:rPr>
        <w:t>据实</w:t>
      </w:r>
      <w:r>
        <w:rPr>
          <w:rFonts w:hint="eastAsia" w:ascii="宋体" w:hAnsi="宋体" w:eastAsia="宋体" w:cs="宋体"/>
          <w:sz w:val="24"/>
        </w:rPr>
        <w:t>填写“正偏离”或“负偏离”</w:t>
      </w:r>
      <w:r>
        <w:rPr>
          <w:rFonts w:hint="eastAsia" w:ascii="宋体" w:hAnsi="宋体" w:eastAsia="宋体" w:cs="宋体"/>
          <w:sz w:val="24"/>
          <w:lang w:eastAsia="zh-CN"/>
        </w:rPr>
        <w:t>。</w:t>
      </w:r>
    </w:p>
    <w:p w14:paraId="1BAFFE17">
      <w:pPr>
        <w:adjustRightInd w:val="0"/>
        <w:snapToGrid w:val="0"/>
        <w:spacing w:before="50" w:line="360" w:lineRule="auto"/>
        <w:ind w:left="-88" w:leftChars="-42" w:firstLine="720" w:firstLineChars="300"/>
        <w:rPr>
          <w:rFonts w:hint="eastAsia" w:ascii="宋体" w:hAnsi="宋体" w:eastAsia="宋体" w:cs="宋体"/>
          <w:color w:val="auto"/>
          <w:sz w:val="24"/>
          <w:lang w:eastAsia="zh-CN"/>
        </w:rPr>
      </w:pPr>
      <w:r>
        <w:rPr>
          <w:rFonts w:hint="eastAsia" w:ascii="宋体" w:hAnsi="宋体" w:eastAsia="宋体" w:cs="宋体"/>
          <w:color w:val="auto"/>
          <w:sz w:val="24"/>
        </w:rPr>
        <w:t>（3）如不提供此表，则视为</w:t>
      </w:r>
      <w:r>
        <w:rPr>
          <w:rFonts w:hint="eastAsia" w:ascii="宋体" w:hAnsi="宋体" w:eastAsia="宋体" w:cs="宋体"/>
          <w:color w:val="auto"/>
          <w:sz w:val="24"/>
          <w:lang w:eastAsia="zh-CN"/>
        </w:rPr>
        <w:t>投标供应商</w:t>
      </w:r>
      <w:r>
        <w:rPr>
          <w:rFonts w:hint="eastAsia" w:ascii="宋体" w:hAnsi="宋体" w:eastAsia="宋体" w:cs="宋体"/>
          <w:color w:val="auto"/>
          <w:sz w:val="24"/>
        </w:rPr>
        <w:t>不满足招标文件第五章的所有条款要求，其</w:t>
      </w:r>
      <w:r>
        <w:rPr>
          <w:rFonts w:hint="eastAsia" w:ascii="宋体" w:hAnsi="宋体" w:eastAsia="宋体" w:cs="宋体"/>
          <w:b/>
          <w:bCs/>
          <w:color w:val="auto"/>
          <w:sz w:val="24"/>
        </w:rPr>
        <w:t>投标无效</w:t>
      </w:r>
      <w:r>
        <w:rPr>
          <w:rFonts w:hint="eastAsia" w:ascii="宋体" w:hAnsi="宋体" w:eastAsia="宋体" w:cs="宋体"/>
          <w:color w:val="auto"/>
          <w:sz w:val="24"/>
          <w:lang w:eastAsia="zh-CN"/>
        </w:rPr>
        <w:t>。</w:t>
      </w:r>
    </w:p>
    <w:p w14:paraId="1CE6E31F">
      <w:pPr>
        <w:adjustRightInd w:val="0"/>
        <w:snapToGrid w:val="0"/>
        <w:spacing w:before="50" w:line="360" w:lineRule="auto"/>
        <w:ind w:left="-88" w:leftChars="-42" w:firstLine="720" w:firstLineChars="300"/>
        <w:rPr>
          <w:rFonts w:hint="eastAsia" w:ascii="宋体" w:hAnsi="宋体" w:eastAsia="宋体" w:cs="宋体"/>
          <w:color w:val="auto"/>
          <w:sz w:val="24"/>
        </w:rPr>
      </w:pPr>
      <w:r>
        <w:rPr>
          <w:rFonts w:hint="eastAsia" w:ascii="宋体" w:hAnsi="宋体" w:eastAsia="宋体" w:cs="宋体"/>
          <w:color w:val="auto"/>
          <w:sz w:val="24"/>
        </w:rPr>
        <w:t>（4）在采购人与</w:t>
      </w:r>
      <w:r>
        <w:rPr>
          <w:rFonts w:hint="eastAsia" w:ascii="宋体" w:hAnsi="宋体" w:eastAsia="宋体" w:cs="宋体"/>
          <w:color w:val="auto"/>
          <w:sz w:val="24"/>
          <w:lang w:eastAsia="zh-CN"/>
        </w:rPr>
        <w:t>中标投标供应商</w:t>
      </w:r>
      <w:r>
        <w:rPr>
          <w:rFonts w:hint="eastAsia" w:ascii="宋体" w:hAnsi="宋体" w:eastAsia="宋体" w:cs="宋体"/>
          <w:color w:val="auto"/>
          <w:sz w:val="24"/>
        </w:rPr>
        <w:t>签订合同时，如</w:t>
      </w:r>
      <w:r>
        <w:rPr>
          <w:rFonts w:hint="eastAsia" w:ascii="宋体" w:hAnsi="宋体" w:eastAsia="宋体" w:cs="宋体"/>
          <w:color w:val="auto"/>
          <w:sz w:val="24"/>
          <w:lang w:eastAsia="zh-CN"/>
        </w:rPr>
        <w:t>中标投标供应商</w:t>
      </w:r>
      <w:r>
        <w:rPr>
          <w:rFonts w:hint="eastAsia" w:ascii="宋体" w:hAnsi="宋体" w:eastAsia="宋体" w:cs="宋体"/>
          <w:color w:val="auto"/>
          <w:sz w:val="24"/>
        </w:rPr>
        <w:t>未在投标文件“采购需求偏离表”中列出偏离说明，无论已发生或即将发生任何情形，均视为完全符合招标文件要求，并写入合同。若</w:t>
      </w:r>
      <w:r>
        <w:rPr>
          <w:rFonts w:hint="eastAsia" w:ascii="宋体" w:hAnsi="宋体" w:eastAsia="宋体" w:cs="宋体"/>
          <w:color w:val="auto"/>
          <w:sz w:val="24"/>
          <w:lang w:eastAsia="zh-CN"/>
        </w:rPr>
        <w:t>中标投标供应商</w:t>
      </w:r>
      <w:r>
        <w:rPr>
          <w:rFonts w:hint="eastAsia" w:ascii="宋体" w:hAnsi="宋体" w:eastAsia="宋体" w:cs="宋体"/>
          <w:color w:val="auto"/>
          <w:sz w:val="24"/>
        </w:rPr>
        <w:t>在合同签订前，以上述事项为借口而不履行合同签订手续及执行合同，则视作拒绝与采购人签订合同。</w:t>
      </w:r>
    </w:p>
    <w:p w14:paraId="041E520D">
      <w:pPr>
        <w:pStyle w:val="4"/>
        <w:keepNext w:val="0"/>
        <w:keepLines w:val="0"/>
        <w:adjustRightInd w:val="0"/>
        <w:snapToGrid w:val="0"/>
        <w:spacing w:before="0" w:after="0" w:line="360" w:lineRule="auto"/>
        <w:jc w:val="both"/>
        <w:rPr>
          <w:rFonts w:hint="eastAsia" w:ascii="宋体" w:hAnsi="宋体" w:eastAsia="宋体" w:cs="宋体"/>
          <w:color w:val="auto"/>
          <w:sz w:val="24"/>
          <w:szCs w:val="24"/>
        </w:rPr>
        <w:sectPr>
          <w:pgSz w:w="11906" w:h="16838"/>
          <w:pgMar w:top="1417" w:right="1134" w:bottom="1417" w:left="1134"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4B93D20">
      <w:pPr>
        <w:pStyle w:val="4"/>
        <w:bidi w:val="0"/>
        <w:jc w:val="center"/>
        <w:rPr>
          <w:rFonts w:hint="eastAsia" w:ascii="宋体" w:hAnsi="宋体" w:eastAsia="宋体" w:cs="宋体"/>
          <w:color w:val="auto"/>
          <w:szCs w:val="28"/>
        </w:rPr>
      </w:pPr>
      <w:bookmarkStart w:id="505" w:name="_Toc30467"/>
      <w:bookmarkStart w:id="506" w:name="_Toc7297"/>
      <w:bookmarkStart w:id="507" w:name="_Toc28806"/>
      <w:bookmarkStart w:id="508" w:name="_Toc8745"/>
      <w:bookmarkStart w:id="509" w:name="_Toc12763"/>
      <w:bookmarkStart w:id="510" w:name="_Toc1620"/>
      <w:bookmarkStart w:id="511" w:name="_Toc32096"/>
      <w:r>
        <w:rPr>
          <w:rFonts w:hint="eastAsia" w:ascii="宋体" w:hAnsi="宋体" w:cs="宋体"/>
          <w:sz w:val="28"/>
          <w:szCs w:val="28"/>
          <w:lang w:val="en-US" w:eastAsia="zh-CN"/>
        </w:rPr>
        <w:t>九</w:t>
      </w:r>
      <w:r>
        <w:rPr>
          <w:rFonts w:hint="eastAsia" w:ascii="宋体" w:hAnsi="宋体" w:eastAsia="宋体" w:cs="宋体"/>
          <w:sz w:val="28"/>
          <w:szCs w:val="28"/>
        </w:rPr>
        <w:t>、享受政府采购政策优惠的证明资料</w:t>
      </w:r>
      <w:bookmarkEnd w:id="505"/>
      <w:bookmarkEnd w:id="506"/>
      <w:bookmarkEnd w:id="507"/>
      <w:bookmarkEnd w:id="508"/>
      <w:bookmarkEnd w:id="509"/>
      <w:bookmarkEnd w:id="510"/>
      <w:bookmarkEnd w:id="511"/>
    </w:p>
    <w:p w14:paraId="5AB589A4">
      <w:pPr>
        <w:adjustRightInd w:val="0"/>
        <w:snapToGrid w:val="0"/>
        <w:spacing w:line="360" w:lineRule="auto"/>
        <w:ind w:firstLine="504" w:firstLineChars="200"/>
        <w:rPr>
          <w:rFonts w:hint="eastAsia" w:ascii="宋体" w:hAnsi="宋体" w:eastAsia="宋体" w:cs="宋体"/>
          <w:bCs/>
          <w:color w:val="auto"/>
          <w:spacing w:val="6"/>
          <w:kern w:val="0"/>
          <w:sz w:val="24"/>
          <w:szCs w:val="24"/>
        </w:rPr>
      </w:pPr>
      <w:bookmarkStart w:id="512" w:name="_Toc3284"/>
      <w:bookmarkStart w:id="513" w:name="_Toc25892"/>
      <w:r>
        <w:rPr>
          <w:rFonts w:hint="eastAsia" w:ascii="宋体" w:hAnsi="宋体" w:eastAsia="宋体" w:cs="宋体"/>
          <w:bCs/>
          <w:color w:val="auto"/>
          <w:spacing w:val="6"/>
          <w:kern w:val="0"/>
          <w:sz w:val="24"/>
          <w:szCs w:val="24"/>
        </w:rPr>
        <w:t>投标人符合第二章第33.6款要求的，应提供下列证明资料，并填写相关数据。否则，评审时不予以考虑。</w:t>
      </w:r>
    </w:p>
    <w:p w14:paraId="5523783A">
      <w:pPr>
        <w:pStyle w:val="3"/>
        <w:bidi w:val="0"/>
        <w:rPr>
          <w:rFonts w:hint="eastAsia" w:ascii="宋体" w:hAnsi="宋体" w:eastAsia="宋体" w:cs="宋体"/>
        </w:rPr>
      </w:pPr>
      <w:bookmarkStart w:id="514" w:name="_Toc31381"/>
      <w:r>
        <w:rPr>
          <w:rFonts w:hint="eastAsia" w:ascii="宋体" w:hAnsi="宋体" w:eastAsia="宋体" w:cs="宋体"/>
        </w:rPr>
        <w:t>附件</w:t>
      </w:r>
      <w:r>
        <w:rPr>
          <w:rFonts w:hint="eastAsia" w:ascii="宋体" w:hAnsi="宋体" w:cs="宋体"/>
          <w:lang w:val="en-US" w:eastAsia="zh-CN"/>
        </w:rPr>
        <w:t>9</w:t>
      </w:r>
      <w:r>
        <w:rPr>
          <w:rFonts w:hint="eastAsia" w:ascii="宋体" w:hAnsi="宋体" w:eastAsia="宋体" w:cs="宋体"/>
        </w:rPr>
        <w:t>-1：小型、微型企业声明函</w:t>
      </w:r>
      <w:bookmarkEnd w:id="512"/>
      <w:bookmarkEnd w:id="513"/>
      <w:bookmarkEnd w:id="514"/>
    </w:p>
    <w:p w14:paraId="7423D99D">
      <w:pPr>
        <w:spacing w:line="588" w:lineRule="exact"/>
        <w:ind w:firstLine="504"/>
        <w:jc w:val="center"/>
        <w:rPr>
          <w:rFonts w:hint="eastAsia" w:ascii="宋体" w:hAnsi="宋体" w:eastAsia="宋体" w:cs="宋体"/>
          <w:b/>
          <w:bCs/>
          <w:color w:val="auto"/>
          <w:spacing w:val="6"/>
          <w:kern w:val="0"/>
          <w:sz w:val="28"/>
          <w:szCs w:val="28"/>
          <w:highlight w:val="none"/>
          <w:lang w:eastAsia="zh-CN"/>
        </w:rPr>
      </w:pPr>
      <w:r>
        <w:rPr>
          <w:rFonts w:hint="eastAsia" w:ascii="宋体" w:hAnsi="宋体" w:eastAsia="宋体" w:cs="宋体"/>
          <w:b/>
          <w:bCs/>
          <w:color w:val="auto"/>
          <w:spacing w:val="6"/>
          <w:kern w:val="0"/>
          <w:sz w:val="28"/>
          <w:szCs w:val="28"/>
          <w:highlight w:val="none"/>
          <w:lang w:eastAsia="zh-CN"/>
        </w:rPr>
        <w:t>小型、微型企业声明函</w:t>
      </w:r>
    </w:p>
    <w:p w14:paraId="6D0741D3">
      <w:pPr>
        <w:spacing w:line="588" w:lineRule="exact"/>
        <w:ind w:firstLine="504"/>
        <w:rPr>
          <w:spacing w:val="6"/>
          <w:sz w:val="24"/>
        </w:rPr>
      </w:pPr>
      <w:r>
        <w:rPr>
          <w:rFonts w:hint="eastAsia" w:ascii="宋体" w:hAnsi="宋体" w:eastAsia="宋体" w:cs="宋体"/>
          <w:color w:val="auto"/>
          <w:sz w:val="24"/>
          <w:szCs w:val="24"/>
          <w:highlight w:val="none"/>
        </w:rPr>
        <w:t>本公司（联合体）郑重声明，根据《政府采购促进中小企业发展管理办法》（财库</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2020</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46号）的规定，本公司（联合体）</w:t>
      </w:r>
      <w:r>
        <w:rPr>
          <w:rFonts w:hint="eastAsia" w:ascii="宋体" w:hAnsi="宋体" w:eastAsia="宋体" w:cs="宋体"/>
          <w:b/>
          <w:bCs/>
          <w:color w:val="auto"/>
          <w:sz w:val="24"/>
          <w:szCs w:val="24"/>
          <w:highlight w:val="none"/>
        </w:rPr>
        <w:t>（请进行勾选</w:t>
      </w:r>
      <w:r>
        <w:rPr>
          <w:rFonts w:hint="eastAsia" w:ascii="宋体" w:hAnsi="宋体" w:eastAsia="宋体" w:cs="宋体"/>
          <w:b/>
          <w:bCs/>
          <w:color w:val="auto"/>
          <w:sz w:val="24"/>
          <w:szCs w:val="24"/>
          <w:highlight w:val="none"/>
          <w:lang w:val="en-US" w:eastAsia="zh-CN"/>
        </w:rPr>
        <w:t>打</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w:t>
      </w:r>
      <w:r>
        <w:rPr>
          <w:spacing w:val="6"/>
          <w:sz w:val="24"/>
        </w:rPr>
        <w:t>：</w:t>
      </w:r>
    </w:p>
    <w:p w14:paraId="5A65EC06">
      <w:pPr>
        <w:spacing w:line="588" w:lineRule="exact"/>
        <w:ind w:firstLine="482"/>
        <w:rPr>
          <w:b/>
          <w:spacing w:val="6"/>
          <w:sz w:val="24"/>
        </w:rPr>
      </w:pPr>
      <w:r>
        <w:rPr>
          <w:b/>
          <w:color w:val="000000"/>
          <w:sz w:val="24"/>
        </w:rPr>
        <w:sym w:font="Wingdings" w:char="00A8"/>
      </w:r>
      <w:r>
        <w:rPr>
          <w:b/>
          <w:spacing w:val="6"/>
          <w:sz w:val="24"/>
        </w:rPr>
        <w:t>不属于符合条件的</w:t>
      </w:r>
      <w:r>
        <w:rPr>
          <w:rFonts w:hint="eastAsia"/>
          <w:b/>
          <w:spacing w:val="6"/>
          <w:sz w:val="24"/>
          <w:lang w:val="en-US" w:eastAsia="zh-CN"/>
        </w:rPr>
        <w:t>小型、微型企业</w:t>
      </w:r>
      <w:r>
        <w:rPr>
          <w:b/>
          <w:spacing w:val="6"/>
          <w:sz w:val="24"/>
        </w:rPr>
        <w:t>。</w:t>
      </w:r>
    </w:p>
    <w:p w14:paraId="379E6731">
      <w:pPr>
        <w:spacing w:line="588" w:lineRule="exact"/>
        <w:ind w:firstLine="482"/>
        <w:rPr>
          <w:rFonts w:hint="eastAsia" w:ascii="宋体" w:hAnsi="宋体" w:eastAsia="宋体" w:cs="宋体"/>
          <w:color w:val="auto"/>
          <w:sz w:val="24"/>
          <w:szCs w:val="24"/>
          <w:highlight w:val="none"/>
        </w:rPr>
      </w:pPr>
      <w:r>
        <w:rPr>
          <w:b/>
          <w:color w:val="000000"/>
          <w:sz w:val="24"/>
        </w:rPr>
        <w:sym w:font="Wingdings" w:char="00A8"/>
      </w:r>
      <w:r>
        <w:rPr>
          <w:b/>
          <w:spacing w:val="6"/>
          <w:sz w:val="24"/>
        </w:rPr>
        <w:t>属于符合条件的</w:t>
      </w:r>
      <w:r>
        <w:rPr>
          <w:rFonts w:hint="eastAsia"/>
          <w:b/>
          <w:spacing w:val="6"/>
          <w:sz w:val="24"/>
          <w:lang w:val="en-US" w:eastAsia="zh-CN"/>
        </w:rPr>
        <w:t>小型、微型企业</w:t>
      </w:r>
      <w:r>
        <w:rPr>
          <w:rFonts w:hint="eastAsia"/>
          <w:b/>
          <w:spacing w:val="6"/>
          <w:sz w:val="24"/>
          <w:lang w:eastAsia="zh-CN"/>
        </w:rPr>
        <w:t>，</w:t>
      </w:r>
      <w:r>
        <w:rPr>
          <w:rFonts w:hint="eastAsia" w:ascii="宋体" w:hAnsi="宋体" w:eastAsia="宋体" w:cs="宋体"/>
          <w:color w:val="auto"/>
          <w:sz w:val="24"/>
          <w:szCs w:val="24"/>
          <w:highlight w:val="none"/>
        </w:rPr>
        <w:t>参加</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采购单位</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采购活动,提供的货物全部由符合政策要求的中小企业制造。相关企业（含联合体中的中小企业、签订分包意向协议的中小企业）的具体情况如下：</w:t>
      </w:r>
    </w:p>
    <w:p w14:paraId="74925F7F">
      <w:pPr>
        <w:keepNext w:val="0"/>
        <w:keepLines w:val="0"/>
        <w:pageBreakBefore w:val="0"/>
        <w:widowControl w:val="0"/>
        <w:numPr>
          <w:ilvl w:val="0"/>
          <w:numId w:val="16"/>
        </w:numPr>
        <w:bidi w:val="0"/>
        <w:spacing w:line="360" w:lineRule="auto"/>
        <w:ind w:firstLine="420" w:firstLineChars="0"/>
        <w:rPr>
          <w:rFonts w:hint="eastAsia" w:ascii="宋体" w:hAnsi="宋体" w:eastAsia="宋体" w:cs="宋体"/>
          <w:color w:val="auto"/>
          <w:sz w:val="24"/>
          <w:szCs w:val="24"/>
          <w:highlight w:val="none"/>
        </w:rPr>
      </w:pPr>
      <w:bookmarkStart w:id="515" w:name="bookmark30"/>
      <w:bookmarkEnd w:id="515"/>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lang w:val="en-US" w:eastAsia="zh-CN"/>
        </w:rPr>
        <w:t xml:space="preserve"> </w:t>
      </w:r>
      <w:r>
        <w:rPr>
          <w:rStyle w:val="46"/>
          <w:rFonts w:hint="eastAsia" w:ascii="宋体" w:hAnsi="宋体" w:eastAsia="宋体" w:cs="宋体"/>
          <w:color w:val="auto"/>
          <w:kern w:val="2"/>
          <w:sz w:val="24"/>
          <w:szCs w:val="24"/>
          <w:highlight w:val="none"/>
          <w:u w:val="single"/>
          <w:lang w:val="en-US" w:eastAsia="zh-CN" w:bidi="ar-SA"/>
        </w:rPr>
        <w:t>（采购文件中明确的所属行业）</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行业;制造商为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属于（中型企业、小型企业、微型企业）</w:t>
      </w:r>
      <w:r>
        <w:rPr>
          <w:rFonts w:hint="eastAsia" w:ascii="宋体" w:hAnsi="宋体" w:eastAsia="宋体" w:cs="宋体"/>
          <w:color w:val="auto"/>
          <w:sz w:val="24"/>
          <w:szCs w:val="24"/>
          <w:highlight w:val="none"/>
          <w:lang w:eastAsia="zh-CN"/>
        </w:rPr>
        <w:t>。</w:t>
      </w:r>
    </w:p>
    <w:p w14:paraId="02936DCB">
      <w:pPr>
        <w:keepNext w:val="0"/>
        <w:keepLines w:val="0"/>
        <w:pageBreakBefore w:val="0"/>
        <w:widowControl w:val="0"/>
        <w:numPr>
          <w:ilvl w:val="0"/>
          <w:numId w:val="16"/>
        </w:numPr>
        <w:bidi w:val="0"/>
        <w:spacing w:line="360" w:lineRule="auto"/>
        <w:ind w:firstLine="42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lang w:val="en-US" w:eastAsia="zh-CN"/>
        </w:rPr>
        <w:t xml:space="preserve"> </w:t>
      </w:r>
      <w:r>
        <w:rPr>
          <w:rStyle w:val="46"/>
          <w:rFonts w:hint="eastAsia" w:ascii="宋体" w:hAnsi="宋体" w:eastAsia="宋体" w:cs="宋体"/>
          <w:color w:val="auto"/>
          <w:kern w:val="2"/>
          <w:sz w:val="24"/>
          <w:szCs w:val="24"/>
          <w:highlight w:val="none"/>
          <w:u w:val="single"/>
          <w:lang w:val="en-US" w:eastAsia="zh-CN" w:bidi="ar-SA"/>
        </w:rPr>
        <w:t>（采购文件中明确的所属行业）</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行业;制造商为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属于（中型企业、小型企业、微型企业）</w:t>
      </w:r>
      <w:r>
        <w:rPr>
          <w:rFonts w:hint="eastAsia" w:ascii="宋体" w:hAnsi="宋体" w:eastAsia="宋体" w:cs="宋体"/>
          <w:color w:val="auto"/>
          <w:sz w:val="24"/>
          <w:szCs w:val="24"/>
          <w:highlight w:val="none"/>
          <w:lang w:eastAsia="zh-CN"/>
        </w:rPr>
        <w:t>。</w:t>
      </w:r>
    </w:p>
    <w:p w14:paraId="0965CB68">
      <w:pPr>
        <w:pStyle w:val="66"/>
        <w:ind w:firstLine="420" w:firstLineChars="0"/>
        <w:rPr>
          <w:rFonts w:hint="default" w:eastAsia="宋体"/>
          <w:b/>
          <w:bCs/>
          <w:color w:val="auto"/>
          <w:lang w:val="en-US" w:eastAsia="zh-CN"/>
        </w:rPr>
      </w:pPr>
      <w:r>
        <w:rPr>
          <w:rFonts w:hint="eastAsia"/>
          <w:b/>
          <w:bCs/>
          <w:color w:val="auto"/>
          <w:lang w:val="en-US" w:eastAsia="zh-CN"/>
        </w:rPr>
        <w:t>.............</w:t>
      </w:r>
    </w:p>
    <w:p w14:paraId="06FB1EA7">
      <w:pPr>
        <w:keepNext w:val="0"/>
        <w:keepLines w:val="0"/>
        <w:pageBreakBefore w:val="0"/>
        <w:widowControl w:val="0"/>
        <w:bidi w:val="0"/>
        <w:spacing w:line="360" w:lineRule="auto"/>
        <w:ind w:firstLine="420" w:firstLineChars="0"/>
        <w:rPr>
          <w:rFonts w:hint="eastAsia" w:ascii="宋体" w:hAnsi="宋体" w:eastAsia="宋体" w:cs="宋体"/>
          <w:color w:val="auto"/>
          <w:sz w:val="24"/>
          <w:szCs w:val="24"/>
          <w:highlight w:val="none"/>
        </w:rPr>
      </w:pPr>
      <w:bookmarkStart w:id="516" w:name="bookmark31"/>
      <w:bookmarkEnd w:id="516"/>
      <w:r>
        <w:rPr>
          <w:rFonts w:hint="eastAsia" w:ascii="宋体" w:hAnsi="宋体" w:eastAsia="宋体" w:cs="宋体"/>
          <w:color w:val="auto"/>
          <w:sz w:val="24"/>
          <w:szCs w:val="24"/>
          <w:highlight w:val="none"/>
        </w:rPr>
        <w:t>以上企业，不属于大企业的分支机构，不存在控股股东为大企业的情形，也不存在与大企业的负责人为同一人的情形。</w:t>
      </w:r>
    </w:p>
    <w:p w14:paraId="073E7D84">
      <w:pPr>
        <w:keepNext w:val="0"/>
        <w:keepLines w:val="0"/>
        <w:pageBreakBefore w:val="0"/>
        <w:widowControl w:val="0"/>
        <w:bidi w:val="0"/>
        <w:spacing w:line="360" w:lineRule="auto"/>
        <w:ind w:firstLine="42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本企业对上述声明内容的真实性负责。如有虚假，将依法承担相应责任。</w:t>
      </w:r>
    </w:p>
    <w:p w14:paraId="4FD8CA1F">
      <w:pPr>
        <w:keepNext w:val="0"/>
        <w:keepLines w:val="0"/>
        <w:pageBreakBefore w:val="0"/>
        <w:widowControl w:val="0"/>
        <w:wordWrap w:val="0"/>
        <w:bidi w:val="0"/>
        <w:spacing w:line="360" w:lineRule="auto"/>
        <w:jc w:val="center"/>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企业名称（盖</w:t>
      </w:r>
      <w:r>
        <w:rPr>
          <w:rFonts w:hint="eastAsia" w:ascii="宋体" w:hAnsi="宋体" w:cs="宋体"/>
          <w:b/>
          <w:bCs/>
          <w:color w:val="auto"/>
          <w:sz w:val="24"/>
          <w:szCs w:val="24"/>
          <w:highlight w:val="none"/>
          <w:lang w:eastAsia="zh-CN"/>
        </w:rPr>
        <w:t>单位公</w:t>
      </w:r>
      <w:r>
        <w:rPr>
          <w:rFonts w:hint="eastAsia" w:ascii="宋体" w:hAnsi="宋体" w:eastAsia="宋体" w:cs="宋体"/>
          <w:b/>
          <w:bCs/>
          <w:color w:val="auto"/>
          <w:sz w:val="24"/>
          <w:szCs w:val="24"/>
          <w:highlight w:val="none"/>
        </w:rPr>
        <w:t>章）:</w:t>
      </w:r>
      <w:r>
        <w:rPr>
          <w:rFonts w:hint="eastAsia" w:ascii="宋体" w:hAnsi="宋体" w:eastAsia="宋体" w:cs="宋体"/>
          <w:b/>
          <w:bCs/>
          <w:color w:val="auto"/>
          <w:sz w:val="24"/>
          <w:szCs w:val="24"/>
          <w:highlight w:val="none"/>
          <w:u w:val="single"/>
          <w:lang w:val="en-US" w:eastAsia="zh-CN"/>
        </w:rPr>
        <w:t xml:space="preserve">                 </w:t>
      </w:r>
    </w:p>
    <w:p w14:paraId="6DF19FD6">
      <w:pPr>
        <w:keepNext w:val="0"/>
        <w:keepLines w:val="0"/>
        <w:pageBreakBefore w:val="0"/>
        <w:widowControl w:val="0"/>
        <w:bidi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日</w:t>
      </w:r>
      <w:r>
        <w:rPr>
          <w:rFonts w:hint="eastAsia" w:ascii="宋体" w:hAnsi="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期：</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日</w:t>
      </w:r>
    </w:p>
    <w:p w14:paraId="22A67AB1">
      <w:pPr>
        <w:keepNext w:val="0"/>
        <w:keepLines w:val="0"/>
        <w:pageBreakBefore w:val="0"/>
        <w:widowControl w:val="0"/>
        <w:kinsoku/>
        <w:wordWrap/>
        <w:overflowPunct/>
        <w:topLinePunct w:val="0"/>
        <w:bidi w:val="0"/>
        <w:adjustRightInd w:val="0"/>
        <w:snapToGrid w:val="0"/>
        <w:spacing w:line="360" w:lineRule="auto"/>
        <w:jc w:val="both"/>
        <w:textAlignment w:val="auto"/>
        <w:rPr>
          <w:rFonts w:hint="eastAsia" w:ascii="宋体" w:hAnsi="宋体" w:eastAsia="宋体" w:cs="宋体"/>
          <w:b/>
          <w:bCs w:val="0"/>
          <w:color w:val="auto"/>
          <w:spacing w:val="6"/>
          <w:kern w:val="0"/>
          <w:sz w:val="24"/>
          <w:szCs w:val="24"/>
          <w:highlight w:val="none"/>
          <w:lang w:val="en-US" w:eastAsia="zh-CN"/>
        </w:rPr>
      </w:pPr>
      <w:r>
        <w:rPr>
          <w:rFonts w:hint="eastAsia" w:ascii="宋体" w:hAnsi="宋体" w:eastAsia="宋体" w:cs="宋体"/>
          <w:b/>
          <w:color w:val="auto"/>
          <w:spacing w:val="6"/>
          <w:kern w:val="0"/>
          <w:sz w:val="24"/>
          <w:szCs w:val="24"/>
          <w:highlight w:val="none"/>
          <w:lang w:val="en-US" w:eastAsia="zh-CN"/>
        </w:rPr>
        <w:t xml:space="preserve"> </w:t>
      </w:r>
      <w:r>
        <w:rPr>
          <w:rFonts w:hint="eastAsia" w:ascii="宋体" w:hAnsi="宋体" w:eastAsia="宋体" w:cs="宋体"/>
          <w:b/>
          <w:bCs w:val="0"/>
          <w:color w:val="auto"/>
          <w:spacing w:val="6"/>
          <w:kern w:val="0"/>
          <w:sz w:val="24"/>
          <w:szCs w:val="24"/>
          <w:highlight w:val="none"/>
          <w:lang w:val="en-US" w:eastAsia="zh-CN"/>
        </w:rPr>
        <w:t>备注：</w:t>
      </w:r>
    </w:p>
    <w:p w14:paraId="24B70D21">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bCs w:val="0"/>
          <w:color w:val="auto"/>
          <w:sz w:val="21"/>
          <w:szCs w:val="21"/>
          <w:u w:val="none"/>
          <w:lang w:val="en-US" w:eastAsia="zh-CN"/>
        </w:rPr>
      </w:pPr>
      <w:r>
        <w:rPr>
          <w:rFonts w:hint="eastAsia" w:ascii="宋体" w:hAnsi="宋体" w:eastAsia="宋体" w:cs="宋体"/>
          <w:b/>
          <w:bCs w:val="0"/>
          <w:color w:val="auto"/>
          <w:sz w:val="21"/>
          <w:szCs w:val="21"/>
          <w:u w:val="none"/>
          <w:lang w:val="en-US" w:eastAsia="zh-CN"/>
        </w:rPr>
        <w:t>1、从业人员、营业收入、资产总额填报上一年度数据，无上一年度数据的新成立企业可不填报。</w:t>
      </w:r>
    </w:p>
    <w:p w14:paraId="09AE76D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val="0"/>
          <w:color w:val="auto"/>
          <w:spacing w:val="6"/>
          <w:kern w:val="0"/>
          <w:sz w:val="21"/>
          <w:szCs w:val="21"/>
          <w:highlight w:val="none"/>
          <w:u w:val="none"/>
        </w:rPr>
      </w:pPr>
      <w:r>
        <w:rPr>
          <w:rFonts w:hint="eastAsia" w:ascii="宋体" w:hAnsi="宋体" w:eastAsia="宋体" w:cs="宋体"/>
          <w:b/>
          <w:bCs w:val="0"/>
          <w:color w:val="auto"/>
          <w:kern w:val="0"/>
          <w:sz w:val="21"/>
          <w:szCs w:val="21"/>
          <w:highlight w:val="none"/>
          <w:u w:val="none"/>
          <w:lang w:val="en-US" w:eastAsia="zh-CN"/>
        </w:rPr>
        <w:t>2、投标供应商</w:t>
      </w:r>
      <w:r>
        <w:rPr>
          <w:rFonts w:hint="eastAsia" w:ascii="宋体" w:hAnsi="宋体" w:eastAsia="宋体" w:cs="宋体"/>
          <w:b/>
          <w:bCs w:val="0"/>
          <w:color w:val="auto"/>
          <w:spacing w:val="6"/>
          <w:kern w:val="0"/>
          <w:sz w:val="21"/>
          <w:szCs w:val="21"/>
          <w:highlight w:val="none"/>
          <w:u w:val="none"/>
        </w:rPr>
        <w:t>符合第二章第</w:t>
      </w:r>
      <w:r>
        <w:rPr>
          <w:rFonts w:hint="eastAsia" w:ascii="宋体" w:hAnsi="宋体" w:cs="宋体"/>
          <w:b/>
          <w:bCs w:val="0"/>
          <w:color w:val="auto"/>
          <w:spacing w:val="6"/>
          <w:kern w:val="0"/>
          <w:sz w:val="21"/>
          <w:szCs w:val="21"/>
          <w:highlight w:val="none"/>
          <w:u w:val="none"/>
          <w:lang w:val="en-US" w:eastAsia="zh-CN"/>
        </w:rPr>
        <w:t>33.6</w:t>
      </w:r>
      <w:r>
        <w:rPr>
          <w:rFonts w:hint="eastAsia" w:ascii="宋体" w:hAnsi="宋体" w:eastAsia="宋体" w:cs="宋体"/>
          <w:b/>
          <w:bCs w:val="0"/>
          <w:color w:val="auto"/>
          <w:spacing w:val="6"/>
          <w:kern w:val="0"/>
          <w:sz w:val="21"/>
          <w:szCs w:val="21"/>
          <w:highlight w:val="none"/>
          <w:u w:val="none"/>
        </w:rPr>
        <w:t>条要求的</w:t>
      </w:r>
      <w:r>
        <w:rPr>
          <w:rFonts w:hint="eastAsia" w:ascii="宋体" w:hAnsi="宋体" w:eastAsia="宋体" w:cs="宋体"/>
          <w:b/>
          <w:bCs w:val="0"/>
          <w:color w:val="auto"/>
          <w:spacing w:val="6"/>
          <w:kern w:val="0"/>
          <w:sz w:val="21"/>
          <w:szCs w:val="21"/>
          <w:highlight w:val="none"/>
          <w:u w:val="none"/>
          <w:lang w:eastAsia="zh-CN"/>
        </w:rPr>
        <w:t>；</w:t>
      </w:r>
      <w:r>
        <w:rPr>
          <w:rFonts w:hint="eastAsia" w:ascii="宋体" w:hAnsi="宋体" w:eastAsia="宋体" w:cs="宋体"/>
          <w:b/>
          <w:bCs w:val="0"/>
          <w:color w:val="auto"/>
          <w:kern w:val="0"/>
          <w:sz w:val="21"/>
          <w:szCs w:val="21"/>
          <w:highlight w:val="none"/>
          <w:u w:val="none"/>
          <w:lang w:val="en-US" w:eastAsia="zh-CN"/>
        </w:rPr>
        <w:t>属于</w:t>
      </w:r>
      <w:r>
        <w:rPr>
          <w:rFonts w:hint="eastAsia" w:ascii="宋体" w:hAnsi="宋体" w:eastAsia="宋体" w:cs="宋体"/>
          <w:b/>
          <w:bCs w:val="0"/>
          <w:color w:val="auto"/>
          <w:spacing w:val="6"/>
          <w:kern w:val="0"/>
          <w:sz w:val="21"/>
          <w:szCs w:val="21"/>
          <w:highlight w:val="none"/>
          <w:u w:val="none"/>
        </w:rPr>
        <w:t>小型、微型企业</w:t>
      </w:r>
      <w:r>
        <w:rPr>
          <w:rFonts w:hint="eastAsia" w:ascii="宋体" w:hAnsi="宋体" w:eastAsia="宋体" w:cs="宋体"/>
          <w:b/>
          <w:bCs w:val="0"/>
          <w:color w:val="auto"/>
          <w:kern w:val="0"/>
          <w:sz w:val="21"/>
          <w:szCs w:val="21"/>
          <w:highlight w:val="none"/>
          <w:u w:val="none"/>
          <w:lang w:val="en-US" w:eastAsia="zh-CN"/>
        </w:rPr>
        <w:t>，请认真填写，</w:t>
      </w:r>
      <w:r>
        <w:rPr>
          <w:rFonts w:hint="eastAsia" w:ascii="宋体" w:hAnsi="宋体" w:eastAsia="宋体" w:cs="宋体"/>
          <w:b/>
          <w:bCs w:val="0"/>
          <w:color w:val="auto"/>
          <w:spacing w:val="6"/>
          <w:kern w:val="0"/>
          <w:sz w:val="21"/>
          <w:szCs w:val="21"/>
          <w:highlight w:val="none"/>
          <w:u w:val="none"/>
        </w:rPr>
        <w:t>按要求填写相关数据。</w:t>
      </w:r>
      <w:r>
        <w:rPr>
          <w:rFonts w:hint="eastAsia" w:ascii="宋体" w:hAnsi="宋体" w:eastAsia="宋体" w:cs="宋体"/>
          <w:b/>
          <w:bCs w:val="0"/>
          <w:color w:val="auto"/>
          <w:kern w:val="0"/>
          <w:sz w:val="21"/>
          <w:szCs w:val="21"/>
          <w:highlight w:val="none"/>
          <w:u w:val="none"/>
          <w:lang w:val="en-US" w:eastAsia="zh-CN"/>
        </w:rPr>
        <w:t>不按要求填写</w:t>
      </w:r>
      <w:r>
        <w:rPr>
          <w:rFonts w:hint="eastAsia" w:ascii="宋体" w:hAnsi="宋体" w:eastAsia="宋体" w:cs="宋体"/>
          <w:b/>
          <w:bCs w:val="0"/>
          <w:color w:val="auto"/>
          <w:spacing w:val="6"/>
          <w:kern w:val="0"/>
          <w:sz w:val="21"/>
          <w:szCs w:val="21"/>
          <w:highlight w:val="none"/>
          <w:u w:val="none"/>
        </w:rPr>
        <w:t>评审时不予以考虑。</w:t>
      </w:r>
    </w:p>
    <w:p w14:paraId="016C3318">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pacing w:val="6"/>
          <w:kern w:val="0"/>
          <w:sz w:val="24"/>
        </w:rPr>
      </w:pPr>
      <w:r>
        <w:rPr>
          <w:rFonts w:hint="eastAsia" w:ascii="宋体" w:hAnsi="宋体" w:eastAsia="宋体" w:cs="宋体"/>
          <w:b/>
          <w:bCs w:val="0"/>
          <w:color w:val="auto"/>
          <w:kern w:val="0"/>
          <w:sz w:val="21"/>
          <w:szCs w:val="21"/>
          <w:highlight w:val="none"/>
          <w:u w:val="none"/>
          <w:lang w:val="en-US" w:eastAsia="zh-CN"/>
        </w:rPr>
        <w:t>3、投标供应商对本声明函的真实内容负责，</w:t>
      </w:r>
      <w:r>
        <w:rPr>
          <w:rFonts w:hint="eastAsia" w:ascii="宋体" w:hAnsi="宋体" w:eastAsia="宋体" w:cs="宋体"/>
          <w:b/>
          <w:bCs w:val="0"/>
          <w:color w:val="auto"/>
          <w:kern w:val="0"/>
          <w:sz w:val="21"/>
          <w:szCs w:val="21"/>
          <w:highlight w:val="none"/>
          <w:u w:val="none"/>
        </w:rPr>
        <w:t>如有虚假，将依法承担相应责任。</w:t>
      </w:r>
      <w:r>
        <w:rPr>
          <w:rFonts w:hint="eastAsia" w:ascii="宋体" w:hAnsi="宋体" w:eastAsia="宋体" w:cs="宋体"/>
          <w:color w:val="auto"/>
          <w:spacing w:val="6"/>
          <w:kern w:val="0"/>
          <w:sz w:val="24"/>
        </w:rPr>
        <w:br w:type="page"/>
      </w:r>
    </w:p>
    <w:p w14:paraId="78AD37B1">
      <w:pPr>
        <w:pStyle w:val="3"/>
        <w:bidi w:val="0"/>
        <w:rPr>
          <w:rFonts w:hint="eastAsia" w:ascii="宋体" w:hAnsi="宋体" w:eastAsia="宋体" w:cs="宋体"/>
        </w:rPr>
      </w:pPr>
      <w:bookmarkStart w:id="517" w:name="_Toc11852"/>
      <w:bookmarkStart w:id="518" w:name="_Toc5765"/>
      <w:bookmarkStart w:id="519" w:name="_Toc8655"/>
      <w:r>
        <w:rPr>
          <w:rFonts w:hint="eastAsia" w:ascii="宋体" w:hAnsi="宋体" w:eastAsia="宋体" w:cs="宋体"/>
        </w:rPr>
        <w:t>附件</w:t>
      </w:r>
      <w:r>
        <w:rPr>
          <w:rFonts w:hint="eastAsia" w:ascii="宋体" w:hAnsi="宋体" w:cs="宋体"/>
          <w:lang w:val="en-US" w:eastAsia="zh-CN"/>
        </w:rPr>
        <w:t>9</w:t>
      </w:r>
      <w:r>
        <w:rPr>
          <w:rFonts w:hint="eastAsia" w:ascii="宋体" w:hAnsi="宋体" w:eastAsia="宋体" w:cs="宋体"/>
        </w:rPr>
        <w:t>-2：残疾人福利性单位声明函</w:t>
      </w:r>
      <w:bookmarkEnd w:id="517"/>
      <w:bookmarkEnd w:id="518"/>
      <w:bookmarkEnd w:id="519"/>
    </w:p>
    <w:p w14:paraId="231663E3">
      <w:pPr>
        <w:adjustRightInd w:val="0"/>
        <w:snapToGrid w:val="0"/>
        <w:spacing w:line="360" w:lineRule="auto"/>
        <w:jc w:val="center"/>
        <w:rPr>
          <w:rFonts w:hint="eastAsia" w:ascii="宋体" w:hAnsi="宋体" w:eastAsia="宋体" w:cs="宋体"/>
          <w:b/>
          <w:color w:val="auto"/>
          <w:spacing w:val="6"/>
          <w:sz w:val="28"/>
          <w:szCs w:val="28"/>
        </w:rPr>
      </w:pPr>
    </w:p>
    <w:p w14:paraId="5D179AFB">
      <w:pPr>
        <w:adjustRightInd w:val="0"/>
        <w:snapToGrid w:val="0"/>
        <w:spacing w:line="360" w:lineRule="auto"/>
        <w:jc w:val="center"/>
        <w:rPr>
          <w:rFonts w:hint="eastAsia" w:ascii="宋体" w:hAnsi="宋体" w:eastAsia="宋体" w:cs="宋体"/>
          <w:b/>
          <w:color w:val="auto"/>
          <w:spacing w:val="6"/>
          <w:sz w:val="28"/>
          <w:szCs w:val="28"/>
        </w:rPr>
      </w:pPr>
      <w:r>
        <w:rPr>
          <w:rFonts w:hint="eastAsia" w:ascii="宋体" w:hAnsi="宋体" w:eastAsia="宋体" w:cs="宋体"/>
          <w:b/>
          <w:color w:val="auto"/>
          <w:spacing w:val="6"/>
          <w:sz w:val="28"/>
          <w:szCs w:val="28"/>
        </w:rPr>
        <w:t>残疾人福利性单位声明函</w:t>
      </w:r>
    </w:p>
    <w:p w14:paraId="4C91034D">
      <w:pPr>
        <w:spacing w:line="588" w:lineRule="exact"/>
        <w:ind w:firstLine="504"/>
        <w:rPr>
          <w:rFonts w:hint="eastAsia" w:ascii="宋体" w:hAnsi="宋体" w:eastAsia="宋体" w:cs="宋体"/>
          <w:spacing w:val="6"/>
          <w:sz w:val="24"/>
        </w:rPr>
      </w:pPr>
      <w:r>
        <w:rPr>
          <w:rFonts w:hint="eastAsia" w:ascii="宋体" w:hAnsi="宋体" w:eastAsia="宋体" w:cs="宋体"/>
          <w:spacing w:val="6"/>
          <w:sz w:val="24"/>
        </w:rPr>
        <w:t>本单位郑重声明，根据《财政部 民政部 中国残疾人联合会关于促进残疾人就业政府采购政策的通知》（财库</w:t>
      </w:r>
      <w:r>
        <w:rPr>
          <w:rFonts w:hint="eastAsia" w:ascii="宋体" w:hAnsi="宋体" w:eastAsia="宋体" w:cs="宋体"/>
          <w:sz w:val="24"/>
        </w:rPr>
        <w:t>〔2017〕141</w:t>
      </w:r>
      <w:r>
        <w:rPr>
          <w:rFonts w:hint="eastAsia" w:ascii="宋体" w:hAnsi="宋体" w:eastAsia="宋体" w:cs="宋体"/>
          <w:spacing w:val="6"/>
          <w:sz w:val="24"/>
        </w:rPr>
        <w:t>号）的规定，本单位</w:t>
      </w:r>
      <w:r>
        <w:rPr>
          <w:rFonts w:hint="eastAsia" w:ascii="宋体" w:hAnsi="宋体" w:eastAsia="宋体" w:cs="宋体"/>
          <w:b/>
          <w:sz w:val="24"/>
        </w:rPr>
        <w:t>（</w:t>
      </w:r>
      <w:r>
        <w:rPr>
          <w:rFonts w:hint="eastAsia"/>
          <w:b/>
          <w:color w:val="auto"/>
          <w:sz w:val="24"/>
        </w:rPr>
        <w:t>请进行勾选</w:t>
      </w:r>
      <w:r>
        <w:rPr>
          <w:rFonts w:hint="eastAsia"/>
          <w:b/>
          <w:color w:val="auto"/>
          <w:sz w:val="24"/>
          <w:lang w:val="en-US" w:eastAsia="zh-CN"/>
        </w:rPr>
        <w:t>打</w:t>
      </w:r>
      <w:r>
        <w:rPr>
          <w:rFonts w:hint="eastAsia"/>
          <w:b/>
          <w:color w:val="auto"/>
          <w:sz w:val="24"/>
          <w:lang w:eastAsia="zh-CN"/>
        </w:rPr>
        <w:t>“√”</w:t>
      </w:r>
      <w:r>
        <w:rPr>
          <w:rFonts w:hint="eastAsia" w:ascii="宋体" w:hAnsi="宋体" w:eastAsia="宋体" w:cs="宋体"/>
          <w:b/>
          <w:sz w:val="24"/>
        </w:rPr>
        <w:t>）</w:t>
      </w:r>
      <w:r>
        <w:rPr>
          <w:rFonts w:hint="eastAsia" w:ascii="宋体" w:hAnsi="宋体" w:eastAsia="宋体" w:cs="宋体"/>
          <w:spacing w:val="6"/>
          <w:sz w:val="24"/>
        </w:rPr>
        <w:t>：</w:t>
      </w:r>
    </w:p>
    <w:p w14:paraId="11AF116C">
      <w:pPr>
        <w:spacing w:line="588" w:lineRule="exact"/>
        <w:ind w:firstLine="482"/>
        <w:rPr>
          <w:rFonts w:hint="eastAsia" w:ascii="宋体" w:hAnsi="宋体" w:eastAsia="宋体" w:cs="宋体"/>
          <w:b/>
          <w:spacing w:val="6"/>
          <w:sz w:val="24"/>
        </w:rPr>
      </w:pPr>
      <w:r>
        <w:rPr>
          <w:rFonts w:hint="eastAsia" w:ascii="宋体" w:hAnsi="宋体" w:eastAsia="宋体" w:cs="宋体"/>
          <w:iCs/>
          <w:color w:val="auto"/>
          <w:sz w:val="32"/>
          <w:szCs w:val="32"/>
        </w:rPr>
        <w:sym w:font="Wingdings" w:char="00A8"/>
      </w:r>
      <w:r>
        <w:rPr>
          <w:rFonts w:hint="eastAsia" w:ascii="宋体" w:hAnsi="宋体" w:eastAsia="宋体" w:cs="宋体"/>
          <w:b/>
          <w:spacing w:val="6"/>
          <w:sz w:val="24"/>
        </w:rPr>
        <w:t>不属于符合条件的残疾人福利性单位。</w:t>
      </w:r>
    </w:p>
    <w:p w14:paraId="3513F42C">
      <w:pPr>
        <w:spacing w:line="588" w:lineRule="exact"/>
        <w:ind w:firstLine="482"/>
        <w:rPr>
          <w:rFonts w:hint="eastAsia" w:ascii="宋体" w:hAnsi="宋体" w:eastAsia="宋体" w:cs="宋体"/>
          <w:spacing w:val="6"/>
          <w:sz w:val="24"/>
        </w:rPr>
      </w:pPr>
      <w:r>
        <w:rPr>
          <w:rFonts w:hint="eastAsia" w:ascii="宋体" w:hAnsi="宋体" w:eastAsia="宋体" w:cs="宋体"/>
          <w:iCs/>
          <w:color w:val="auto"/>
          <w:sz w:val="32"/>
          <w:szCs w:val="32"/>
        </w:rPr>
        <w:sym w:font="Wingdings" w:char="00A8"/>
      </w:r>
      <w:r>
        <w:rPr>
          <w:rFonts w:hint="eastAsia" w:ascii="宋体" w:hAnsi="宋体" w:eastAsia="宋体" w:cs="宋体"/>
          <w:b/>
          <w:spacing w:val="6"/>
          <w:sz w:val="24"/>
        </w:rPr>
        <w:t>属于符合条件的残疾人福利性单位，</w:t>
      </w:r>
      <w:r>
        <w:rPr>
          <w:rFonts w:hint="eastAsia" w:ascii="宋体" w:hAnsi="宋体" w:eastAsia="宋体" w:cs="宋体"/>
          <w:spacing w:val="6"/>
          <w:sz w:val="24"/>
        </w:rPr>
        <w:t>且本单位参加</w:t>
      </w:r>
      <w:r>
        <w:rPr>
          <w:rFonts w:hint="eastAsia" w:ascii="宋体" w:hAnsi="宋体" w:cs="宋体"/>
          <w:spacing w:val="6"/>
          <w:sz w:val="24"/>
          <w:u w:val="single"/>
          <w:lang w:val="en-US" w:eastAsia="zh-CN"/>
        </w:rPr>
        <w:t xml:space="preserve">             </w:t>
      </w:r>
      <w:r>
        <w:rPr>
          <w:rFonts w:hint="eastAsia" w:ascii="宋体" w:hAnsi="宋体" w:eastAsia="宋体" w:cs="宋体"/>
          <w:spacing w:val="6"/>
          <w:sz w:val="24"/>
        </w:rPr>
        <w:t>单位的</w:t>
      </w:r>
      <w:r>
        <w:rPr>
          <w:rFonts w:hint="eastAsia" w:ascii="宋体" w:hAnsi="宋体" w:cs="宋体"/>
          <w:spacing w:val="6"/>
          <w:sz w:val="24"/>
          <w:u w:val="single"/>
          <w:lang w:val="en-US" w:eastAsia="zh-CN"/>
        </w:rPr>
        <w:t xml:space="preserve">               </w:t>
      </w:r>
      <w:r>
        <w:rPr>
          <w:rFonts w:hint="eastAsia" w:ascii="宋体" w:hAnsi="宋体" w:eastAsia="宋体" w:cs="宋体"/>
          <w:spacing w:val="6"/>
          <w:sz w:val="24"/>
        </w:rPr>
        <w:t>项目采购活动提供本单位制造的货物（由本单位承担工程/提供服务），或者提供其他残疾人福利性单位制造的货物（不包括使用非残疾人福利性单位注册商标的货物）。</w:t>
      </w:r>
    </w:p>
    <w:p w14:paraId="6F150CF5">
      <w:pPr>
        <w:spacing w:line="588" w:lineRule="exact"/>
        <w:ind w:firstLine="506" w:firstLineChars="200"/>
        <w:rPr>
          <w:rFonts w:hint="eastAsia" w:ascii="宋体" w:hAnsi="宋体" w:eastAsia="宋体" w:cs="宋体"/>
          <w:spacing w:val="6"/>
          <w:sz w:val="24"/>
        </w:rPr>
      </w:pPr>
      <w:r>
        <w:rPr>
          <w:rFonts w:hint="eastAsia" w:ascii="宋体" w:hAnsi="宋体" w:eastAsia="宋体" w:cs="宋体"/>
          <w:b/>
          <w:spacing w:val="6"/>
          <w:sz w:val="24"/>
        </w:rPr>
        <w:t>本单位对上述声明的真实性负责。如有虚假，将依法承担相应责任。</w:t>
      </w:r>
    </w:p>
    <w:p w14:paraId="77346361">
      <w:pPr>
        <w:adjustRightInd w:val="0"/>
        <w:snapToGrid w:val="0"/>
        <w:spacing w:line="360" w:lineRule="auto"/>
        <w:ind w:firstLine="504" w:firstLineChars="200"/>
        <w:rPr>
          <w:rFonts w:hint="eastAsia" w:ascii="宋体" w:hAnsi="宋体" w:eastAsia="宋体" w:cs="宋体"/>
          <w:color w:val="auto"/>
          <w:spacing w:val="6"/>
          <w:sz w:val="24"/>
        </w:rPr>
      </w:pPr>
    </w:p>
    <w:p w14:paraId="5BDFC24A">
      <w:pPr>
        <w:adjustRightInd w:val="0"/>
        <w:snapToGrid w:val="0"/>
        <w:spacing w:line="360" w:lineRule="auto"/>
        <w:ind w:firstLine="504" w:firstLineChars="200"/>
        <w:rPr>
          <w:rFonts w:hint="eastAsia" w:ascii="宋体" w:hAnsi="宋体" w:eastAsia="宋体" w:cs="宋体"/>
          <w:b w:val="0"/>
          <w:bCs w:val="0"/>
          <w:color w:val="auto"/>
          <w:spacing w:val="6"/>
          <w:sz w:val="24"/>
        </w:rPr>
      </w:pPr>
    </w:p>
    <w:p w14:paraId="6CF77850">
      <w:pPr>
        <w:tabs>
          <w:tab w:val="left" w:pos="4860"/>
        </w:tabs>
        <w:adjustRightInd w:val="0"/>
        <w:snapToGrid w:val="0"/>
        <w:spacing w:line="360" w:lineRule="auto"/>
        <w:ind w:right="1560" w:firstLine="506" w:firstLineChars="200"/>
        <w:jc w:val="center"/>
        <w:rPr>
          <w:rFonts w:hint="eastAsia" w:ascii="宋体" w:hAnsi="宋体" w:eastAsia="宋体" w:cs="宋体"/>
          <w:b/>
          <w:bCs/>
          <w:color w:val="auto"/>
          <w:spacing w:val="6"/>
          <w:sz w:val="24"/>
          <w:u w:val="single"/>
          <w:lang w:val="en-US" w:eastAsia="zh-CN"/>
        </w:rPr>
      </w:pPr>
      <w:r>
        <w:rPr>
          <w:rFonts w:hint="eastAsia" w:ascii="宋体" w:hAnsi="宋体" w:cs="宋体"/>
          <w:b/>
          <w:bCs/>
          <w:color w:val="auto"/>
          <w:spacing w:val="6"/>
          <w:sz w:val="24"/>
          <w:lang w:val="en-US" w:eastAsia="zh-CN"/>
        </w:rPr>
        <w:t xml:space="preserve">  投标人名称（盖单位公章）</w:t>
      </w:r>
      <w:r>
        <w:rPr>
          <w:rFonts w:hint="eastAsia" w:ascii="宋体" w:hAnsi="宋体" w:eastAsia="宋体" w:cs="宋体"/>
          <w:b/>
          <w:bCs/>
          <w:color w:val="auto"/>
          <w:spacing w:val="6"/>
          <w:sz w:val="24"/>
        </w:rPr>
        <w:t>：</w:t>
      </w:r>
      <w:r>
        <w:rPr>
          <w:rFonts w:hint="eastAsia" w:ascii="宋体" w:hAnsi="宋体" w:eastAsia="宋体" w:cs="宋体"/>
          <w:b/>
          <w:bCs/>
          <w:color w:val="auto"/>
          <w:spacing w:val="6"/>
          <w:sz w:val="24"/>
          <w:u w:val="single"/>
          <w:lang w:val="en-US" w:eastAsia="zh-CN"/>
        </w:rPr>
        <w:t xml:space="preserve">       </w:t>
      </w:r>
      <w:r>
        <w:rPr>
          <w:rFonts w:hint="eastAsia" w:ascii="宋体" w:hAnsi="宋体" w:cs="宋体"/>
          <w:b/>
          <w:bCs/>
          <w:color w:val="auto"/>
          <w:spacing w:val="6"/>
          <w:sz w:val="24"/>
          <w:u w:val="single"/>
          <w:lang w:val="en-US" w:eastAsia="zh-CN"/>
        </w:rPr>
        <w:t xml:space="preserve">    </w:t>
      </w:r>
      <w:r>
        <w:rPr>
          <w:rFonts w:hint="eastAsia" w:ascii="宋体" w:hAnsi="宋体" w:eastAsia="宋体" w:cs="宋体"/>
          <w:b/>
          <w:bCs/>
          <w:color w:val="auto"/>
          <w:spacing w:val="6"/>
          <w:sz w:val="24"/>
          <w:u w:val="single"/>
          <w:lang w:val="en-US" w:eastAsia="zh-CN"/>
        </w:rPr>
        <w:t xml:space="preserve">      </w:t>
      </w:r>
    </w:p>
    <w:p w14:paraId="661497F3">
      <w:pPr>
        <w:adjustRightInd w:val="0"/>
        <w:snapToGrid w:val="0"/>
        <w:spacing w:line="480" w:lineRule="auto"/>
        <w:rPr>
          <w:rFonts w:hint="eastAsia" w:ascii="宋体" w:hAnsi="宋体" w:eastAsia="宋体" w:cs="宋体"/>
          <w:b/>
          <w:bCs/>
          <w:color w:val="auto"/>
          <w:sz w:val="24"/>
        </w:rPr>
      </w:pPr>
      <w:r>
        <w:rPr>
          <w:rFonts w:hint="eastAsia" w:ascii="宋体" w:hAnsi="宋体" w:eastAsia="宋体" w:cs="宋体"/>
          <w:b/>
          <w:bCs/>
          <w:color w:val="auto"/>
          <w:spacing w:val="6"/>
          <w:sz w:val="24"/>
        </w:rPr>
        <w:t xml:space="preserve">                     </w:t>
      </w:r>
      <w:r>
        <w:rPr>
          <w:rFonts w:hint="eastAsia" w:ascii="宋体" w:hAnsi="宋体" w:cs="宋体"/>
          <w:b/>
          <w:bCs/>
          <w:color w:val="auto"/>
          <w:spacing w:val="6"/>
          <w:sz w:val="24"/>
          <w:lang w:val="en-US" w:eastAsia="zh-CN"/>
        </w:rPr>
        <w:t xml:space="preserve">              </w:t>
      </w:r>
      <w:r>
        <w:rPr>
          <w:rFonts w:hint="eastAsia" w:ascii="宋体" w:hAnsi="宋体" w:eastAsia="宋体" w:cs="宋体"/>
          <w:b/>
          <w:bCs/>
          <w:color w:val="auto"/>
          <w:sz w:val="24"/>
        </w:rPr>
        <w:t>日 期：</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r>
        <w:rPr>
          <w:rFonts w:hint="eastAsia" w:ascii="宋体" w:hAnsi="宋体" w:eastAsia="宋体" w:cs="宋体"/>
          <w:b/>
          <w:bCs/>
          <w:color w:val="auto"/>
          <w:sz w:val="24"/>
        </w:rPr>
        <w:t>年</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r>
        <w:rPr>
          <w:rFonts w:hint="eastAsia" w:ascii="宋体" w:hAnsi="宋体" w:eastAsia="宋体" w:cs="宋体"/>
          <w:b/>
          <w:bCs/>
          <w:color w:val="auto"/>
          <w:sz w:val="24"/>
        </w:rPr>
        <w:t>月</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r>
        <w:rPr>
          <w:rFonts w:hint="eastAsia" w:ascii="宋体" w:hAnsi="宋体" w:eastAsia="宋体" w:cs="宋体"/>
          <w:b/>
          <w:bCs/>
          <w:color w:val="auto"/>
          <w:sz w:val="24"/>
        </w:rPr>
        <w:t>日</w:t>
      </w:r>
    </w:p>
    <w:p w14:paraId="5C87A91E">
      <w:pPr>
        <w:tabs>
          <w:tab w:val="left" w:pos="4860"/>
        </w:tabs>
        <w:adjustRightInd w:val="0"/>
        <w:snapToGrid w:val="0"/>
        <w:spacing w:line="360" w:lineRule="auto"/>
        <w:ind w:right="1560" w:firstLine="504" w:firstLineChars="200"/>
        <w:jc w:val="center"/>
        <w:rPr>
          <w:rFonts w:hint="eastAsia" w:ascii="宋体" w:hAnsi="宋体" w:eastAsia="宋体" w:cs="宋体"/>
          <w:b w:val="0"/>
          <w:bCs w:val="0"/>
          <w:color w:val="auto"/>
          <w:spacing w:val="6"/>
          <w:sz w:val="24"/>
        </w:rPr>
      </w:pPr>
    </w:p>
    <w:p w14:paraId="1918EB01">
      <w:pPr>
        <w:widowControl/>
        <w:adjustRightInd w:val="0"/>
        <w:snapToGrid w:val="0"/>
        <w:spacing w:line="360" w:lineRule="auto"/>
        <w:jc w:val="left"/>
        <w:rPr>
          <w:rFonts w:hint="eastAsia" w:ascii="宋体" w:hAnsi="宋体" w:eastAsia="宋体" w:cs="宋体"/>
          <w:color w:val="auto"/>
          <w:kern w:val="0"/>
          <w:sz w:val="24"/>
        </w:rPr>
      </w:pPr>
    </w:p>
    <w:p w14:paraId="13684436">
      <w:pPr>
        <w:pStyle w:val="16"/>
        <w:rPr>
          <w:rFonts w:hint="eastAsia" w:ascii="宋体" w:hAnsi="宋体" w:eastAsia="宋体" w:cs="宋体"/>
          <w:color w:val="auto"/>
          <w:kern w:val="0"/>
          <w:sz w:val="24"/>
        </w:rPr>
      </w:pPr>
    </w:p>
    <w:p w14:paraId="16216B13">
      <w:pPr>
        <w:pStyle w:val="17"/>
        <w:rPr>
          <w:rFonts w:hint="eastAsia" w:ascii="宋体" w:hAnsi="宋体" w:eastAsia="宋体" w:cs="宋体"/>
          <w:color w:val="auto"/>
        </w:rPr>
      </w:pPr>
    </w:p>
    <w:p w14:paraId="1E7AE177">
      <w:pPr>
        <w:widowControl/>
        <w:adjustRightInd w:val="0"/>
        <w:snapToGrid w:val="0"/>
        <w:spacing w:line="360" w:lineRule="auto"/>
        <w:rPr>
          <w:rFonts w:hint="eastAsia" w:ascii="宋体" w:hAnsi="宋体" w:eastAsia="宋体" w:cs="宋体"/>
          <w:color w:val="auto"/>
          <w:kern w:val="0"/>
          <w:sz w:val="24"/>
        </w:rPr>
      </w:pPr>
    </w:p>
    <w:p w14:paraId="661B028F">
      <w:pPr>
        <w:widowControl/>
        <w:adjustRightInd w:val="0"/>
        <w:snapToGrid w:val="0"/>
        <w:spacing w:line="360" w:lineRule="auto"/>
        <w:rPr>
          <w:rFonts w:hint="eastAsia" w:ascii="宋体" w:hAnsi="宋体" w:eastAsia="宋体" w:cs="宋体"/>
          <w:color w:val="auto"/>
          <w:kern w:val="0"/>
          <w:sz w:val="24"/>
        </w:rPr>
      </w:pPr>
    </w:p>
    <w:p w14:paraId="2DB55B83">
      <w:pPr>
        <w:pStyle w:val="16"/>
        <w:rPr>
          <w:rFonts w:hint="eastAsia" w:ascii="宋体" w:hAnsi="宋体" w:eastAsia="宋体" w:cs="宋体"/>
          <w:color w:val="auto"/>
          <w:kern w:val="0"/>
          <w:sz w:val="24"/>
        </w:rPr>
      </w:pPr>
    </w:p>
    <w:p w14:paraId="6BC9E6A2">
      <w:pPr>
        <w:pStyle w:val="16"/>
        <w:rPr>
          <w:rFonts w:hint="eastAsia" w:ascii="宋体" w:hAnsi="宋体" w:eastAsia="宋体" w:cs="宋体"/>
          <w:color w:val="auto"/>
          <w:kern w:val="0"/>
          <w:sz w:val="24"/>
        </w:rPr>
      </w:pPr>
    </w:p>
    <w:p w14:paraId="55148137">
      <w:pPr>
        <w:pStyle w:val="16"/>
        <w:rPr>
          <w:rFonts w:hint="eastAsia" w:ascii="宋体" w:hAnsi="宋体" w:eastAsia="宋体" w:cs="宋体"/>
          <w:color w:val="auto"/>
          <w:kern w:val="0"/>
          <w:sz w:val="24"/>
        </w:rPr>
      </w:pPr>
    </w:p>
    <w:p w14:paraId="3247CD34">
      <w:pPr>
        <w:pStyle w:val="16"/>
        <w:rPr>
          <w:rFonts w:hint="eastAsia" w:ascii="宋体" w:hAnsi="宋体" w:eastAsia="宋体" w:cs="宋体"/>
          <w:color w:val="auto"/>
          <w:kern w:val="0"/>
          <w:sz w:val="24"/>
        </w:rPr>
      </w:pPr>
    </w:p>
    <w:p w14:paraId="6F988210">
      <w:pPr>
        <w:rPr>
          <w:rFonts w:hint="eastAsia" w:ascii="宋体" w:hAnsi="宋体" w:eastAsia="宋体" w:cs="宋体"/>
          <w:bCs w:val="0"/>
          <w:color w:val="auto"/>
          <w:kern w:val="0"/>
          <w:sz w:val="21"/>
          <w:szCs w:val="21"/>
        </w:rPr>
      </w:pPr>
      <w:bookmarkStart w:id="520" w:name="_Toc16508"/>
      <w:bookmarkStart w:id="521" w:name="_Toc8841"/>
      <w:r>
        <w:rPr>
          <w:rFonts w:hint="eastAsia" w:ascii="宋体" w:hAnsi="宋体" w:eastAsia="宋体" w:cs="宋体"/>
          <w:bCs w:val="0"/>
          <w:color w:val="auto"/>
          <w:kern w:val="0"/>
          <w:sz w:val="21"/>
          <w:szCs w:val="21"/>
        </w:rPr>
        <w:br w:type="page"/>
      </w:r>
    </w:p>
    <w:p w14:paraId="69F5C0E3">
      <w:pPr>
        <w:pStyle w:val="3"/>
        <w:bidi w:val="0"/>
        <w:rPr>
          <w:rFonts w:hint="eastAsia" w:ascii="宋体" w:hAnsi="宋体" w:eastAsia="宋体" w:cs="宋体"/>
        </w:rPr>
      </w:pPr>
      <w:bookmarkStart w:id="522" w:name="_Toc11216"/>
      <w:r>
        <w:rPr>
          <w:rFonts w:hint="eastAsia" w:ascii="宋体" w:hAnsi="宋体" w:eastAsia="宋体" w:cs="宋体"/>
        </w:rPr>
        <w:t>附件</w:t>
      </w:r>
      <w:r>
        <w:rPr>
          <w:rFonts w:hint="eastAsia" w:ascii="宋体" w:hAnsi="宋体" w:cs="宋体"/>
          <w:lang w:val="en-US" w:eastAsia="zh-CN"/>
        </w:rPr>
        <w:t>9</w:t>
      </w:r>
      <w:r>
        <w:rPr>
          <w:rFonts w:hint="eastAsia" w:ascii="宋体" w:hAnsi="宋体" w:eastAsia="宋体" w:cs="宋体"/>
        </w:rPr>
        <w:t>-3：监狱企业证明资料</w:t>
      </w:r>
      <w:bookmarkEnd w:id="520"/>
      <w:bookmarkEnd w:id="521"/>
      <w:bookmarkEnd w:id="522"/>
    </w:p>
    <w:p w14:paraId="79A75AB1">
      <w:pPr>
        <w:adjustRightInd w:val="0"/>
        <w:snapToGrid w:val="0"/>
        <w:spacing w:line="360" w:lineRule="auto"/>
        <w:jc w:val="center"/>
        <w:rPr>
          <w:rFonts w:hint="eastAsia" w:ascii="宋体" w:hAnsi="宋体" w:eastAsia="宋体" w:cs="宋体"/>
          <w:b/>
          <w:color w:val="auto"/>
          <w:sz w:val="28"/>
          <w:szCs w:val="28"/>
        </w:rPr>
      </w:pPr>
    </w:p>
    <w:p w14:paraId="2D69D3A5">
      <w:pPr>
        <w:adjustRightInd w:val="0"/>
        <w:snapToGrid w:val="0"/>
        <w:spacing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监狱企业证明资料</w:t>
      </w:r>
    </w:p>
    <w:p w14:paraId="4B365F5D">
      <w:pPr>
        <w:spacing w:line="588" w:lineRule="exact"/>
        <w:ind w:firstLine="504"/>
        <w:jc w:val="left"/>
        <w:rPr>
          <w:rFonts w:hint="eastAsia" w:ascii="宋体" w:hAnsi="宋体" w:eastAsia="宋体" w:cs="宋体"/>
          <w:spacing w:val="6"/>
          <w:sz w:val="24"/>
          <w:szCs w:val="24"/>
        </w:rPr>
      </w:pPr>
      <w:r>
        <w:rPr>
          <w:rFonts w:hint="eastAsia" w:ascii="宋体" w:hAnsi="宋体" w:eastAsia="宋体" w:cs="宋体"/>
          <w:bCs/>
          <w:color w:val="auto"/>
          <w:kern w:val="2"/>
          <w:sz w:val="24"/>
          <w:szCs w:val="24"/>
          <w:lang w:val="en-US" w:eastAsia="zh-CN" w:bidi="ar-SA"/>
        </w:rPr>
        <w:t>根据财库[2014]68号《财政部司法部关于政府采购支持监狱企业发展有关问题的通知》，监狱企业视同小微企业。</w:t>
      </w:r>
      <w:r>
        <w:rPr>
          <w:rFonts w:hint="eastAsia" w:ascii="宋体" w:hAnsi="宋体" w:eastAsia="宋体" w:cs="宋体"/>
          <w:spacing w:val="6"/>
          <w:sz w:val="24"/>
          <w:szCs w:val="24"/>
        </w:rPr>
        <w:t>本单位参加</w:t>
      </w:r>
      <w:r>
        <w:rPr>
          <w:rFonts w:hint="eastAsia" w:ascii="宋体" w:hAnsi="宋体" w:eastAsia="宋体" w:cs="宋体"/>
          <w:spacing w:val="6"/>
          <w:sz w:val="24"/>
          <w:szCs w:val="24"/>
          <w:u w:val="single"/>
          <w:lang w:val="en-US" w:eastAsia="zh-CN"/>
        </w:rPr>
        <w:t xml:space="preserve">                         </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lang w:val="en-US" w:eastAsia="zh-CN"/>
        </w:rPr>
        <w:t>采购单位</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的</w:t>
      </w:r>
      <w:r>
        <w:rPr>
          <w:rFonts w:hint="eastAsia" w:ascii="宋体" w:hAnsi="宋体" w:eastAsia="宋体" w:cs="宋体"/>
          <w:spacing w:val="6"/>
          <w:sz w:val="24"/>
          <w:szCs w:val="24"/>
          <w:u w:val="single"/>
          <w:lang w:val="en-US" w:eastAsia="zh-CN"/>
        </w:rPr>
        <w:t xml:space="preserve">                       </w:t>
      </w:r>
      <w:r>
        <w:rPr>
          <w:rFonts w:hint="eastAsia" w:ascii="宋体" w:hAnsi="宋体" w:eastAsia="宋体" w:cs="宋体"/>
          <w:spacing w:val="6"/>
          <w:sz w:val="24"/>
          <w:szCs w:val="24"/>
        </w:rPr>
        <w:t>项目采购活动</w:t>
      </w:r>
      <w:r>
        <w:rPr>
          <w:rFonts w:hint="eastAsia" w:ascii="宋体" w:hAnsi="宋体" w:eastAsia="宋体" w:cs="宋体"/>
          <w:b/>
          <w:sz w:val="24"/>
          <w:szCs w:val="24"/>
        </w:rPr>
        <w:t>（</w:t>
      </w:r>
      <w:r>
        <w:rPr>
          <w:rFonts w:hint="eastAsia"/>
          <w:b/>
          <w:color w:val="auto"/>
          <w:sz w:val="24"/>
        </w:rPr>
        <w:t>请进行勾选</w:t>
      </w:r>
      <w:r>
        <w:rPr>
          <w:rFonts w:hint="eastAsia"/>
          <w:b/>
          <w:color w:val="auto"/>
          <w:sz w:val="24"/>
          <w:lang w:val="en-US" w:eastAsia="zh-CN"/>
        </w:rPr>
        <w:t>打</w:t>
      </w:r>
      <w:r>
        <w:rPr>
          <w:rFonts w:hint="eastAsia"/>
          <w:b/>
          <w:color w:val="auto"/>
          <w:sz w:val="24"/>
          <w:lang w:eastAsia="zh-CN"/>
        </w:rPr>
        <w:t>“√”</w:t>
      </w:r>
      <w:r>
        <w:rPr>
          <w:rFonts w:hint="eastAsia" w:ascii="宋体" w:hAnsi="宋体" w:eastAsia="宋体" w:cs="宋体"/>
          <w:b/>
          <w:sz w:val="24"/>
          <w:szCs w:val="24"/>
        </w:rPr>
        <w:t>）</w:t>
      </w:r>
      <w:r>
        <w:rPr>
          <w:rFonts w:hint="eastAsia" w:ascii="宋体" w:hAnsi="宋体" w:eastAsia="宋体" w:cs="宋体"/>
          <w:spacing w:val="6"/>
          <w:sz w:val="24"/>
          <w:szCs w:val="24"/>
        </w:rPr>
        <w:t>：</w:t>
      </w:r>
    </w:p>
    <w:p w14:paraId="4D583F14">
      <w:pPr>
        <w:spacing w:line="588" w:lineRule="exact"/>
        <w:ind w:firstLine="640" w:firstLineChars="200"/>
        <w:rPr>
          <w:rFonts w:hint="eastAsia" w:ascii="宋体" w:hAnsi="宋体" w:eastAsia="宋体" w:cs="宋体"/>
          <w:b/>
          <w:spacing w:val="6"/>
          <w:sz w:val="24"/>
          <w:szCs w:val="24"/>
        </w:rPr>
      </w:pPr>
      <w:r>
        <w:rPr>
          <w:rFonts w:hint="eastAsia" w:ascii="宋体" w:hAnsi="宋体" w:eastAsia="宋体" w:cs="宋体"/>
          <w:iCs/>
          <w:color w:val="auto"/>
          <w:sz w:val="32"/>
          <w:szCs w:val="32"/>
        </w:rPr>
        <w:sym w:font="Wingdings" w:char="00A8"/>
      </w:r>
      <w:r>
        <w:rPr>
          <w:rFonts w:hint="eastAsia" w:ascii="宋体" w:hAnsi="宋体" w:eastAsia="宋体" w:cs="宋体"/>
          <w:b/>
          <w:spacing w:val="6"/>
          <w:sz w:val="24"/>
          <w:szCs w:val="24"/>
        </w:rPr>
        <w:t>不属于符合条件的</w:t>
      </w:r>
      <w:r>
        <w:rPr>
          <w:rFonts w:hint="eastAsia" w:ascii="宋体" w:hAnsi="宋体" w:eastAsia="宋体" w:cs="宋体"/>
          <w:b/>
          <w:spacing w:val="6"/>
          <w:sz w:val="24"/>
          <w:szCs w:val="24"/>
          <w:lang w:val="en-US" w:eastAsia="zh-CN"/>
        </w:rPr>
        <w:t>监狱企业</w:t>
      </w:r>
      <w:r>
        <w:rPr>
          <w:rFonts w:hint="eastAsia" w:ascii="宋体" w:hAnsi="宋体" w:eastAsia="宋体" w:cs="宋体"/>
          <w:b/>
          <w:spacing w:val="6"/>
          <w:sz w:val="24"/>
          <w:szCs w:val="24"/>
        </w:rPr>
        <w:t>单位。</w:t>
      </w:r>
    </w:p>
    <w:p w14:paraId="40356A72">
      <w:pPr>
        <w:adjustRightInd w:val="0"/>
        <w:snapToGrid w:val="0"/>
        <w:spacing w:line="360" w:lineRule="auto"/>
        <w:ind w:firstLine="640" w:firstLineChars="200"/>
        <w:rPr>
          <w:rFonts w:hint="eastAsia" w:ascii="宋体" w:hAnsi="宋体" w:eastAsia="宋体" w:cs="宋体"/>
          <w:spacing w:val="6"/>
          <w:sz w:val="24"/>
          <w:szCs w:val="24"/>
          <w:lang w:val="en-US" w:eastAsia="zh-CN"/>
        </w:rPr>
      </w:pPr>
      <w:r>
        <w:rPr>
          <w:rFonts w:hint="eastAsia" w:ascii="宋体" w:hAnsi="宋体" w:eastAsia="宋体" w:cs="宋体"/>
          <w:iCs/>
          <w:color w:val="auto"/>
          <w:sz w:val="32"/>
          <w:szCs w:val="32"/>
        </w:rPr>
        <w:sym w:font="Wingdings" w:char="00A8"/>
      </w:r>
      <w:r>
        <w:rPr>
          <w:rFonts w:hint="eastAsia" w:ascii="宋体" w:hAnsi="宋体" w:eastAsia="宋体" w:cs="宋体"/>
          <w:b/>
          <w:spacing w:val="6"/>
          <w:sz w:val="24"/>
          <w:szCs w:val="24"/>
        </w:rPr>
        <w:t>属于符合条件的</w:t>
      </w:r>
      <w:r>
        <w:rPr>
          <w:rFonts w:hint="eastAsia" w:ascii="宋体" w:hAnsi="宋体" w:eastAsia="宋体" w:cs="宋体"/>
          <w:b/>
          <w:spacing w:val="6"/>
          <w:sz w:val="24"/>
          <w:szCs w:val="24"/>
          <w:lang w:val="en-US" w:eastAsia="zh-CN"/>
        </w:rPr>
        <w:t>监狱企业</w:t>
      </w:r>
      <w:r>
        <w:rPr>
          <w:rFonts w:hint="eastAsia" w:ascii="宋体" w:hAnsi="宋体" w:eastAsia="宋体" w:cs="宋体"/>
          <w:b/>
          <w:spacing w:val="6"/>
          <w:sz w:val="24"/>
          <w:szCs w:val="24"/>
        </w:rPr>
        <w:t>单位</w:t>
      </w:r>
      <w:r>
        <w:rPr>
          <w:rFonts w:hint="eastAsia" w:ascii="宋体" w:hAnsi="宋体" w:eastAsia="宋体" w:cs="宋体"/>
          <w:b/>
          <w:spacing w:val="6"/>
          <w:sz w:val="24"/>
          <w:szCs w:val="24"/>
          <w:lang w:eastAsia="zh-CN"/>
        </w:rPr>
        <w:t>，</w:t>
      </w:r>
      <w:r>
        <w:rPr>
          <w:rFonts w:hint="eastAsia" w:ascii="宋体" w:hAnsi="宋体" w:eastAsia="宋体" w:cs="宋体"/>
          <w:color w:val="auto"/>
          <w:sz w:val="24"/>
          <w:szCs w:val="24"/>
        </w:rPr>
        <w:t>按</w:t>
      </w:r>
      <w:r>
        <w:rPr>
          <w:rFonts w:hint="eastAsia" w:ascii="宋体" w:hAnsi="宋体" w:eastAsia="宋体" w:cs="宋体"/>
          <w:color w:val="auto"/>
          <w:spacing w:val="6"/>
          <w:sz w:val="24"/>
          <w:szCs w:val="24"/>
        </w:rPr>
        <w:t>《</w:t>
      </w:r>
      <w:r>
        <w:rPr>
          <w:rFonts w:hint="eastAsia" w:ascii="宋体" w:hAnsi="宋体" w:eastAsia="宋体" w:cs="宋体"/>
          <w:color w:val="auto"/>
          <w:sz w:val="24"/>
          <w:szCs w:val="24"/>
        </w:rPr>
        <w:t>财政部司法部关于政府采购支持监狱企业发展有关问题的通知</w:t>
      </w:r>
      <w:r>
        <w:rPr>
          <w:rFonts w:hint="eastAsia" w:ascii="宋体" w:hAnsi="宋体" w:eastAsia="宋体" w:cs="宋体"/>
          <w:color w:val="auto"/>
          <w:spacing w:val="6"/>
          <w:sz w:val="24"/>
          <w:szCs w:val="24"/>
        </w:rPr>
        <w:t>》</w:t>
      </w:r>
      <w:r>
        <w:rPr>
          <w:rFonts w:hint="eastAsia" w:ascii="宋体" w:hAnsi="宋体" w:eastAsia="宋体" w:cs="宋体"/>
          <w:color w:val="auto"/>
          <w:sz w:val="24"/>
          <w:szCs w:val="24"/>
        </w:rPr>
        <w:t>(财库〔2014〕68号)文件规定提供证明文件</w:t>
      </w:r>
      <w:r>
        <w:rPr>
          <w:rFonts w:hint="eastAsia" w:ascii="宋体" w:hAnsi="宋体" w:eastAsia="宋体" w:cs="宋体"/>
          <w:color w:val="auto"/>
          <w:sz w:val="24"/>
          <w:szCs w:val="24"/>
          <w:lang w:eastAsia="zh-CN"/>
        </w:rPr>
        <w:t>，</w:t>
      </w:r>
      <w:r>
        <w:rPr>
          <w:rFonts w:hint="eastAsia" w:ascii="宋体" w:hAnsi="宋体" w:eastAsia="宋体" w:cs="宋体"/>
          <w:b/>
          <w:spacing w:val="6"/>
          <w:sz w:val="24"/>
          <w:szCs w:val="24"/>
          <w:lang w:val="en-US" w:eastAsia="zh-CN"/>
        </w:rPr>
        <w:t>证明文件提供如下：</w:t>
      </w:r>
    </w:p>
    <w:p w14:paraId="5FC4242E">
      <w:pPr>
        <w:pStyle w:val="16"/>
        <w:keepNext w:val="0"/>
        <w:keepLines w:val="0"/>
        <w:pageBreakBefore w:val="0"/>
        <w:widowControl w:val="0"/>
        <w:kinsoku/>
        <w:wordWrap/>
        <w:overflowPunct/>
        <w:topLinePunct w:val="0"/>
        <w:autoSpaceDE/>
        <w:autoSpaceDN/>
        <w:bidi w:val="0"/>
        <w:spacing w:beforeAutospacing="0" w:afterAutospacing="0" w:line="360" w:lineRule="auto"/>
        <w:ind w:firstLine="480" w:firstLineChars="200"/>
        <w:rPr>
          <w:rFonts w:hint="eastAsia" w:ascii="宋体" w:hAnsi="宋体" w:eastAsia="宋体" w:cs="宋体"/>
          <w:bCs/>
          <w:color w:val="auto"/>
          <w:kern w:val="2"/>
          <w:sz w:val="24"/>
          <w:szCs w:val="24"/>
          <w:lang w:val="en-US" w:eastAsia="zh-CN" w:bidi="ar-SA"/>
        </w:rPr>
      </w:pPr>
    </w:p>
    <w:p w14:paraId="1DD5FF6B">
      <w:pPr>
        <w:pStyle w:val="16"/>
        <w:keepNext w:val="0"/>
        <w:keepLines w:val="0"/>
        <w:pageBreakBefore w:val="0"/>
        <w:widowControl w:val="0"/>
        <w:kinsoku/>
        <w:wordWrap/>
        <w:overflowPunct/>
        <w:topLinePunct w:val="0"/>
        <w:autoSpaceDE/>
        <w:autoSpaceDN/>
        <w:bidi w:val="0"/>
        <w:spacing w:beforeAutospacing="0" w:afterAutospacing="0" w:line="360" w:lineRule="auto"/>
        <w:rPr>
          <w:rFonts w:hint="eastAsia" w:ascii="宋体" w:hAnsi="宋体" w:eastAsia="宋体" w:cs="宋体"/>
          <w:b/>
          <w:spacing w:val="6"/>
          <w:sz w:val="24"/>
        </w:rPr>
      </w:pPr>
    </w:p>
    <w:p w14:paraId="1B13F65E">
      <w:pPr>
        <w:pStyle w:val="16"/>
        <w:keepNext w:val="0"/>
        <w:keepLines w:val="0"/>
        <w:pageBreakBefore w:val="0"/>
        <w:widowControl w:val="0"/>
        <w:kinsoku/>
        <w:wordWrap/>
        <w:overflowPunct/>
        <w:topLinePunct w:val="0"/>
        <w:autoSpaceDE/>
        <w:autoSpaceDN/>
        <w:bidi w:val="0"/>
        <w:spacing w:beforeAutospacing="0" w:afterAutospacing="0" w:line="360" w:lineRule="auto"/>
        <w:ind w:firstLine="506" w:firstLineChars="200"/>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spacing w:val="6"/>
          <w:sz w:val="24"/>
        </w:rPr>
        <w:t>本单位对上述声明的真实性负责。如有虚假，将依法承担相应责任。</w:t>
      </w:r>
      <w:r>
        <w:rPr>
          <w:rFonts w:hint="eastAsia" w:ascii="宋体" w:hAnsi="宋体" w:eastAsia="宋体" w:cs="宋体"/>
          <w:b/>
          <w:bCs w:val="0"/>
          <w:color w:val="auto"/>
          <w:kern w:val="2"/>
          <w:sz w:val="24"/>
          <w:szCs w:val="24"/>
          <w:lang w:val="en-US" w:eastAsia="zh-CN" w:bidi="ar-SA"/>
        </w:rPr>
        <w:t xml:space="preserve"> </w:t>
      </w:r>
      <w:bookmarkStart w:id="523" w:name="_Toc5057_WPSOffice_Level2"/>
    </w:p>
    <w:p w14:paraId="7537B9AE">
      <w:pPr>
        <w:pStyle w:val="16"/>
        <w:keepNext w:val="0"/>
        <w:keepLines w:val="0"/>
        <w:pageBreakBefore w:val="0"/>
        <w:widowControl w:val="0"/>
        <w:kinsoku/>
        <w:wordWrap/>
        <w:overflowPunct/>
        <w:topLinePunct w:val="0"/>
        <w:autoSpaceDE/>
        <w:autoSpaceDN/>
        <w:bidi w:val="0"/>
        <w:spacing w:beforeAutospacing="0" w:afterAutospacing="0" w:line="360" w:lineRule="auto"/>
        <w:ind w:firstLine="4578" w:firstLineChars="1900"/>
        <w:rPr>
          <w:rFonts w:hint="eastAsia" w:ascii="宋体" w:hAnsi="宋体" w:eastAsia="宋体" w:cs="宋体"/>
          <w:b/>
          <w:bCs w:val="0"/>
          <w:color w:val="auto"/>
          <w:kern w:val="2"/>
          <w:sz w:val="24"/>
          <w:szCs w:val="24"/>
          <w:lang w:val="en-US" w:eastAsia="zh-CN" w:bidi="ar-SA"/>
        </w:rPr>
      </w:pPr>
    </w:p>
    <w:p w14:paraId="0AAD17AE">
      <w:pPr>
        <w:pStyle w:val="16"/>
        <w:keepNext w:val="0"/>
        <w:keepLines w:val="0"/>
        <w:pageBreakBefore w:val="0"/>
        <w:widowControl w:val="0"/>
        <w:kinsoku/>
        <w:wordWrap/>
        <w:overflowPunct/>
        <w:topLinePunct w:val="0"/>
        <w:autoSpaceDE/>
        <w:autoSpaceDN/>
        <w:bidi w:val="0"/>
        <w:spacing w:beforeAutospacing="0" w:afterAutospacing="0" w:line="360" w:lineRule="auto"/>
        <w:ind w:firstLine="4578" w:firstLineChars="1900"/>
        <w:rPr>
          <w:rFonts w:hint="eastAsia" w:ascii="宋体" w:hAnsi="宋体" w:eastAsia="宋体" w:cs="宋体"/>
          <w:b/>
          <w:bCs w:val="0"/>
          <w:color w:val="auto"/>
          <w:kern w:val="2"/>
          <w:sz w:val="24"/>
          <w:szCs w:val="24"/>
          <w:lang w:val="en-US" w:eastAsia="zh-CN" w:bidi="ar-SA"/>
        </w:rPr>
      </w:pPr>
    </w:p>
    <w:p w14:paraId="3F851A36">
      <w:pPr>
        <w:pStyle w:val="16"/>
        <w:keepNext w:val="0"/>
        <w:keepLines w:val="0"/>
        <w:pageBreakBefore w:val="0"/>
        <w:widowControl w:val="0"/>
        <w:kinsoku/>
        <w:wordWrap/>
        <w:overflowPunct/>
        <w:topLinePunct w:val="0"/>
        <w:autoSpaceDE/>
        <w:autoSpaceDN/>
        <w:bidi w:val="0"/>
        <w:spacing w:beforeAutospacing="0" w:afterAutospacing="0" w:line="360" w:lineRule="auto"/>
        <w:ind w:firstLine="4096" w:firstLineChars="1700"/>
        <w:rPr>
          <w:rFonts w:hint="eastAsia" w:ascii="宋体" w:hAnsi="宋体" w:eastAsia="宋体" w:cs="宋体"/>
          <w:b/>
          <w:bCs w:val="0"/>
          <w:color w:val="auto"/>
          <w:kern w:val="2"/>
          <w:sz w:val="24"/>
          <w:szCs w:val="24"/>
          <w:u w:val="single"/>
          <w:lang w:val="en-US" w:eastAsia="zh-CN" w:bidi="ar-SA"/>
        </w:rPr>
      </w:pPr>
      <w:r>
        <w:rPr>
          <w:rFonts w:hint="eastAsia" w:ascii="宋体" w:hAnsi="宋体" w:eastAsia="宋体" w:cs="宋体"/>
          <w:b/>
          <w:bCs w:val="0"/>
          <w:color w:val="auto"/>
          <w:kern w:val="2"/>
          <w:sz w:val="24"/>
          <w:szCs w:val="24"/>
          <w:lang w:val="en-US" w:eastAsia="zh-CN" w:bidi="ar-SA"/>
        </w:rPr>
        <w:t>投标人名称（盖单位</w:t>
      </w:r>
      <w:r>
        <w:rPr>
          <w:rFonts w:hint="eastAsia" w:ascii="宋体" w:hAnsi="宋体" w:cs="宋体"/>
          <w:b/>
          <w:bCs w:val="0"/>
          <w:color w:val="auto"/>
          <w:kern w:val="2"/>
          <w:sz w:val="24"/>
          <w:szCs w:val="24"/>
          <w:lang w:val="en-US" w:eastAsia="zh-CN" w:bidi="ar-SA"/>
        </w:rPr>
        <w:t>公</w:t>
      </w:r>
      <w:r>
        <w:rPr>
          <w:rFonts w:hint="eastAsia" w:ascii="宋体" w:hAnsi="宋体" w:eastAsia="宋体" w:cs="宋体"/>
          <w:b/>
          <w:bCs w:val="0"/>
          <w:color w:val="auto"/>
          <w:kern w:val="2"/>
          <w:sz w:val="24"/>
          <w:szCs w:val="24"/>
          <w:lang w:val="en-US" w:eastAsia="zh-CN" w:bidi="ar-SA"/>
        </w:rPr>
        <w:t>章）：</w:t>
      </w:r>
      <w:bookmarkEnd w:id="523"/>
      <w:r>
        <w:rPr>
          <w:rFonts w:hint="eastAsia" w:ascii="宋体" w:hAnsi="宋体" w:eastAsia="宋体" w:cs="宋体"/>
          <w:b/>
          <w:bCs w:val="0"/>
          <w:color w:val="auto"/>
          <w:kern w:val="2"/>
          <w:sz w:val="24"/>
          <w:szCs w:val="24"/>
          <w:u w:val="single"/>
          <w:lang w:val="en-US" w:eastAsia="zh-CN" w:bidi="ar-SA"/>
        </w:rPr>
        <w:t xml:space="preserve">              </w:t>
      </w:r>
    </w:p>
    <w:p w14:paraId="6CAB776D">
      <w:pPr>
        <w:pStyle w:val="16"/>
        <w:keepNext w:val="0"/>
        <w:keepLines w:val="0"/>
        <w:pageBreakBefore w:val="0"/>
        <w:widowControl w:val="0"/>
        <w:kinsoku/>
        <w:wordWrap/>
        <w:overflowPunct/>
        <w:topLinePunct w:val="0"/>
        <w:autoSpaceDE/>
        <w:autoSpaceDN/>
        <w:bidi w:val="0"/>
        <w:spacing w:beforeAutospacing="0" w:afterAutospacing="0" w:line="360" w:lineRule="auto"/>
        <w:ind w:firstLine="2168" w:firstLineChars="900"/>
        <w:rPr>
          <w:rFonts w:hint="eastAsia" w:ascii="宋体" w:hAnsi="宋体" w:eastAsia="宋体" w:cs="宋体"/>
          <w:b/>
          <w:bCs w:val="0"/>
          <w:color w:val="auto"/>
          <w:kern w:val="2"/>
          <w:sz w:val="24"/>
          <w:szCs w:val="24"/>
          <w:u w:val="none"/>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524" w:name="_Toc357_WPSOffice_Level2"/>
      <w:r>
        <w:rPr>
          <w:rFonts w:hint="eastAsia" w:ascii="宋体" w:hAnsi="宋体" w:eastAsia="宋体" w:cs="宋体"/>
          <w:b/>
          <w:bCs w:val="0"/>
          <w:color w:val="auto"/>
          <w:kern w:val="2"/>
          <w:sz w:val="24"/>
          <w:szCs w:val="24"/>
          <w:lang w:val="en-US" w:eastAsia="zh-CN" w:bidi="ar-SA"/>
        </w:rPr>
        <w:t>日</w:t>
      </w:r>
      <w:r>
        <w:rPr>
          <w:rFonts w:hint="eastAsia" w:ascii="宋体" w:hAnsi="宋体" w:cs="宋体"/>
          <w:b/>
          <w:bCs w:val="0"/>
          <w:color w:val="auto"/>
          <w:kern w:val="2"/>
          <w:sz w:val="24"/>
          <w:szCs w:val="24"/>
          <w:lang w:val="en-US" w:eastAsia="zh-CN" w:bidi="ar-SA"/>
        </w:rPr>
        <w:t xml:space="preserve">  </w:t>
      </w:r>
      <w:r>
        <w:rPr>
          <w:rFonts w:hint="eastAsia" w:ascii="宋体" w:hAnsi="宋体" w:eastAsia="宋体" w:cs="宋体"/>
          <w:b/>
          <w:bCs w:val="0"/>
          <w:color w:val="auto"/>
          <w:kern w:val="2"/>
          <w:sz w:val="24"/>
          <w:szCs w:val="24"/>
          <w:lang w:val="en-US" w:eastAsia="zh-CN" w:bidi="ar-SA"/>
        </w:rPr>
        <w:t>期：</w:t>
      </w:r>
      <w:r>
        <w:rPr>
          <w:rFonts w:hint="eastAsia" w:ascii="宋体" w:hAnsi="宋体" w:eastAsia="宋体" w:cs="宋体"/>
          <w:b/>
          <w:bCs w:val="0"/>
          <w:color w:val="auto"/>
          <w:kern w:val="2"/>
          <w:sz w:val="24"/>
          <w:szCs w:val="24"/>
          <w:u w:val="single"/>
          <w:lang w:val="en-US" w:eastAsia="zh-CN" w:bidi="ar-SA"/>
        </w:rPr>
        <w:t xml:space="preserve">      </w:t>
      </w:r>
      <w:r>
        <w:rPr>
          <w:rFonts w:hint="eastAsia" w:ascii="宋体" w:hAnsi="宋体" w:eastAsia="宋体" w:cs="宋体"/>
          <w:b/>
          <w:bCs w:val="0"/>
          <w:color w:val="auto"/>
          <w:kern w:val="2"/>
          <w:sz w:val="24"/>
          <w:szCs w:val="24"/>
          <w:u w:val="none"/>
          <w:lang w:val="en-US" w:eastAsia="zh-CN" w:bidi="ar-SA"/>
        </w:rPr>
        <w:t>年</w:t>
      </w:r>
      <w:r>
        <w:rPr>
          <w:rFonts w:hint="eastAsia" w:ascii="宋体" w:hAnsi="宋体" w:eastAsia="宋体" w:cs="宋体"/>
          <w:b/>
          <w:bCs w:val="0"/>
          <w:color w:val="auto"/>
          <w:kern w:val="2"/>
          <w:sz w:val="24"/>
          <w:szCs w:val="24"/>
          <w:u w:val="single"/>
          <w:lang w:val="en-US" w:eastAsia="zh-CN" w:bidi="ar-SA"/>
        </w:rPr>
        <w:t xml:space="preserve">     </w:t>
      </w:r>
      <w:r>
        <w:rPr>
          <w:rFonts w:hint="eastAsia" w:ascii="宋体" w:hAnsi="宋体" w:eastAsia="宋体" w:cs="宋体"/>
          <w:b/>
          <w:bCs w:val="0"/>
          <w:color w:val="auto"/>
          <w:kern w:val="2"/>
          <w:sz w:val="24"/>
          <w:szCs w:val="24"/>
          <w:u w:val="none"/>
          <w:lang w:val="en-US" w:eastAsia="zh-CN" w:bidi="ar-SA"/>
        </w:rPr>
        <w:t>月</w:t>
      </w:r>
      <w:r>
        <w:rPr>
          <w:rFonts w:hint="eastAsia" w:ascii="宋体" w:hAnsi="宋体" w:eastAsia="宋体" w:cs="宋体"/>
          <w:b/>
          <w:bCs w:val="0"/>
          <w:color w:val="auto"/>
          <w:kern w:val="2"/>
          <w:sz w:val="24"/>
          <w:szCs w:val="24"/>
          <w:u w:val="single"/>
          <w:lang w:val="en-US" w:eastAsia="zh-CN" w:bidi="ar-SA"/>
        </w:rPr>
        <w:t xml:space="preserve">     </w:t>
      </w:r>
      <w:r>
        <w:rPr>
          <w:rFonts w:hint="eastAsia" w:ascii="宋体" w:hAnsi="宋体" w:eastAsia="宋体" w:cs="宋体"/>
          <w:b/>
          <w:bCs w:val="0"/>
          <w:color w:val="auto"/>
          <w:kern w:val="2"/>
          <w:sz w:val="24"/>
          <w:szCs w:val="24"/>
          <w:u w:val="none"/>
          <w:lang w:val="en-US" w:eastAsia="zh-CN" w:bidi="ar-SA"/>
        </w:rPr>
        <w:t>日</w:t>
      </w:r>
      <w:bookmarkEnd w:id="524"/>
    </w:p>
    <w:p w14:paraId="64A8F89F">
      <w:pPr>
        <w:spacing w:line="588" w:lineRule="exact"/>
        <w:ind w:firstLine="504" w:firstLineChars="200"/>
        <w:rPr>
          <w:rFonts w:hint="eastAsia" w:ascii="宋体" w:hAnsi="宋体" w:eastAsia="宋体" w:cs="宋体"/>
          <w:spacing w:val="6"/>
          <w:sz w:val="24"/>
        </w:rPr>
      </w:pPr>
    </w:p>
    <w:p w14:paraId="5F27DB06">
      <w:pPr>
        <w:rPr>
          <w:rFonts w:hint="eastAsia" w:ascii="宋体" w:hAnsi="宋体" w:eastAsia="宋体" w:cs="宋体"/>
        </w:rPr>
      </w:pPr>
      <w:bookmarkStart w:id="525" w:name="_Toc1097"/>
      <w:bookmarkStart w:id="526" w:name="_Toc5414"/>
      <w:r>
        <w:rPr>
          <w:rFonts w:hint="eastAsia" w:ascii="宋体" w:hAnsi="宋体" w:eastAsia="宋体" w:cs="宋体"/>
        </w:rPr>
        <w:br w:type="page"/>
      </w:r>
    </w:p>
    <w:p w14:paraId="63256802">
      <w:pPr>
        <w:keepNext w:val="0"/>
        <w:keepLines w:val="0"/>
        <w:widowControl/>
        <w:suppressLineNumbers w:val="0"/>
        <w:spacing w:line="360" w:lineRule="auto"/>
        <w:jc w:val="left"/>
        <w:outlineLvl w:val="2"/>
        <w:rPr>
          <w:rFonts w:hint="eastAsia" w:ascii="宋体" w:hAnsi="宋体" w:eastAsia="宋体" w:cs="宋体"/>
          <w:b/>
          <w:bCs/>
          <w:kern w:val="2"/>
          <w:sz w:val="21"/>
          <w:szCs w:val="32"/>
          <w:lang w:val="en-US" w:eastAsia="zh-CN" w:bidi="ar-SA"/>
        </w:rPr>
      </w:pPr>
      <w:bookmarkStart w:id="527" w:name="_Toc3661"/>
      <w:r>
        <w:rPr>
          <w:rFonts w:hint="eastAsia" w:ascii="宋体" w:hAnsi="宋体" w:eastAsia="宋体" w:cs="宋体"/>
          <w:b/>
          <w:bCs/>
          <w:kern w:val="2"/>
          <w:sz w:val="21"/>
          <w:szCs w:val="32"/>
          <w:lang w:val="en-US" w:eastAsia="zh-CN" w:bidi="ar-SA"/>
        </w:rPr>
        <w:t>9-</w:t>
      </w:r>
      <w:bookmarkStart w:id="528" w:name="_Toc6942"/>
      <w:r>
        <w:rPr>
          <w:rFonts w:hint="eastAsia" w:ascii="宋体" w:hAnsi="宋体" w:cs="宋体"/>
          <w:b/>
          <w:bCs/>
          <w:kern w:val="2"/>
          <w:sz w:val="21"/>
          <w:szCs w:val="32"/>
          <w:lang w:val="en-US" w:eastAsia="zh-CN" w:bidi="ar-SA"/>
        </w:rPr>
        <w:t>4：</w:t>
      </w:r>
      <w:r>
        <w:rPr>
          <w:rFonts w:hint="eastAsia" w:ascii="宋体" w:hAnsi="宋体" w:eastAsia="宋体" w:cs="宋体"/>
          <w:b/>
          <w:bCs/>
          <w:kern w:val="2"/>
          <w:sz w:val="21"/>
          <w:szCs w:val="32"/>
          <w:lang w:val="en-US" w:eastAsia="zh-CN" w:bidi="ar-SA"/>
        </w:rPr>
        <w:t>价格评审优惠货物清单</w:t>
      </w:r>
      <w:bookmarkEnd w:id="528"/>
      <w:r>
        <w:rPr>
          <w:rFonts w:hint="eastAsia" w:ascii="宋体" w:hAnsi="宋体" w:eastAsia="宋体" w:cs="宋体"/>
          <w:b/>
          <w:bCs/>
          <w:kern w:val="2"/>
          <w:sz w:val="21"/>
          <w:szCs w:val="32"/>
          <w:lang w:val="en-US" w:eastAsia="zh-CN" w:bidi="ar-SA"/>
        </w:rPr>
        <w:t xml:space="preserve"> </w:t>
      </w:r>
    </w:p>
    <w:p w14:paraId="10A249D8">
      <w:pPr>
        <w:pStyle w:val="62"/>
        <w:rPr>
          <w:rFonts w:hint="eastAsia"/>
          <w:lang w:val="en-US" w:eastAsia="zh-CN"/>
        </w:rPr>
      </w:pPr>
    </w:p>
    <w:p w14:paraId="0EBC2953">
      <w:pPr>
        <w:pStyle w:val="62"/>
        <w:jc w:val="center"/>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t>价格评审优惠货物清单</w:t>
      </w:r>
    </w:p>
    <w:p w14:paraId="5FD182EF">
      <w:pPr>
        <w:pStyle w:val="43"/>
        <w:jc w:val="center"/>
        <w:rPr>
          <w:rFonts w:hint="eastAsia"/>
          <w:lang w:val="en-US" w:eastAsia="zh-CN"/>
        </w:rPr>
      </w:pPr>
    </w:p>
    <w:p w14:paraId="42C55096">
      <w:pPr>
        <w:adjustRightInd w:val="0"/>
        <w:snapToGrid w:val="0"/>
        <w:spacing w:line="36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 xml:space="preserve">采购计划编号：                 项目名称： </w:t>
      </w:r>
    </w:p>
    <w:tbl>
      <w:tblPr>
        <w:tblStyle w:val="4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1217"/>
        <w:gridCol w:w="1217"/>
        <w:gridCol w:w="1217"/>
        <w:gridCol w:w="1218"/>
        <w:gridCol w:w="1218"/>
        <w:gridCol w:w="1218"/>
      </w:tblGrid>
      <w:tr w14:paraId="3F839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7"/>
          </w:tcPr>
          <w:p w14:paraId="54DCA4DC">
            <w:pPr>
              <w:adjustRightInd w:val="0"/>
              <w:snapToGrid w:val="0"/>
              <w:spacing w:line="360" w:lineRule="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以下为投标人提供的享受价格评审优惠的货物，投标人对本表的真实性负责。如有虚假， 将依法承担相应责任。</w:t>
            </w:r>
          </w:p>
        </w:tc>
      </w:tr>
      <w:tr w14:paraId="71DBB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tcPr>
          <w:p w14:paraId="4046527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r>
              <w:rPr>
                <w:rFonts w:hint="eastAsia" w:ascii="仿宋" w:hAnsi="仿宋" w:eastAsia="仿宋" w:cs="仿宋"/>
                <w:color w:val="000000"/>
                <w:kern w:val="0"/>
                <w:sz w:val="24"/>
                <w:szCs w:val="24"/>
                <w:vertAlign w:val="baseline"/>
                <w:lang w:val="en-US" w:eastAsia="zh-CN" w:bidi="ar"/>
              </w:rPr>
              <w:t>1</w:t>
            </w:r>
          </w:p>
        </w:tc>
        <w:tc>
          <w:tcPr>
            <w:tcW w:w="1217" w:type="dxa"/>
          </w:tcPr>
          <w:p w14:paraId="6DE875F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r>
              <w:rPr>
                <w:rFonts w:hint="eastAsia" w:ascii="仿宋" w:hAnsi="仿宋" w:eastAsia="仿宋" w:cs="仿宋"/>
                <w:color w:val="000000"/>
                <w:kern w:val="0"/>
                <w:sz w:val="24"/>
                <w:szCs w:val="24"/>
                <w:vertAlign w:val="baseline"/>
                <w:lang w:val="en-US" w:eastAsia="zh-CN" w:bidi="ar"/>
              </w:rPr>
              <w:t>2</w:t>
            </w:r>
          </w:p>
        </w:tc>
        <w:tc>
          <w:tcPr>
            <w:tcW w:w="1217" w:type="dxa"/>
          </w:tcPr>
          <w:p w14:paraId="4899FBE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r>
              <w:rPr>
                <w:rFonts w:hint="eastAsia" w:ascii="仿宋" w:hAnsi="仿宋" w:eastAsia="仿宋" w:cs="仿宋"/>
                <w:color w:val="000000"/>
                <w:kern w:val="0"/>
                <w:sz w:val="24"/>
                <w:szCs w:val="24"/>
                <w:vertAlign w:val="baseline"/>
                <w:lang w:val="en-US" w:eastAsia="zh-CN" w:bidi="ar"/>
              </w:rPr>
              <w:t>3</w:t>
            </w:r>
          </w:p>
        </w:tc>
        <w:tc>
          <w:tcPr>
            <w:tcW w:w="1217" w:type="dxa"/>
          </w:tcPr>
          <w:p w14:paraId="74767C0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r>
              <w:rPr>
                <w:rFonts w:hint="eastAsia" w:ascii="仿宋" w:hAnsi="仿宋" w:eastAsia="仿宋" w:cs="仿宋"/>
                <w:color w:val="000000"/>
                <w:kern w:val="0"/>
                <w:sz w:val="24"/>
                <w:szCs w:val="24"/>
                <w:vertAlign w:val="baseline"/>
                <w:lang w:val="en-US" w:eastAsia="zh-CN" w:bidi="ar"/>
              </w:rPr>
              <w:t>4</w:t>
            </w:r>
          </w:p>
        </w:tc>
        <w:tc>
          <w:tcPr>
            <w:tcW w:w="1218" w:type="dxa"/>
          </w:tcPr>
          <w:p w14:paraId="3A0ABCF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r>
              <w:rPr>
                <w:rFonts w:hint="eastAsia" w:ascii="仿宋" w:hAnsi="仿宋" w:eastAsia="仿宋" w:cs="仿宋"/>
                <w:color w:val="000000"/>
                <w:kern w:val="0"/>
                <w:sz w:val="24"/>
                <w:szCs w:val="24"/>
                <w:vertAlign w:val="baseline"/>
                <w:lang w:val="en-US" w:eastAsia="zh-CN" w:bidi="ar"/>
              </w:rPr>
              <w:t>5</w:t>
            </w:r>
          </w:p>
        </w:tc>
        <w:tc>
          <w:tcPr>
            <w:tcW w:w="1218" w:type="dxa"/>
          </w:tcPr>
          <w:p w14:paraId="7797B08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r>
              <w:rPr>
                <w:rFonts w:hint="eastAsia" w:ascii="仿宋" w:hAnsi="仿宋" w:eastAsia="仿宋" w:cs="仿宋"/>
                <w:color w:val="000000"/>
                <w:kern w:val="0"/>
                <w:sz w:val="24"/>
                <w:szCs w:val="24"/>
                <w:vertAlign w:val="baseline"/>
                <w:lang w:val="en-US" w:eastAsia="zh-CN" w:bidi="ar"/>
              </w:rPr>
              <w:t>6</w:t>
            </w:r>
          </w:p>
        </w:tc>
        <w:tc>
          <w:tcPr>
            <w:tcW w:w="1218" w:type="dxa"/>
          </w:tcPr>
          <w:p w14:paraId="0E04143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r>
              <w:rPr>
                <w:rFonts w:hint="eastAsia" w:ascii="仿宋" w:hAnsi="仿宋" w:eastAsia="仿宋" w:cs="仿宋"/>
                <w:color w:val="000000"/>
                <w:kern w:val="0"/>
                <w:sz w:val="24"/>
                <w:szCs w:val="24"/>
                <w:vertAlign w:val="baseline"/>
                <w:lang w:val="en-US" w:eastAsia="zh-CN" w:bidi="ar"/>
              </w:rPr>
              <w:t>7</w:t>
            </w:r>
          </w:p>
        </w:tc>
      </w:tr>
      <w:tr w14:paraId="7B85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tcPr>
          <w:p w14:paraId="36F8592D">
            <w:pPr>
              <w:widowControl/>
              <w:adjustRightInd w:val="0"/>
              <w:snapToGrid w:val="0"/>
              <w:spacing w:line="360"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序号</w:t>
            </w:r>
          </w:p>
        </w:tc>
        <w:tc>
          <w:tcPr>
            <w:tcW w:w="1217" w:type="dxa"/>
          </w:tcPr>
          <w:p w14:paraId="6E782A18">
            <w:pPr>
              <w:widowControl/>
              <w:adjustRightInd w:val="0"/>
              <w:snapToGrid w:val="0"/>
              <w:spacing w:line="360"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货物名称</w:t>
            </w:r>
          </w:p>
        </w:tc>
        <w:tc>
          <w:tcPr>
            <w:tcW w:w="1217" w:type="dxa"/>
          </w:tcPr>
          <w:p w14:paraId="3253E84A">
            <w:pPr>
              <w:widowControl/>
              <w:adjustRightInd w:val="0"/>
              <w:snapToGrid w:val="0"/>
              <w:spacing w:line="360"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规格型号</w:t>
            </w:r>
          </w:p>
        </w:tc>
        <w:tc>
          <w:tcPr>
            <w:tcW w:w="1217" w:type="dxa"/>
          </w:tcPr>
          <w:p w14:paraId="1AE12A07">
            <w:pPr>
              <w:widowControl/>
              <w:adjustRightInd w:val="0"/>
              <w:snapToGrid w:val="0"/>
              <w:spacing w:line="360"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价格（元）</w:t>
            </w:r>
          </w:p>
        </w:tc>
        <w:tc>
          <w:tcPr>
            <w:tcW w:w="1218" w:type="dxa"/>
          </w:tcPr>
          <w:p w14:paraId="171A49FF">
            <w:pPr>
              <w:widowControl/>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 xml:space="preserve">货物制造商名称 </w:t>
            </w:r>
          </w:p>
          <w:p w14:paraId="48007D30">
            <w:pPr>
              <w:widowControl/>
              <w:adjustRightInd w:val="0"/>
              <w:snapToGrid w:val="0"/>
              <w:spacing w:line="360" w:lineRule="auto"/>
              <w:jc w:val="center"/>
              <w:rPr>
                <w:rFonts w:hint="eastAsia" w:ascii="宋体" w:hAnsi="宋体" w:eastAsia="宋体" w:cs="宋体"/>
                <w:color w:val="auto"/>
                <w:kern w:val="0"/>
                <w:sz w:val="24"/>
                <w:szCs w:val="24"/>
                <w:lang w:val="en-US" w:eastAsia="zh-CN"/>
              </w:rPr>
            </w:pPr>
          </w:p>
        </w:tc>
        <w:tc>
          <w:tcPr>
            <w:tcW w:w="1218" w:type="dxa"/>
          </w:tcPr>
          <w:p w14:paraId="57FF203E">
            <w:pPr>
              <w:widowControl/>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 xml:space="preserve">货物制造 </w:t>
            </w:r>
          </w:p>
          <w:p w14:paraId="492C285D">
            <w:pPr>
              <w:widowControl/>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 xml:space="preserve">商类型 </w:t>
            </w:r>
          </w:p>
          <w:p w14:paraId="58677648">
            <w:pPr>
              <w:widowControl/>
              <w:adjustRightInd w:val="0"/>
              <w:snapToGrid w:val="0"/>
              <w:spacing w:line="360" w:lineRule="auto"/>
              <w:jc w:val="center"/>
              <w:rPr>
                <w:rFonts w:hint="eastAsia" w:ascii="宋体" w:hAnsi="宋体" w:eastAsia="宋体" w:cs="宋体"/>
                <w:color w:val="auto"/>
                <w:kern w:val="0"/>
                <w:sz w:val="24"/>
                <w:szCs w:val="24"/>
                <w:lang w:val="en-US" w:eastAsia="zh-CN"/>
              </w:rPr>
            </w:pPr>
          </w:p>
        </w:tc>
        <w:tc>
          <w:tcPr>
            <w:tcW w:w="1218" w:type="dxa"/>
          </w:tcPr>
          <w:p w14:paraId="32035E02">
            <w:pPr>
              <w:widowControl/>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商标名称</w:t>
            </w:r>
          </w:p>
          <w:p w14:paraId="42F28302">
            <w:pPr>
              <w:widowControl/>
              <w:adjustRightInd w:val="0"/>
              <w:snapToGrid w:val="0"/>
              <w:spacing w:line="360" w:lineRule="auto"/>
              <w:jc w:val="center"/>
              <w:rPr>
                <w:rFonts w:hint="eastAsia" w:ascii="宋体" w:hAnsi="宋体" w:eastAsia="宋体" w:cs="宋体"/>
                <w:color w:val="auto"/>
                <w:kern w:val="0"/>
                <w:sz w:val="24"/>
                <w:szCs w:val="24"/>
                <w:lang w:val="en-US" w:eastAsia="zh-CN"/>
              </w:rPr>
            </w:pPr>
          </w:p>
        </w:tc>
      </w:tr>
      <w:tr w14:paraId="4501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tcPr>
          <w:p w14:paraId="64D43FF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351B819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71273D8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17A7F83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6DDCE74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2175C9D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2B5242E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r>
      <w:tr w14:paraId="2494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tcPr>
          <w:p w14:paraId="60B74BA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3544BAB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1169A5C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1AD2E45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2359747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7094A9F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450EBE0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r>
      <w:tr w14:paraId="564B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tcPr>
          <w:p w14:paraId="79863AB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3EF032F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47E5952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4C41063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4478D96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726F7F9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680B4B2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r>
      <w:tr w14:paraId="6ADC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tcPr>
          <w:p w14:paraId="2E0635A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6B3041B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2C7CFAF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4204C86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2A40DB3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3502C05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0772126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r>
      <w:tr w14:paraId="1D23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tcPr>
          <w:p w14:paraId="5B76BFB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078268C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15BD340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359E934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42C47C0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773532C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6402B34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r>
      <w:tr w14:paraId="18C1E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tcPr>
          <w:p w14:paraId="38F50FB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124FC38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5AD24F2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092D8A8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41E21E9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565F363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1BE5212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r>
      <w:tr w14:paraId="5D285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tcPr>
          <w:p w14:paraId="50E2F31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7463E39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1577275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2330D87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2E44FB6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3DDF944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41BEAFD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r>
      <w:tr w14:paraId="0301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tcPr>
          <w:p w14:paraId="43967DE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r>
              <w:rPr>
                <w:rFonts w:hint="eastAsia" w:ascii="仿宋" w:hAnsi="仿宋" w:eastAsia="仿宋" w:cs="仿宋"/>
                <w:color w:val="000000"/>
                <w:kern w:val="0"/>
                <w:sz w:val="24"/>
                <w:szCs w:val="24"/>
                <w:vertAlign w:val="baseline"/>
                <w:lang w:val="en-US" w:eastAsia="zh-CN" w:bidi="ar"/>
              </w:rPr>
              <w:t>小计</w:t>
            </w:r>
          </w:p>
        </w:tc>
        <w:tc>
          <w:tcPr>
            <w:tcW w:w="1217" w:type="dxa"/>
          </w:tcPr>
          <w:p w14:paraId="763E3A6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r>
              <w:rPr>
                <w:rFonts w:hint="eastAsia" w:ascii="仿宋" w:hAnsi="仿宋" w:eastAsia="仿宋" w:cs="仿宋"/>
                <w:color w:val="000000"/>
                <w:kern w:val="0"/>
                <w:sz w:val="24"/>
                <w:szCs w:val="24"/>
                <w:vertAlign w:val="baseline"/>
                <w:lang w:val="en-US" w:eastAsia="zh-CN" w:bidi="ar"/>
              </w:rPr>
              <w:t>/</w:t>
            </w:r>
          </w:p>
        </w:tc>
        <w:tc>
          <w:tcPr>
            <w:tcW w:w="1217" w:type="dxa"/>
          </w:tcPr>
          <w:p w14:paraId="456BE09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7" w:type="dxa"/>
          </w:tcPr>
          <w:p w14:paraId="3522581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p>
        </w:tc>
        <w:tc>
          <w:tcPr>
            <w:tcW w:w="1218" w:type="dxa"/>
          </w:tcPr>
          <w:p w14:paraId="0D8F668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r>
              <w:rPr>
                <w:rFonts w:hint="eastAsia" w:ascii="仿宋" w:hAnsi="仿宋" w:eastAsia="仿宋" w:cs="仿宋"/>
                <w:color w:val="000000"/>
                <w:kern w:val="0"/>
                <w:sz w:val="24"/>
                <w:szCs w:val="24"/>
                <w:vertAlign w:val="baseline"/>
                <w:lang w:val="en-US" w:eastAsia="zh-CN" w:bidi="ar"/>
              </w:rPr>
              <w:t>/</w:t>
            </w:r>
          </w:p>
        </w:tc>
        <w:tc>
          <w:tcPr>
            <w:tcW w:w="1218" w:type="dxa"/>
          </w:tcPr>
          <w:p w14:paraId="5858C7C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r>
              <w:rPr>
                <w:rFonts w:hint="eastAsia" w:ascii="仿宋" w:hAnsi="仿宋" w:eastAsia="仿宋" w:cs="仿宋"/>
                <w:color w:val="000000"/>
                <w:kern w:val="0"/>
                <w:sz w:val="24"/>
                <w:szCs w:val="24"/>
                <w:vertAlign w:val="baseline"/>
                <w:lang w:val="en-US" w:eastAsia="zh-CN" w:bidi="ar"/>
              </w:rPr>
              <w:t>/</w:t>
            </w:r>
          </w:p>
        </w:tc>
        <w:tc>
          <w:tcPr>
            <w:tcW w:w="1218" w:type="dxa"/>
          </w:tcPr>
          <w:p w14:paraId="62C2CCD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vertAlign w:val="baseline"/>
                <w:lang w:val="en-US" w:eastAsia="zh-CN" w:bidi="ar"/>
              </w:rPr>
            </w:pPr>
            <w:r>
              <w:rPr>
                <w:rFonts w:hint="eastAsia" w:ascii="仿宋" w:hAnsi="仿宋" w:eastAsia="仿宋" w:cs="仿宋"/>
                <w:color w:val="000000"/>
                <w:kern w:val="0"/>
                <w:sz w:val="24"/>
                <w:szCs w:val="24"/>
                <w:vertAlign w:val="baseline"/>
                <w:lang w:val="en-US" w:eastAsia="zh-CN" w:bidi="ar"/>
              </w:rPr>
              <w:t>/</w:t>
            </w:r>
          </w:p>
        </w:tc>
      </w:tr>
    </w:tbl>
    <w:p w14:paraId="69768F36">
      <w:pPr>
        <w:widowControl/>
        <w:adjustRightInd w:val="0"/>
        <w:snapToGrid w:val="0"/>
        <w:spacing w:line="360" w:lineRule="auto"/>
        <w:jc w:val="left"/>
        <w:rPr>
          <w:rFonts w:hint="eastAsia" w:ascii="宋体" w:hAnsi="宋体" w:cs="宋体"/>
          <w:color w:val="auto"/>
          <w:kern w:val="0"/>
          <w:sz w:val="24"/>
          <w:szCs w:val="24"/>
          <w:lang w:val="en-US" w:eastAsia="zh-CN"/>
        </w:rPr>
      </w:pPr>
      <w:r>
        <w:rPr>
          <w:rFonts w:hint="eastAsia" w:ascii="宋体" w:hAnsi="宋体" w:eastAsia="宋体" w:cs="宋体"/>
          <w:color w:val="auto"/>
          <w:kern w:val="0"/>
          <w:sz w:val="24"/>
          <w:szCs w:val="24"/>
          <w:lang w:val="en-US" w:eastAsia="zh-CN"/>
        </w:rPr>
        <w:t xml:space="preserve"> </w:t>
      </w:r>
      <w:r>
        <w:rPr>
          <w:rFonts w:hint="eastAsia" w:ascii="宋体" w:hAnsi="宋体" w:cs="宋体"/>
          <w:color w:val="auto"/>
          <w:kern w:val="0"/>
          <w:sz w:val="24"/>
          <w:szCs w:val="24"/>
          <w:lang w:val="en-US" w:eastAsia="zh-CN"/>
        </w:rPr>
        <w:t xml:space="preserve">  </w:t>
      </w:r>
    </w:p>
    <w:p w14:paraId="40D80BE8">
      <w:pPr>
        <w:widowControl/>
        <w:adjustRightInd w:val="0"/>
        <w:snapToGrid w:val="0"/>
        <w:spacing w:line="360" w:lineRule="auto"/>
        <w:ind w:firstLine="480" w:firstLineChars="20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 xml:space="preserve">说明：1、本清单用于计算政府采购价格评审优惠应享受的政府采购政策价格扣除。提供的货物为小型、微型企业制造的，包括视同小型、微型企业，享受评审中价格扣除的监狱企业、残疾人福利性单位制造的货物。货物制造商类型填写小型、微型企业或监狱企业或残疾人福利性单位。 </w:t>
      </w:r>
    </w:p>
    <w:p w14:paraId="36451503">
      <w:pPr>
        <w:widowControl/>
        <w:adjustRightInd w:val="0"/>
        <w:snapToGrid w:val="0"/>
        <w:spacing w:line="360" w:lineRule="auto"/>
        <w:ind w:firstLine="480" w:firstLineChars="20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 xml:space="preserve">2、栏目 4“价格”为综合单价，包含该货物所有隐含的内容，如运输费、保险费、安装调试费、管理费和利润等。 </w:t>
      </w:r>
    </w:p>
    <w:p w14:paraId="4E21C16B">
      <w:pPr>
        <w:widowControl/>
        <w:adjustRightInd w:val="0"/>
        <w:snapToGrid w:val="0"/>
        <w:spacing w:line="360" w:lineRule="auto"/>
        <w:ind w:firstLine="480" w:firstLineChars="20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3、投标人在投标截止时间前修改“开标一览表”中的投标报价的，应修改本表相应内容。否则，评审时涉及本表所有优惠不予以考虑。</w:t>
      </w:r>
    </w:p>
    <w:p w14:paraId="55186DD9">
      <w:pPr>
        <w:widowControl/>
        <w:adjustRightInd w:val="0"/>
        <w:snapToGrid w:val="0"/>
        <w:spacing w:line="360" w:lineRule="auto"/>
        <w:jc w:val="left"/>
        <w:rPr>
          <w:rFonts w:hint="eastAsia" w:ascii="宋体" w:hAnsi="宋体" w:eastAsia="宋体" w:cs="宋体"/>
          <w:color w:val="auto"/>
          <w:kern w:val="0"/>
          <w:sz w:val="24"/>
          <w:szCs w:val="24"/>
          <w:lang w:val="en-US" w:eastAsia="zh-CN"/>
        </w:rPr>
      </w:pPr>
    </w:p>
    <w:p w14:paraId="650C08A1">
      <w:pPr>
        <w:widowControl/>
        <w:adjustRightInd w:val="0"/>
        <w:snapToGrid w:val="0"/>
        <w:spacing w:line="360" w:lineRule="auto"/>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供应商（盖单位</w:t>
      </w:r>
      <w:r>
        <w:rPr>
          <w:rFonts w:hint="eastAsia" w:ascii="宋体" w:hAnsi="宋体" w:cs="宋体"/>
          <w:color w:val="auto"/>
          <w:kern w:val="0"/>
          <w:sz w:val="24"/>
          <w:szCs w:val="24"/>
          <w:lang w:val="en-US" w:eastAsia="zh-CN"/>
        </w:rPr>
        <w:t>公</w:t>
      </w:r>
      <w:r>
        <w:rPr>
          <w:rFonts w:hint="eastAsia" w:ascii="宋体" w:hAnsi="宋体" w:eastAsia="宋体" w:cs="宋体"/>
          <w:color w:val="auto"/>
          <w:kern w:val="0"/>
          <w:sz w:val="24"/>
          <w:szCs w:val="24"/>
          <w:lang w:val="en-US" w:eastAsia="zh-CN"/>
        </w:rPr>
        <w:t xml:space="preserve">章）： </w:t>
      </w:r>
    </w:p>
    <w:p w14:paraId="66D49535">
      <w:pPr>
        <w:widowControl/>
        <w:adjustRightInd w:val="0"/>
        <w:snapToGrid w:val="0"/>
        <w:spacing w:line="360" w:lineRule="auto"/>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 xml:space="preserve">法定代表人或其委托代理人（签字或印章）： </w:t>
      </w:r>
    </w:p>
    <w:p w14:paraId="79123762">
      <w:pPr>
        <w:widowControl/>
        <w:adjustRightInd w:val="0"/>
        <w:snapToGrid w:val="0"/>
        <w:spacing w:line="360" w:lineRule="auto"/>
        <w:jc w:val="left"/>
        <w:rPr>
          <w:rFonts w:hint="eastAsia" w:ascii="宋体" w:hAnsi="宋体" w:eastAsia="宋体" w:cs="宋体"/>
          <w:color w:val="auto"/>
          <w:kern w:val="0"/>
          <w:sz w:val="24"/>
          <w:szCs w:val="24"/>
          <w:lang w:val="en-US" w:eastAsia="zh-CN"/>
        </w:rPr>
        <w:sectPr>
          <w:pgSz w:w="11906" w:h="16838"/>
          <w:pgMar w:top="1134" w:right="1134" w:bottom="1134" w:left="1417" w:header="567" w:footer="340" w:gutter="0"/>
          <w:pgNumType w:fmt="decimal"/>
          <w:cols w:space="0" w:num="1"/>
          <w:rtlGutter w:val="0"/>
          <w:docGrid w:type="lines" w:linePitch="312" w:charSpace="0"/>
        </w:sectPr>
      </w:pPr>
      <w:r>
        <w:rPr>
          <w:rFonts w:hint="eastAsia" w:ascii="宋体" w:hAnsi="宋体" w:eastAsia="宋体" w:cs="宋体"/>
          <w:color w:val="auto"/>
          <w:kern w:val="0"/>
          <w:sz w:val="24"/>
          <w:szCs w:val="24"/>
          <w:lang w:val="en-US" w:eastAsia="zh-CN"/>
        </w:rPr>
        <w:t>日期： 年 月 日</w:t>
      </w:r>
    </w:p>
    <w:p w14:paraId="280DE830">
      <w:pPr>
        <w:pStyle w:val="3"/>
        <w:bidi w:val="0"/>
        <w:rPr>
          <w:rFonts w:hint="eastAsia" w:ascii="宋体" w:hAnsi="宋体" w:eastAsia="宋体" w:cs="宋体"/>
        </w:rPr>
      </w:pPr>
    </w:p>
    <w:p w14:paraId="35D4391F">
      <w:pPr>
        <w:pStyle w:val="3"/>
        <w:bidi w:val="0"/>
        <w:rPr>
          <w:rFonts w:hint="eastAsia" w:ascii="宋体" w:hAnsi="宋体" w:eastAsia="宋体" w:cs="宋体"/>
        </w:rPr>
      </w:pPr>
      <w:r>
        <w:rPr>
          <w:rFonts w:hint="eastAsia" w:ascii="宋体" w:hAnsi="宋体" w:eastAsia="宋体" w:cs="宋体"/>
        </w:rPr>
        <w:t>附件</w:t>
      </w:r>
      <w:r>
        <w:rPr>
          <w:rFonts w:hint="eastAsia" w:ascii="宋体" w:hAnsi="宋体" w:cs="宋体"/>
          <w:lang w:val="en-US" w:eastAsia="zh-CN"/>
        </w:rPr>
        <w:t>9</w:t>
      </w:r>
      <w:r>
        <w:rPr>
          <w:rFonts w:hint="eastAsia" w:ascii="宋体" w:hAnsi="宋体" w:eastAsia="宋体" w:cs="宋体"/>
        </w:rPr>
        <w:t>-</w:t>
      </w:r>
      <w:r>
        <w:rPr>
          <w:rFonts w:hint="eastAsia" w:ascii="宋体" w:hAnsi="宋体" w:cs="宋体"/>
          <w:lang w:val="en-US" w:eastAsia="zh-CN"/>
        </w:rPr>
        <w:t>5</w:t>
      </w:r>
      <w:r>
        <w:rPr>
          <w:rFonts w:hint="eastAsia" w:ascii="宋体" w:hAnsi="宋体" w:eastAsia="宋体" w:cs="宋体"/>
        </w:rPr>
        <w:t>：强制采购或者优先采购产品的证明材料</w:t>
      </w:r>
      <w:bookmarkEnd w:id="525"/>
      <w:bookmarkEnd w:id="526"/>
      <w:bookmarkEnd w:id="527"/>
    </w:p>
    <w:p w14:paraId="68CA59D3">
      <w:pPr>
        <w:adjustRightInd w:val="0"/>
        <w:snapToGrid w:val="0"/>
        <w:spacing w:line="360" w:lineRule="auto"/>
        <w:jc w:val="center"/>
        <w:rPr>
          <w:rFonts w:hint="eastAsia" w:ascii="宋体" w:hAnsi="宋体" w:eastAsia="宋体" w:cs="宋体"/>
          <w:b/>
          <w:color w:val="auto"/>
          <w:sz w:val="28"/>
          <w:szCs w:val="28"/>
        </w:rPr>
      </w:pPr>
    </w:p>
    <w:p w14:paraId="46425D99">
      <w:pPr>
        <w:adjustRightInd w:val="0"/>
        <w:snapToGrid w:val="0"/>
        <w:spacing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强制采购或者优先采购产品</w:t>
      </w:r>
      <w:r>
        <w:rPr>
          <w:rFonts w:hint="eastAsia" w:ascii="宋体" w:hAnsi="宋体" w:eastAsia="宋体" w:cs="宋体"/>
          <w:b/>
          <w:bCs/>
          <w:color w:val="auto"/>
          <w:sz w:val="28"/>
          <w:szCs w:val="28"/>
        </w:rPr>
        <w:t>的</w:t>
      </w:r>
      <w:r>
        <w:rPr>
          <w:rFonts w:hint="eastAsia" w:ascii="宋体" w:hAnsi="宋体" w:eastAsia="宋体" w:cs="宋体"/>
          <w:b/>
          <w:color w:val="auto"/>
          <w:sz w:val="28"/>
          <w:szCs w:val="28"/>
        </w:rPr>
        <w:t>证明材料</w:t>
      </w:r>
    </w:p>
    <w:p w14:paraId="724218B9">
      <w:pPr>
        <w:adjustRightInd w:val="0"/>
        <w:snapToGrid w:val="0"/>
        <w:spacing w:line="360" w:lineRule="auto"/>
        <w:jc w:val="center"/>
        <w:rPr>
          <w:rFonts w:hint="eastAsia" w:ascii="宋体" w:hAnsi="宋体" w:eastAsia="宋体" w:cs="宋体"/>
          <w:b/>
          <w:color w:val="auto"/>
          <w:spacing w:val="6"/>
          <w:szCs w:val="21"/>
        </w:rPr>
      </w:pPr>
      <w:r>
        <w:rPr>
          <w:rFonts w:hint="eastAsia" w:ascii="宋体" w:hAnsi="宋体" w:eastAsia="宋体" w:cs="宋体"/>
          <w:b/>
          <w:color w:val="auto"/>
          <w:spacing w:val="6"/>
          <w:szCs w:val="21"/>
        </w:rPr>
        <w:t>(不属于强制采购或者优先采购产品的无需提供)</w:t>
      </w:r>
    </w:p>
    <w:p w14:paraId="58DBF714">
      <w:pPr>
        <w:adjustRightInd w:val="0"/>
        <w:snapToGrid w:val="0"/>
        <w:spacing w:line="360" w:lineRule="auto"/>
        <w:ind w:firstLine="420" w:firstLineChars="200"/>
        <w:jc w:val="left"/>
        <w:rPr>
          <w:rFonts w:hint="eastAsia" w:ascii="宋体" w:hAnsi="宋体" w:eastAsia="宋体" w:cs="宋体"/>
          <w:color w:val="auto"/>
          <w:szCs w:val="21"/>
        </w:rPr>
      </w:pPr>
    </w:p>
    <w:p w14:paraId="669C0995">
      <w:pPr>
        <w:adjustRightInd w:val="0"/>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注</w:t>
      </w:r>
      <w:r>
        <w:rPr>
          <w:rFonts w:hint="eastAsia" w:ascii="宋体" w:hAnsi="宋体" w:eastAsia="宋体" w:cs="宋体"/>
          <w:color w:val="auto"/>
          <w:sz w:val="24"/>
          <w:szCs w:val="24"/>
        </w:rPr>
        <w:t>：投标人提供的产品</w:t>
      </w:r>
      <w:r>
        <w:rPr>
          <w:rFonts w:hint="eastAsia" w:ascii="宋体" w:hAnsi="宋体" w:eastAsia="宋体" w:cs="宋体"/>
          <w:bCs/>
          <w:color w:val="auto"/>
          <w:sz w:val="24"/>
          <w:szCs w:val="24"/>
        </w:rPr>
        <w:t>属于优先采购的</w:t>
      </w:r>
      <w:r>
        <w:rPr>
          <w:rFonts w:hint="eastAsia" w:ascii="宋体" w:hAnsi="宋体" w:eastAsia="宋体" w:cs="宋体"/>
          <w:color w:val="auto"/>
          <w:sz w:val="24"/>
          <w:szCs w:val="24"/>
        </w:rPr>
        <w:t>，应按第二章第33.6款规定提供证明材料和本章本节附页2“优先采购产品清单”，并加盖投标人单位</w:t>
      </w:r>
      <w:r>
        <w:rPr>
          <w:rFonts w:hint="eastAsia" w:ascii="宋体" w:hAnsi="宋体" w:cs="宋体"/>
          <w:color w:val="auto"/>
          <w:sz w:val="24"/>
          <w:szCs w:val="24"/>
          <w:lang w:eastAsia="zh-CN"/>
        </w:rPr>
        <w:t>公</w:t>
      </w:r>
      <w:r>
        <w:rPr>
          <w:rFonts w:hint="eastAsia" w:ascii="宋体" w:hAnsi="宋体" w:eastAsia="宋体" w:cs="宋体"/>
          <w:color w:val="auto"/>
          <w:sz w:val="24"/>
          <w:szCs w:val="24"/>
        </w:rPr>
        <w:t>章。</w:t>
      </w:r>
    </w:p>
    <w:p w14:paraId="4B5A384F">
      <w:pP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br w:type="page"/>
      </w:r>
    </w:p>
    <w:p w14:paraId="5DF68C58">
      <w:pPr>
        <w:pStyle w:val="43"/>
        <w:rPr>
          <w:rFonts w:hint="eastAsia"/>
        </w:rPr>
      </w:pPr>
    </w:p>
    <w:p w14:paraId="5252CD2E">
      <w:pPr>
        <w:adjustRightInd w:val="0"/>
        <w:snapToGrid w:val="0"/>
        <w:spacing w:line="360" w:lineRule="auto"/>
        <w:jc w:val="center"/>
        <w:rPr>
          <w:rFonts w:hint="eastAsia" w:ascii="宋体" w:hAnsi="宋体" w:eastAsia="宋体" w:cs="宋体"/>
          <w:b/>
          <w:color w:val="auto"/>
          <w:spacing w:val="6"/>
          <w:szCs w:val="21"/>
          <w:highlight w:val="none"/>
        </w:rPr>
      </w:pPr>
      <w:r>
        <w:rPr>
          <w:rFonts w:hint="eastAsia" w:ascii="宋体" w:hAnsi="宋体" w:eastAsia="宋体" w:cs="宋体"/>
          <w:b/>
          <w:color w:val="auto"/>
          <w:sz w:val="28"/>
          <w:szCs w:val="28"/>
          <w:highlight w:val="none"/>
        </w:rPr>
        <w:t>优先采购产品清单</w:t>
      </w:r>
    </w:p>
    <w:p w14:paraId="70B43C4C">
      <w:pPr>
        <w:adjustRightInd w:val="0"/>
        <w:snapToGrid w:val="0"/>
        <w:spacing w:line="360" w:lineRule="auto"/>
        <w:rPr>
          <w:rFonts w:hint="eastAsia" w:ascii="宋体" w:hAnsi="宋体" w:eastAsia="宋体" w:cs="宋体"/>
          <w:color w:val="auto"/>
          <w:sz w:val="24"/>
          <w:szCs w:val="24"/>
        </w:rPr>
      </w:pPr>
      <w:r>
        <w:rPr>
          <w:rFonts w:hint="eastAsia" w:ascii="宋体" w:hAnsi="宋体" w:cs="宋体"/>
          <w:color w:val="auto"/>
          <w:sz w:val="24"/>
          <w:szCs w:val="24"/>
          <w:lang w:val="en-US" w:eastAsia="zh-CN"/>
        </w:rPr>
        <w:t>采购计划</w:t>
      </w:r>
      <w:r>
        <w:rPr>
          <w:rFonts w:hint="eastAsia" w:ascii="宋体" w:hAnsi="宋体" w:cs="宋体"/>
          <w:color w:val="auto"/>
          <w:sz w:val="24"/>
          <w:szCs w:val="24"/>
          <w:lang w:eastAsia="zh-CN"/>
        </w:rPr>
        <w:t>编号</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项目名称：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p>
    <w:tbl>
      <w:tblPr>
        <w:tblStyle w:val="44"/>
        <w:tblW w:w="9596"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7"/>
        <w:gridCol w:w="1704"/>
        <w:gridCol w:w="1350"/>
        <w:gridCol w:w="1746"/>
        <w:gridCol w:w="1976"/>
        <w:gridCol w:w="2033"/>
      </w:tblGrid>
      <w:tr w14:paraId="5FEBE3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9596" w:type="dxa"/>
            <w:gridSpan w:val="6"/>
            <w:noWrap w:val="0"/>
            <w:vAlign w:val="center"/>
          </w:tcPr>
          <w:p w14:paraId="3DD6CCFF">
            <w:pPr>
              <w:widowControl/>
              <w:adjustRightInd w:val="0"/>
              <w:snapToGrid w:val="0"/>
              <w:spacing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以下为投标人提供的政府采购优先采购产品，投标人对本表的真实性负责。如有虚假，将依法承担相应责任。</w:t>
            </w:r>
          </w:p>
        </w:tc>
      </w:tr>
      <w:tr w14:paraId="649D2B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787" w:type="dxa"/>
            <w:noWrap w:val="0"/>
            <w:vAlign w:val="center"/>
          </w:tcPr>
          <w:p w14:paraId="1998FD06">
            <w:pPr>
              <w:widowControl/>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1704" w:type="dxa"/>
            <w:noWrap w:val="0"/>
            <w:vAlign w:val="center"/>
          </w:tcPr>
          <w:p w14:paraId="183126C0">
            <w:pPr>
              <w:widowControl/>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1350" w:type="dxa"/>
            <w:tcBorders>
              <w:right w:val="single" w:color="auto" w:sz="4" w:space="0"/>
            </w:tcBorders>
            <w:noWrap w:val="0"/>
            <w:vAlign w:val="center"/>
          </w:tcPr>
          <w:p w14:paraId="487E1225">
            <w:pPr>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1746" w:type="dxa"/>
            <w:tcBorders>
              <w:left w:val="single" w:color="auto" w:sz="4" w:space="0"/>
            </w:tcBorders>
            <w:noWrap w:val="0"/>
            <w:vAlign w:val="center"/>
          </w:tcPr>
          <w:p w14:paraId="7795C53E">
            <w:pPr>
              <w:widowControl/>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1976" w:type="dxa"/>
            <w:noWrap w:val="0"/>
            <w:vAlign w:val="center"/>
          </w:tcPr>
          <w:p w14:paraId="73E58EDB">
            <w:pPr>
              <w:widowControl/>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2033" w:type="dxa"/>
            <w:noWrap w:val="0"/>
            <w:vAlign w:val="center"/>
          </w:tcPr>
          <w:p w14:paraId="48EF9998">
            <w:pPr>
              <w:widowControl/>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w:t>
            </w:r>
          </w:p>
        </w:tc>
      </w:tr>
      <w:tr w14:paraId="71F405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787" w:type="dxa"/>
            <w:noWrap w:val="0"/>
            <w:vAlign w:val="center"/>
          </w:tcPr>
          <w:p w14:paraId="6CA34823">
            <w:pPr>
              <w:widowControl/>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序号</w:t>
            </w:r>
          </w:p>
        </w:tc>
        <w:tc>
          <w:tcPr>
            <w:tcW w:w="1704" w:type="dxa"/>
            <w:noWrap w:val="0"/>
            <w:vAlign w:val="center"/>
          </w:tcPr>
          <w:p w14:paraId="5DC53066">
            <w:pPr>
              <w:widowControl/>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货物名称</w:t>
            </w:r>
          </w:p>
        </w:tc>
        <w:tc>
          <w:tcPr>
            <w:tcW w:w="1350" w:type="dxa"/>
            <w:tcBorders>
              <w:right w:val="single" w:color="auto" w:sz="4" w:space="0"/>
            </w:tcBorders>
            <w:noWrap w:val="0"/>
            <w:vAlign w:val="center"/>
          </w:tcPr>
          <w:p w14:paraId="61346C5A">
            <w:pPr>
              <w:widowControl/>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规格型号</w:t>
            </w:r>
          </w:p>
        </w:tc>
        <w:tc>
          <w:tcPr>
            <w:tcW w:w="1746" w:type="dxa"/>
            <w:tcBorders>
              <w:left w:val="single" w:color="auto" w:sz="4" w:space="0"/>
            </w:tcBorders>
            <w:noWrap w:val="0"/>
            <w:vAlign w:val="center"/>
          </w:tcPr>
          <w:p w14:paraId="131D1BCD">
            <w:pPr>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价格（元）</w:t>
            </w:r>
          </w:p>
        </w:tc>
        <w:tc>
          <w:tcPr>
            <w:tcW w:w="1976" w:type="dxa"/>
            <w:noWrap w:val="0"/>
            <w:vAlign w:val="center"/>
          </w:tcPr>
          <w:p w14:paraId="406B863B">
            <w:pPr>
              <w:widowControl/>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货物制造商名称</w:t>
            </w:r>
          </w:p>
        </w:tc>
        <w:tc>
          <w:tcPr>
            <w:tcW w:w="2033" w:type="dxa"/>
            <w:noWrap w:val="0"/>
            <w:vAlign w:val="center"/>
          </w:tcPr>
          <w:p w14:paraId="23FCD5D5">
            <w:pPr>
              <w:widowControl/>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政策功能编码</w:t>
            </w:r>
          </w:p>
        </w:tc>
      </w:tr>
      <w:tr w14:paraId="25EB73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9596" w:type="dxa"/>
            <w:gridSpan w:val="6"/>
            <w:noWrap w:val="0"/>
            <w:vAlign w:val="center"/>
          </w:tcPr>
          <w:p w14:paraId="2A69ED8D">
            <w:pPr>
              <w:adjustRightInd w:val="0"/>
              <w:snapToGrid w:val="0"/>
              <w:spacing w:line="360" w:lineRule="auto"/>
              <w:jc w:val="left"/>
              <w:rPr>
                <w:rFonts w:hint="eastAsia" w:ascii="宋体" w:hAnsi="宋体" w:eastAsia="宋体" w:cs="宋体"/>
                <w:b/>
                <w:color w:val="auto"/>
                <w:sz w:val="24"/>
                <w:szCs w:val="24"/>
                <w:highlight w:val="yellow"/>
              </w:rPr>
            </w:pPr>
            <w:r>
              <w:rPr>
                <w:rFonts w:hint="eastAsia" w:ascii="宋体" w:hAnsi="宋体" w:cs="宋体"/>
                <w:b/>
                <w:color w:val="auto"/>
                <w:sz w:val="24"/>
                <w:szCs w:val="24"/>
                <w:highlight w:val="yellow"/>
                <w:lang w:eastAsia="zh-CN"/>
              </w:rPr>
              <w:t>非强制性采购的</w:t>
            </w:r>
            <w:r>
              <w:rPr>
                <w:rFonts w:hint="eastAsia" w:ascii="宋体" w:hAnsi="宋体" w:eastAsia="宋体" w:cs="宋体"/>
                <w:b/>
                <w:color w:val="auto"/>
                <w:sz w:val="24"/>
                <w:szCs w:val="24"/>
                <w:highlight w:val="yellow"/>
              </w:rPr>
              <w:t>节能产品</w:t>
            </w:r>
          </w:p>
        </w:tc>
      </w:tr>
      <w:tr w14:paraId="4833AA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787" w:type="dxa"/>
            <w:noWrap w:val="0"/>
            <w:vAlign w:val="center"/>
          </w:tcPr>
          <w:p w14:paraId="33817B61">
            <w:pPr>
              <w:adjustRightInd w:val="0"/>
              <w:snapToGrid w:val="0"/>
              <w:spacing w:line="360" w:lineRule="auto"/>
              <w:jc w:val="center"/>
              <w:rPr>
                <w:rFonts w:hint="eastAsia" w:ascii="宋体" w:hAnsi="宋体" w:eastAsia="宋体" w:cs="宋体"/>
                <w:b/>
                <w:color w:val="auto"/>
                <w:sz w:val="24"/>
                <w:szCs w:val="24"/>
              </w:rPr>
            </w:pPr>
          </w:p>
        </w:tc>
        <w:tc>
          <w:tcPr>
            <w:tcW w:w="1704" w:type="dxa"/>
            <w:noWrap w:val="0"/>
            <w:vAlign w:val="center"/>
          </w:tcPr>
          <w:p w14:paraId="013A8584">
            <w:pPr>
              <w:adjustRightInd w:val="0"/>
              <w:snapToGrid w:val="0"/>
              <w:spacing w:line="360" w:lineRule="auto"/>
              <w:jc w:val="center"/>
              <w:rPr>
                <w:rFonts w:hint="eastAsia" w:ascii="宋体" w:hAnsi="宋体" w:eastAsia="宋体" w:cs="宋体"/>
                <w:b/>
                <w:color w:val="auto"/>
                <w:sz w:val="24"/>
                <w:szCs w:val="24"/>
              </w:rPr>
            </w:pPr>
          </w:p>
        </w:tc>
        <w:tc>
          <w:tcPr>
            <w:tcW w:w="1350" w:type="dxa"/>
            <w:tcBorders>
              <w:right w:val="single" w:color="auto" w:sz="4" w:space="0"/>
            </w:tcBorders>
            <w:noWrap w:val="0"/>
            <w:vAlign w:val="center"/>
          </w:tcPr>
          <w:p w14:paraId="31806E66">
            <w:pPr>
              <w:adjustRightInd w:val="0"/>
              <w:snapToGrid w:val="0"/>
              <w:spacing w:line="360" w:lineRule="auto"/>
              <w:jc w:val="left"/>
              <w:rPr>
                <w:rFonts w:hint="eastAsia" w:ascii="宋体" w:hAnsi="宋体" w:eastAsia="宋体" w:cs="宋体"/>
                <w:b/>
                <w:color w:val="auto"/>
                <w:sz w:val="24"/>
                <w:szCs w:val="24"/>
              </w:rPr>
            </w:pPr>
          </w:p>
        </w:tc>
        <w:tc>
          <w:tcPr>
            <w:tcW w:w="1746" w:type="dxa"/>
            <w:tcBorders>
              <w:left w:val="single" w:color="auto" w:sz="4" w:space="0"/>
            </w:tcBorders>
            <w:noWrap w:val="0"/>
            <w:vAlign w:val="center"/>
          </w:tcPr>
          <w:p w14:paraId="63C04287">
            <w:pPr>
              <w:adjustRightInd w:val="0"/>
              <w:snapToGrid w:val="0"/>
              <w:spacing w:line="360" w:lineRule="auto"/>
              <w:jc w:val="left"/>
              <w:rPr>
                <w:rFonts w:hint="eastAsia" w:ascii="宋体" w:hAnsi="宋体" w:eastAsia="宋体" w:cs="宋体"/>
                <w:b/>
                <w:color w:val="auto"/>
                <w:sz w:val="24"/>
                <w:szCs w:val="24"/>
              </w:rPr>
            </w:pPr>
          </w:p>
        </w:tc>
        <w:tc>
          <w:tcPr>
            <w:tcW w:w="1976" w:type="dxa"/>
            <w:noWrap w:val="0"/>
            <w:vAlign w:val="center"/>
          </w:tcPr>
          <w:p w14:paraId="2642F6D2">
            <w:pPr>
              <w:adjustRightInd w:val="0"/>
              <w:snapToGrid w:val="0"/>
              <w:spacing w:line="360" w:lineRule="auto"/>
              <w:jc w:val="center"/>
              <w:rPr>
                <w:rFonts w:hint="eastAsia" w:ascii="宋体" w:hAnsi="宋体" w:eastAsia="宋体" w:cs="宋体"/>
                <w:b/>
                <w:color w:val="auto"/>
                <w:sz w:val="24"/>
                <w:szCs w:val="24"/>
              </w:rPr>
            </w:pPr>
          </w:p>
        </w:tc>
        <w:tc>
          <w:tcPr>
            <w:tcW w:w="2033" w:type="dxa"/>
            <w:noWrap w:val="0"/>
            <w:vAlign w:val="top"/>
          </w:tcPr>
          <w:p w14:paraId="7908E317">
            <w:pPr>
              <w:adjustRightInd w:val="0"/>
              <w:snapToGrid w:val="0"/>
              <w:spacing w:line="360" w:lineRule="auto"/>
              <w:jc w:val="center"/>
              <w:rPr>
                <w:rFonts w:hint="eastAsia" w:ascii="宋体" w:hAnsi="宋体" w:eastAsia="宋体" w:cs="宋体"/>
                <w:b/>
                <w:color w:val="auto"/>
                <w:sz w:val="24"/>
                <w:szCs w:val="24"/>
              </w:rPr>
            </w:pPr>
          </w:p>
        </w:tc>
      </w:tr>
      <w:tr w14:paraId="296927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787" w:type="dxa"/>
            <w:noWrap w:val="0"/>
            <w:vAlign w:val="center"/>
          </w:tcPr>
          <w:p w14:paraId="329966A1">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小计</w:t>
            </w:r>
          </w:p>
        </w:tc>
        <w:tc>
          <w:tcPr>
            <w:tcW w:w="1704" w:type="dxa"/>
            <w:noWrap w:val="0"/>
            <w:vAlign w:val="center"/>
          </w:tcPr>
          <w:p w14:paraId="699889B1">
            <w:pPr>
              <w:adjustRightInd w:val="0"/>
              <w:snapToGrid w:val="0"/>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w:t>
            </w:r>
          </w:p>
        </w:tc>
        <w:tc>
          <w:tcPr>
            <w:tcW w:w="1350" w:type="dxa"/>
            <w:tcBorders>
              <w:right w:val="single" w:color="auto" w:sz="4" w:space="0"/>
            </w:tcBorders>
            <w:noWrap w:val="0"/>
            <w:vAlign w:val="center"/>
          </w:tcPr>
          <w:p w14:paraId="3A57EADA">
            <w:pPr>
              <w:adjustRightInd w:val="0"/>
              <w:snapToGrid w:val="0"/>
              <w:spacing w:line="360" w:lineRule="auto"/>
              <w:jc w:val="left"/>
              <w:rPr>
                <w:rFonts w:hint="eastAsia" w:ascii="宋体" w:hAnsi="宋体" w:eastAsia="宋体" w:cs="宋体"/>
                <w:b/>
                <w:color w:val="auto"/>
                <w:sz w:val="24"/>
                <w:szCs w:val="24"/>
              </w:rPr>
            </w:pPr>
          </w:p>
        </w:tc>
        <w:tc>
          <w:tcPr>
            <w:tcW w:w="1746" w:type="dxa"/>
            <w:tcBorders>
              <w:left w:val="single" w:color="auto" w:sz="4" w:space="0"/>
            </w:tcBorders>
            <w:noWrap w:val="0"/>
            <w:vAlign w:val="center"/>
          </w:tcPr>
          <w:p w14:paraId="508032B7">
            <w:pPr>
              <w:adjustRightInd w:val="0"/>
              <w:snapToGrid w:val="0"/>
              <w:spacing w:line="360" w:lineRule="auto"/>
              <w:jc w:val="left"/>
              <w:rPr>
                <w:rFonts w:hint="eastAsia" w:ascii="宋体" w:hAnsi="宋体" w:eastAsia="宋体" w:cs="宋体"/>
                <w:b/>
                <w:color w:val="auto"/>
                <w:sz w:val="24"/>
                <w:szCs w:val="24"/>
              </w:rPr>
            </w:pPr>
          </w:p>
        </w:tc>
        <w:tc>
          <w:tcPr>
            <w:tcW w:w="1976" w:type="dxa"/>
            <w:noWrap w:val="0"/>
            <w:vAlign w:val="center"/>
          </w:tcPr>
          <w:p w14:paraId="547CDC76">
            <w:pPr>
              <w:adjustRightInd w:val="0"/>
              <w:snapToGrid w:val="0"/>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w:t>
            </w:r>
          </w:p>
        </w:tc>
        <w:tc>
          <w:tcPr>
            <w:tcW w:w="2033" w:type="dxa"/>
            <w:noWrap w:val="0"/>
            <w:vAlign w:val="top"/>
          </w:tcPr>
          <w:p w14:paraId="3E9AAD39">
            <w:pPr>
              <w:adjustRightInd w:val="0"/>
              <w:snapToGrid w:val="0"/>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w:t>
            </w:r>
          </w:p>
        </w:tc>
      </w:tr>
      <w:tr w14:paraId="2E7AD7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9596" w:type="dxa"/>
            <w:gridSpan w:val="6"/>
            <w:noWrap w:val="0"/>
            <w:vAlign w:val="center"/>
          </w:tcPr>
          <w:p w14:paraId="34E21449">
            <w:pPr>
              <w:adjustRightInd w:val="0"/>
              <w:snapToGrid w:val="0"/>
              <w:spacing w:line="360" w:lineRule="auto"/>
              <w:jc w:val="left"/>
              <w:rPr>
                <w:rFonts w:hint="eastAsia" w:ascii="宋体" w:hAnsi="宋体" w:eastAsia="宋体" w:cs="宋体"/>
                <w:b/>
                <w:color w:val="auto"/>
                <w:sz w:val="24"/>
                <w:szCs w:val="24"/>
                <w:highlight w:val="yellow"/>
              </w:rPr>
            </w:pPr>
            <w:r>
              <w:rPr>
                <w:rFonts w:hint="eastAsia" w:ascii="宋体" w:hAnsi="宋体" w:eastAsia="宋体" w:cs="宋体"/>
                <w:b/>
                <w:color w:val="auto"/>
                <w:sz w:val="24"/>
                <w:szCs w:val="24"/>
                <w:highlight w:val="yellow"/>
              </w:rPr>
              <w:t>环境标志产品</w:t>
            </w:r>
          </w:p>
        </w:tc>
      </w:tr>
      <w:tr w14:paraId="0274BB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787" w:type="dxa"/>
            <w:noWrap w:val="0"/>
            <w:vAlign w:val="center"/>
          </w:tcPr>
          <w:p w14:paraId="3EFB3D33">
            <w:pPr>
              <w:adjustRightInd w:val="0"/>
              <w:snapToGrid w:val="0"/>
              <w:spacing w:line="360" w:lineRule="auto"/>
              <w:jc w:val="center"/>
              <w:rPr>
                <w:rFonts w:hint="eastAsia" w:ascii="宋体" w:hAnsi="宋体" w:eastAsia="宋体" w:cs="宋体"/>
                <w:b/>
                <w:color w:val="auto"/>
                <w:sz w:val="24"/>
                <w:szCs w:val="24"/>
              </w:rPr>
            </w:pPr>
          </w:p>
        </w:tc>
        <w:tc>
          <w:tcPr>
            <w:tcW w:w="1704" w:type="dxa"/>
            <w:noWrap w:val="0"/>
            <w:vAlign w:val="center"/>
          </w:tcPr>
          <w:p w14:paraId="3A4C79B3">
            <w:pPr>
              <w:adjustRightInd w:val="0"/>
              <w:snapToGrid w:val="0"/>
              <w:spacing w:line="360" w:lineRule="auto"/>
              <w:jc w:val="center"/>
              <w:rPr>
                <w:rFonts w:hint="eastAsia" w:ascii="宋体" w:hAnsi="宋体" w:eastAsia="宋体" w:cs="宋体"/>
                <w:b/>
                <w:color w:val="auto"/>
                <w:sz w:val="24"/>
                <w:szCs w:val="24"/>
              </w:rPr>
            </w:pPr>
          </w:p>
        </w:tc>
        <w:tc>
          <w:tcPr>
            <w:tcW w:w="1350" w:type="dxa"/>
            <w:tcBorders>
              <w:right w:val="single" w:color="auto" w:sz="4" w:space="0"/>
            </w:tcBorders>
            <w:noWrap w:val="0"/>
            <w:vAlign w:val="center"/>
          </w:tcPr>
          <w:p w14:paraId="1565303A">
            <w:pPr>
              <w:adjustRightInd w:val="0"/>
              <w:snapToGrid w:val="0"/>
              <w:spacing w:line="360" w:lineRule="auto"/>
              <w:jc w:val="left"/>
              <w:rPr>
                <w:rFonts w:hint="eastAsia" w:ascii="宋体" w:hAnsi="宋体" w:eastAsia="宋体" w:cs="宋体"/>
                <w:b/>
                <w:color w:val="auto"/>
                <w:sz w:val="24"/>
                <w:szCs w:val="24"/>
              </w:rPr>
            </w:pPr>
          </w:p>
        </w:tc>
        <w:tc>
          <w:tcPr>
            <w:tcW w:w="1746" w:type="dxa"/>
            <w:tcBorders>
              <w:left w:val="single" w:color="auto" w:sz="4" w:space="0"/>
            </w:tcBorders>
            <w:noWrap w:val="0"/>
            <w:vAlign w:val="center"/>
          </w:tcPr>
          <w:p w14:paraId="50821BB3">
            <w:pPr>
              <w:adjustRightInd w:val="0"/>
              <w:snapToGrid w:val="0"/>
              <w:spacing w:line="360" w:lineRule="auto"/>
              <w:jc w:val="left"/>
              <w:rPr>
                <w:rFonts w:hint="eastAsia" w:ascii="宋体" w:hAnsi="宋体" w:eastAsia="宋体" w:cs="宋体"/>
                <w:b/>
                <w:color w:val="auto"/>
                <w:sz w:val="24"/>
                <w:szCs w:val="24"/>
              </w:rPr>
            </w:pPr>
          </w:p>
        </w:tc>
        <w:tc>
          <w:tcPr>
            <w:tcW w:w="1976" w:type="dxa"/>
            <w:noWrap w:val="0"/>
            <w:vAlign w:val="center"/>
          </w:tcPr>
          <w:p w14:paraId="7A2AA19B">
            <w:pPr>
              <w:adjustRightInd w:val="0"/>
              <w:snapToGrid w:val="0"/>
              <w:spacing w:line="360" w:lineRule="auto"/>
              <w:jc w:val="center"/>
              <w:rPr>
                <w:rFonts w:hint="eastAsia" w:ascii="宋体" w:hAnsi="宋体" w:eastAsia="宋体" w:cs="宋体"/>
                <w:b/>
                <w:color w:val="auto"/>
                <w:sz w:val="24"/>
                <w:szCs w:val="24"/>
              </w:rPr>
            </w:pPr>
          </w:p>
        </w:tc>
        <w:tc>
          <w:tcPr>
            <w:tcW w:w="2033" w:type="dxa"/>
            <w:noWrap w:val="0"/>
            <w:vAlign w:val="top"/>
          </w:tcPr>
          <w:p w14:paraId="78F23A84">
            <w:pPr>
              <w:adjustRightInd w:val="0"/>
              <w:snapToGrid w:val="0"/>
              <w:spacing w:line="360" w:lineRule="auto"/>
              <w:jc w:val="center"/>
              <w:rPr>
                <w:rFonts w:hint="eastAsia" w:ascii="宋体" w:hAnsi="宋体" w:eastAsia="宋体" w:cs="宋体"/>
                <w:b/>
                <w:color w:val="auto"/>
                <w:sz w:val="24"/>
                <w:szCs w:val="24"/>
              </w:rPr>
            </w:pPr>
          </w:p>
        </w:tc>
      </w:tr>
      <w:tr w14:paraId="0ED38E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787" w:type="dxa"/>
            <w:noWrap w:val="0"/>
            <w:vAlign w:val="center"/>
          </w:tcPr>
          <w:p w14:paraId="03B7F7C7">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小计</w:t>
            </w:r>
          </w:p>
        </w:tc>
        <w:tc>
          <w:tcPr>
            <w:tcW w:w="1704" w:type="dxa"/>
            <w:noWrap w:val="0"/>
            <w:vAlign w:val="center"/>
          </w:tcPr>
          <w:p w14:paraId="41EF87DB">
            <w:pPr>
              <w:adjustRightInd w:val="0"/>
              <w:snapToGrid w:val="0"/>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w:t>
            </w:r>
          </w:p>
        </w:tc>
        <w:tc>
          <w:tcPr>
            <w:tcW w:w="1350" w:type="dxa"/>
            <w:tcBorders>
              <w:right w:val="single" w:color="auto" w:sz="4" w:space="0"/>
            </w:tcBorders>
            <w:noWrap w:val="0"/>
            <w:vAlign w:val="center"/>
          </w:tcPr>
          <w:p w14:paraId="1FE1B405">
            <w:pPr>
              <w:adjustRightInd w:val="0"/>
              <w:snapToGrid w:val="0"/>
              <w:spacing w:line="360" w:lineRule="auto"/>
              <w:jc w:val="left"/>
              <w:rPr>
                <w:rFonts w:hint="eastAsia" w:ascii="宋体" w:hAnsi="宋体" w:eastAsia="宋体" w:cs="宋体"/>
                <w:b/>
                <w:color w:val="auto"/>
                <w:sz w:val="24"/>
                <w:szCs w:val="24"/>
              </w:rPr>
            </w:pPr>
          </w:p>
        </w:tc>
        <w:tc>
          <w:tcPr>
            <w:tcW w:w="1746" w:type="dxa"/>
            <w:tcBorders>
              <w:left w:val="single" w:color="auto" w:sz="4" w:space="0"/>
            </w:tcBorders>
            <w:noWrap w:val="0"/>
            <w:vAlign w:val="center"/>
          </w:tcPr>
          <w:p w14:paraId="1B098225">
            <w:pPr>
              <w:adjustRightInd w:val="0"/>
              <w:snapToGrid w:val="0"/>
              <w:spacing w:line="360" w:lineRule="auto"/>
              <w:jc w:val="left"/>
              <w:rPr>
                <w:rFonts w:hint="eastAsia" w:ascii="宋体" w:hAnsi="宋体" w:eastAsia="宋体" w:cs="宋体"/>
                <w:b/>
                <w:color w:val="auto"/>
                <w:sz w:val="24"/>
                <w:szCs w:val="24"/>
              </w:rPr>
            </w:pPr>
          </w:p>
        </w:tc>
        <w:tc>
          <w:tcPr>
            <w:tcW w:w="1976" w:type="dxa"/>
            <w:noWrap w:val="0"/>
            <w:vAlign w:val="center"/>
          </w:tcPr>
          <w:p w14:paraId="25C0B224">
            <w:pPr>
              <w:adjustRightInd w:val="0"/>
              <w:snapToGrid w:val="0"/>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w:t>
            </w:r>
          </w:p>
        </w:tc>
        <w:tc>
          <w:tcPr>
            <w:tcW w:w="2033" w:type="dxa"/>
            <w:noWrap w:val="0"/>
            <w:vAlign w:val="top"/>
          </w:tcPr>
          <w:p w14:paraId="3DD4E0C2">
            <w:pPr>
              <w:adjustRightInd w:val="0"/>
              <w:snapToGrid w:val="0"/>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w:t>
            </w:r>
          </w:p>
        </w:tc>
      </w:tr>
    </w:tbl>
    <w:p w14:paraId="5B1F2C8A">
      <w:pPr>
        <w:adjustRightInd w:val="0"/>
        <w:snapToGrid w:val="0"/>
        <w:spacing w:line="360" w:lineRule="auto"/>
        <w:rPr>
          <w:rFonts w:hint="eastAsia" w:ascii="宋体" w:hAnsi="宋体" w:eastAsia="宋体" w:cs="宋体"/>
          <w:b w:val="0"/>
          <w:bCs w:val="0"/>
          <w:color w:val="auto"/>
          <w:sz w:val="24"/>
          <w:lang w:eastAsia="zh-CN"/>
        </w:rPr>
      </w:pPr>
    </w:p>
    <w:p w14:paraId="423C0AA5">
      <w:pPr>
        <w:adjustRightInd w:val="0"/>
        <w:snapToGrid w:val="0"/>
        <w:spacing w:line="480" w:lineRule="auto"/>
        <w:rPr>
          <w:rFonts w:hint="eastAsia" w:ascii="宋体" w:hAnsi="宋体" w:eastAsia="宋体" w:cs="宋体"/>
          <w:b/>
          <w:bCs/>
          <w:color w:val="auto"/>
          <w:sz w:val="24"/>
          <w:u w:val="single"/>
          <w:lang w:val="en-US" w:eastAsia="zh-CN"/>
        </w:rPr>
      </w:pPr>
      <w:r>
        <w:rPr>
          <w:rFonts w:hint="eastAsia" w:ascii="宋体" w:hAnsi="宋体" w:eastAsia="宋体" w:cs="宋体"/>
          <w:b/>
          <w:bCs/>
          <w:color w:val="auto"/>
          <w:sz w:val="24"/>
        </w:rPr>
        <w:t>投标人名称（</w:t>
      </w:r>
      <w:r>
        <w:rPr>
          <w:rFonts w:hint="eastAsia" w:ascii="宋体" w:hAnsi="宋体" w:eastAsia="宋体" w:cs="宋体"/>
          <w:b/>
          <w:bCs/>
          <w:color w:val="auto"/>
          <w:sz w:val="24"/>
          <w:lang w:eastAsia="zh-CN"/>
        </w:rPr>
        <w:t>盖单位</w:t>
      </w:r>
      <w:r>
        <w:rPr>
          <w:rFonts w:hint="eastAsia" w:ascii="宋体" w:hAnsi="宋体" w:cs="宋体"/>
          <w:b/>
          <w:bCs/>
          <w:color w:val="auto"/>
          <w:sz w:val="24"/>
          <w:lang w:eastAsia="zh-CN"/>
        </w:rPr>
        <w:t>公</w:t>
      </w:r>
      <w:r>
        <w:rPr>
          <w:rFonts w:hint="eastAsia" w:ascii="宋体" w:hAnsi="宋体" w:eastAsia="宋体" w:cs="宋体"/>
          <w:b/>
          <w:bCs/>
          <w:color w:val="auto"/>
          <w:sz w:val="24"/>
          <w:lang w:eastAsia="zh-CN"/>
        </w:rPr>
        <w:t>章</w:t>
      </w:r>
      <w:r>
        <w:rPr>
          <w:rFonts w:hint="eastAsia" w:ascii="宋体" w:hAnsi="宋体" w:eastAsia="宋体" w:cs="宋体"/>
          <w:b/>
          <w:bCs/>
          <w:color w:val="auto"/>
          <w:sz w:val="24"/>
        </w:rPr>
        <w:t>）：</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p>
    <w:p w14:paraId="1E21206B">
      <w:pPr>
        <w:widowControl/>
        <w:adjustRightInd w:val="0"/>
        <w:snapToGrid w:val="0"/>
        <w:spacing w:line="480" w:lineRule="auto"/>
        <w:rPr>
          <w:rFonts w:hint="eastAsia" w:ascii="宋体" w:hAnsi="宋体" w:eastAsia="宋体" w:cs="宋体"/>
          <w:b/>
          <w:bCs/>
          <w:color w:val="auto"/>
          <w:szCs w:val="21"/>
          <w:u w:val="single"/>
          <w:lang w:val="en-US" w:eastAsia="zh-CN"/>
        </w:rPr>
      </w:pPr>
      <w:r>
        <w:rPr>
          <w:rFonts w:hint="eastAsia" w:ascii="宋体" w:hAnsi="宋体" w:eastAsia="宋体" w:cs="宋体"/>
          <w:b/>
          <w:bCs/>
          <w:color w:val="auto"/>
          <w:sz w:val="24"/>
        </w:rPr>
        <w:t>法定代表人（单位负责人）或其委托代理人（签字或印章）：</w:t>
      </w:r>
      <w:r>
        <w:rPr>
          <w:rFonts w:hint="eastAsia" w:ascii="宋体" w:hAnsi="宋体" w:eastAsia="宋体" w:cs="宋体"/>
          <w:b/>
          <w:bCs/>
          <w:color w:val="auto"/>
          <w:sz w:val="24"/>
          <w:u w:val="single"/>
          <w:lang w:val="en-US" w:eastAsia="zh-CN"/>
        </w:rPr>
        <w:t xml:space="preserve">           </w:t>
      </w:r>
    </w:p>
    <w:p w14:paraId="0B147269">
      <w:pPr>
        <w:widowControl/>
        <w:adjustRightInd w:val="0"/>
        <w:snapToGrid w:val="0"/>
        <w:spacing w:line="480" w:lineRule="auto"/>
        <w:rPr>
          <w:rFonts w:hint="eastAsia" w:ascii="宋体" w:hAnsi="宋体" w:eastAsia="宋体" w:cs="宋体"/>
          <w:b/>
          <w:bCs/>
          <w:color w:val="auto"/>
          <w:szCs w:val="21"/>
        </w:rPr>
      </w:pPr>
      <w:r>
        <w:rPr>
          <w:rFonts w:hint="eastAsia" w:ascii="宋体" w:hAnsi="宋体" w:eastAsia="宋体" w:cs="宋体"/>
          <w:b/>
          <w:bCs/>
          <w:color w:val="auto"/>
          <w:kern w:val="2"/>
          <w:sz w:val="24"/>
          <w:szCs w:val="24"/>
          <w:lang w:val="en-US" w:eastAsia="zh-CN" w:bidi="ar-SA"/>
        </w:rPr>
        <w:t>日</w:t>
      </w:r>
      <w:r>
        <w:rPr>
          <w:rFonts w:hint="eastAsia" w:ascii="宋体" w:hAnsi="宋体" w:cs="宋体"/>
          <w:b/>
          <w:bCs/>
          <w:color w:val="auto"/>
          <w:kern w:val="2"/>
          <w:sz w:val="24"/>
          <w:szCs w:val="24"/>
          <w:lang w:val="en-US" w:eastAsia="zh-CN" w:bidi="ar-SA"/>
        </w:rPr>
        <w:t xml:space="preserve">  </w:t>
      </w:r>
      <w:r>
        <w:rPr>
          <w:rFonts w:hint="eastAsia" w:ascii="宋体" w:hAnsi="宋体" w:eastAsia="宋体" w:cs="宋体"/>
          <w:b/>
          <w:bCs/>
          <w:color w:val="auto"/>
          <w:kern w:val="2"/>
          <w:sz w:val="24"/>
          <w:szCs w:val="24"/>
          <w:lang w:val="en-US" w:eastAsia="zh-CN" w:bidi="ar-SA"/>
        </w:rPr>
        <w:t>期：</w:t>
      </w:r>
      <w:r>
        <w:rPr>
          <w:rFonts w:hint="eastAsia" w:ascii="宋体" w:hAnsi="宋体" w:eastAsia="宋体" w:cs="宋体"/>
          <w:b/>
          <w:bCs/>
          <w:color w:val="auto"/>
          <w:kern w:val="2"/>
          <w:sz w:val="24"/>
          <w:szCs w:val="24"/>
          <w:u w:val="single"/>
          <w:lang w:val="en-US" w:eastAsia="zh-CN" w:bidi="ar-SA"/>
        </w:rPr>
        <w:t xml:space="preserve">      </w:t>
      </w:r>
      <w:r>
        <w:rPr>
          <w:rFonts w:hint="eastAsia" w:ascii="宋体" w:hAnsi="宋体" w:eastAsia="宋体" w:cs="宋体"/>
          <w:b/>
          <w:bCs/>
          <w:color w:val="auto"/>
          <w:kern w:val="2"/>
          <w:sz w:val="24"/>
          <w:szCs w:val="24"/>
          <w:u w:val="none"/>
          <w:lang w:val="en-US" w:eastAsia="zh-CN" w:bidi="ar-SA"/>
        </w:rPr>
        <w:t>年</w:t>
      </w:r>
      <w:r>
        <w:rPr>
          <w:rFonts w:hint="eastAsia" w:ascii="宋体" w:hAnsi="宋体" w:eastAsia="宋体" w:cs="宋体"/>
          <w:b/>
          <w:bCs/>
          <w:color w:val="auto"/>
          <w:kern w:val="2"/>
          <w:sz w:val="24"/>
          <w:szCs w:val="24"/>
          <w:u w:val="single"/>
          <w:lang w:val="en-US" w:eastAsia="zh-CN" w:bidi="ar-SA"/>
        </w:rPr>
        <w:t xml:space="preserve">     </w:t>
      </w:r>
      <w:r>
        <w:rPr>
          <w:rFonts w:hint="eastAsia" w:ascii="宋体" w:hAnsi="宋体" w:eastAsia="宋体" w:cs="宋体"/>
          <w:b/>
          <w:bCs/>
          <w:color w:val="auto"/>
          <w:kern w:val="2"/>
          <w:sz w:val="24"/>
          <w:szCs w:val="24"/>
          <w:u w:val="none"/>
          <w:lang w:val="en-US" w:eastAsia="zh-CN" w:bidi="ar-SA"/>
        </w:rPr>
        <w:t>月</w:t>
      </w:r>
      <w:r>
        <w:rPr>
          <w:rFonts w:hint="eastAsia" w:ascii="宋体" w:hAnsi="宋体" w:eastAsia="宋体" w:cs="宋体"/>
          <w:b/>
          <w:bCs/>
          <w:color w:val="auto"/>
          <w:kern w:val="2"/>
          <w:sz w:val="24"/>
          <w:szCs w:val="24"/>
          <w:u w:val="single"/>
          <w:lang w:val="en-US" w:eastAsia="zh-CN" w:bidi="ar-SA"/>
        </w:rPr>
        <w:t xml:space="preserve">     </w:t>
      </w:r>
      <w:r>
        <w:rPr>
          <w:rFonts w:hint="eastAsia" w:ascii="宋体" w:hAnsi="宋体" w:eastAsia="宋体" w:cs="宋体"/>
          <w:b/>
          <w:bCs/>
          <w:color w:val="auto"/>
          <w:kern w:val="2"/>
          <w:sz w:val="24"/>
          <w:szCs w:val="24"/>
          <w:u w:val="none"/>
          <w:lang w:val="en-US" w:eastAsia="zh-CN" w:bidi="ar-SA"/>
        </w:rPr>
        <w:t>日</w:t>
      </w:r>
    </w:p>
    <w:p w14:paraId="16D601FA">
      <w:pPr>
        <w:adjustRightInd w:val="0"/>
        <w:snapToGrid w:val="0"/>
        <w:spacing w:line="360" w:lineRule="auto"/>
        <w:jc w:val="left"/>
        <w:rPr>
          <w:rFonts w:hint="eastAsia" w:ascii="宋体" w:hAnsi="宋体" w:eastAsia="宋体" w:cs="宋体"/>
          <w:color w:val="auto"/>
          <w:sz w:val="24"/>
          <w:szCs w:val="24"/>
        </w:rPr>
      </w:pPr>
    </w:p>
    <w:p w14:paraId="3D441C3F">
      <w:pPr>
        <w:adjustRightInd w:val="0"/>
        <w:snapToGrid w:val="0"/>
        <w:spacing w:line="360" w:lineRule="auto"/>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说明：</w:t>
      </w:r>
      <w:r>
        <w:rPr>
          <w:rFonts w:hint="eastAsia" w:ascii="宋体" w:hAnsi="宋体" w:eastAsia="宋体" w:cs="宋体"/>
          <w:bCs/>
          <w:color w:val="auto"/>
          <w:sz w:val="24"/>
          <w:szCs w:val="24"/>
        </w:rPr>
        <w:t>1</w:t>
      </w:r>
      <w:r>
        <w:rPr>
          <w:rFonts w:hint="eastAsia" w:ascii="宋体" w:hAnsi="宋体" w:eastAsia="宋体" w:cs="宋体"/>
          <w:bCs/>
          <w:color w:val="auto"/>
          <w:sz w:val="24"/>
          <w:szCs w:val="24"/>
          <w:lang w:val="en-US" w:eastAsia="zh-CN"/>
        </w:rPr>
        <w:t>.</w:t>
      </w:r>
      <w:r>
        <w:rPr>
          <w:rFonts w:hint="eastAsia" w:ascii="宋体" w:hAnsi="宋体" w:eastAsia="宋体" w:cs="宋体"/>
          <w:color w:val="auto"/>
          <w:sz w:val="24"/>
          <w:szCs w:val="24"/>
        </w:rPr>
        <w:t>本表用于计算政府采购优先采购产品（节能产品或环境标志产品）的政府采购政策加分或者价格扣除。</w:t>
      </w:r>
    </w:p>
    <w:p w14:paraId="4D4AEBA8">
      <w:pPr>
        <w:adjustRightInd w:val="0"/>
        <w:snapToGrid w:val="0"/>
        <w:spacing w:line="360" w:lineRule="auto"/>
        <w:ind w:firstLine="720" w:firstLineChars="300"/>
        <w:jc w:val="left"/>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栏目4“价格”为综合单价，包含货物所有隐含的内容，如运输费、保险费、管理费和利润等。</w:t>
      </w:r>
    </w:p>
    <w:p w14:paraId="35AD2AF9">
      <w:pPr>
        <w:adjustRightInd w:val="0"/>
        <w:snapToGrid w:val="0"/>
        <w:spacing w:line="360" w:lineRule="auto"/>
        <w:ind w:firstLine="720" w:firstLineChars="300"/>
        <w:jc w:val="left"/>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栏目6“政策功能编码”是指货物的中国环境标志认证证书编号、中国节能标志认证证书号（货物同时属于节能产品、环境标志产品的，只须填写一种）。</w:t>
      </w:r>
    </w:p>
    <w:p w14:paraId="2D437A2F">
      <w:pPr>
        <w:adjustRightInd w:val="0"/>
        <w:snapToGrid w:val="0"/>
        <w:spacing w:line="360" w:lineRule="auto"/>
        <w:ind w:firstLine="720" w:firstLineChars="300"/>
        <w:rPr>
          <w:rFonts w:hint="eastAsia" w:ascii="宋体" w:hAnsi="宋体" w:eastAsia="宋体" w:cs="宋体"/>
          <w:bCs/>
          <w:color w:val="auto"/>
          <w:sz w:val="24"/>
          <w:szCs w:val="24"/>
        </w:rPr>
      </w:pPr>
      <w:r>
        <w:rPr>
          <w:rFonts w:hint="eastAsia" w:ascii="宋体" w:hAnsi="宋体" w:eastAsia="宋体" w:cs="宋体"/>
          <w:bCs/>
          <w:color w:val="auto"/>
          <w:sz w:val="24"/>
          <w:szCs w:val="24"/>
        </w:rPr>
        <w:t>4</w:t>
      </w:r>
      <w:r>
        <w:rPr>
          <w:rFonts w:hint="eastAsia" w:ascii="宋体" w:hAnsi="宋体" w:eastAsia="宋体" w:cs="宋体"/>
          <w:bCs/>
          <w:color w:val="auto"/>
          <w:sz w:val="24"/>
          <w:szCs w:val="24"/>
          <w:lang w:val="en-US" w:eastAsia="zh-CN"/>
        </w:rPr>
        <w:t>.</w:t>
      </w:r>
      <w:r>
        <w:rPr>
          <w:rFonts w:hint="eastAsia" w:ascii="宋体" w:hAnsi="宋体" w:eastAsia="宋体" w:cs="宋体"/>
          <w:bCs/>
          <w:color w:val="auto"/>
          <w:sz w:val="24"/>
          <w:szCs w:val="24"/>
        </w:rPr>
        <w:t>投标人在投标截止时间前修改“开标一览表”中的投标报价的，应按第二</w:t>
      </w:r>
      <w:r>
        <w:rPr>
          <w:rFonts w:hint="eastAsia" w:ascii="宋体" w:hAnsi="宋体" w:eastAsia="宋体" w:cs="宋体"/>
          <w:bCs/>
          <w:color w:val="auto"/>
          <w:sz w:val="24"/>
          <w:szCs w:val="24"/>
          <w:highlight w:val="none"/>
        </w:rPr>
        <w:t>章第13.7款</w:t>
      </w:r>
      <w:r>
        <w:rPr>
          <w:rFonts w:hint="eastAsia" w:ascii="宋体" w:hAnsi="宋体" w:eastAsia="宋体" w:cs="宋体"/>
          <w:bCs/>
          <w:color w:val="auto"/>
          <w:sz w:val="24"/>
          <w:szCs w:val="24"/>
        </w:rPr>
        <w:t>规定修改本表相应内容。否则，评审时涉及本表所有优惠不予以考虑。</w:t>
      </w:r>
    </w:p>
    <w:p w14:paraId="1E1EB02C">
      <w:pPr>
        <w:rPr>
          <w:rFonts w:hint="default"/>
          <w:lang w:val="en-US" w:eastAsia="zh-CN"/>
        </w:rPr>
      </w:pPr>
      <w:bookmarkStart w:id="529" w:name="_Toc18491"/>
      <w:bookmarkStart w:id="530" w:name="_Toc23016"/>
      <w:bookmarkStart w:id="531" w:name="_Toc2675"/>
      <w:bookmarkStart w:id="532" w:name="_Toc7208"/>
      <w:bookmarkStart w:id="533" w:name="_Toc25757"/>
      <w:bookmarkStart w:id="534" w:name="_Toc14569"/>
      <w:r>
        <w:rPr>
          <w:rFonts w:hint="eastAsia" w:ascii="宋体" w:hAnsi="宋体" w:cs="宋体"/>
          <w:sz w:val="28"/>
          <w:szCs w:val="28"/>
          <w:lang w:val="en-US" w:eastAsia="zh-CN"/>
        </w:rPr>
        <w:br w:type="page"/>
      </w:r>
    </w:p>
    <w:p w14:paraId="317B4182">
      <w:pPr>
        <w:pStyle w:val="4"/>
        <w:bidi w:val="0"/>
        <w:rPr>
          <w:rFonts w:hint="eastAsia" w:ascii="宋体" w:hAnsi="宋体" w:eastAsia="宋体" w:cs="宋体"/>
          <w:sz w:val="28"/>
          <w:szCs w:val="28"/>
        </w:rPr>
      </w:pPr>
      <w:bookmarkStart w:id="535" w:name="_Toc23855"/>
      <w:r>
        <w:rPr>
          <w:rFonts w:hint="eastAsia" w:ascii="宋体" w:hAnsi="宋体" w:cs="宋体"/>
          <w:sz w:val="28"/>
          <w:szCs w:val="28"/>
          <w:lang w:val="en-US" w:eastAsia="zh-CN"/>
        </w:rPr>
        <w:t>十</w:t>
      </w:r>
      <w:r>
        <w:rPr>
          <w:rFonts w:hint="eastAsia" w:ascii="宋体" w:hAnsi="宋体" w:eastAsia="宋体" w:cs="宋体"/>
          <w:sz w:val="28"/>
          <w:szCs w:val="28"/>
        </w:rPr>
        <w:t>、投标</w:t>
      </w:r>
      <w:r>
        <w:rPr>
          <w:rFonts w:hint="eastAsia" w:ascii="宋体" w:hAnsi="宋体" w:cs="宋体"/>
          <w:sz w:val="28"/>
          <w:szCs w:val="28"/>
          <w:lang w:val="en-US" w:eastAsia="zh-CN"/>
        </w:rPr>
        <w:t>货物</w:t>
      </w:r>
      <w:r>
        <w:rPr>
          <w:rFonts w:hint="eastAsia" w:ascii="宋体" w:hAnsi="宋体" w:eastAsia="宋体" w:cs="宋体"/>
          <w:sz w:val="28"/>
          <w:szCs w:val="28"/>
        </w:rPr>
        <w:t>符合招标文件规定的证明文件</w:t>
      </w:r>
      <w:bookmarkEnd w:id="529"/>
      <w:bookmarkEnd w:id="530"/>
      <w:bookmarkEnd w:id="531"/>
      <w:bookmarkEnd w:id="532"/>
      <w:bookmarkEnd w:id="533"/>
      <w:bookmarkEnd w:id="534"/>
      <w:bookmarkEnd w:id="535"/>
    </w:p>
    <w:p w14:paraId="7165626A">
      <w:pPr>
        <w:adjustRightInd w:val="0"/>
        <w:snapToGrid w:val="0"/>
        <w:spacing w:beforeLines="50" w:line="360" w:lineRule="auto"/>
        <w:ind w:firstLine="480" w:firstLineChars="200"/>
        <w:jc w:val="left"/>
        <w:rPr>
          <w:rFonts w:hint="eastAsia" w:ascii="宋体" w:hAnsi="宋体" w:eastAsia="宋体" w:cs="宋体"/>
          <w:color w:val="auto"/>
          <w:sz w:val="24"/>
          <w:lang w:eastAsia="zh-CN"/>
        </w:rPr>
      </w:pPr>
      <w:r>
        <w:rPr>
          <w:rFonts w:hint="eastAsia" w:ascii="宋体" w:hAnsi="宋体" w:eastAsia="宋体" w:cs="宋体"/>
          <w:color w:val="auto"/>
          <w:sz w:val="24"/>
        </w:rPr>
        <w:t>备注：</w:t>
      </w:r>
      <w:r>
        <w:rPr>
          <w:rFonts w:hint="eastAsia" w:ascii="宋体" w:hAnsi="宋体" w:eastAsia="宋体" w:cs="宋体"/>
          <w:color w:val="auto"/>
          <w:sz w:val="24"/>
          <w:lang w:val="en-US" w:eastAsia="zh-CN"/>
        </w:rPr>
        <w:t>1、</w:t>
      </w:r>
      <w:r>
        <w:rPr>
          <w:rFonts w:hint="eastAsia" w:ascii="宋体" w:hAnsi="宋体" w:eastAsia="宋体" w:cs="宋体"/>
          <w:color w:val="auto"/>
          <w:sz w:val="24"/>
          <w:highlight w:val="none"/>
        </w:rPr>
        <w:t>请投标</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根据自己的实际情况提供评</w:t>
      </w:r>
      <w:r>
        <w:rPr>
          <w:rFonts w:hint="eastAsia" w:ascii="宋体" w:hAnsi="宋体" w:cs="宋体"/>
          <w:color w:val="auto"/>
          <w:sz w:val="24"/>
          <w:highlight w:val="none"/>
          <w:lang w:val="en-US" w:eastAsia="zh-CN"/>
        </w:rPr>
        <w:t>标方法及</w:t>
      </w:r>
      <w:r>
        <w:rPr>
          <w:rFonts w:hint="eastAsia" w:ascii="宋体" w:hAnsi="宋体" w:eastAsia="宋体" w:cs="宋体"/>
          <w:color w:val="auto"/>
          <w:sz w:val="24"/>
          <w:highlight w:val="none"/>
        </w:rPr>
        <w:t>标准</w:t>
      </w:r>
      <w:r>
        <w:rPr>
          <w:rFonts w:hint="eastAsia" w:ascii="宋体" w:hAnsi="宋体" w:cs="宋体"/>
          <w:color w:val="auto"/>
          <w:sz w:val="24"/>
          <w:highlight w:val="none"/>
          <w:lang w:val="en-US" w:eastAsia="zh-CN"/>
        </w:rPr>
        <w:t>表</w:t>
      </w:r>
      <w:r>
        <w:rPr>
          <w:rFonts w:hint="eastAsia" w:ascii="宋体" w:hAnsi="宋体" w:eastAsia="宋体" w:cs="宋体"/>
          <w:color w:val="auto"/>
          <w:sz w:val="24"/>
          <w:highlight w:val="none"/>
        </w:rPr>
        <w:t>中要求的证明</w:t>
      </w:r>
      <w:r>
        <w:rPr>
          <w:rFonts w:hint="eastAsia" w:ascii="宋体" w:hAnsi="宋体" w:cs="宋体"/>
          <w:color w:val="auto"/>
          <w:sz w:val="24"/>
          <w:highlight w:val="none"/>
          <w:lang w:val="en-US" w:eastAsia="zh-CN"/>
        </w:rPr>
        <w:t>资料</w:t>
      </w:r>
      <w:r>
        <w:rPr>
          <w:rFonts w:hint="eastAsia" w:ascii="宋体" w:hAnsi="宋体" w:eastAsia="宋体" w:cs="宋体"/>
          <w:color w:val="auto"/>
          <w:sz w:val="24"/>
          <w:highlight w:val="none"/>
          <w:lang w:eastAsia="zh-CN"/>
        </w:rPr>
        <w:t>。</w:t>
      </w:r>
    </w:p>
    <w:p w14:paraId="65F58EEF">
      <w:pPr>
        <w:adjustRightInd w:val="0"/>
        <w:snapToGrid w:val="0"/>
        <w:spacing w:line="360" w:lineRule="auto"/>
        <w:ind w:firstLine="1200" w:firstLineChars="500"/>
        <w:rPr>
          <w:rFonts w:hint="eastAsia" w:ascii="宋体" w:hAnsi="宋体" w:eastAsia="宋体" w:cs="宋体"/>
          <w:color w:val="auto"/>
          <w:sz w:val="24"/>
        </w:rPr>
      </w:pPr>
      <w:r>
        <w:rPr>
          <w:rFonts w:hint="eastAsia" w:ascii="宋体" w:hAnsi="宋体" w:eastAsia="宋体" w:cs="宋体"/>
          <w:color w:val="auto"/>
          <w:sz w:val="24"/>
          <w:lang w:val="en-US" w:eastAsia="zh-CN"/>
        </w:rPr>
        <w:t>2、</w:t>
      </w:r>
      <w:r>
        <w:rPr>
          <w:rFonts w:hint="eastAsia" w:ascii="宋体" w:hAnsi="宋体" w:eastAsia="宋体" w:cs="宋体"/>
          <w:color w:val="auto"/>
          <w:sz w:val="24"/>
        </w:rPr>
        <w:t>提供第五章规定的</w:t>
      </w:r>
      <w:r>
        <w:rPr>
          <w:rFonts w:hint="eastAsia" w:ascii="宋体" w:hAnsi="宋体" w:eastAsia="宋体" w:cs="宋体"/>
          <w:color w:val="auto"/>
          <w:sz w:val="24"/>
          <w:lang w:val="en-US" w:eastAsia="zh-CN"/>
        </w:rPr>
        <w:t>其他</w:t>
      </w:r>
      <w:r>
        <w:rPr>
          <w:rFonts w:hint="eastAsia" w:ascii="宋体" w:hAnsi="宋体" w:eastAsia="宋体" w:cs="宋体"/>
          <w:color w:val="auto"/>
          <w:sz w:val="24"/>
        </w:rPr>
        <w:t>证明材料复印件</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如有</w:t>
      </w:r>
      <w:r>
        <w:rPr>
          <w:rFonts w:hint="eastAsia" w:ascii="宋体" w:hAnsi="宋体" w:eastAsia="宋体" w:cs="宋体"/>
          <w:color w:val="auto"/>
          <w:sz w:val="24"/>
          <w:lang w:eastAsia="zh-CN"/>
        </w:rPr>
        <w:t>）</w:t>
      </w:r>
      <w:r>
        <w:rPr>
          <w:rFonts w:hint="eastAsia" w:ascii="宋体" w:hAnsi="宋体" w:eastAsia="宋体" w:cs="宋体"/>
          <w:color w:val="auto"/>
          <w:sz w:val="24"/>
        </w:rPr>
        <w:t>。</w:t>
      </w:r>
    </w:p>
    <w:p w14:paraId="74796C8A">
      <w:pPr>
        <w:rPr>
          <w:rFonts w:hint="eastAsia" w:ascii="宋体" w:hAnsi="宋体" w:eastAsia="宋体" w:cs="宋体"/>
          <w:b/>
          <w:bCs/>
          <w:color w:val="auto"/>
          <w:sz w:val="24"/>
        </w:rPr>
      </w:pPr>
    </w:p>
    <w:p w14:paraId="2E717F24">
      <w:pPr>
        <w:pStyle w:val="3"/>
        <w:rPr>
          <w:rFonts w:hint="eastAsia" w:ascii="宋体" w:hAnsi="宋体" w:eastAsia="宋体" w:cs="宋体"/>
          <w:b/>
          <w:bCs/>
          <w:color w:val="auto"/>
          <w:sz w:val="24"/>
        </w:rPr>
      </w:pPr>
    </w:p>
    <w:p w14:paraId="1B1C300C">
      <w:pPr>
        <w:pStyle w:val="12"/>
        <w:rPr>
          <w:rFonts w:hint="eastAsia" w:ascii="宋体" w:hAnsi="宋体" w:eastAsia="宋体" w:cs="宋体"/>
          <w:b/>
          <w:bCs/>
          <w:color w:val="auto"/>
          <w:sz w:val="24"/>
        </w:rPr>
      </w:pPr>
    </w:p>
    <w:p w14:paraId="7EB3A84A">
      <w:pPr>
        <w:pStyle w:val="12"/>
        <w:rPr>
          <w:rFonts w:hint="eastAsia" w:ascii="宋体" w:hAnsi="宋体" w:eastAsia="宋体" w:cs="宋体"/>
          <w:b/>
          <w:bCs/>
          <w:color w:val="auto"/>
          <w:sz w:val="24"/>
        </w:rPr>
      </w:pPr>
    </w:p>
    <w:p w14:paraId="1D0C3A95">
      <w:pPr>
        <w:pStyle w:val="12"/>
        <w:rPr>
          <w:rFonts w:hint="eastAsia" w:ascii="宋体" w:hAnsi="宋体" w:eastAsia="宋体" w:cs="宋体"/>
          <w:b/>
          <w:bCs/>
          <w:color w:val="auto"/>
          <w:sz w:val="24"/>
        </w:rPr>
      </w:pPr>
    </w:p>
    <w:p w14:paraId="7A39323C">
      <w:pPr>
        <w:pStyle w:val="12"/>
        <w:rPr>
          <w:rFonts w:hint="eastAsia" w:ascii="宋体" w:hAnsi="宋体" w:eastAsia="宋体" w:cs="宋体"/>
          <w:b/>
          <w:bCs/>
          <w:color w:val="auto"/>
          <w:sz w:val="24"/>
        </w:rPr>
      </w:pPr>
    </w:p>
    <w:p w14:paraId="5618B611">
      <w:pPr>
        <w:pStyle w:val="12"/>
        <w:rPr>
          <w:rFonts w:hint="eastAsia" w:ascii="宋体" w:hAnsi="宋体" w:eastAsia="宋体" w:cs="宋体"/>
          <w:b/>
          <w:bCs/>
          <w:color w:val="auto"/>
          <w:sz w:val="24"/>
        </w:rPr>
      </w:pPr>
    </w:p>
    <w:p w14:paraId="56C71E06">
      <w:pPr>
        <w:pStyle w:val="12"/>
        <w:rPr>
          <w:rFonts w:hint="eastAsia" w:ascii="宋体" w:hAnsi="宋体" w:eastAsia="宋体" w:cs="宋体"/>
          <w:b/>
          <w:bCs/>
          <w:color w:val="auto"/>
          <w:sz w:val="24"/>
        </w:rPr>
      </w:pPr>
    </w:p>
    <w:p w14:paraId="62D7BB45">
      <w:pPr>
        <w:pStyle w:val="12"/>
        <w:rPr>
          <w:rFonts w:hint="eastAsia" w:ascii="宋体" w:hAnsi="宋体" w:eastAsia="宋体" w:cs="宋体"/>
          <w:b/>
          <w:bCs/>
          <w:color w:val="auto"/>
          <w:sz w:val="24"/>
        </w:rPr>
      </w:pPr>
    </w:p>
    <w:p w14:paraId="5C0F12B0">
      <w:pPr>
        <w:pStyle w:val="12"/>
        <w:rPr>
          <w:rFonts w:hint="eastAsia" w:ascii="宋体" w:hAnsi="宋体" w:eastAsia="宋体" w:cs="宋体"/>
          <w:b/>
          <w:bCs/>
          <w:color w:val="auto"/>
          <w:sz w:val="24"/>
        </w:rPr>
      </w:pPr>
    </w:p>
    <w:p w14:paraId="0E51B87A">
      <w:pPr>
        <w:pStyle w:val="12"/>
        <w:rPr>
          <w:rFonts w:hint="eastAsia" w:ascii="宋体" w:hAnsi="宋体" w:eastAsia="宋体" w:cs="宋体"/>
          <w:b/>
          <w:bCs/>
          <w:color w:val="auto"/>
          <w:sz w:val="24"/>
        </w:rPr>
      </w:pPr>
    </w:p>
    <w:p w14:paraId="32A6E9BF">
      <w:pPr>
        <w:pStyle w:val="12"/>
        <w:rPr>
          <w:rFonts w:hint="eastAsia" w:ascii="宋体" w:hAnsi="宋体" w:eastAsia="宋体" w:cs="宋体"/>
          <w:b/>
          <w:bCs/>
          <w:color w:val="auto"/>
          <w:sz w:val="24"/>
        </w:rPr>
      </w:pPr>
    </w:p>
    <w:p w14:paraId="46224417">
      <w:pPr>
        <w:pStyle w:val="12"/>
        <w:rPr>
          <w:rFonts w:hint="eastAsia" w:ascii="宋体" w:hAnsi="宋体" w:eastAsia="宋体" w:cs="宋体"/>
          <w:b/>
          <w:bCs/>
          <w:color w:val="auto"/>
          <w:sz w:val="24"/>
        </w:rPr>
      </w:pPr>
    </w:p>
    <w:p w14:paraId="2A7E45DA">
      <w:pPr>
        <w:pStyle w:val="12"/>
        <w:rPr>
          <w:rFonts w:hint="eastAsia" w:ascii="宋体" w:hAnsi="宋体" w:eastAsia="宋体" w:cs="宋体"/>
          <w:b/>
          <w:bCs/>
          <w:color w:val="auto"/>
          <w:sz w:val="24"/>
        </w:rPr>
      </w:pPr>
    </w:p>
    <w:p w14:paraId="37AEA1E8">
      <w:pPr>
        <w:pStyle w:val="12"/>
        <w:rPr>
          <w:rFonts w:hint="eastAsia" w:ascii="宋体" w:hAnsi="宋体" w:eastAsia="宋体" w:cs="宋体"/>
          <w:b/>
          <w:bCs/>
          <w:color w:val="auto"/>
          <w:sz w:val="24"/>
        </w:rPr>
      </w:pPr>
    </w:p>
    <w:p w14:paraId="721F4FE9">
      <w:pPr>
        <w:pStyle w:val="12"/>
        <w:rPr>
          <w:rFonts w:hint="eastAsia" w:ascii="宋体" w:hAnsi="宋体" w:eastAsia="宋体" w:cs="宋体"/>
          <w:b/>
          <w:bCs/>
          <w:color w:val="auto"/>
          <w:sz w:val="24"/>
        </w:rPr>
      </w:pPr>
    </w:p>
    <w:p w14:paraId="27D6A92F">
      <w:pPr>
        <w:pStyle w:val="12"/>
        <w:rPr>
          <w:rFonts w:hint="eastAsia" w:ascii="宋体" w:hAnsi="宋体" w:eastAsia="宋体" w:cs="宋体"/>
          <w:b/>
          <w:bCs/>
          <w:color w:val="auto"/>
          <w:sz w:val="24"/>
        </w:rPr>
      </w:pPr>
    </w:p>
    <w:p w14:paraId="7A51BE34">
      <w:pPr>
        <w:pStyle w:val="12"/>
        <w:rPr>
          <w:rFonts w:hint="eastAsia" w:ascii="宋体" w:hAnsi="宋体" w:eastAsia="宋体" w:cs="宋体"/>
          <w:b/>
          <w:bCs/>
          <w:color w:val="auto"/>
          <w:sz w:val="24"/>
        </w:rPr>
      </w:pPr>
    </w:p>
    <w:p w14:paraId="477788DE">
      <w:pPr>
        <w:pStyle w:val="12"/>
        <w:rPr>
          <w:rFonts w:hint="eastAsia" w:ascii="宋体" w:hAnsi="宋体" w:eastAsia="宋体" w:cs="宋体"/>
          <w:b/>
          <w:bCs/>
          <w:color w:val="auto"/>
          <w:sz w:val="24"/>
        </w:rPr>
      </w:pPr>
    </w:p>
    <w:p w14:paraId="78A4A796">
      <w:pPr>
        <w:pStyle w:val="12"/>
        <w:rPr>
          <w:rFonts w:hint="eastAsia" w:ascii="宋体" w:hAnsi="宋体" w:eastAsia="宋体" w:cs="宋体"/>
          <w:b/>
          <w:bCs/>
          <w:color w:val="auto"/>
          <w:sz w:val="24"/>
        </w:rPr>
      </w:pPr>
    </w:p>
    <w:p w14:paraId="6E38C4B5">
      <w:pPr>
        <w:pStyle w:val="12"/>
        <w:rPr>
          <w:rFonts w:hint="eastAsia" w:ascii="宋体" w:hAnsi="宋体" w:eastAsia="宋体" w:cs="宋体"/>
          <w:b/>
          <w:bCs/>
          <w:color w:val="auto"/>
          <w:sz w:val="24"/>
        </w:rPr>
      </w:pPr>
    </w:p>
    <w:p w14:paraId="31FEAD17">
      <w:pPr>
        <w:pStyle w:val="12"/>
        <w:rPr>
          <w:rFonts w:hint="eastAsia" w:ascii="宋体" w:hAnsi="宋体" w:eastAsia="宋体" w:cs="宋体"/>
          <w:b/>
          <w:bCs/>
          <w:color w:val="auto"/>
          <w:sz w:val="24"/>
        </w:rPr>
      </w:pPr>
    </w:p>
    <w:p w14:paraId="285CB7FF">
      <w:pPr>
        <w:pStyle w:val="12"/>
        <w:rPr>
          <w:rFonts w:hint="eastAsia" w:ascii="宋体" w:hAnsi="宋体" w:eastAsia="宋体" w:cs="宋体"/>
          <w:b/>
          <w:bCs/>
          <w:color w:val="auto"/>
          <w:sz w:val="24"/>
        </w:rPr>
      </w:pPr>
    </w:p>
    <w:p w14:paraId="18CEE34D">
      <w:pPr>
        <w:pStyle w:val="12"/>
        <w:rPr>
          <w:rFonts w:hint="eastAsia" w:ascii="宋体" w:hAnsi="宋体" w:eastAsia="宋体" w:cs="宋体"/>
          <w:b/>
          <w:bCs/>
          <w:color w:val="auto"/>
          <w:sz w:val="24"/>
        </w:rPr>
      </w:pPr>
    </w:p>
    <w:p w14:paraId="6461EAAC">
      <w:pPr>
        <w:pStyle w:val="12"/>
        <w:rPr>
          <w:rFonts w:hint="eastAsia" w:ascii="宋体" w:hAnsi="宋体" w:eastAsia="宋体" w:cs="宋体"/>
          <w:b/>
          <w:bCs/>
          <w:color w:val="auto"/>
          <w:sz w:val="24"/>
        </w:rPr>
      </w:pPr>
    </w:p>
    <w:p w14:paraId="4472DA24">
      <w:pPr>
        <w:pStyle w:val="12"/>
        <w:rPr>
          <w:rFonts w:hint="eastAsia" w:ascii="宋体" w:hAnsi="宋体" w:eastAsia="宋体" w:cs="宋体"/>
          <w:b/>
          <w:bCs/>
          <w:color w:val="auto"/>
          <w:sz w:val="24"/>
        </w:rPr>
      </w:pPr>
    </w:p>
    <w:p w14:paraId="2B0F9522">
      <w:pPr>
        <w:pStyle w:val="12"/>
        <w:rPr>
          <w:rFonts w:hint="eastAsia" w:ascii="宋体" w:hAnsi="宋体" w:eastAsia="宋体" w:cs="宋体"/>
          <w:b/>
          <w:bCs/>
          <w:color w:val="auto"/>
          <w:sz w:val="24"/>
        </w:rPr>
      </w:pPr>
    </w:p>
    <w:p w14:paraId="399F0A57">
      <w:pPr>
        <w:pStyle w:val="12"/>
        <w:rPr>
          <w:rFonts w:hint="eastAsia" w:ascii="宋体" w:hAnsi="宋体" w:eastAsia="宋体" w:cs="宋体"/>
          <w:b/>
          <w:bCs/>
          <w:color w:val="auto"/>
          <w:sz w:val="24"/>
        </w:rPr>
      </w:pPr>
    </w:p>
    <w:p w14:paraId="6F1D2F14">
      <w:pPr>
        <w:pStyle w:val="12"/>
        <w:rPr>
          <w:rFonts w:hint="eastAsia" w:ascii="宋体" w:hAnsi="宋体" w:eastAsia="宋体" w:cs="宋体"/>
          <w:b/>
          <w:bCs/>
          <w:color w:val="auto"/>
          <w:sz w:val="24"/>
        </w:rPr>
      </w:pPr>
    </w:p>
    <w:p w14:paraId="09DC91C2">
      <w:pPr>
        <w:pStyle w:val="12"/>
        <w:rPr>
          <w:rFonts w:hint="eastAsia" w:ascii="宋体" w:hAnsi="宋体" w:eastAsia="宋体" w:cs="宋体"/>
          <w:b/>
          <w:bCs/>
          <w:color w:val="auto"/>
          <w:sz w:val="24"/>
        </w:rPr>
      </w:pPr>
    </w:p>
    <w:p w14:paraId="374D5954">
      <w:pPr>
        <w:pStyle w:val="12"/>
        <w:rPr>
          <w:rFonts w:hint="eastAsia" w:ascii="宋体" w:hAnsi="宋体" w:eastAsia="宋体" w:cs="宋体"/>
          <w:b/>
          <w:bCs/>
          <w:color w:val="auto"/>
          <w:sz w:val="24"/>
        </w:rPr>
      </w:pPr>
    </w:p>
    <w:p w14:paraId="07E138E4">
      <w:pPr>
        <w:pStyle w:val="12"/>
        <w:jc w:val="center"/>
        <w:rPr>
          <w:rFonts w:hint="eastAsia" w:ascii="宋体" w:hAnsi="宋体" w:eastAsia="宋体" w:cs="宋体"/>
          <w:b/>
          <w:bCs/>
          <w:kern w:val="2"/>
          <w:sz w:val="28"/>
          <w:szCs w:val="28"/>
          <w:lang w:val="en-US" w:eastAsia="zh-CN" w:bidi="ar-SA"/>
        </w:rPr>
      </w:pPr>
    </w:p>
    <w:p w14:paraId="4A0F7A3D">
      <w:pPr>
        <w:pStyle w:val="12"/>
        <w:jc w:val="center"/>
        <w:rPr>
          <w:rFonts w:hint="eastAsia" w:ascii="宋体" w:hAnsi="宋体" w:eastAsia="宋体" w:cs="宋体"/>
          <w:b/>
          <w:bCs/>
          <w:kern w:val="2"/>
          <w:sz w:val="28"/>
          <w:szCs w:val="28"/>
          <w:lang w:val="en-US" w:eastAsia="zh-CN" w:bidi="ar-SA"/>
        </w:rPr>
      </w:pPr>
    </w:p>
    <w:p w14:paraId="39D9620E">
      <w:pPr>
        <w:pStyle w:val="12"/>
        <w:jc w:val="center"/>
        <w:rPr>
          <w:rFonts w:hint="default"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十</w:t>
      </w:r>
      <w:r>
        <w:rPr>
          <w:rFonts w:hint="eastAsia" w:ascii="宋体" w:hAnsi="宋体" w:cs="宋体"/>
          <w:b/>
          <w:bCs/>
          <w:kern w:val="2"/>
          <w:sz w:val="28"/>
          <w:szCs w:val="28"/>
          <w:lang w:val="en-US" w:eastAsia="zh-CN" w:bidi="ar-SA"/>
        </w:rPr>
        <w:t>一</w:t>
      </w:r>
      <w:r>
        <w:rPr>
          <w:rFonts w:hint="eastAsia" w:ascii="宋体" w:hAnsi="宋体" w:eastAsia="宋体" w:cs="宋体"/>
          <w:b/>
          <w:bCs/>
          <w:kern w:val="2"/>
          <w:sz w:val="28"/>
          <w:szCs w:val="28"/>
          <w:lang w:val="en-US" w:eastAsia="zh-CN" w:bidi="ar-SA"/>
        </w:rPr>
        <w:t>、投标人认为需提供的其他资料</w:t>
      </w:r>
    </w:p>
    <w:p w14:paraId="0B9CABD6"/>
    <w:sectPr>
      <w:pgSz w:w="11906" w:h="16838"/>
      <w:pgMar w:top="1417" w:right="1134" w:bottom="1417" w:left="1134"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imesNewRomanPSMT">
    <w:altName w:val="Times New Roman"/>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幼圆">
    <w:altName w:val="宋体"/>
    <w:panose1 w:val="02010509060101010101"/>
    <w:charset w:val="86"/>
    <w:family w:val="modern"/>
    <w:pitch w:val="default"/>
    <w:sig w:usb0="00000000" w:usb1="00000000" w:usb2="00000000" w:usb3="00000000" w:csb0="00040000" w:csb1="0000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DFD87">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湘西公共资源交易网 </w:t>
    </w:r>
    <w:r>
      <w:rPr>
        <w:rFonts w:hint="eastAsia" w:ascii="Calibri" w:hAnsi="Calibri" w:cs="Calibri"/>
        <w:color w:val="000000"/>
        <w:kern w:val="0"/>
        <w:sz w:val="18"/>
        <w:szCs w:val="18"/>
        <w:lang w:val="en-US" w:eastAsia="zh-CN" w:bidi="ar"/>
      </w:rPr>
      <w:t>http://xxzggzyjy.cn/</w:t>
    </w:r>
    <w:r>
      <w:rPr>
        <w:rFonts w:ascii="Calibri" w:hAnsi="Calibri" w:eastAsia="宋体" w:cs="Calibri"/>
        <w:color w:val="000000"/>
        <w:kern w:val="0"/>
        <w:sz w:val="18"/>
        <w:szCs w:val="18"/>
        <w:lang w:val="en-US" w:eastAsia="zh-CN" w:bidi="ar"/>
      </w:rPr>
      <w:t xml:space="preserve"> </w:t>
    </w:r>
    <w:r>
      <w:rPr>
        <w:rFonts w:hint="eastAsia" w:ascii="宋体" w:hAnsi="宋体" w:eastAsia="宋体" w:cs="宋体"/>
        <w:color w:val="000000"/>
        <w:kern w:val="0"/>
        <w:sz w:val="18"/>
        <w:szCs w:val="18"/>
        <w:lang w:val="en-US" w:eastAsia="zh-CN" w:bidi="ar"/>
      </w:rPr>
      <w:t>电话</w:t>
    </w:r>
    <w:r>
      <w:rPr>
        <w:rFonts w:hint="default" w:ascii="Calibri" w:hAnsi="Calibri" w:eastAsia="宋体" w:cs="Calibri"/>
        <w:color w:val="000000"/>
        <w:kern w:val="0"/>
        <w:sz w:val="18"/>
        <w:szCs w:val="18"/>
        <w:lang w:val="en-US" w:eastAsia="zh-CN" w:bidi="ar"/>
      </w:rPr>
      <w:t xml:space="preserve">: 0743-8523690 </w:t>
    </w:r>
  </w:p>
  <w:p w14:paraId="70126494">
    <w:pPr>
      <w:keepNext w:val="0"/>
      <w:keepLines w:val="0"/>
      <w:widowControl/>
      <w:suppressLineNumbers w:val="0"/>
      <w:jc w:val="left"/>
    </w:pPr>
    <w:r>
      <w:rPr>
        <w:rFonts w:hint="eastAsia" w:ascii="宋体" w:hAnsi="宋体" w:eastAsia="宋体" w:cs="宋体"/>
        <w:color w:val="000000"/>
        <w:kern w:val="0"/>
        <w:sz w:val="18"/>
        <w:szCs w:val="18"/>
        <w:lang w:val="en-US" w:eastAsia="zh-CN" w:bidi="ar"/>
      </w:rPr>
      <w:t>地址：吉首市吉凤街道州行政中心政务服务大楼四、五楼</w:t>
    </w:r>
  </w:p>
  <w:p w14:paraId="3FC26631">
    <w:pPr>
      <w:pStyle w:val="2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C429F0">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1C429F0">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0BDCB">
    <w:pPr>
      <w:pStyle w:val="38"/>
      <w:widowControl w:val="0"/>
      <w:tabs>
        <w:tab w:val="center" w:pos="4153"/>
        <w:tab w:val="right" w:pos="8306"/>
      </w:tabs>
      <w:snapToGrid w:val="0"/>
      <w:spacing w:beforeAutospacing="0" w:afterAutospacing="0"/>
      <w:rPr>
        <w:rFonts w:hint="default" w:ascii="黑体" w:hAnsi="黑体" w:eastAsia="黑体" w:cs="黑体"/>
        <w:kern w:val="2"/>
        <w:sz w:val="18"/>
        <w:szCs w:val="18"/>
        <w:u w:val="double"/>
        <w:lang w:val="en-US" w:eastAsia="zh-CN"/>
      </w:rPr>
    </w:pPr>
    <w:r>
      <w:rPr>
        <w:rFonts w:hint="eastAsia" w:ascii="黑体" w:hAnsi="黑体" w:eastAsia="黑体" w:cs="黑体"/>
        <w:kern w:val="2"/>
        <w:sz w:val="18"/>
        <w:szCs w:val="18"/>
        <w:u w:val="double"/>
        <w:lang w:val="en-US" w:eastAsia="zh-CN"/>
      </w:rPr>
      <w:t xml:space="preserve">                                                                                                               </w:t>
    </w:r>
  </w:p>
  <w:p w14:paraId="4DDA91B5">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湘西公共资源交易网 </w:t>
    </w:r>
    <w:r>
      <w:rPr>
        <w:rFonts w:hint="eastAsia" w:ascii="Calibri" w:hAnsi="Calibri" w:cs="Calibri"/>
        <w:color w:val="000000"/>
        <w:kern w:val="0"/>
        <w:sz w:val="18"/>
        <w:szCs w:val="18"/>
        <w:lang w:val="en-US" w:eastAsia="zh-CN" w:bidi="ar"/>
      </w:rPr>
      <w:t>http://xxzggzyjy.cn/</w:t>
    </w:r>
    <w:r>
      <w:rPr>
        <w:rFonts w:ascii="Calibri" w:hAnsi="Calibri" w:eastAsia="宋体" w:cs="Calibri"/>
        <w:color w:val="000000"/>
        <w:kern w:val="0"/>
        <w:sz w:val="18"/>
        <w:szCs w:val="18"/>
        <w:lang w:val="en-US" w:eastAsia="zh-CN" w:bidi="ar"/>
      </w:rPr>
      <w:t xml:space="preserve"> </w:t>
    </w:r>
    <w:r>
      <w:rPr>
        <w:rFonts w:hint="eastAsia" w:ascii="宋体" w:hAnsi="宋体" w:eastAsia="宋体" w:cs="宋体"/>
        <w:color w:val="000000"/>
        <w:kern w:val="0"/>
        <w:sz w:val="18"/>
        <w:szCs w:val="18"/>
        <w:lang w:val="en-US" w:eastAsia="zh-CN" w:bidi="ar"/>
      </w:rPr>
      <w:t>电话</w:t>
    </w:r>
    <w:r>
      <w:rPr>
        <w:rFonts w:hint="default" w:ascii="Calibri" w:hAnsi="Calibri" w:eastAsia="宋体" w:cs="Calibri"/>
        <w:color w:val="000000"/>
        <w:kern w:val="0"/>
        <w:sz w:val="18"/>
        <w:szCs w:val="18"/>
        <w:lang w:val="en-US" w:eastAsia="zh-CN" w:bidi="ar"/>
      </w:rPr>
      <w:t xml:space="preserve">: 0743-8523690 </w:t>
    </w:r>
  </w:p>
  <w:p w14:paraId="108F2036">
    <w:pPr>
      <w:keepNext w:val="0"/>
      <w:keepLines w:val="0"/>
      <w:widowControl/>
      <w:suppressLineNumbers w:val="0"/>
      <w:jc w:val="left"/>
    </w:pPr>
    <w:r>
      <w:rPr>
        <w:rFonts w:hint="eastAsia" w:ascii="宋体" w:hAnsi="宋体" w:eastAsia="宋体" w:cs="宋体"/>
        <w:color w:val="000000"/>
        <w:kern w:val="0"/>
        <w:sz w:val="18"/>
        <w:szCs w:val="18"/>
        <w:lang w:val="en-US" w:eastAsia="zh-CN" w:bidi="ar"/>
      </w:rPr>
      <w:t>地址：吉首市吉凤街道州行政中心政务服务大楼四、五楼</w:t>
    </w:r>
  </w:p>
  <w:p w14:paraId="28A8BEE1">
    <w:pPr>
      <w:pStyle w:val="38"/>
      <w:widowControl w:val="0"/>
      <w:tabs>
        <w:tab w:val="center" w:pos="4153"/>
        <w:tab w:val="right" w:pos="8306"/>
      </w:tabs>
      <w:snapToGrid w:val="0"/>
      <w:spacing w:beforeAutospacing="0" w:afterAutospacing="0"/>
      <w:rPr>
        <w:rFonts w:eastAsia="楷体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ECE98">
    <w:pPr>
      <w:pStyle w:val="38"/>
      <w:widowControl w:val="0"/>
      <w:tabs>
        <w:tab w:val="center" w:pos="4153"/>
        <w:tab w:val="right" w:pos="8306"/>
      </w:tabs>
      <w:snapToGrid w:val="0"/>
      <w:spacing w:beforeAutospacing="0" w:afterAutospacing="0"/>
      <w:rPr>
        <w:rFonts w:hint="default" w:ascii="楷体" w:hAnsi="楷体" w:eastAsia="楷体" w:cs="楷体"/>
        <w:kern w:val="2"/>
        <w:sz w:val="21"/>
        <w:szCs w:val="21"/>
        <w:u w:val="double"/>
        <w:lang w:val="en-US"/>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8BD399">
                          <w:pPr>
                            <w:pStyle w:val="28"/>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68BD399">
                    <w:pPr>
                      <w:pStyle w:val="28"/>
                    </w:pPr>
                    <w:r>
                      <w:fldChar w:fldCharType="begin"/>
                    </w:r>
                    <w:r>
                      <w:instrText xml:space="preserve"> PAGE  \* MERGEFORMAT </w:instrText>
                    </w:r>
                    <w:r>
                      <w:fldChar w:fldCharType="separate"/>
                    </w:r>
                    <w:r>
                      <w:t>6</w:t>
                    </w:r>
                    <w:r>
                      <w:fldChar w:fldCharType="end"/>
                    </w:r>
                  </w:p>
                </w:txbxContent>
              </v:textbox>
            </v:shape>
          </w:pict>
        </mc:Fallback>
      </mc:AlternateContent>
    </w:r>
    <w:r>
      <w:rPr>
        <w:rFonts w:hint="eastAsia" w:ascii="楷体" w:hAnsi="楷体" w:eastAsia="楷体" w:cs="楷体"/>
        <w:kern w:val="2"/>
        <w:sz w:val="21"/>
        <w:szCs w:val="21"/>
        <w:u w:val="double"/>
        <w:lang w:val="en-US" w:eastAsia="zh-CN"/>
      </w:rPr>
      <w:t xml:space="preserve">                                                                                              </w:t>
    </w:r>
  </w:p>
  <w:p w14:paraId="7BBA2EA8">
    <w:pPr>
      <w:keepNext w:val="0"/>
      <w:keepLines w:val="0"/>
      <w:widowControl/>
      <w:suppressLineNumbers w:val="0"/>
      <w:jc w:val="left"/>
    </w:pPr>
    <w:r>
      <w:rPr>
        <w:rFonts w:hint="eastAsia" w:ascii="宋体" w:hAnsi="宋体" w:eastAsia="宋体" w:cs="宋体"/>
        <w:color w:val="000000"/>
        <w:kern w:val="0"/>
        <w:sz w:val="18"/>
        <w:szCs w:val="18"/>
        <w:lang w:val="en-US" w:eastAsia="zh-CN" w:bidi="ar"/>
      </w:rPr>
      <w:t xml:space="preserve">湘西公共资源交易网 </w:t>
    </w:r>
    <w:r>
      <w:rPr>
        <w:rFonts w:hint="eastAsia" w:ascii="Calibri" w:hAnsi="Calibri" w:cs="Calibri"/>
        <w:color w:val="000000"/>
        <w:kern w:val="0"/>
        <w:sz w:val="18"/>
        <w:szCs w:val="18"/>
        <w:lang w:val="en-US" w:eastAsia="zh-CN" w:bidi="ar"/>
      </w:rPr>
      <w:t>http://xxzggzyjy.cn/</w:t>
    </w:r>
    <w:r>
      <w:rPr>
        <w:rFonts w:ascii="Calibri" w:hAnsi="Calibri" w:eastAsia="宋体" w:cs="Calibri"/>
        <w:color w:val="000000"/>
        <w:kern w:val="0"/>
        <w:sz w:val="18"/>
        <w:szCs w:val="18"/>
        <w:lang w:val="en-US" w:eastAsia="zh-CN" w:bidi="ar"/>
      </w:rPr>
      <w:t xml:space="preserve"> </w:t>
    </w:r>
    <w:r>
      <w:rPr>
        <w:rFonts w:hint="eastAsia" w:ascii="宋体" w:hAnsi="宋体" w:eastAsia="宋体" w:cs="宋体"/>
        <w:color w:val="000000"/>
        <w:kern w:val="0"/>
        <w:sz w:val="18"/>
        <w:szCs w:val="18"/>
        <w:lang w:val="en-US" w:eastAsia="zh-CN" w:bidi="ar"/>
      </w:rPr>
      <w:t>电话</w:t>
    </w:r>
    <w:r>
      <w:rPr>
        <w:rFonts w:hint="default" w:ascii="Calibri" w:hAnsi="Calibri" w:eastAsia="宋体" w:cs="Calibri"/>
        <w:color w:val="000000"/>
        <w:kern w:val="0"/>
        <w:sz w:val="18"/>
        <w:szCs w:val="18"/>
        <w:lang w:val="en-US" w:eastAsia="zh-CN" w:bidi="ar"/>
      </w:rPr>
      <w:t xml:space="preserve">: 0743-8523690 </w:t>
    </w:r>
  </w:p>
  <w:p w14:paraId="71BDAC11">
    <w:pPr>
      <w:keepNext w:val="0"/>
      <w:keepLines w:val="0"/>
      <w:widowControl/>
      <w:suppressLineNumbers w:val="0"/>
      <w:jc w:val="left"/>
    </w:pPr>
    <w:r>
      <w:rPr>
        <w:rFonts w:hint="eastAsia" w:ascii="宋体" w:hAnsi="宋体" w:eastAsia="宋体" w:cs="宋体"/>
        <w:color w:val="000000"/>
        <w:kern w:val="0"/>
        <w:sz w:val="18"/>
        <w:szCs w:val="18"/>
        <w:lang w:val="en-US" w:eastAsia="zh-CN" w:bidi="ar"/>
      </w:rPr>
      <w:t>地址：吉首市吉凤街道州行政中心政务服务大楼四、五楼</w:t>
    </w:r>
  </w:p>
  <w:p w14:paraId="7202A0BE">
    <w:pPr>
      <w:pStyle w:val="38"/>
      <w:widowControl w:val="0"/>
      <w:tabs>
        <w:tab w:val="center" w:pos="4153"/>
        <w:tab w:val="right" w:pos="8306"/>
      </w:tabs>
      <w:snapToGrid w:val="0"/>
      <w:spacing w:beforeAutospacing="0" w:afterAutospacing="0"/>
      <w:rPr>
        <w:rFonts w:ascii="黑体" w:hAnsi="黑体" w:eastAsia="黑体" w:cs="黑体"/>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8665B">
    <w:pPr>
      <w:keepNext w:val="0"/>
      <w:keepLines w:val="0"/>
      <w:widowControl/>
      <w:suppressLineNumbers w:val="0"/>
      <w:ind w:firstLine="9180" w:firstLineChars="5100"/>
      <w:jc w:val="right"/>
    </w:pPr>
    <w:r>
      <w:rPr>
        <w:rFonts w:hint="eastAsia" w:ascii="宋体" w:hAnsi="宋体" w:eastAsia="宋体" w:cs="宋体"/>
        <w:color w:val="000000"/>
        <w:kern w:val="0"/>
        <w:sz w:val="18"/>
        <w:szCs w:val="18"/>
        <w:lang w:val="en-US" w:eastAsia="zh-CN" w:bidi="ar"/>
      </w:rPr>
      <w:t xml:space="preserve"> 湘西自治州政府采购中心招标文件</w:t>
    </w:r>
  </w:p>
  <w:p w14:paraId="27F928A7">
    <w:pPr>
      <w:pStyle w:val="2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97F87">
    <w:pPr>
      <w:pStyle w:val="29"/>
      <w:jc w:val="right"/>
    </w:pPr>
    <w:r>
      <w:rPr>
        <w:rFonts w:hint="eastAsia" w:ascii="宋体" w:hAnsi="宋体" w:eastAsia="宋体" w:cs="宋体"/>
        <w:color w:val="000000"/>
        <w:kern w:val="0"/>
        <w:sz w:val="18"/>
        <w:szCs w:val="18"/>
        <w:lang w:val="en-US" w:eastAsia="zh-CN" w:bidi="ar"/>
      </w:rPr>
      <w:t>湘西自治州政府采购中心招标文件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F28B8">
    <w:pPr>
      <w:pStyle w:val="29"/>
      <w:jc w:val="right"/>
    </w:pPr>
    <w:r>
      <w:rPr>
        <w:rFonts w:hint="eastAsia" w:ascii="宋体" w:hAnsi="宋体" w:eastAsia="宋体" w:cs="宋体"/>
        <w:color w:val="000000"/>
        <w:kern w:val="0"/>
        <w:sz w:val="18"/>
        <w:szCs w:val="18"/>
        <w:lang w:val="en-US" w:eastAsia="zh-CN" w:bidi="ar"/>
      </w:rPr>
      <w:t>湘西自治州政府采购中心招标文件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3317DD"/>
    <w:multiLevelType w:val="singleLevel"/>
    <w:tmpl w:val="833317DD"/>
    <w:lvl w:ilvl="0" w:tentative="0">
      <w:start w:val="5"/>
      <w:numFmt w:val="decimal"/>
      <w:lvlText w:val="%1."/>
      <w:lvlJc w:val="left"/>
      <w:pPr>
        <w:tabs>
          <w:tab w:val="left" w:pos="312"/>
        </w:tabs>
      </w:pPr>
    </w:lvl>
  </w:abstractNum>
  <w:abstractNum w:abstractNumId="1">
    <w:nsid w:val="9867DC09"/>
    <w:multiLevelType w:val="singleLevel"/>
    <w:tmpl w:val="9867DC09"/>
    <w:lvl w:ilvl="0" w:tentative="0">
      <w:start w:val="5"/>
      <w:numFmt w:val="chineseCounting"/>
      <w:suff w:val="space"/>
      <w:lvlText w:val="第%1章"/>
      <w:lvlJc w:val="left"/>
      <w:rPr>
        <w:rFonts w:hint="eastAsia"/>
      </w:rPr>
    </w:lvl>
  </w:abstractNum>
  <w:abstractNum w:abstractNumId="2">
    <w:nsid w:val="9CC10F83"/>
    <w:multiLevelType w:val="singleLevel"/>
    <w:tmpl w:val="9CC10F83"/>
    <w:lvl w:ilvl="0" w:tentative="0">
      <w:start w:val="5"/>
      <w:numFmt w:val="decimal"/>
      <w:lvlText w:val="%1."/>
      <w:lvlJc w:val="left"/>
      <w:pPr>
        <w:tabs>
          <w:tab w:val="left" w:pos="312"/>
        </w:tabs>
      </w:pPr>
    </w:lvl>
  </w:abstractNum>
  <w:abstractNum w:abstractNumId="3">
    <w:nsid w:val="B2C55DC8"/>
    <w:multiLevelType w:val="singleLevel"/>
    <w:tmpl w:val="B2C55DC8"/>
    <w:lvl w:ilvl="0" w:tentative="0">
      <w:start w:val="1"/>
      <w:numFmt w:val="decimal"/>
      <w:suff w:val="space"/>
      <w:lvlText w:val="%1."/>
      <w:lvlJc w:val="left"/>
    </w:lvl>
  </w:abstractNum>
  <w:abstractNum w:abstractNumId="4">
    <w:nsid w:val="B9BA733C"/>
    <w:multiLevelType w:val="singleLevel"/>
    <w:tmpl w:val="B9BA733C"/>
    <w:lvl w:ilvl="0" w:tentative="0">
      <w:start w:val="1"/>
      <w:numFmt w:val="decimal"/>
      <w:suff w:val="nothing"/>
      <w:lvlText w:val="（%1）"/>
      <w:lvlJc w:val="left"/>
    </w:lvl>
  </w:abstractNum>
  <w:abstractNum w:abstractNumId="5">
    <w:nsid w:val="F1999585"/>
    <w:multiLevelType w:val="singleLevel"/>
    <w:tmpl w:val="F1999585"/>
    <w:lvl w:ilvl="0" w:tentative="0">
      <w:start w:val="5"/>
      <w:numFmt w:val="chineseCounting"/>
      <w:suff w:val="nothing"/>
      <w:lvlText w:val="%1、"/>
      <w:lvlJc w:val="left"/>
      <w:rPr>
        <w:rFonts w:hint="eastAsia"/>
      </w:rPr>
    </w:lvl>
  </w:abstractNum>
  <w:abstractNum w:abstractNumId="6">
    <w:nsid w:val="F2A41EB4"/>
    <w:multiLevelType w:val="singleLevel"/>
    <w:tmpl w:val="F2A41EB4"/>
    <w:lvl w:ilvl="0" w:tentative="0">
      <w:start w:val="1"/>
      <w:numFmt w:val="decimal"/>
      <w:lvlText w:val="%1."/>
      <w:lvlJc w:val="left"/>
      <w:pPr>
        <w:tabs>
          <w:tab w:val="left" w:pos="312"/>
        </w:tabs>
      </w:pPr>
    </w:lvl>
  </w:abstractNum>
  <w:abstractNum w:abstractNumId="7">
    <w:nsid w:val="06303BE0"/>
    <w:multiLevelType w:val="singleLevel"/>
    <w:tmpl w:val="06303BE0"/>
    <w:lvl w:ilvl="0" w:tentative="0">
      <w:start w:val="1"/>
      <w:numFmt w:val="decimal"/>
      <w:suff w:val="nothing"/>
      <w:lvlText w:val="%1、"/>
      <w:lvlJc w:val="left"/>
    </w:lvl>
  </w:abstractNum>
  <w:abstractNum w:abstractNumId="8">
    <w:nsid w:val="087B1468"/>
    <w:multiLevelType w:val="singleLevel"/>
    <w:tmpl w:val="087B1468"/>
    <w:lvl w:ilvl="0" w:tentative="0">
      <w:start w:val="4"/>
      <w:numFmt w:val="decimal"/>
      <w:suff w:val="space"/>
      <w:lvlText w:val="%1."/>
      <w:lvlJc w:val="left"/>
    </w:lvl>
  </w:abstractNum>
  <w:abstractNum w:abstractNumId="9">
    <w:nsid w:val="13A0C46B"/>
    <w:multiLevelType w:val="singleLevel"/>
    <w:tmpl w:val="13A0C46B"/>
    <w:lvl w:ilvl="0" w:tentative="0">
      <w:start w:val="1"/>
      <w:numFmt w:val="decimal"/>
      <w:lvlText w:val="%1."/>
      <w:lvlJc w:val="left"/>
      <w:pPr>
        <w:tabs>
          <w:tab w:val="left" w:pos="312"/>
        </w:tabs>
      </w:pPr>
    </w:lvl>
  </w:abstractNum>
  <w:abstractNum w:abstractNumId="10">
    <w:nsid w:val="1B7050E1"/>
    <w:multiLevelType w:val="multilevel"/>
    <w:tmpl w:val="1B7050E1"/>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263B7F25"/>
    <w:multiLevelType w:val="singleLevel"/>
    <w:tmpl w:val="263B7F25"/>
    <w:lvl w:ilvl="0" w:tentative="0">
      <w:start w:val="4"/>
      <w:numFmt w:val="chineseCounting"/>
      <w:suff w:val="nothing"/>
      <w:lvlText w:val="%1、"/>
      <w:lvlJc w:val="left"/>
      <w:rPr>
        <w:rFonts w:hint="eastAsia"/>
      </w:rPr>
    </w:lvl>
  </w:abstractNum>
  <w:abstractNum w:abstractNumId="12">
    <w:nsid w:val="30AF6DBE"/>
    <w:multiLevelType w:val="multilevel"/>
    <w:tmpl w:val="30AF6DBE"/>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3">
    <w:nsid w:val="5C0B36E6"/>
    <w:multiLevelType w:val="singleLevel"/>
    <w:tmpl w:val="5C0B36E6"/>
    <w:lvl w:ilvl="0" w:tentative="0">
      <w:start w:val="1"/>
      <w:numFmt w:val="decimal"/>
      <w:suff w:val="nothing"/>
      <w:lvlText w:val="（%1）"/>
      <w:lvlJc w:val="left"/>
    </w:lvl>
  </w:abstractNum>
  <w:abstractNum w:abstractNumId="14">
    <w:nsid w:val="635B7327"/>
    <w:multiLevelType w:val="singleLevel"/>
    <w:tmpl w:val="635B7327"/>
    <w:lvl w:ilvl="0" w:tentative="0">
      <w:start w:val="1"/>
      <w:numFmt w:val="decimal"/>
      <w:lvlText w:val="%1."/>
      <w:lvlJc w:val="left"/>
      <w:pPr>
        <w:tabs>
          <w:tab w:val="left" w:pos="312"/>
        </w:tabs>
      </w:pPr>
    </w:lvl>
  </w:abstractNum>
  <w:abstractNum w:abstractNumId="15">
    <w:nsid w:val="6C331FD1"/>
    <w:multiLevelType w:val="singleLevel"/>
    <w:tmpl w:val="6C331FD1"/>
    <w:lvl w:ilvl="0" w:tentative="0">
      <w:start w:val="1"/>
      <w:numFmt w:val="chineseCounting"/>
      <w:suff w:val="space"/>
      <w:lvlText w:val="第%1章"/>
      <w:lvlJc w:val="left"/>
      <w:rPr>
        <w:rFonts w:hint="eastAsia"/>
      </w:rPr>
    </w:lvl>
  </w:abstractNum>
  <w:num w:numId="1">
    <w:abstractNumId w:val="15"/>
  </w:num>
  <w:num w:numId="2">
    <w:abstractNumId w:val="4"/>
  </w:num>
  <w:num w:numId="3">
    <w:abstractNumId w:val="7"/>
  </w:num>
  <w:num w:numId="4">
    <w:abstractNumId w:val="13"/>
  </w:num>
  <w:num w:numId="5">
    <w:abstractNumId w:val="6"/>
  </w:num>
  <w:num w:numId="6">
    <w:abstractNumId w:val="8"/>
  </w:num>
  <w:num w:numId="7">
    <w:abstractNumId w:val="1"/>
  </w:num>
  <w:num w:numId="8">
    <w:abstractNumId w:val="14"/>
  </w:num>
  <w:num w:numId="9">
    <w:abstractNumId w:val="2"/>
  </w:num>
  <w:num w:numId="10">
    <w:abstractNumId w:val="9"/>
  </w:num>
  <w:num w:numId="11">
    <w:abstractNumId w:val="0"/>
  </w:num>
  <w:num w:numId="12">
    <w:abstractNumId w:val="10"/>
  </w:num>
  <w:num w:numId="13">
    <w:abstractNumId w:val="12"/>
  </w:num>
  <w:num w:numId="14">
    <w:abstractNumId w:val="11"/>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jMWMzMjdlZjZiZDIzZjliMzhmMWVhN2JkYThjM2MifQ=="/>
  </w:docVars>
  <w:rsids>
    <w:rsidRoot w:val="007434B4"/>
    <w:rsid w:val="00000A61"/>
    <w:rsid w:val="00000A83"/>
    <w:rsid w:val="000013FE"/>
    <w:rsid w:val="0000186F"/>
    <w:rsid w:val="00001A03"/>
    <w:rsid w:val="00002568"/>
    <w:rsid w:val="000037DE"/>
    <w:rsid w:val="00003D23"/>
    <w:rsid w:val="00006552"/>
    <w:rsid w:val="0001024D"/>
    <w:rsid w:val="00010382"/>
    <w:rsid w:val="00013365"/>
    <w:rsid w:val="00013466"/>
    <w:rsid w:val="00013574"/>
    <w:rsid w:val="00013923"/>
    <w:rsid w:val="00014A82"/>
    <w:rsid w:val="00015858"/>
    <w:rsid w:val="0001617A"/>
    <w:rsid w:val="00017581"/>
    <w:rsid w:val="000175E8"/>
    <w:rsid w:val="00017CF0"/>
    <w:rsid w:val="00017F9C"/>
    <w:rsid w:val="000252F0"/>
    <w:rsid w:val="00025EED"/>
    <w:rsid w:val="00027D0F"/>
    <w:rsid w:val="00030A53"/>
    <w:rsid w:val="00031705"/>
    <w:rsid w:val="00031C52"/>
    <w:rsid w:val="00032D53"/>
    <w:rsid w:val="000333AE"/>
    <w:rsid w:val="000358FA"/>
    <w:rsid w:val="00035B2B"/>
    <w:rsid w:val="00035BAB"/>
    <w:rsid w:val="00040247"/>
    <w:rsid w:val="00040313"/>
    <w:rsid w:val="00040E14"/>
    <w:rsid w:val="0004234C"/>
    <w:rsid w:val="00045B4B"/>
    <w:rsid w:val="00046881"/>
    <w:rsid w:val="00047440"/>
    <w:rsid w:val="0004759C"/>
    <w:rsid w:val="00047C70"/>
    <w:rsid w:val="0005019F"/>
    <w:rsid w:val="000508AD"/>
    <w:rsid w:val="0005168D"/>
    <w:rsid w:val="0005208E"/>
    <w:rsid w:val="00053BE1"/>
    <w:rsid w:val="00053C94"/>
    <w:rsid w:val="000566BD"/>
    <w:rsid w:val="0005701C"/>
    <w:rsid w:val="000606A2"/>
    <w:rsid w:val="00060C04"/>
    <w:rsid w:val="00061310"/>
    <w:rsid w:val="00061914"/>
    <w:rsid w:val="000620A1"/>
    <w:rsid w:val="000629AD"/>
    <w:rsid w:val="000662FC"/>
    <w:rsid w:val="000675E6"/>
    <w:rsid w:val="000677C7"/>
    <w:rsid w:val="00067D0B"/>
    <w:rsid w:val="000709FB"/>
    <w:rsid w:val="00070B21"/>
    <w:rsid w:val="00072573"/>
    <w:rsid w:val="0007343D"/>
    <w:rsid w:val="000745C1"/>
    <w:rsid w:val="0007473A"/>
    <w:rsid w:val="00074CB8"/>
    <w:rsid w:val="000752BC"/>
    <w:rsid w:val="00076502"/>
    <w:rsid w:val="000775DD"/>
    <w:rsid w:val="00082346"/>
    <w:rsid w:val="000841E5"/>
    <w:rsid w:val="00085204"/>
    <w:rsid w:val="00087CA6"/>
    <w:rsid w:val="000904BC"/>
    <w:rsid w:val="00090D47"/>
    <w:rsid w:val="00091751"/>
    <w:rsid w:val="000917F5"/>
    <w:rsid w:val="000921D2"/>
    <w:rsid w:val="00092E61"/>
    <w:rsid w:val="0009483A"/>
    <w:rsid w:val="00095A0E"/>
    <w:rsid w:val="00097FB9"/>
    <w:rsid w:val="000A0CD6"/>
    <w:rsid w:val="000A2575"/>
    <w:rsid w:val="000A2631"/>
    <w:rsid w:val="000A3313"/>
    <w:rsid w:val="000A4283"/>
    <w:rsid w:val="000A6658"/>
    <w:rsid w:val="000B0390"/>
    <w:rsid w:val="000B0E6E"/>
    <w:rsid w:val="000B1637"/>
    <w:rsid w:val="000B1715"/>
    <w:rsid w:val="000B23F6"/>
    <w:rsid w:val="000B2722"/>
    <w:rsid w:val="000B2AB7"/>
    <w:rsid w:val="000B320F"/>
    <w:rsid w:val="000B3A4F"/>
    <w:rsid w:val="000B48CB"/>
    <w:rsid w:val="000B5D7D"/>
    <w:rsid w:val="000B67D9"/>
    <w:rsid w:val="000B6A6A"/>
    <w:rsid w:val="000B7DF1"/>
    <w:rsid w:val="000C035B"/>
    <w:rsid w:val="000C0714"/>
    <w:rsid w:val="000C188C"/>
    <w:rsid w:val="000C245B"/>
    <w:rsid w:val="000C2AE6"/>
    <w:rsid w:val="000C354A"/>
    <w:rsid w:val="000C4FD9"/>
    <w:rsid w:val="000C52A0"/>
    <w:rsid w:val="000C6B2C"/>
    <w:rsid w:val="000C70C2"/>
    <w:rsid w:val="000C7812"/>
    <w:rsid w:val="000D04C8"/>
    <w:rsid w:val="000D0E5E"/>
    <w:rsid w:val="000D1018"/>
    <w:rsid w:val="000D211B"/>
    <w:rsid w:val="000D2A3F"/>
    <w:rsid w:val="000D5249"/>
    <w:rsid w:val="000D6514"/>
    <w:rsid w:val="000E3A4C"/>
    <w:rsid w:val="000E3DCC"/>
    <w:rsid w:val="000E4525"/>
    <w:rsid w:val="000E46D9"/>
    <w:rsid w:val="000E4E95"/>
    <w:rsid w:val="000E50DD"/>
    <w:rsid w:val="000E640C"/>
    <w:rsid w:val="000E6CEE"/>
    <w:rsid w:val="000E7308"/>
    <w:rsid w:val="000E7417"/>
    <w:rsid w:val="000E741F"/>
    <w:rsid w:val="000F1A45"/>
    <w:rsid w:val="000F1AF9"/>
    <w:rsid w:val="000F21C8"/>
    <w:rsid w:val="000F33B7"/>
    <w:rsid w:val="000F3713"/>
    <w:rsid w:val="000F376A"/>
    <w:rsid w:val="000F4155"/>
    <w:rsid w:val="000F44CB"/>
    <w:rsid w:val="000F4F2F"/>
    <w:rsid w:val="000F5866"/>
    <w:rsid w:val="000F620C"/>
    <w:rsid w:val="000F7591"/>
    <w:rsid w:val="001000C3"/>
    <w:rsid w:val="001047E3"/>
    <w:rsid w:val="00104908"/>
    <w:rsid w:val="00105A9C"/>
    <w:rsid w:val="00106446"/>
    <w:rsid w:val="00107077"/>
    <w:rsid w:val="00110B4B"/>
    <w:rsid w:val="001113FC"/>
    <w:rsid w:val="00111596"/>
    <w:rsid w:val="00111CC9"/>
    <w:rsid w:val="00112A3D"/>
    <w:rsid w:val="001133AC"/>
    <w:rsid w:val="00113C61"/>
    <w:rsid w:val="00114B15"/>
    <w:rsid w:val="00117058"/>
    <w:rsid w:val="00117D51"/>
    <w:rsid w:val="00120369"/>
    <w:rsid w:val="00121A30"/>
    <w:rsid w:val="001228FD"/>
    <w:rsid w:val="001232B6"/>
    <w:rsid w:val="00124345"/>
    <w:rsid w:val="00125769"/>
    <w:rsid w:val="00125F48"/>
    <w:rsid w:val="00126231"/>
    <w:rsid w:val="001264DC"/>
    <w:rsid w:val="0013172D"/>
    <w:rsid w:val="001322EF"/>
    <w:rsid w:val="00134894"/>
    <w:rsid w:val="001348D3"/>
    <w:rsid w:val="00135375"/>
    <w:rsid w:val="001366FD"/>
    <w:rsid w:val="001370E3"/>
    <w:rsid w:val="00140DA3"/>
    <w:rsid w:val="001413DF"/>
    <w:rsid w:val="00141BEE"/>
    <w:rsid w:val="00143121"/>
    <w:rsid w:val="00144141"/>
    <w:rsid w:val="0014499E"/>
    <w:rsid w:val="00144B56"/>
    <w:rsid w:val="00144F97"/>
    <w:rsid w:val="0014699B"/>
    <w:rsid w:val="00146D14"/>
    <w:rsid w:val="00151B75"/>
    <w:rsid w:val="00151BA6"/>
    <w:rsid w:val="00153C89"/>
    <w:rsid w:val="00156049"/>
    <w:rsid w:val="001564DB"/>
    <w:rsid w:val="0016109A"/>
    <w:rsid w:val="001617E9"/>
    <w:rsid w:val="00162175"/>
    <w:rsid w:val="00162403"/>
    <w:rsid w:val="0016254E"/>
    <w:rsid w:val="00162F23"/>
    <w:rsid w:val="0016451E"/>
    <w:rsid w:val="0016583A"/>
    <w:rsid w:val="00166A7A"/>
    <w:rsid w:val="00166F38"/>
    <w:rsid w:val="00167763"/>
    <w:rsid w:val="001708E8"/>
    <w:rsid w:val="0017148D"/>
    <w:rsid w:val="00173713"/>
    <w:rsid w:val="00173A95"/>
    <w:rsid w:val="00173D83"/>
    <w:rsid w:val="00173FF2"/>
    <w:rsid w:val="0017404D"/>
    <w:rsid w:val="00175C3F"/>
    <w:rsid w:val="00175FE2"/>
    <w:rsid w:val="0017633E"/>
    <w:rsid w:val="00176DC7"/>
    <w:rsid w:val="0017741D"/>
    <w:rsid w:val="001810E9"/>
    <w:rsid w:val="00181D2E"/>
    <w:rsid w:val="001828D3"/>
    <w:rsid w:val="001846F2"/>
    <w:rsid w:val="001850A4"/>
    <w:rsid w:val="00185B43"/>
    <w:rsid w:val="00186927"/>
    <w:rsid w:val="001870D2"/>
    <w:rsid w:val="00190C8F"/>
    <w:rsid w:val="00192075"/>
    <w:rsid w:val="00193526"/>
    <w:rsid w:val="001951AF"/>
    <w:rsid w:val="00195771"/>
    <w:rsid w:val="00197441"/>
    <w:rsid w:val="001A053D"/>
    <w:rsid w:val="001A101A"/>
    <w:rsid w:val="001A2976"/>
    <w:rsid w:val="001A3AA5"/>
    <w:rsid w:val="001A3AFC"/>
    <w:rsid w:val="001A3BCB"/>
    <w:rsid w:val="001A4D9B"/>
    <w:rsid w:val="001A561A"/>
    <w:rsid w:val="001A58C6"/>
    <w:rsid w:val="001A59EB"/>
    <w:rsid w:val="001B2294"/>
    <w:rsid w:val="001B313B"/>
    <w:rsid w:val="001B383C"/>
    <w:rsid w:val="001B4531"/>
    <w:rsid w:val="001B4F01"/>
    <w:rsid w:val="001B5907"/>
    <w:rsid w:val="001C2072"/>
    <w:rsid w:val="001C274B"/>
    <w:rsid w:val="001C3481"/>
    <w:rsid w:val="001C4E4C"/>
    <w:rsid w:val="001C5444"/>
    <w:rsid w:val="001C7B25"/>
    <w:rsid w:val="001D0F5F"/>
    <w:rsid w:val="001D26DC"/>
    <w:rsid w:val="001D300D"/>
    <w:rsid w:val="001D302B"/>
    <w:rsid w:val="001D4315"/>
    <w:rsid w:val="001D574C"/>
    <w:rsid w:val="001D5B75"/>
    <w:rsid w:val="001E1D4A"/>
    <w:rsid w:val="001E3A6E"/>
    <w:rsid w:val="001E3AF6"/>
    <w:rsid w:val="001E3D6A"/>
    <w:rsid w:val="001E4458"/>
    <w:rsid w:val="001E59F7"/>
    <w:rsid w:val="001E6A66"/>
    <w:rsid w:val="001F075D"/>
    <w:rsid w:val="001F130D"/>
    <w:rsid w:val="001F1819"/>
    <w:rsid w:val="001F3A23"/>
    <w:rsid w:val="001F4878"/>
    <w:rsid w:val="001F5321"/>
    <w:rsid w:val="001F534E"/>
    <w:rsid w:val="001F5B18"/>
    <w:rsid w:val="001F7AFA"/>
    <w:rsid w:val="00200789"/>
    <w:rsid w:val="002008A9"/>
    <w:rsid w:val="00200C39"/>
    <w:rsid w:val="002018AB"/>
    <w:rsid w:val="002023A1"/>
    <w:rsid w:val="002023F0"/>
    <w:rsid w:val="0020308E"/>
    <w:rsid w:val="00203EA6"/>
    <w:rsid w:val="00206018"/>
    <w:rsid w:val="00210EE8"/>
    <w:rsid w:val="00210F21"/>
    <w:rsid w:val="0021548B"/>
    <w:rsid w:val="00215C17"/>
    <w:rsid w:val="00215D98"/>
    <w:rsid w:val="00216282"/>
    <w:rsid w:val="00216FA2"/>
    <w:rsid w:val="002203CE"/>
    <w:rsid w:val="00221240"/>
    <w:rsid w:val="00221600"/>
    <w:rsid w:val="00221BE4"/>
    <w:rsid w:val="00223541"/>
    <w:rsid w:val="00223B66"/>
    <w:rsid w:val="002240A4"/>
    <w:rsid w:val="0022478B"/>
    <w:rsid w:val="00225547"/>
    <w:rsid w:val="00226351"/>
    <w:rsid w:val="002303FF"/>
    <w:rsid w:val="00230B4C"/>
    <w:rsid w:val="0023235C"/>
    <w:rsid w:val="00232836"/>
    <w:rsid w:val="0023339C"/>
    <w:rsid w:val="00234309"/>
    <w:rsid w:val="00235123"/>
    <w:rsid w:val="00236FA0"/>
    <w:rsid w:val="002409C1"/>
    <w:rsid w:val="002416E2"/>
    <w:rsid w:val="002419D0"/>
    <w:rsid w:val="00242897"/>
    <w:rsid w:val="00242A62"/>
    <w:rsid w:val="002444EA"/>
    <w:rsid w:val="00245EF6"/>
    <w:rsid w:val="0025131F"/>
    <w:rsid w:val="00253669"/>
    <w:rsid w:val="00253F0D"/>
    <w:rsid w:val="00255414"/>
    <w:rsid w:val="00255AC7"/>
    <w:rsid w:val="002569C5"/>
    <w:rsid w:val="00256A84"/>
    <w:rsid w:val="00257F4D"/>
    <w:rsid w:val="0026198C"/>
    <w:rsid w:val="00261AC6"/>
    <w:rsid w:val="00262FCB"/>
    <w:rsid w:val="00263AB2"/>
    <w:rsid w:val="002643E5"/>
    <w:rsid w:val="00264EB2"/>
    <w:rsid w:val="00265009"/>
    <w:rsid w:val="0026705D"/>
    <w:rsid w:val="00267C83"/>
    <w:rsid w:val="00270DBF"/>
    <w:rsid w:val="00270EC1"/>
    <w:rsid w:val="00272498"/>
    <w:rsid w:val="002725B6"/>
    <w:rsid w:val="002726B5"/>
    <w:rsid w:val="00276030"/>
    <w:rsid w:val="00276AC4"/>
    <w:rsid w:val="00276F7B"/>
    <w:rsid w:val="0027767A"/>
    <w:rsid w:val="002815E4"/>
    <w:rsid w:val="0028240A"/>
    <w:rsid w:val="00282892"/>
    <w:rsid w:val="00283506"/>
    <w:rsid w:val="00283A43"/>
    <w:rsid w:val="002842BF"/>
    <w:rsid w:val="00284301"/>
    <w:rsid w:val="00284647"/>
    <w:rsid w:val="0028487B"/>
    <w:rsid w:val="002849EB"/>
    <w:rsid w:val="00285A81"/>
    <w:rsid w:val="00285BDF"/>
    <w:rsid w:val="00285F61"/>
    <w:rsid w:val="002862E3"/>
    <w:rsid w:val="002868A8"/>
    <w:rsid w:val="00287BB6"/>
    <w:rsid w:val="00287E12"/>
    <w:rsid w:val="00290DAB"/>
    <w:rsid w:val="00291042"/>
    <w:rsid w:val="00291C24"/>
    <w:rsid w:val="00292441"/>
    <w:rsid w:val="00292F73"/>
    <w:rsid w:val="00293A07"/>
    <w:rsid w:val="00293AAD"/>
    <w:rsid w:val="002950BC"/>
    <w:rsid w:val="00295CE8"/>
    <w:rsid w:val="002962B1"/>
    <w:rsid w:val="002965AD"/>
    <w:rsid w:val="00297531"/>
    <w:rsid w:val="00297B75"/>
    <w:rsid w:val="002A0C4E"/>
    <w:rsid w:val="002A1672"/>
    <w:rsid w:val="002A22D6"/>
    <w:rsid w:val="002A3505"/>
    <w:rsid w:val="002A3741"/>
    <w:rsid w:val="002A4AAB"/>
    <w:rsid w:val="002A5CB2"/>
    <w:rsid w:val="002A5E44"/>
    <w:rsid w:val="002A65E2"/>
    <w:rsid w:val="002A7BBC"/>
    <w:rsid w:val="002B12E2"/>
    <w:rsid w:val="002B1662"/>
    <w:rsid w:val="002B3F03"/>
    <w:rsid w:val="002B4148"/>
    <w:rsid w:val="002B469A"/>
    <w:rsid w:val="002B51EA"/>
    <w:rsid w:val="002B7974"/>
    <w:rsid w:val="002C0DD0"/>
    <w:rsid w:val="002C1808"/>
    <w:rsid w:val="002C1AB9"/>
    <w:rsid w:val="002C2D6E"/>
    <w:rsid w:val="002C3042"/>
    <w:rsid w:val="002C363B"/>
    <w:rsid w:val="002C3753"/>
    <w:rsid w:val="002C465A"/>
    <w:rsid w:val="002C666B"/>
    <w:rsid w:val="002C6C07"/>
    <w:rsid w:val="002C6E3F"/>
    <w:rsid w:val="002D13DD"/>
    <w:rsid w:val="002D1777"/>
    <w:rsid w:val="002D2F30"/>
    <w:rsid w:val="002D5C40"/>
    <w:rsid w:val="002D61AB"/>
    <w:rsid w:val="002D7BB2"/>
    <w:rsid w:val="002E1F2C"/>
    <w:rsid w:val="002E273F"/>
    <w:rsid w:val="002E28E9"/>
    <w:rsid w:val="002E3240"/>
    <w:rsid w:val="002E348F"/>
    <w:rsid w:val="002E36ED"/>
    <w:rsid w:val="002E6BFE"/>
    <w:rsid w:val="002F128F"/>
    <w:rsid w:val="002F4310"/>
    <w:rsid w:val="002F4865"/>
    <w:rsid w:val="002F499D"/>
    <w:rsid w:val="002F654F"/>
    <w:rsid w:val="002F6770"/>
    <w:rsid w:val="002F7B60"/>
    <w:rsid w:val="00306A74"/>
    <w:rsid w:val="0031003B"/>
    <w:rsid w:val="00313325"/>
    <w:rsid w:val="00313A4D"/>
    <w:rsid w:val="00313F34"/>
    <w:rsid w:val="00314DB9"/>
    <w:rsid w:val="0031707F"/>
    <w:rsid w:val="003175EE"/>
    <w:rsid w:val="00321BC7"/>
    <w:rsid w:val="00321E2F"/>
    <w:rsid w:val="00324865"/>
    <w:rsid w:val="00324E36"/>
    <w:rsid w:val="0032557C"/>
    <w:rsid w:val="00326478"/>
    <w:rsid w:val="00327742"/>
    <w:rsid w:val="0032788A"/>
    <w:rsid w:val="00331031"/>
    <w:rsid w:val="00331281"/>
    <w:rsid w:val="003333CF"/>
    <w:rsid w:val="003347D8"/>
    <w:rsid w:val="003347F8"/>
    <w:rsid w:val="003348AD"/>
    <w:rsid w:val="003350FF"/>
    <w:rsid w:val="003359F2"/>
    <w:rsid w:val="00340374"/>
    <w:rsid w:val="003405B0"/>
    <w:rsid w:val="00340734"/>
    <w:rsid w:val="0034095A"/>
    <w:rsid w:val="00340B45"/>
    <w:rsid w:val="00342E44"/>
    <w:rsid w:val="00343334"/>
    <w:rsid w:val="003439C3"/>
    <w:rsid w:val="00346F10"/>
    <w:rsid w:val="00347DC8"/>
    <w:rsid w:val="00350642"/>
    <w:rsid w:val="0035087B"/>
    <w:rsid w:val="00352E5D"/>
    <w:rsid w:val="003538B4"/>
    <w:rsid w:val="00353D3F"/>
    <w:rsid w:val="003546A7"/>
    <w:rsid w:val="00354E41"/>
    <w:rsid w:val="00355F7D"/>
    <w:rsid w:val="00356C0C"/>
    <w:rsid w:val="0036003D"/>
    <w:rsid w:val="003601EE"/>
    <w:rsid w:val="0036092F"/>
    <w:rsid w:val="0036212C"/>
    <w:rsid w:val="00363818"/>
    <w:rsid w:val="00364709"/>
    <w:rsid w:val="00365849"/>
    <w:rsid w:val="0036608F"/>
    <w:rsid w:val="00367761"/>
    <w:rsid w:val="003723EC"/>
    <w:rsid w:val="003725C2"/>
    <w:rsid w:val="00373228"/>
    <w:rsid w:val="0037398C"/>
    <w:rsid w:val="00373DDA"/>
    <w:rsid w:val="003751D4"/>
    <w:rsid w:val="0037765F"/>
    <w:rsid w:val="0037789B"/>
    <w:rsid w:val="003805C3"/>
    <w:rsid w:val="003808DC"/>
    <w:rsid w:val="00381040"/>
    <w:rsid w:val="003812EE"/>
    <w:rsid w:val="00381353"/>
    <w:rsid w:val="00381AD3"/>
    <w:rsid w:val="00381C4B"/>
    <w:rsid w:val="00381F6A"/>
    <w:rsid w:val="00382023"/>
    <w:rsid w:val="00382317"/>
    <w:rsid w:val="00382748"/>
    <w:rsid w:val="0038366B"/>
    <w:rsid w:val="00383E27"/>
    <w:rsid w:val="00384A33"/>
    <w:rsid w:val="00384F53"/>
    <w:rsid w:val="0038718B"/>
    <w:rsid w:val="00390037"/>
    <w:rsid w:val="00390F51"/>
    <w:rsid w:val="00391805"/>
    <w:rsid w:val="00392780"/>
    <w:rsid w:val="00394400"/>
    <w:rsid w:val="003965DB"/>
    <w:rsid w:val="003966A4"/>
    <w:rsid w:val="00397EA7"/>
    <w:rsid w:val="003A1873"/>
    <w:rsid w:val="003A33FD"/>
    <w:rsid w:val="003A389D"/>
    <w:rsid w:val="003A4099"/>
    <w:rsid w:val="003A48A3"/>
    <w:rsid w:val="003A4DEB"/>
    <w:rsid w:val="003A56B4"/>
    <w:rsid w:val="003A7CE9"/>
    <w:rsid w:val="003A7D94"/>
    <w:rsid w:val="003B074C"/>
    <w:rsid w:val="003B304F"/>
    <w:rsid w:val="003B36FD"/>
    <w:rsid w:val="003B52E3"/>
    <w:rsid w:val="003C0A14"/>
    <w:rsid w:val="003C1256"/>
    <w:rsid w:val="003C1404"/>
    <w:rsid w:val="003C2F63"/>
    <w:rsid w:val="003C309D"/>
    <w:rsid w:val="003C5D94"/>
    <w:rsid w:val="003C7A73"/>
    <w:rsid w:val="003D061C"/>
    <w:rsid w:val="003D16A0"/>
    <w:rsid w:val="003D188B"/>
    <w:rsid w:val="003D3B9A"/>
    <w:rsid w:val="003D42BA"/>
    <w:rsid w:val="003D4669"/>
    <w:rsid w:val="003D5E2A"/>
    <w:rsid w:val="003D6B57"/>
    <w:rsid w:val="003E015A"/>
    <w:rsid w:val="003E0880"/>
    <w:rsid w:val="003E0893"/>
    <w:rsid w:val="003E3CBC"/>
    <w:rsid w:val="003E4724"/>
    <w:rsid w:val="003E5316"/>
    <w:rsid w:val="003E5B81"/>
    <w:rsid w:val="003E63DA"/>
    <w:rsid w:val="003E6E9A"/>
    <w:rsid w:val="003F0052"/>
    <w:rsid w:val="003F080A"/>
    <w:rsid w:val="003F4609"/>
    <w:rsid w:val="003F4887"/>
    <w:rsid w:val="003F6718"/>
    <w:rsid w:val="0040036D"/>
    <w:rsid w:val="00400ACB"/>
    <w:rsid w:val="004014AC"/>
    <w:rsid w:val="00401EA9"/>
    <w:rsid w:val="00402BA3"/>
    <w:rsid w:val="0040556F"/>
    <w:rsid w:val="00405C57"/>
    <w:rsid w:val="0040634B"/>
    <w:rsid w:val="00406717"/>
    <w:rsid w:val="00406F15"/>
    <w:rsid w:val="00407DF5"/>
    <w:rsid w:val="004112B7"/>
    <w:rsid w:val="004113F2"/>
    <w:rsid w:val="0041189C"/>
    <w:rsid w:val="0041286B"/>
    <w:rsid w:val="00412E55"/>
    <w:rsid w:val="00412EDA"/>
    <w:rsid w:val="00413ED6"/>
    <w:rsid w:val="0041470D"/>
    <w:rsid w:val="00415306"/>
    <w:rsid w:val="004165A5"/>
    <w:rsid w:val="004165E0"/>
    <w:rsid w:val="0042020F"/>
    <w:rsid w:val="004209AD"/>
    <w:rsid w:val="00420E26"/>
    <w:rsid w:val="00423AB0"/>
    <w:rsid w:val="004241CA"/>
    <w:rsid w:val="00424DB7"/>
    <w:rsid w:val="0042508B"/>
    <w:rsid w:val="004255AF"/>
    <w:rsid w:val="00425EF9"/>
    <w:rsid w:val="0043056E"/>
    <w:rsid w:val="0043102C"/>
    <w:rsid w:val="00431D80"/>
    <w:rsid w:val="00432EDE"/>
    <w:rsid w:val="004346A4"/>
    <w:rsid w:val="00434E74"/>
    <w:rsid w:val="00435970"/>
    <w:rsid w:val="004366AC"/>
    <w:rsid w:val="00436879"/>
    <w:rsid w:val="00437C0C"/>
    <w:rsid w:val="00437DC8"/>
    <w:rsid w:val="00440935"/>
    <w:rsid w:val="0044137D"/>
    <w:rsid w:val="00441DE0"/>
    <w:rsid w:val="00442798"/>
    <w:rsid w:val="004428F8"/>
    <w:rsid w:val="004438EC"/>
    <w:rsid w:val="00445686"/>
    <w:rsid w:val="00446471"/>
    <w:rsid w:val="004470BD"/>
    <w:rsid w:val="00447425"/>
    <w:rsid w:val="00447F68"/>
    <w:rsid w:val="004508EB"/>
    <w:rsid w:val="00453341"/>
    <w:rsid w:val="00453751"/>
    <w:rsid w:val="00453947"/>
    <w:rsid w:val="00456A2C"/>
    <w:rsid w:val="00460668"/>
    <w:rsid w:val="004611C1"/>
    <w:rsid w:val="00465AF5"/>
    <w:rsid w:val="004661B0"/>
    <w:rsid w:val="00467CFF"/>
    <w:rsid w:val="004701CE"/>
    <w:rsid w:val="004702BD"/>
    <w:rsid w:val="00470775"/>
    <w:rsid w:val="00473A7F"/>
    <w:rsid w:val="00473E7D"/>
    <w:rsid w:val="0047596E"/>
    <w:rsid w:val="00477865"/>
    <w:rsid w:val="0048021F"/>
    <w:rsid w:val="00484599"/>
    <w:rsid w:val="004851C5"/>
    <w:rsid w:val="00485F0D"/>
    <w:rsid w:val="00487EFD"/>
    <w:rsid w:val="00490E4A"/>
    <w:rsid w:val="004911DC"/>
    <w:rsid w:val="004944B6"/>
    <w:rsid w:val="00494A80"/>
    <w:rsid w:val="00496DA9"/>
    <w:rsid w:val="004A4630"/>
    <w:rsid w:val="004A4A17"/>
    <w:rsid w:val="004A4CC2"/>
    <w:rsid w:val="004A7952"/>
    <w:rsid w:val="004A7AFF"/>
    <w:rsid w:val="004B1465"/>
    <w:rsid w:val="004B5555"/>
    <w:rsid w:val="004B6A9B"/>
    <w:rsid w:val="004C0A57"/>
    <w:rsid w:val="004C4320"/>
    <w:rsid w:val="004C5584"/>
    <w:rsid w:val="004C6B9E"/>
    <w:rsid w:val="004C6C6E"/>
    <w:rsid w:val="004C780E"/>
    <w:rsid w:val="004D090D"/>
    <w:rsid w:val="004D14D8"/>
    <w:rsid w:val="004D3D91"/>
    <w:rsid w:val="004D4292"/>
    <w:rsid w:val="004D4549"/>
    <w:rsid w:val="004D4BA7"/>
    <w:rsid w:val="004D5ACE"/>
    <w:rsid w:val="004D5BB9"/>
    <w:rsid w:val="004D7834"/>
    <w:rsid w:val="004D7BF8"/>
    <w:rsid w:val="004E01E1"/>
    <w:rsid w:val="004E0B7A"/>
    <w:rsid w:val="004E0B8E"/>
    <w:rsid w:val="004E1894"/>
    <w:rsid w:val="004E2CF6"/>
    <w:rsid w:val="004E2D77"/>
    <w:rsid w:val="004E3BBF"/>
    <w:rsid w:val="004E518C"/>
    <w:rsid w:val="004E6F94"/>
    <w:rsid w:val="004E7578"/>
    <w:rsid w:val="004F0107"/>
    <w:rsid w:val="004F1699"/>
    <w:rsid w:val="004F3090"/>
    <w:rsid w:val="004F4346"/>
    <w:rsid w:val="004F489A"/>
    <w:rsid w:val="004F4A39"/>
    <w:rsid w:val="004F4D75"/>
    <w:rsid w:val="004F5F21"/>
    <w:rsid w:val="004F66D0"/>
    <w:rsid w:val="004F6747"/>
    <w:rsid w:val="00500F88"/>
    <w:rsid w:val="00504154"/>
    <w:rsid w:val="00504223"/>
    <w:rsid w:val="0050477B"/>
    <w:rsid w:val="005057CC"/>
    <w:rsid w:val="00505858"/>
    <w:rsid w:val="00505A9A"/>
    <w:rsid w:val="00505F80"/>
    <w:rsid w:val="00507E86"/>
    <w:rsid w:val="0051089D"/>
    <w:rsid w:val="005115F3"/>
    <w:rsid w:val="00512BF2"/>
    <w:rsid w:val="00513834"/>
    <w:rsid w:val="00514908"/>
    <w:rsid w:val="00514A6D"/>
    <w:rsid w:val="00515EB7"/>
    <w:rsid w:val="00520518"/>
    <w:rsid w:val="005209D7"/>
    <w:rsid w:val="00520CD4"/>
    <w:rsid w:val="0052205A"/>
    <w:rsid w:val="00523D1E"/>
    <w:rsid w:val="0052537E"/>
    <w:rsid w:val="00525F48"/>
    <w:rsid w:val="0052611C"/>
    <w:rsid w:val="005261F1"/>
    <w:rsid w:val="00526784"/>
    <w:rsid w:val="00526E2C"/>
    <w:rsid w:val="00527CD2"/>
    <w:rsid w:val="0053199E"/>
    <w:rsid w:val="00533FFC"/>
    <w:rsid w:val="0053539D"/>
    <w:rsid w:val="005361E0"/>
    <w:rsid w:val="00540570"/>
    <w:rsid w:val="005437CF"/>
    <w:rsid w:val="0054482C"/>
    <w:rsid w:val="00547B5A"/>
    <w:rsid w:val="00550047"/>
    <w:rsid w:val="00550282"/>
    <w:rsid w:val="0055130D"/>
    <w:rsid w:val="005550DD"/>
    <w:rsid w:val="00555359"/>
    <w:rsid w:val="005554AD"/>
    <w:rsid w:val="005562DA"/>
    <w:rsid w:val="005575BA"/>
    <w:rsid w:val="00557DC5"/>
    <w:rsid w:val="00560F77"/>
    <w:rsid w:val="00561EA3"/>
    <w:rsid w:val="005624A0"/>
    <w:rsid w:val="005635C8"/>
    <w:rsid w:val="00564B12"/>
    <w:rsid w:val="0056550D"/>
    <w:rsid w:val="005659AC"/>
    <w:rsid w:val="005665E1"/>
    <w:rsid w:val="00567592"/>
    <w:rsid w:val="00567B55"/>
    <w:rsid w:val="005701BB"/>
    <w:rsid w:val="005709B5"/>
    <w:rsid w:val="00570BB9"/>
    <w:rsid w:val="005712A8"/>
    <w:rsid w:val="00572418"/>
    <w:rsid w:val="00572A77"/>
    <w:rsid w:val="00573BE5"/>
    <w:rsid w:val="00574301"/>
    <w:rsid w:val="0057463F"/>
    <w:rsid w:val="00574806"/>
    <w:rsid w:val="00574D92"/>
    <w:rsid w:val="005752A3"/>
    <w:rsid w:val="00575CB7"/>
    <w:rsid w:val="00580F55"/>
    <w:rsid w:val="00583F70"/>
    <w:rsid w:val="00584D05"/>
    <w:rsid w:val="0058523D"/>
    <w:rsid w:val="00586934"/>
    <w:rsid w:val="00587C00"/>
    <w:rsid w:val="00587E4F"/>
    <w:rsid w:val="00591BBD"/>
    <w:rsid w:val="0059449D"/>
    <w:rsid w:val="00597E4B"/>
    <w:rsid w:val="005A1260"/>
    <w:rsid w:val="005A2FA1"/>
    <w:rsid w:val="005A3014"/>
    <w:rsid w:val="005A35B6"/>
    <w:rsid w:val="005A50A0"/>
    <w:rsid w:val="005A6740"/>
    <w:rsid w:val="005A77C9"/>
    <w:rsid w:val="005A7A37"/>
    <w:rsid w:val="005B03C3"/>
    <w:rsid w:val="005B0C96"/>
    <w:rsid w:val="005B1244"/>
    <w:rsid w:val="005B214B"/>
    <w:rsid w:val="005B3314"/>
    <w:rsid w:val="005B3467"/>
    <w:rsid w:val="005B5AF6"/>
    <w:rsid w:val="005B61FE"/>
    <w:rsid w:val="005B6687"/>
    <w:rsid w:val="005C0F07"/>
    <w:rsid w:val="005C177B"/>
    <w:rsid w:val="005C1CA1"/>
    <w:rsid w:val="005C2DE6"/>
    <w:rsid w:val="005C3E05"/>
    <w:rsid w:val="005C4EBF"/>
    <w:rsid w:val="005C5098"/>
    <w:rsid w:val="005C58EB"/>
    <w:rsid w:val="005C63D9"/>
    <w:rsid w:val="005D088D"/>
    <w:rsid w:val="005D1A7D"/>
    <w:rsid w:val="005D1D9B"/>
    <w:rsid w:val="005D1F21"/>
    <w:rsid w:val="005D2C4E"/>
    <w:rsid w:val="005D392F"/>
    <w:rsid w:val="005D57AA"/>
    <w:rsid w:val="005D5D39"/>
    <w:rsid w:val="005D78A2"/>
    <w:rsid w:val="005D7E32"/>
    <w:rsid w:val="005E1C52"/>
    <w:rsid w:val="005E2E68"/>
    <w:rsid w:val="005E33D2"/>
    <w:rsid w:val="005E41E1"/>
    <w:rsid w:val="005E4BD2"/>
    <w:rsid w:val="005E501E"/>
    <w:rsid w:val="005E50F3"/>
    <w:rsid w:val="005E5F00"/>
    <w:rsid w:val="005F2D4C"/>
    <w:rsid w:val="005F37D4"/>
    <w:rsid w:val="005F42D2"/>
    <w:rsid w:val="005F4DD9"/>
    <w:rsid w:val="005F51F9"/>
    <w:rsid w:val="005F67E2"/>
    <w:rsid w:val="006020D9"/>
    <w:rsid w:val="0060267A"/>
    <w:rsid w:val="006030D6"/>
    <w:rsid w:val="00605007"/>
    <w:rsid w:val="006105B3"/>
    <w:rsid w:val="006119B8"/>
    <w:rsid w:val="00613A60"/>
    <w:rsid w:val="00614CD3"/>
    <w:rsid w:val="00616BF1"/>
    <w:rsid w:val="0062043A"/>
    <w:rsid w:val="00620808"/>
    <w:rsid w:val="006217E3"/>
    <w:rsid w:val="00621A67"/>
    <w:rsid w:val="00621EDB"/>
    <w:rsid w:val="006232A3"/>
    <w:rsid w:val="006242DF"/>
    <w:rsid w:val="0062497C"/>
    <w:rsid w:val="00624EB7"/>
    <w:rsid w:val="0062600E"/>
    <w:rsid w:val="00626EC9"/>
    <w:rsid w:val="0062778A"/>
    <w:rsid w:val="00633FA5"/>
    <w:rsid w:val="00636643"/>
    <w:rsid w:val="00636EE6"/>
    <w:rsid w:val="00637F16"/>
    <w:rsid w:val="00640570"/>
    <w:rsid w:val="00640CB0"/>
    <w:rsid w:val="00641143"/>
    <w:rsid w:val="0064267E"/>
    <w:rsid w:val="006430FF"/>
    <w:rsid w:val="0064347A"/>
    <w:rsid w:val="00643967"/>
    <w:rsid w:val="00647882"/>
    <w:rsid w:val="00647F9D"/>
    <w:rsid w:val="006502AB"/>
    <w:rsid w:val="00651177"/>
    <w:rsid w:val="0065343A"/>
    <w:rsid w:val="00653B74"/>
    <w:rsid w:val="006569FD"/>
    <w:rsid w:val="0066096D"/>
    <w:rsid w:val="0066100B"/>
    <w:rsid w:val="0066219C"/>
    <w:rsid w:val="0066654B"/>
    <w:rsid w:val="00666B1D"/>
    <w:rsid w:val="006672FF"/>
    <w:rsid w:val="00671816"/>
    <w:rsid w:val="006724CA"/>
    <w:rsid w:val="006727E9"/>
    <w:rsid w:val="006746CD"/>
    <w:rsid w:val="00674DB1"/>
    <w:rsid w:val="00677156"/>
    <w:rsid w:val="006779A1"/>
    <w:rsid w:val="006807B3"/>
    <w:rsid w:val="006813A4"/>
    <w:rsid w:val="00681F77"/>
    <w:rsid w:val="006823B3"/>
    <w:rsid w:val="00682BA0"/>
    <w:rsid w:val="00682E7A"/>
    <w:rsid w:val="006836D3"/>
    <w:rsid w:val="0068390A"/>
    <w:rsid w:val="006855D3"/>
    <w:rsid w:val="00685D06"/>
    <w:rsid w:val="00686202"/>
    <w:rsid w:val="00690243"/>
    <w:rsid w:val="0069139A"/>
    <w:rsid w:val="006917A7"/>
    <w:rsid w:val="00691862"/>
    <w:rsid w:val="0069219F"/>
    <w:rsid w:val="006944EB"/>
    <w:rsid w:val="00694C2D"/>
    <w:rsid w:val="00696BD0"/>
    <w:rsid w:val="006A00B7"/>
    <w:rsid w:val="006A0563"/>
    <w:rsid w:val="006A134B"/>
    <w:rsid w:val="006A1B12"/>
    <w:rsid w:val="006A229F"/>
    <w:rsid w:val="006A34AC"/>
    <w:rsid w:val="006A46A7"/>
    <w:rsid w:val="006A4D18"/>
    <w:rsid w:val="006A50E4"/>
    <w:rsid w:val="006A7371"/>
    <w:rsid w:val="006B34C9"/>
    <w:rsid w:val="006B399A"/>
    <w:rsid w:val="006B4795"/>
    <w:rsid w:val="006B5791"/>
    <w:rsid w:val="006B60A2"/>
    <w:rsid w:val="006B6798"/>
    <w:rsid w:val="006B77BE"/>
    <w:rsid w:val="006B7B54"/>
    <w:rsid w:val="006C0F76"/>
    <w:rsid w:val="006C1340"/>
    <w:rsid w:val="006C23C2"/>
    <w:rsid w:val="006C33AC"/>
    <w:rsid w:val="006C5C39"/>
    <w:rsid w:val="006C723E"/>
    <w:rsid w:val="006C7B71"/>
    <w:rsid w:val="006D01E3"/>
    <w:rsid w:val="006D3A6D"/>
    <w:rsid w:val="006D46C6"/>
    <w:rsid w:val="006D4F91"/>
    <w:rsid w:val="006D5556"/>
    <w:rsid w:val="006D6DB3"/>
    <w:rsid w:val="006E0419"/>
    <w:rsid w:val="006E0CF5"/>
    <w:rsid w:val="006E15B5"/>
    <w:rsid w:val="006E31A3"/>
    <w:rsid w:val="006E45CC"/>
    <w:rsid w:val="006E4A62"/>
    <w:rsid w:val="006E5C6C"/>
    <w:rsid w:val="006E63DE"/>
    <w:rsid w:val="006E6A42"/>
    <w:rsid w:val="006E70D1"/>
    <w:rsid w:val="006F137B"/>
    <w:rsid w:val="006F1DC1"/>
    <w:rsid w:val="006F2292"/>
    <w:rsid w:val="006F31D7"/>
    <w:rsid w:val="006F3670"/>
    <w:rsid w:val="006F3932"/>
    <w:rsid w:val="006F3B2C"/>
    <w:rsid w:val="006F4901"/>
    <w:rsid w:val="006F617A"/>
    <w:rsid w:val="006F6D52"/>
    <w:rsid w:val="007001BB"/>
    <w:rsid w:val="0070184C"/>
    <w:rsid w:val="007028E7"/>
    <w:rsid w:val="007039B7"/>
    <w:rsid w:val="00704082"/>
    <w:rsid w:val="00704CA3"/>
    <w:rsid w:val="007077DC"/>
    <w:rsid w:val="00707DAE"/>
    <w:rsid w:val="007100E9"/>
    <w:rsid w:val="00710C2B"/>
    <w:rsid w:val="00713A2A"/>
    <w:rsid w:val="00713D73"/>
    <w:rsid w:val="00714C9D"/>
    <w:rsid w:val="00714F31"/>
    <w:rsid w:val="0071593B"/>
    <w:rsid w:val="007219F6"/>
    <w:rsid w:val="00722046"/>
    <w:rsid w:val="00722CFC"/>
    <w:rsid w:val="0072440A"/>
    <w:rsid w:val="00724504"/>
    <w:rsid w:val="007247EB"/>
    <w:rsid w:val="007257D4"/>
    <w:rsid w:val="00726485"/>
    <w:rsid w:val="00726F2B"/>
    <w:rsid w:val="0073271B"/>
    <w:rsid w:val="00732F1A"/>
    <w:rsid w:val="00733151"/>
    <w:rsid w:val="00734A87"/>
    <w:rsid w:val="00734CF6"/>
    <w:rsid w:val="00735189"/>
    <w:rsid w:val="007360FB"/>
    <w:rsid w:val="007369A0"/>
    <w:rsid w:val="00737CD3"/>
    <w:rsid w:val="007400A8"/>
    <w:rsid w:val="00740E6A"/>
    <w:rsid w:val="007413D9"/>
    <w:rsid w:val="0074150C"/>
    <w:rsid w:val="007434B4"/>
    <w:rsid w:val="00744360"/>
    <w:rsid w:val="00745685"/>
    <w:rsid w:val="0074593E"/>
    <w:rsid w:val="007460BC"/>
    <w:rsid w:val="00746586"/>
    <w:rsid w:val="00747190"/>
    <w:rsid w:val="00747779"/>
    <w:rsid w:val="00747DDA"/>
    <w:rsid w:val="00747F03"/>
    <w:rsid w:val="00750446"/>
    <w:rsid w:val="00751132"/>
    <w:rsid w:val="00751F7C"/>
    <w:rsid w:val="0075391E"/>
    <w:rsid w:val="00753FAF"/>
    <w:rsid w:val="0075519B"/>
    <w:rsid w:val="00755F77"/>
    <w:rsid w:val="007567BC"/>
    <w:rsid w:val="007568EE"/>
    <w:rsid w:val="007601F3"/>
    <w:rsid w:val="007606C3"/>
    <w:rsid w:val="00760E64"/>
    <w:rsid w:val="007611A9"/>
    <w:rsid w:val="00761C5D"/>
    <w:rsid w:val="00761F02"/>
    <w:rsid w:val="0076488F"/>
    <w:rsid w:val="00765AED"/>
    <w:rsid w:val="007662F0"/>
    <w:rsid w:val="0076675E"/>
    <w:rsid w:val="0076684A"/>
    <w:rsid w:val="00767220"/>
    <w:rsid w:val="00771DE6"/>
    <w:rsid w:val="007723AB"/>
    <w:rsid w:val="0077276B"/>
    <w:rsid w:val="007741AD"/>
    <w:rsid w:val="00774632"/>
    <w:rsid w:val="00775065"/>
    <w:rsid w:val="00777B6C"/>
    <w:rsid w:val="00780CB0"/>
    <w:rsid w:val="007847B2"/>
    <w:rsid w:val="00785730"/>
    <w:rsid w:val="00785952"/>
    <w:rsid w:val="00785A28"/>
    <w:rsid w:val="00786755"/>
    <w:rsid w:val="00786C4A"/>
    <w:rsid w:val="00787111"/>
    <w:rsid w:val="0078751B"/>
    <w:rsid w:val="00787713"/>
    <w:rsid w:val="00787B90"/>
    <w:rsid w:val="00791A94"/>
    <w:rsid w:val="007928E2"/>
    <w:rsid w:val="007936B7"/>
    <w:rsid w:val="007938A2"/>
    <w:rsid w:val="00793C99"/>
    <w:rsid w:val="007946C7"/>
    <w:rsid w:val="007948EB"/>
    <w:rsid w:val="0079531F"/>
    <w:rsid w:val="00795D1A"/>
    <w:rsid w:val="007972B8"/>
    <w:rsid w:val="00797518"/>
    <w:rsid w:val="007A33DB"/>
    <w:rsid w:val="007A3ABD"/>
    <w:rsid w:val="007A4B56"/>
    <w:rsid w:val="007A54CF"/>
    <w:rsid w:val="007A5DDD"/>
    <w:rsid w:val="007A69F1"/>
    <w:rsid w:val="007A6B90"/>
    <w:rsid w:val="007A6D7B"/>
    <w:rsid w:val="007B0338"/>
    <w:rsid w:val="007B0520"/>
    <w:rsid w:val="007B2232"/>
    <w:rsid w:val="007B4A00"/>
    <w:rsid w:val="007B644C"/>
    <w:rsid w:val="007B65F8"/>
    <w:rsid w:val="007B7094"/>
    <w:rsid w:val="007C2C9D"/>
    <w:rsid w:val="007C302F"/>
    <w:rsid w:val="007C5C1F"/>
    <w:rsid w:val="007C6ED7"/>
    <w:rsid w:val="007C76F3"/>
    <w:rsid w:val="007D1565"/>
    <w:rsid w:val="007D23C8"/>
    <w:rsid w:val="007D348B"/>
    <w:rsid w:val="007D3A8A"/>
    <w:rsid w:val="007D405F"/>
    <w:rsid w:val="007D460B"/>
    <w:rsid w:val="007D4EAE"/>
    <w:rsid w:val="007D57AF"/>
    <w:rsid w:val="007D5C23"/>
    <w:rsid w:val="007D6E84"/>
    <w:rsid w:val="007D71A8"/>
    <w:rsid w:val="007D7812"/>
    <w:rsid w:val="007E0993"/>
    <w:rsid w:val="007E1305"/>
    <w:rsid w:val="007E1DC0"/>
    <w:rsid w:val="007E2C2B"/>
    <w:rsid w:val="007E2EF7"/>
    <w:rsid w:val="007E2F36"/>
    <w:rsid w:val="007E484A"/>
    <w:rsid w:val="007E4969"/>
    <w:rsid w:val="007E5152"/>
    <w:rsid w:val="007E5BC4"/>
    <w:rsid w:val="007F1267"/>
    <w:rsid w:val="007F4BD4"/>
    <w:rsid w:val="007F547A"/>
    <w:rsid w:val="007F589A"/>
    <w:rsid w:val="007F5A41"/>
    <w:rsid w:val="007F5C7E"/>
    <w:rsid w:val="007F5C8A"/>
    <w:rsid w:val="007F6ECA"/>
    <w:rsid w:val="00801B24"/>
    <w:rsid w:val="008022FA"/>
    <w:rsid w:val="00802842"/>
    <w:rsid w:val="008029A3"/>
    <w:rsid w:val="00802D88"/>
    <w:rsid w:val="008041E9"/>
    <w:rsid w:val="0080530F"/>
    <w:rsid w:val="00805524"/>
    <w:rsid w:val="00805B8A"/>
    <w:rsid w:val="00805E68"/>
    <w:rsid w:val="008067C0"/>
    <w:rsid w:val="00807280"/>
    <w:rsid w:val="00807527"/>
    <w:rsid w:val="008100B3"/>
    <w:rsid w:val="008137E0"/>
    <w:rsid w:val="00814617"/>
    <w:rsid w:val="00814F1A"/>
    <w:rsid w:val="008168BB"/>
    <w:rsid w:val="008171F2"/>
    <w:rsid w:val="008205E0"/>
    <w:rsid w:val="00820C24"/>
    <w:rsid w:val="00821AAC"/>
    <w:rsid w:val="0082253F"/>
    <w:rsid w:val="00823B5F"/>
    <w:rsid w:val="00824B7E"/>
    <w:rsid w:val="00826A07"/>
    <w:rsid w:val="00826FDC"/>
    <w:rsid w:val="008327F1"/>
    <w:rsid w:val="0083358D"/>
    <w:rsid w:val="00833685"/>
    <w:rsid w:val="00833C50"/>
    <w:rsid w:val="008348A7"/>
    <w:rsid w:val="008368A0"/>
    <w:rsid w:val="00840AB2"/>
    <w:rsid w:val="008417A5"/>
    <w:rsid w:val="00844C56"/>
    <w:rsid w:val="00845C17"/>
    <w:rsid w:val="00846C2C"/>
    <w:rsid w:val="0085129C"/>
    <w:rsid w:val="00852675"/>
    <w:rsid w:val="00852853"/>
    <w:rsid w:val="008558C2"/>
    <w:rsid w:val="008570AA"/>
    <w:rsid w:val="00860E07"/>
    <w:rsid w:val="008613AD"/>
    <w:rsid w:val="0086223C"/>
    <w:rsid w:val="00862AC9"/>
    <w:rsid w:val="00862E2B"/>
    <w:rsid w:val="00865FEB"/>
    <w:rsid w:val="0086659F"/>
    <w:rsid w:val="008706F9"/>
    <w:rsid w:val="00871A49"/>
    <w:rsid w:val="00871BBB"/>
    <w:rsid w:val="00873CDE"/>
    <w:rsid w:val="00874C18"/>
    <w:rsid w:val="00876925"/>
    <w:rsid w:val="00877941"/>
    <w:rsid w:val="0088016F"/>
    <w:rsid w:val="00880359"/>
    <w:rsid w:val="0088062D"/>
    <w:rsid w:val="00880C22"/>
    <w:rsid w:val="00881408"/>
    <w:rsid w:val="008821CE"/>
    <w:rsid w:val="00882419"/>
    <w:rsid w:val="008828A3"/>
    <w:rsid w:val="00882F88"/>
    <w:rsid w:val="00884527"/>
    <w:rsid w:val="00885429"/>
    <w:rsid w:val="008862FF"/>
    <w:rsid w:val="00886FAE"/>
    <w:rsid w:val="00887570"/>
    <w:rsid w:val="0088767A"/>
    <w:rsid w:val="00892D2C"/>
    <w:rsid w:val="00892D68"/>
    <w:rsid w:val="00893531"/>
    <w:rsid w:val="008939A9"/>
    <w:rsid w:val="008952DA"/>
    <w:rsid w:val="00895D20"/>
    <w:rsid w:val="008961A9"/>
    <w:rsid w:val="00897703"/>
    <w:rsid w:val="00897720"/>
    <w:rsid w:val="008978AE"/>
    <w:rsid w:val="008A1CC1"/>
    <w:rsid w:val="008A1E03"/>
    <w:rsid w:val="008A400C"/>
    <w:rsid w:val="008A64F6"/>
    <w:rsid w:val="008A664A"/>
    <w:rsid w:val="008A6C2A"/>
    <w:rsid w:val="008A75A2"/>
    <w:rsid w:val="008A7762"/>
    <w:rsid w:val="008B064A"/>
    <w:rsid w:val="008B4D06"/>
    <w:rsid w:val="008B4ECD"/>
    <w:rsid w:val="008B685F"/>
    <w:rsid w:val="008B7C74"/>
    <w:rsid w:val="008B7E9E"/>
    <w:rsid w:val="008C008E"/>
    <w:rsid w:val="008C2834"/>
    <w:rsid w:val="008C29DE"/>
    <w:rsid w:val="008C2DE1"/>
    <w:rsid w:val="008C3A07"/>
    <w:rsid w:val="008C41AF"/>
    <w:rsid w:val="008C47C2"/>
    <w:rsid w:val="008C6C96"/>
    <w:rsid w:val="008D0C02"/>
    <w:rsid w:val="008D201F"/>
    <w:rsid w:val="008D3FC4"/>
    <w:rsid w:val="008D4662"/>
    <w:rsid w:val="008D499A"/>
    <w:rsid w:val="008D4A08"/>
    <w:rsid w:val="008D5A64"/>
    <w:rsid w:val="008D63C6"/>
    <w:rsid w:val="008D71E1"/>
    <w:rsid w:val="008E1B2E"/>
    <w:rsid w:val="008E290D"/>
    <w:rsid w:val="008E2E02"/>
    <w:rsid w:val="008E3392"/>
    <w:rsid w:val="008E3C1A"/>
    <w:rsid w:val="008E6DFB"/>
    <w:rsid w:val="008F0CF3"/>
    <w:rsid w:val="008F1C57"/>
    <w:rsid w:val="008F587E"/>
    <w:rsid w:val="008F63FC"/>
    <w:rsid w:val="008F6500"/>
    <w:rsid w:val="008F73EE"/>
    <w:rsid w:val="00901406"/>
    <w:rsid w:val="00901880"/>
    <w:rsid w:val="00901F5B"/>
    <w:rsid w:val="0090312E"/>
    <w:rsid w:val="00903231"/>
    <w:rsid w:val="00903A32"/>
    <w:rsid w:val="00904FDD"/>
    <w:rsid w:val="009055CB"/>
    <w:rsid w:val="009069C0"/>
    <w:rsid w:val="0090766C"/>
    <w:rsid w:val="009104BE"/>
    <w:rsid w:val="00910FB9"/>
    <w:rsid w:val="0091102F"/>
    <w:rsid w:val="00914055"/>
    <w:rsid w:val="00915C2A"/>
    <w:rsid w:val="00916580"/>
    <w:rsid w:val="009179EE"/>
    <w:rsid w:val="00917B30"/>
    <w:rsid w:val="00921556"/>
    <w:rsid w:val="0092181D"/>
    <w:rsid w:val="009220E1"/>
    <w:rsid w:val="009226FF"/>
    <w:rsid w:val="00922BF1"/>
    <w:rsid w:val="00922DDF"/>
    <w:rsid w:val="00923948"/>
    <w:rsid w:val="009258D3"/>
    <w:rsid w:val="00926E98"/>
    <w:rsid w:val="0093049E"/>
    <w:rsid w:val="00931B58"/>
    <w:rsid w:val="00932D24"/>
    <w:rsid w:val="0093449D"/>
    <w:rsid w:val="009348E6"/>
    <w:rsid w:val="0093744F"/>
    <w:rsid w:val="009438E2"/>
    <w:rsid w:val="00943F2F"/>
    <w:rsid w:val="009440E8"/>
    <w:rsid w:val="0094476B"/>
    <w:rsid w:val="009471C8"/>
    <w:rsid w:val="00950768"/>
    <w:rsid w:val="00951E05"/>
    <w:rsid w:val="0095283A"/>
    <w:rsid w:val="00953295"/>
    <w:rsid w:val="009533D4"/>
    <w:rsid w:val="009536C0"/>
    <w:rsid w:val="00953D9C"/>
    <w:rsid w:val="00953F1D"/>
    <w:rsid w:val="00955A0A"/>
    <w:rsid w:val="00956792"/>
    <w:rsid w:val="009575AE"/>
    <w:rsid w:val="0096037C"/>
    <w:rsid w:val="009605C3"/>
    <w:rsid w:val="00960AEF"/>
    <w:rsid w:val="00963B89"/>
    <w:rsid w:val="00964404"/>
    <w:rsid w:val="009663CE"/>
    <w:rsid w:val="00966666"/>
    <w:rsid w:val="00966A87"/>
    <w:rsid w:val="00967B29"/>
    <w:rsid w:val="00967EB5"/>
    <w:rsid w:val="0097053B"/>
    <w:rsid w:val="009716E8"/>
    <w:rsid w:val="00971999"/>
    <w:rsid w:val="0097247C"/>
    <w:rsid w:val="009735E6"/>
    <w:rsid w:val="00974D37"/>
    <w:rsid w:val="00974E44"/>
    <w:rsid w:val="009764A4"/>
    <w:rsid w:val="009771AA"/>
    <w:rsid w:val="0098151F"/>
    <w:rsid w:val="009822F0"/>
    <w:rsid w:val="00982999"/>
    <w:rsid w:val="00983A67"/>
    <w:rsid w:val="00983B75"/>
    <w:rsid w:val="009864CF"/>
    <w:rsid w:val="009868D4"/>
    <w:rsid w:val="0099031D"/>
    <w:rsid w:val="00991B04"/>
    <w:rsid w:val="00991EB4"/>
    <w:rsid w:val="009928A8"/>
    <w:rsid w:val="00992BAF"/>
    <w:rsid w:val="00992F43"/>
    <w:rsid w:val="00993871"/>
    <w:rsid w:val="00994C2B"/>
    <w:rsid w:val="00994DAF"/>
    <w:rsid w:val="00996B4D"/>
    <w:rsid w:val="00996D0D"/>
    <w:rsid w:val="009A0AA3"/>
    <w:rsid w:val="009A30BF"/>
    <w:rsid w:val="009A3F9F"/>
    <w:rsid w:val="009A4C47"/>
    <w:rsid w:val="009A5E9C"/>
    <w:rsid w:val="009A7525"/>
    <w:rsid w:val="009B06BC"/>
    <w:rsid w:val="009B1169"/>
    <w:rsid w:val="009B1F47"/>
    <w:rsid w:val="009B2B6A"/>
    <w:rsid w:val="009B327E"/>
    <w:rsid w:val="009B339A"/>
    <w:rsid w:val="009B4D71"/>
    <w:rsid w:val="009B56E8"/>
    <w:rsid w:val="009C101A"/>
    <w:rsid w:val="009C120F"/>
    <w:rsid w:val="009C29F4"/>
    <w:rsid w:val="009C2F1E"/>
    <w:rsid w:val="009C39BD"/>
    <w:rsid w:val="009D09B9"/>
    <w:rsid w:val="009D7095"/>
    <w:rsid w:val="009E04AF"/>
    <w:rsid w:val="009E4A6F"/>
    <w:rsid w:val="009E4ECA"/>
    <w:rsid w:val="009E5BB5"/>
    <w:rsid w:val="009E69CC"/>
    <w:rsid w:val="009F3C62"/>
    <w:rsid w:val="009F6612"/>
    <w:rsid w:val="009F7FB0"/>
    <w:rsid w:val="00A010BF"/>
    <w:rsid w:val="00A0440E"/>
    <w:rsid w:val="00A055A2"/>
    <w:rsid w:val="00A05BDC"/>
    <w:rsid w:val="00A068BD"/>
    <w:rsid w:val="00A079C5"/>
    <w:rsid w:val="00A10993"/>
    <w:rsid w:val="00A10DF5"/>
    <w:rsid w:val="00A1238E"/>
    <w:rsid w:val="00A147BA"/>
    <w:rsid w:val="00A14F25"/>
    <w:rsid w:val="00A2099A"/>
    <w:rsid w:val="00A20DB6"/>
    <w:rsid w:val="00A21A8D"/>
    <w:rsid w:val="00A21F26"/>
    <w:rsid w:val="00A23123"/>
    <w:rsid w:val="00A251BE"/>
    <w:rsid w:val="00A27620"/>
    <w:rsid w:val="00A308A5"/>
    <w:rsid w:val="00A30C20"/>
    <w:rsid w:val="00A31C0C"/>
    <w:rsid w:val="00A32970"/>
    <w:rsid w:val="00A340D8"/>
    <w:rsid w:val="00A35822"/>
    <w:rsid w:val="00A364E0"/>
    <w:rsid w:val="00A3740A"/>
    <w:rsid w:val="00A40483"/>
    <w:rsid w:val="00A40786"/>
    <w:rsid w:val="00A410EA"/>
    <w:rsid w:val="00A43F6D"/>
    <w:rsid w:val="00A44AA1"/>
    <w:rsid w:val="00A45D07"/>
    <w:rsid w:val="00A47B85"/>
    <w:rsid w:val="00A51B00"/>
    <w:rsid w:val="00A53A4C"/>
    <w:rsid w:val="00A53AA9"/>
    <w:rsid w:val="00A54ADC"/>
    <w:rsid w:val="00A572BD"/>
    <w:rsid w:val="00A57B0B"/>
    <w:rsid w:val="00A60510"/>
    <w:rsid w:val="00A611BB"/>
    <w:rsid w:val="00A61D29"/>
    <w:rsid w:val="00A64028"/>
    <w:rsid w:val="00A64425"/>
    <w:rsid w:val="00A66324"/>
    <w:rsid w:val="00A668FB"/>
    <w:rsid w:val="00A6702B"/>
    <w:rsid w:val="00A67272"/>
    <w:rsid w:val="00A71189"/>
    <w:rsid w:val="00A71D21"/>
    <w:rsid w:val="00A73A8A"/>
    <w:rsid w:val="00A74F07"/>
    <w:rsid w:val="00A76084"/>
    <w:rsid w:val="00A806A9"/>
    <w:rsid w:val="00A807C8"/>
    <w:rsid w:val="00A81C21"/>
    <w:rsid w:val="00A83F45"/>
    <w:rsid w:val="00A8400E"/>
    <w:rsid w:val="00A869D6"/>
    <w:rsid w:val="00A86ECE"/>
    <w:rsid w:val="00A878D8"/>
    <w:rsid w:val="00A90B18"/>
    <w:rsid w:val="00A92883"/>
    <w:rsid w:val="00A92E92"/>
    <w:rsid w:val="00A93090"/>
    <w:rsid w:val="00A933B4"/>
    <w:rsid w:val="00A95A9A"/>
    <w:rsid w:val="00A95AC6"/>
    <w:rsid w:val="00A96972"/>
    <w:rsid w:val="00A9710F"/>
    <w:rsid w:val="00A979CB"/>
    <w:rsid w:val="00A97EBD"/>
    <w:rsid w:val="00AA4277"/>
    <w:rsid w:val="00AA4545"/>
    <w:rsid w:val="00AA6414"/>
    <w:rsid w:val="00AB03B3"/>
    <w:rsid w:val="00AB05A0"/>
    <w:rsid w:val="00AB126F"/>
    <w:rsid w:val="00AB1312"/>
    <w:rsid w:val="00AB179F"/>
    <w:rsid w:val="00AB210D"/>
    <w:rsid w:val="00AB4CFA"/>
    <w:rsid w:val="00AB5225"/>
    <w:rsid w:val="00AB621A"/>
    <w:rsid w:val="00AB65F6"/>
    <w:rsid w:val="00AB77B3"/>
    <w:rsid w:val="00AB7A04"/>
    <w:rsid w:val="00AC14AF"/>
    <w:rsid w:val="00AC25B2"/>
    <w:rsid w:val="00AC375C"/>
    <w:rsid w:val="00AC47B6"/>
    <w:rsid w:val="00AC558B"/>
    <w:rsid w:val="00AC5FEB"/>
    <w:rsid w:val="00AC7AA9"/>
    <w:rsid w:val="00AC7D32"/>
    <w:rsid w:val="00AD0017"/>
    <w:rsid w:val="00AD0343"/>
    <w:rsid w:val="00AD3D71"/>
    <w:rsid w:val="00AD3EA2"/>
    <w:rsid w:val="00AD44DC"/>
    <w:rsid w:val="00AD4609"/>
    <w:rsid w:val="00AD5A5C"/>
    <w:rsid w:val="00AE03CB"/>
    <w:rsid w:val="00AE0EF8"/>
    <w:rsid w:val="00AE3218"/>
    <w:rsid w:val="00AE32D9"/>
    <w:rsid w:val="00AE3B1F"/>
    <w:rsid w:val="00AE43C4"/>
    <w:rsid w:val="00AE4454"/>
    <w:rsid w:val="00AE4958"/>
    <w:rsid w:val="00AE4D65"/>
    <w:rsid w:val="00AE58AB"/>
    <w:rsid w:val="00AE61B1"/>
    <w:rsid w:val="00AE7DF5"/>
    <w:rsid w:val="00AF0141"/>
    <w:rsid w:val="00AF1267"/>
    <w:rsid w:val="00AF18B3"/>
    <w:rsid w:val="00AF3BA9"/>
    <w:rsid w:val="00AF4CCA"/>
    <w:rsid w:val="00AF7B5E"/>
    <w:rsid w:val="00B00070"/>
    <w:rsid w:val="00B00935"/>
    <w:rsid w:val="00B00CF6"/>
    <w:rsid w:val="00B012BD"/>
    <w:rsid w:val="00B014E7"/>
    <w:rsid w:val="00B02A7E"/>
    <w:rsid w:val="00B02D50"/>
    <w:rsid w:val="00B036E5"/>
    <w:rsid w:val="00B06424"/>
    <w:rsid w:val="00B115CA"/>
    <w:rsid w:val="00B122B7"/>
    <w:rsid w:val="00B137EA"/>
    <w:rsid w:val="00B14513"/>
    <w:rsid w:val="00B147C9"/>
    <w:rsid w:val="00B159A6"/>
    <w:rsid w:val="00B15ACB"/>
    <w:rsid w:val="00B216C6"/>
    <w:rsid w:val="00B218D2"/>
    <w:rsid w:val="00B21BCE"/>
    <w:rsid w:val="00B221AB"/>
    <w:rsid w:val="00B22735"/>
    <w:rsid w:val="00B22ABA"/>
    <w:rsid w:val="00B233A7"/>
    <w:rsid w:val="00B242AF"/>
    <w:rsid w:val="00B24FE0"/>
    <w:rsid w:val="00B2614F"/>
    <w:rsid w:val="00B26607"/>
    <w:rsid w:val="00B277C0"/>
    <w:rsid w:val="00B30004"/>
    <w:rsid w:val="00B302AC"/>
    <w:rsid w:val="00B314D8"/>
    <w:rsid w:val="00B318AA"/>
    <w:rsid w:val="00B31CB9"/>
    <w:rsid w:val="00B33C46"/>
    <w:rsid w:val="00B34364"/>
    <w:rsid w:val="00B37CD6"/>
    <w:rsid w:val="00B416F4"/>
    <w:rsid w:val="00B41991"/>
    <w:rsid w:val="00B420B0"/>
    <w:rsid w:val="00B42258"/>
    <w:rsid w:val="00B42450"/>
    <w:rsid w:val="00B4383B"/>
    <w:rsid w:val="00B44107"/>
    <w:rsid w:val="00B44C47"/>
    <w:rsid w:val="00B45413"/>
    <w:rsid w:val="00B45891"/>
    <w:rsid w:val="00B46449"/>
    <w:rsid w:val="00B47A89"/>
    <w:rsid w:val="00B47F99"/>
    <w:rsid w:val="00B50B02"/>
    <w:rsid w:val="00B50FF4"/>
    <w:rsid w:val="00B51CB4"/>
    <w:rsid w:val="00B53341"/>
    <w:rsid w:val="00B533D2"/>
    <w:rsid w:val="00B53710"/>
    <w:rsid w:val="00B53D89"/>
    <w:rsid w:val="00B56CDE"/>
    <w:rsid w:val="00B5734F"/>
    <w:rsid w:val="00B575F0"/>
    <w:rsid w:val="00B578B5"/>
    <w:rsid w:val="00B6048A"/>
    <w:rsid w:val="00B61262"/>
    <w:rsid w:val="00B618A0"/>
    <w:rsid w:val="00B629EE"/>
    <w:rsid w:val="00B6426D"/>
    <w:rsid w:val="00B650CF"/>
    <w:rsid w:val="00B661D4"/>
    <w:rsid w:val="00B70D74"/>
    <w:rsid w:val="00B716F8"/>
    <w:rsid w:val="00B71E34"/>
    <w:rsid w:val="00B7326F"/>
    <w:rsid w:val="00B762A9"/>
    <w:rsid w:val="00B76AA9"/>
    <w:rsid w:val="00B77654"/>
    <w:rsid w:val="00B77BB6"/>
    <w:rsid w:val="00B77F2B"/>
    <w:rsid w:val="00B81B3B"/>
    <w:rsid w:val="00B82132"/>
    <w:rsid w:val="00B8333A"/>
    <w:rsid w:val="00B83403"/>
    <w:rsid w:val="00B8443F"/>
    <w:rsid w:val="00B86BBF"/>
    <w:rsid w:val="00B924B9"/>
    <w:rsid w:val="00B92BEC"/>
    <w:rsid w:val="00B93D7E"/>
    <w:rsid w:val="00B95659"/>
    <w:rsid w:val="00B962C7"/>
    <w:rsid w:val="00BA27AD"/>
    <w:rsid w:val="00BA2A64"/>
    <w:rsid w:val="00BA3DEF"/>
    <w:rsid w:val="00BA5A6A"/>
    <w:rsid w:val="00BB1830"/>
    <w:rsid w:val="00BB4A09"/>
    <w:rsid w:val="00BB5B51"/>
    <w:rsid w:val="00BB7E13"/>
    <w:rsid w:val="00BC06E2"/>
    <w:rsid w:val="00BC0FDA"/>
    <w:rsid w:val="00BC1A1F"/>
    <w:rsid w:val="00BC23A2"/>
    <w:rsid w:val="00BC3C3D"/>
    <w:rsid w:val="00BC4CC0"/>
    <w:rsid w:val="00BC509C"/>
    <w:rsid w:val="00BC51EA"/>
    <w:rsid w:val="00BC5F46"/>
    <w:rsid w:val="00BC60F6"/>
    <w:rsid w:val="00BC61E8"/>
    <w:rsid w:val="00BC62F1"/>
    <w:rsid w:val="00BC6F2C"/>
    <w:rsid w:val="00BD3615"/>
    <w:rsid w:val="00BD5BEE"/>
    <w:rsid w:val="00BE0B80"/>
    <w:rsid w:val="00BE0C22"/>
    <w:rsid w:val="00BE1570"/>
    <w:rsid w:val="00BE2FF1"/>
    <w:rsid w:val="00BE3417"/>
    <w:rsid w:val="00BE37D6"/>
    <w:rsid w:val="00BE3967"/>
    <w:rsid w:val="00BE399F"/>
    <w:rsid w:val="00BE3C5C"/>
    <w:rsid w:val="00BE4053"/>
    <w:rsid w:val="00BE4D53"/>
    <w:rsid w:val="00BE4EF1"/>
    <w:rsid w:val="00BE623D"/>
    <w:rsid w:val="00BE6B0E"/>
    <w:rsid w:val="00BE7139"/>
    <w:rsid w:val="00BE7826"/>
    <w:rsid w:val="00BF0581"/>
    <w:rsid w:val="00BF19DA"/>
    <w:rsid w:val="00BF39FE"/>
    <w:rsid w:val="00BF3DF7"/>
    <w:rsid w:val="00BF4C07"/>
    <w:rsid w:val="00BF56F8"/>
    <w:rsid w:val="00BF59BE"/>
    <w:rsid w:val="00BF6097"/>
    <w:rsid w:val="00BF7233"/>
    <w:rsid w:val="00BF79D5"/>
    <w:rsid w:val="00C00EE7"/>
    <w:rsid w:val="00C02620"/>
    <w:rsid w:val="00C02977"/>
    <w:rsid w:val="00C02F22"/>
    <w:rsid w:val="00C0330A"/>
    <w:rsid w:val="00C0528C"/>
    <w:rsid w:val="00C05AA5"/>
    <w:rsid w:val="00C11D0C"/>
    <w:rsid w:val="00C12F2F"/>
    <w:rsid w:val="00C142BF"/>
    <w:rsid w:val="00C17281"/>
    <w:rsid w:val="00C20B7F"/>
    <w:rsid w:val="00C23CC1"/>
    <w:rsid w:val="00C23D8A"/>
    <w:rsid w:val="00C23E80"/>
    <w:rsid w:val="00C2463D"/>
    <w:rsid w:val="00C251FE"/>
    <w:rsid w:val="00C26DAF"/>
    <w:rsid w:val="00C2755A"/>
    <w:rsid w:val="00C311CE"/>
    <w:rsid w:val="00C3149C"/>
    <w:rsid w:val="00C315B1"/>
    <w:rsid w:val="00C3210C"/>
    <w:rsid w:val="00C3302E"/>
    <w:rsid w:val="00C33EC6"/>
    <w:rsid w:val="00C35288"/>
    <w:rsid w:val="00C40DA5"/>
    <w:rsid w:val="00C40E1A"/>
    <w:rsid w:val="00C4109D"/>
    <w:rsid w:val="00C4500C"/>
    <w:rsid w:val="00C469CD"/>
    <w:rsid w:val="00C475AC"/>
    <w:rsid w:val="00C5245A"/>
    <w:rsid w:val="00C53170"/>
    <w:rsid w:val="00C536AF"/>
    <w:rsid w:val="00C54290"/>
    <w:rsid w:val="00C54739"/>
    <w:rsid w:val="00C54C6E"/>
    <w:rsid w:val="00C55584"/>
    <w:rsid w:val="00C578FA"/>
    <w:rsid w:val="00C613C2"/>
    <w:rsid w:val="00C61777"/>
    <w:rsid w:val="00C629C9"/>
    <w:rsid w:val="00C62CE9"/>
    <w:rsid w:val="00C62FE6"/>
    <w:rsid w:val="00C63C78"/>
    <w:rsid w:val="00C63CB0"/>
    <w:rsid w:val="00C65169"/>
    <w:rsid w:val="00C67517"/>
    <w:rsid w:val="00C67AF0"/>
    <w:rsid w:val="00C67B05"/>
    <w:rsid w:val="00C71E43"/>
    <w:rsid w:val="00C72881"/>
    <w:rsid w:val="00C75910"/>
    <w:rsid w:val="00C7677F"/>
    <w:rsid w:val="00C7696B"/>
    <w:rsid w:val="00C76B08"/>
    <w:rsid w:val="00C7722E"/>
    <w:rsid w:val="00C77DF9"/>
    <w:rsid w:val="00C800F8"/>
    <w:rsid w:val="00C80904"/>
    <w:rsid w:val="00C814BA"/>
    <w:rsid w:val="00C81682"/>
    <w:rsid w:val="00C84016"/>
    <w:rsid w:val="00C849DC"/>
    <w:rsid w:val="00C84BEE"/>
    <w:rsid w:val="00C85093"/>
    <w:rsid w:val="00C85F20"/>
    <w:rsid w:val="00C867C3"/>
    <w:rsid w:val="00C93B6F"/>
    <w:rsid w:val="00C94A69"/>
    <w:rsid w:val="00C9576D"/>
    <w:rsid w:val="00C957B6"/>
    <w:rsid w:val="00CA0823"/>
    <w:rsid w:val="00CA467A"/>
    <w:rsid w:val="00CA473C"/>
    <w:rsid w:val="00CA6433"/>
    <w:rsid w:val="00CA6DFC"/>
    <w:rsid w:val="00CA6F49"/>
    <w:rsid w:val="00CA752A"/>
    <w:rsid w:val="00CB003D"/>
    <w:rsid w:val="00CB066D"/>
    <w:rsid w:val="00CB0E79"/>
    <w:rsid w:val="00CB110F"/>
    <w:rsid w:val="00CB2835"/>
    <w:rsid w:val="00CB28D1"/>
    <w:rsid w:val="00CB4789"/>
    <w:rsid w:val="00CB4902"/>
    <w:rsid w:val="00CB566F"/>
    <w:rsid w:val="00CB58B3"/>
    <w:rsid w:val="00CB5ED3"/>
    <w:rsid w:val="00CB67F0"/>
    <w:rsid w:val="00CB68B5"/>
    <w:rsid w:val="00CB6C72"/>
    <w:rsid w:val="00CC44EE"/>
    <w:rsid w:val="00CC479D"/>
    <w:rsid w:val="00CC4990"/>
    <w:rsid w:val="00CC54FD"/>
    <w:rsid w:val="00CC60E8"/>
    <w:rsid w:val="00CC6CF9"/>
    <w:rsid w:val="00CC7027"/>
    <w:rsid w:val="00CC72C5"/>
    <w:rsid w:val="00CD1183"/>
    <w:rsid w:val="00CD13E8"/>
    <w:rsid w:val="00CD2906"/>
    <w:rsid w:val="00CD2E8F"/>
    <w:rsid w:val="00CD4432"/>
    <w:rsid w:val="00CD761E"/>
    <w:rsid w:val="00CE5D57"/>
    <w:rsid w:val="00CF2EFB"/>
    <w:rsid w:val="00CF42C0"/>
    <w:rsid w:val="00CF5178"/>
    <w:rsid w:val="00CF565F"/>
    <w:rsid w:val="00CF5F28"/>
    <w:rsid w:val="00CF6927"/>
    <w:rsid w:val="00D045AB"/>
    <w:rsid w:val="00D045D2"/>
    <w:rsid w:val="00D05B44"/>
    <w:rsid w:val="00D05DA4"/>
    <w:rsid w:val="00D05E78"/>
    <w:rsid w:val="00D102D4"/>
    <w:rsid w:val="00D1130C"/>
    <w:rsid w:val="00D11C1D"/>
    <w:rsid w:val="00D12384"/>
    <w:rsid w:val="00D13355"/>
    <w:rsid w:val="00D149C8"/>
    <w:rsid w:val="00D14A7B"/>
    <w:rsid w:val="00D14AE5"/>
    <w:rsid w:val="00D153C1"/>
    <w:rsid w:val="00D1657F"/>
    <w:rsid w:val="00D17CB4"/>
    <w:rsid w:val="00D20FE9"/>
    <w:rsid w:val="00D21663"/>
    <w:rsid w:val="00D235C6"/>
    <w:rsid w:val="00D23FAD"/>
    <w:rsid w:val="00D24163"/>
    <w:rsid w:val="00D25618"/>
    <w:rsid w:val="00D25B6D"/>
    <w:rsid w:val="00D25CB9"/>
    <w:rsid w:val="00D270CB"/>
    <w:rsid w:val="00D2732B"/>
    <w:rsid w:val="00D27741"/>
    <w:rsid w:val="00D305EC"/>
    <w:rsid w:val="00D30D81"/>
    <w:rsid w:val="00D30FDA"/>
    <w:rsid w:val="00D32A90"/>
    <w:rsid w:val="00D332F2"/>
    <w:rsid w:val="00D334FE"/>
    <w:rsid w:val="00D3360B"/>
    <w:rsid w:val="00D34310"/>
    <w:rsid w:val="00D3479D"/>
    <w:rsid w:val="00D34B16"/>
    <w:rsid w:val="00D35540"/>
    <w:rsid w:val="00D358A0"/>
    <w:rsid w:val="00D35B85"/>
    <w:rsid w:val="00D408EA"/>
    <w:rsid w:val="00D4302E"/>
    <w:rsid w:val="00D4671F"/>
    <w:rsid w:val="00D468AC"/>
    <w:rsid w:val="00D5329B"/>
    <w:rsid w:val="00D539C8"/>
    <w:rsid w:val="00D53DDF"/>
    <w:rsid w:val="00D56DE3"/>
    <w:rsid w:val="00D573EA"/>
    <w:rsid w:val="00D579A6"/>
    <w:rsid w:val="00D60D2B"/>
    <w:rsid w:val="00D61D9E"/>
    <w:rsid w:val="00D62CC9"/>
    <w:rsid w:val="00D6300D"/>
    <w:rsid w:val="00D66DC1"/>
    <w:rsid w:val="00D66F25"/>
    <w:rsid w:val="00D66FC5"/>
    <w:rsid w:val="00D679C2"/>
    <w:rsid w:val="00D720F1"/>
    <w:rsid w:val="00D7252F"/>
    <w:rsid w:val="00D774C7"/>
    <w:rsid w:val="00D77EFF"/>
    <w:rsid w:val="00D8088C"/>
    <w:rsid w:val="00D8167D"/>
    <w:rsid w:val="00D81873"/>
    <w:rsid w:val="00D81B81"/>
    <w:rsid w:val="00D82C72"/>
    <w:rsid w:val="00D83A2E"/>
    <w:rsid w:val="00D8453D"/>
    <w:rsid w:val="00D84D5F"/>
    <w:rsid w:val="00D854A2"/>
    <w:rsid w:val="00D85BA2"/>
    <w:rsid w:val="00D85DC3"/>
    <w:rsid w:val="00D86957"/>
    <w:rsid w:val="00D86A93"/>
    <w:rsid w:val="00D86AD5"/>
    <w:rsid w:val="00D90A72"/>
    <w:rsid w:val="00D90D40"/>
    <w:rsid w:val="00D91111"/>
    <w:rsid w:val="00D917C7"/>
    <w:rsid w:val="00D91859"/>
    <w:rsid w:val="00D91CA2"/>
    <w:rsid w:val="00D92719"/>
    <w:rsid w:val="00D92CB8"/>
    <w:rsid w:val="00D93ED8"/>
    <w:rsid w:val="00D94248"/>
    <w:rsid w:val="00D95300"/>
    <w:rsid w:val="00D95D9F"/>
    <w:rsid w:val="00D962ED"/>
    <w:rsid w:val="00D96631"/>
    <w:rsid w:val="00D96B28"/>
    <w:rsid w:val="00D96D87"/>
    <w:rsid w:val="00DA0D97"/>
    <w:rsid w:val="00DA10B6"/>
    <w:rsid w:val="00DA12F4"/>
    <w:rsid w:val="00DA2B04"/>
    <w:rsid w:val="00DA2F07"/>
    <w:rsid w:val="00DA3D6B"/>
    <w:rsid w:val="00DA3EA5"/>
    <w:rsid w:val="00DA5DB6"/>
    <w:rsid w:val="00DA5DC0"/>
    <w:rsid w:val="00DA62C1"/>
    <w:rsid w:val="00DA7691"/>
    <w:rsid w:val="00DB0054"/>
    <w:rsid w:val="00DB2595"/>
    <w:rsid w:val="00DB4B37"/>
    <w:rsid w:val="00DB65C0"/>
    <w:rsid w:val="00DB74B1"/>
    <w:rsid w:val="00DB7EE2"/>
    <w:rsid w:val="00DC144A"/>
    <w:rsid w:val="00DC181C"/>
    <w:rsid w:val="00DC2440"/>
    <w:rsid w:val="00DC2A42"/>
    <w:rsid w:val="00DC30F3"/>
    <w:rsid w:val="00DC399F"/>
    <w:rsid w:val="00DC4A83"/>
    <w:rsid w:val="00DC6C22"/>
    <w:rsid w:val="00DD3296"/>
    <w:rsid w:val="00DD33A0"/>
    <w:rsid w:val="00DD3AC2"/>
    <w:rsid w:val="00DD3C69"/>
    <w:rsid w:val="00DD69CC"/>
    <w:rsid w:val="00DD7653"/>
    <w:rsid w:val="00DD790D"/>
    <w:rsid w:val="00DE0A40"/>
    <w:rsid w:val="00DE0A62"/>
    <w:rsid w:val="00DE1653"/>
    <w:rsid w:val="00DE2D8D"/>
    <w:rsid w:val="00DE6364"/>
    <w:rsid w:val="00DE6929"/>
    <w:rsid w:val="00DE7D7D"/>
    <w:rsid w:val="00DF2021"/>
    <w:rsid w:val="00DF53AF"/>
    <w:rsid w:val="00DF5957"/>
    <w:rsid w:val="00DF655F"/>
    <w:rsid w:val="00DF759D"/>
    <w:rsid w:val="00DF7BAE"/>
    <w:rsid w:val="00E01802"/>
    <w:rsid w:val="00E05BA4"/>
    <w:rsid w:val="00E05EE8"/>
    <w:rsid w:val="00E06097"/>
    <w:rsid w:val="00E06DA8"/>
    <w:rsid w:val="00E079C3"/>
    <w:rsid w:val="00E07EB2"/>
    <w:rsid w:val="00E12D3B"/>
    <w:rsid w:val="00E13BD4"/>
    <w:rsid w:val="00E15A39"/>
    <w:rsid w:val="00E15DAA"/>
    <w:rsid w:val="00E22C20"/>
    <w:rsid w:val="00E23E08"/>
    <w:rsid w:val="00E23EBF"/>
    <w:rsid w:val="00E24459"/>
    <w:rsid w:val="00E25F5E"/>
    <w:rsid w:val="00E2648E"/>
    <w:rsid w:val="00E26F87"/>
    <w:rsid w:val="00E3015C"/>
    <w:rsid w:val="00E3127B"/>
    <w:rsid w:val="00E33BEE"/>
    <w:rsid w:val="00E34719"/>
    <w:rsid w:val="00E34AC2"/>
    <w:rsid w:val="00E3606B"/>
    <w:rsid w:val="00E372AE"/>
    <w:rsid w:val="00E40217"/>
    <w:rsid w:val="00E42AE6"/>
    <w:rsid w:val="00E43872"/>
    <w:rsid w:val="00E451F3"/>
    <w:rsid w:val="00E50005"/>
    <w:rsid w:val="00E5009F"/>
    <w:rsid w:val="00E50972"/>
    <w:rsid w:val="00E54D53"/>
    <w:rsid w:val="00E554E8"/>
    <w:rsid w:val="00E572F2"/>
    <w:rsid w:val="00E57523"/>
    <w:rsid w:val="00E60117"/>
    <w:rsid w:val="00E61894"/>
    <w:rsid w:val="00E6245C"/>
    <w:rsid w:val="00E62C34"/>
    <w:rsid w:val="00E63140"/>
    <w:rsid w:val="00E633DC"/>
    <w:rsid w:val="00E655E2"/>
    <w:rsid w:val="00E65CD8"/>
    <w:rsid w:val="00E66603"/>
    <w:rsid w:val="00E711EA"/>
    <w:rsid w:val="00E735A9"/>
    <w:rsid w:val="00E73ACF"/>
    <w:rsid w:val="00E73BE4"/>
    <w:rsid w:val="00E74ECC"/>
    <w:rsid w:val="00E776F0"/>
    <w:rsid w:val="00E80640"/>
    <w:rsid w:val="00E8157E"/>
    <w:rsid w:val="00E81736"/>
    <w:rsid w:val="00E81ED7"/>
    <w:rsid w:val="00E82586"/>
    <w:rsid w:val="00E826C4"/>
    <w:rsid w:val="00E82F1F"/>
    <w:rsid w:val="00E83A20"/>
    <w:rsid w:val="00E84C24"/>
    <w:rsid w:val="00E84D69"/>
    <w:rsid w:val="00E85C7C"/>
    <w:rsid w:val="00E86488"/>
    <w:rsid w:val="00E90228"/>
    <w:rsid w:val="00E907F4"/>
    <w:rsid w:val="00E95F4E"/>
    <w:rsid w:val="00E96E5D"/>
    <w:rsid w:val="00E9798A"/>
    <w:rsid w:val="00E979F7"/>
    <w:rsid w:val="00EA3000"/>
    <w:rsid w:val="00EA3725"/>
    <w:rsid w:val="00EA3936"/>
    <w:rsid w:val="00EA513F"/>
    <w:rsid w:val="00EA5961"/>
    <w:rsid w:val="00EA5CD1"/>
    <w:rsid w:val="00EA5E2A"/>
    <w:rsid w:val="00EA6D84"/>
    <w:rsid w:val="00EA7710"/>
    <w:rsid w:val="00EA7D38"/>
    <w:rsid w:val="00EB0731"/>
    <w:rsid w:val="00EB1015"/>
    <w:rsid w:val="00EB2020"/>
    <w:rsid w:val="00EB27D5"/>
    <w:rsid w:val="00EB28E9"/>
    <w:rsid w:val="00EB2E09"/>
    <w:rsid w:val="00EB578A"/>
    <w:rsid w:val="00EB6AFD"/>
    <w:rsid w:val="00EB6C7D"/>
    <w:rsid w:val="00EB70E5"/>
    <w:rsid w:val="00EB7C8E"/>
    <w:rsid w:val="00EC02BE"/>
    <w:rsid w:val="00EC1B1A"/>
    <w:rsid w:val="00EC35DE"/>
    <w:rsid w:val="00EC53E6"/>
    <w:rsid w:val="00EC543A"/>
    <w:rsid w:val="00EC5975"/>
    <w:rsid w:val="00EC6130"/>
    <w:rsid w:val="00EC6766"/>
    <w:rsid w:val="00EC6B27"/>
    <w:rsid w:val="00EC6BF6"/>
    <w:rsid w:val="00EC7AE3"/>
    <w:rsid w:val="00EC7E08"/>
    <w:rsid w:val="00ED0F4E"/>
    <w:rsid w:val="00ED2563"/>
    <w:rsid w:val="00ED2A4C"/>
    <w:rsid w:val="00ED762B"/>
    <w:rsid w:val="00EE067C"/>
    <w:rsid w:val="00EE1275"/>
    <w:rsid w:val="00EE1D7D"/>
    <w:rsid w:val="00EE2031"/>
    <w:rsid w:val="00EE209E"/>
    <w:rsid w:val="00EE2D3E"/>
    <w:rsid w:val="00EE7A5E"/>
    <w:rsid w:val="00EF039F"/>
    <w:rsid w:val="00EF11CE"/>
    <w:rsid w:val="00EF13FE"/>
    <w:rsid w:val="00EF2143"/>
    <w:rsid w:val="00EF3159"/>
    <w:rsid w:val="00EF384D"/>
    <w:rsid w:val="00EF4569"/>
    <w:rsid w:val="00EF4F51"/>
    <w:rsid w:val="00EF6960"/>
    <w:rsid w:val="00EF7D4C"/>
    <w:rsid w:val="00F062AC"/>
    <w:rsid w:val="00F068A0"/>
    <w:rsid w:val="00F0745D"/>
    <w:rsid w:val="00F10C63"/>
    <w:rsid w:val="00F115CA"/>
    <w:rsid w:val="00F121CB"/>
    <w:rsid w:val="00F12787"/>
    <w:rsid w:val="00F152AB"/>
    <w:rsid w:val="00F17101"/>
    <w:rsid w:val="00F175F6"/>
    <w:rsid w:val="00F17AC1"/>
    <w:rsid w:val="00F20A25"/>
    <w:rsid w:val="00F20D6E"/>
    <w:rsid w:val="00F211EF"/>
    <w:rsid w:val="00F22810"/>
    <w:rsid w:val="00F23521"/>
    <w:rsid w:val="00F2359F"/>
    <w:rsid w:val="00F25E05"/>
    <w:rsid w:val="00F26F08"/>
    <w:rsid w:val="00F2710C"/>
    <w:rsid w:val="00F274F9"/>
    <w:rsid w:val="00F314CA"/>
    <w:rsid w:val="00F31F31"/>
    <w:rsid w:val="00F34F34"/>
    <w:rsid w:val="00F35350"/>
    <w:rsid w:val="00F35D14"/>
    <w:rsid w:val="00F35E37"/>
    <w:rsid w:val="00F36CF6"/>
    <w:rsid w:val="00F37737"/>
    <w:rsid w:val="00F4022D"/>
    <w:rsid w:val="00F40BDA"/>
    <w:rsid w:val="00F4352C"/>
    <w:rsid w:val="00F435DD"/>
    <w:rsid w:val="00F43806"/>
    <w:rsid w:val="00F44A54"/>
    <w:rsid w:val="00F46DC9"/>
    <w:rsid w:val="00F47051"/>
    <w:rsid w:val="00F4758D"/>
    <w:rsid w:val="00F47DFA"/>
    <w:rsid w:val="00F56757"/>
    <w:rsid w:val="00F61830"/>
    <w:rsid w:val="00F61F2B"/>
    <w:rsid w:val="00F632F0"/>
    <w:rsid w:val="00F650C6"/>
    <w:rsid w:val="00F6654F"/>
    <w:rsid w:val="00F670C5"/>
    <w:rsid w:val="00F67E52"/>
    <w:rsid w:val="00F717A9"/>
    <w:rsid w:val="00F72893"/>
    <w:rsid w:val="00F72F75"/>
    <w:rsid w:val="00F74885"/>
    <w:rsid w:val="00F808C8"/>
    <w:rsid w:val="00F82F71"/>
    <w:rsid w:val="00F852AC"/>
    <w:rsid w:val="00F87873"/>
    <w:rsid w:val="00F90801"/>
    <w:rsid w:val="00F90FD1"/>
    <w:rsid w:val="00F928A7"/>
    <w:rsid w:val="00F951A8"/>
    <w:rsid w:val="00F973B8"/>
    <w:rsid w:val="00FA074C"/>
    <w:rsid w:val="00FA189F"/>
    <w:rsid w:val="00FA1D53"/>
    <w:rsid w:val="00FA33EA"/>
    <w:rsid w:val="00FA3B31"/>
    <w:rsid w:val="00FA4E6A"/>
    <w:rsid w:val="00FA6021"/>
    <w:rsid w:val="00FA6E71"/>
    <w:rsid w:val="00FA7041"/>
    <w:rsid w:val="00FB1AF5"/>
    <w:rsid w:val="00FB1F32"/>
    <w:rsid w:val="00FB38C1"/>
    <w:rsid w:val="00FB4EEC"/>
    <w:rsid w:val="00FB5305"/>
    <w:rsid w:val="00FB5539"/>
    <w:rsid w:val="00FB580A"/>
    <w:rsid w:val="00FB5D0B"/>
    <w:rsid w:val="00FB6219"/>
    <w:rsid w:val="00FB6344"/>
    <w:rsid w:val="00FC0BB0"/>
    <w:rsid w:val="00FC18C6"/>
    <w:rsid w:val="00FC2AA2"/>
    <w:rsid w:val="00FC2BFC"/>
    <w:rsid w:val="00FC2FEF"/>
    <w:rsid w:val="00FC4E0A"/>
    <w:rsid w:val="00FC507A"/>
    <w:rsid w:val="00FC5721"/>
    <w:rsid w:val="00FC7057"/>
    <w:rsid w:val="00FC7C5E"/>
    <w:rsid w:val="00FD0107"/>
    <w:rsid w:val="00FD0552"/>
    <w:rsid w:val="00FD45B6"/>
    <w:rsid w:val="00FD5B9A"/>
    <w:rsid w:val="00FD5BAB"/>
    <w:rsid w:val="00FD6621"/>
    <w:rsid w:val="00FE2FFD"/>
    <w:rsid w:val="00FE4CEE"/>
    <w:rsid w:val="00FE53AC"/>
    <w:rsid w:val="00FE78F3"/>
    <w:rsid w:val="00FF1535"/>
    <w:rsid w:val="00FF3BF8"/>
    <w:rsid w:val="00FF5CDC"/>
    <w:rsid w:val="00FF6FAA"/>
    <w:rsid w:val="00FF771D"/>
    <w:rsid w:val="00FF77B0"/>
    <w:rsid w:val="010158D6"/>
    <w:rsid w:val="010A29DC"/>
    <w:rsid w:val="010B1A7D"/>
    <w:rsid w:val="011078C7"/>
    <w:rsid w:val="012E1D34"/>
    <w:rsid w:val="012E55E3"/>
    <w:rsid w:val="0132758B"/>
    <w:rsid w:val="01353BD1"/>
    <w:rsid w:val="013649A9"/>
    <w:rsid w:val="01431099"/>
    <w:rsid w:val="014B08FF"/>
    <w:rsid w:val="01504C16"/>
    <w:rsid w:val="015679D0"/>
    <w:rsid w:val="016D6AC7"/>
    <w:rsid w:val="01714809"/>
    <w:rsid w:val="01754F01"/>
    <w:rsid w:val="0176492C"/>
    <w:rsid w:val="0176597C"/>
    <w:rsid w:val="01822573"/>
    <w:rsid w:val="01891B53"/>
    <w:rsid w:val="01990B47"/>
    <w:rsid w:val="019B5DA2"/>
    <w:rsid w:val="019F33F2"/>
    <w:rsid w:val="01A86051"/>
    <w:rsid w:val="01BA4FA5"/>
    <w:rsid w:val="01C7267B"/>
    <w:rsid w:val="01D628BE"/>
    <w:rsid w:val="01DA1EC9"/>
    <w:rsid w:val="01E0387F"/>
    <w:rsid w:val="01EE7AAF"/>
    <w:rsid w:val="01EF3980"/>
    <w:rsid w:val="01F22B3C"/>
    <w:rsid w:val="01F42D45"/>
    <w:rsid w:val="01F61E10"/>
    <w:rsid w:val="01F724F1"/>
    <w:rsid w:val="01F85EA6"/>
    <w:rsid w:val="02032267"/>
    <w:rsid w:val="02055435"/>
    <w:rsid w:val="02055C49"/>
    <w:rsid w:val="021027B7"/>
    <w:rsid w:val="02160F0D"/>
    <w:rsid w:val="021E3B5D"/>
    <w:rsid w:val="02225559"/>
    <w:rsid w:val="02250908"/>
    <w:rsid w:val="0225410B"/>
    <w:rsid w:val="02384FDA"/>
    <w:rsid w:val="023B5788"/>
    <w:rsid w:val="02544261"/>
    <w:rsid w:val="02583F4E"/>
    <w:rsid w:val="025973F1"/>
    <w:rsid w:val="0261487E"/>
    <w:rsid w:val="02674418"/>
    <w:rsid w:val="026776B5"/>
    <w:rsid w:val="026954E1"/>
    <w:rsid w:val="026A1241"/>
    <w:rsid w:val="026E394D"/>
    <w:rsid w:val="027B6A45"/>
    <w:rsid w:val="027C516B"/>
    <w:rsid w:val="027E45EA"/>
    <w:rsid w:val="028A702B"/>
    <w:rsid w:val="02900375"/>
    <w:rsid w:val="02951D5D"/>
    <w:rsid w:val="029D4F1F"/>
    <w:rsid w:val="02A46EAE"/>
    <w:rsid w:val="02A612E8"/>
    <w:rsid w:val="02AE5D7F"/>
    <w:rsid w:val="02B32F53"/>
    <w:rsid w:val="02B379F0"/>
    <w:rsid w:val="02BC253E"/>
    <w:rsid w:val="02BD2AF0"/>
    <w:rsid w:val="02C80459"/>
    <w:rsid w:val="02CB393F"/>
    <w:rsid w:val="02CF6488"/>
    <w:rsid w:val="02D30B61"/>
    <w:rsid w:val="02D3643B"/>
    <w:rsid w:val="02D908B8"/>
    <w:rsid w:val="02EA0B1F"/>
    <w:rsid w:val="02EC48F4"/>
    <w:rsid w:val="02F56D74"/>
    <w:rsid w:val="02F92D08"/>
    <w:rsid w:val="02FC00CB"/>
    <w:rsid w:val="02FE565A"/>
    <w:rsid w:val="03034E2B"/>
    <w:rsid w:val="030360A0"/>
    <w:rsid w:val="030762FB"/>
    <w:rsid w:val="03082F4B"/>
    <w:rsid w:val="03120315"/>
    <w:rsid w:val="0317027B"/>
    <w:rsid w:val="03175213"/>
    <w:rsid w:val="031942B3"/>
    <w:rsid w:val="031E1099"/>
    <w:rsid w:val="031F2043"/>
    <w:rsid w:val="03204E63"/>
    <w:rsid w:val="03211390"/>
    <w:rsid w:val="03231B33"/>
    <w:rsid w:val="032777EA"/>
    <w:rsid w:val="032B4DF1"/>
    <w:rsid w:val="032C1C13"/>
    <w:rsid w:val="032E6745"/>
    <w:rsid w:val="033F4681"/>
    <w:rsid w:val="03483A14"/>
    <w:rsid w:val="035120BF"/>
    <w:rsid w:val="03546191"/>
    <w:rsid w:val="035A5E0C"/>
    <w:rsid w:val="03751855"/>
    <w:rsid w:val="037D6DFD"/>
    <w:rsid w:val="03845532"/>
    <w:rsid w:val="0387693A"/>
    <w:rsid w:val="03912F41"/>
    <w:rsid w:val="0394658D"/>
    <w:rsid w:val="03A42686"/>
    <w:rsid w:val="03A43788"/>
    <w:rsid w:val="03B37571"/>
    <w:rsid w:val="03B95FF4"/>
    <w:rsid w:val="03BB4137"/>
    <w:rsid w:val="03BD55B1"/>
    <w:rsid w:val="03CB4EC3"/>
    <w:rsid w:val="03EF7C67"/>
    <w:rsid w:val="03F17C6B"/>
    <w:rsid w:val="03F35D2E"/>
    <w:rsid w:val="03F67248"/>
    <w:rsid w:val="03F86B1C"/>
    <w:rsid w:val="03FB03BA"/>
    <w:rsid w:val="04007F19"/>
    <w:rsid w:val="04071961"/>
    <w:rsid w:val="040E27E3"/>
    <w:rsid w:val="04146A37"/>
    <w:rsid w:val="041C4734"/>
    <w:rsid w:val="041F4ED1"/>
    <w:rsid w:val="04205DC5"/>
    <w:rsid w:val="04244356"/>
    <w:rsid w:val="04367644"/>
    <w:rsid w:val="0436798B"/>
    <w:rsid w:val="043F7740"/>
    <w:rsid w:val="04426D15"/>
    <w:rsid w:val="044328D5"/>
    <w:rsid w:val="04442BF0"/>
    <w:rsid w:val="04464A83"/>
    <w:rsid w:val="044F7923"/>
    <w:rsid w:val="0452385F"/>
    <w:rsid w:val="04567CE7"/>
    <w:rsid w:val="04584026"/>
    <w:rsid w:val="0463705B"/>
    <w:rsid w:val="046763B5"/>
    <w:rsid w:val="04687B90"/>
    <w:rsid w:val="046A2894"/>
    <w:rsid w:val="046D4BA5"/>
    <w:rsid w:val="046F1103"/>
    <w:rsid w:val="047322A5"/>
    <w:rsid w:val="04786A62"/>
    <w:rsid w:val="047C62B2"/>
    <w:rsid w:val="04880E7A"/>
    <w:rsid w:val="04983E5B"/>
    <w:rsid w:val="049A4A6E"/>
    <w:rsid w:val="04A15406"/>
    <w:rsid w:val="04A26E2D"/>
    <w:rsid w:val="04AD381F"/>
    <w:rsid w:val="04AF2C24"/>
    <w:rsid w:val="04B7446E"/>
    <w:rsid w:val="04C11604"/>
    <w:rsid w:val="04C23BA8"/>
    <w:rsid w:val="04C45C44"/>
    <w:rsid w:val="04C46440"/>
    <w:rsid w:val="04D86746"/>
    <w:rsid w:val="04DA2132"/>
    <w:rsid w:val="04DE680D"/>
    <w:rsid w:val="04E3333F"/>
    <w:rsid w:val="04F72667"/>
    <w:rsid w:val="04F74D5D"/>
    <w:rsid w:val="04FA2D68"/>
    <w:rsid w:val="05084ACD"/>
    <w:rsid w:val="05157BA2"/>
    <w:rsid w:val="05184F9C"/>
    <w:rsid w:val="0535368D"/>
    <w:rsid w:val="05354C77"/>
    <w:rsid w:val="053A75C2"/>
    <w:rsid w:val="05407043"/>
    <w:rsid w:val="054C7CA9"/>
    <w:rsid w:val="0561272C"/>
    <w:rsid w:val="05634E1F"/>
    <w:rsid w:val="05693D35"/>
    <w:rsid w:val="056A7CE8"/>
    <w:rsid w:val="0578144E"/>
    <w:rsid w:val="057B7A05"/>
    <w:rsid w:val="057C552B"/>
    <w:rsid w:val="05873CE7"/>
    <w:rsid w:val="05893D58"/>
    <w:rsid w:val="058D20E9"/>
    <w:rsid w:val="059761E0"/>
    <w:rsid w:val="059873B5"/>
    <w:rsid w:val="05A131E3"/>
    <w:rsid w:val="05A2450C"/>
    <w:rsid w:val="05A93C6E"/>
    <w:rsid w:val="05AC2FD2"/>
    <w:rsid w:val="05B57C30"/>
    <w:rsid w:val="05B946EB"/>
    <w:rsid w:val="05BC112D"/>
    <w:rsid w:val="05BD515E"/>
    <w:rsid w:val="05C06D7A"/>
    <w:rsid w:val="05C16049"/>
    <w:rsid w:val="05D90BCF"/>
    <w:rsid w:val="05DC2518"/>
    <w:rsid w:val="05E0127A"/>
    <w:rsid w:val="05E5024F"/>
    <w:rsid w:val="05E641B4"/>
    <w:rsid w:val="05E72802"/>
    <w:rsid w:val="05EF0AE5"/>
    <w:rsid w:val="05F51946"/>
    <w:rsid w:val="05F62DBE"/>
    <w:rsid w:val="05F90EDA"/>
    <w:rsid w:val="060043AE"/>
    <w:rsid w:val="06006E95"/>
    <w:rsid w:val="060711CD"/>
    <w:rsid w:val="06094A8B"/>
    <w:rsid w:val="061A7E26"/>
    <w:rsid w:val="062B2F23"/>
    <w:rsid w:val="062D0CB8"/>
    <w:rsid w:val="062F6A41"/>
    <w:rsid w:val="06395D82"/>
    <w:rsid w:val="064009A9"/>
    <w:rsid w:val="064663E3"/>
    <w:rsid w:val="06475B39"/>
    <w:rsid w:val="064B46BD"/>
    <w:rsid w:val="064F1CCC"/>
    <w:rsid w:val="06597204"/>
    <w:rsid w:val="06617D1E"/>
    <w:rsid w:val="066A59F8"/>
    <w:rsid w:val="066A6ABF"/>
    <w:rsid w:val="06714455"/>
    <w:rsid w:val="067A38AE"/>
    <w:rsid w:val="067B2AB3"/>
    <w:rsid w:val="067D59FE"/>
    <w:rsid w:val="067E3AA4"/>
    <w:rsid w:val="06836143"/>
    <w:rsid w:val="068A65F0"/>
    <w:rsid w:val="068E23ED"/>
    <w:rsid w:val="068E5516"/>
    <w:rsid w:val="06915006"/>
    <w:rsid w:val="069B1676"/>
    <w:rsid w:val="069D7E4F"/>
    <w:rsid w:val="06B40DEB"/>
    <w:rsid w:val="06BD217D"/>
    <w:rsid w:val="06BE3CA4"/>
    <w:rsid w:val="06C02EDC"/>
    <w:rsid w:val="06C15DA0"/>
    <w:rsid w:val="06C61F4C"/>
    <w:rsid w:val="06C76321"/>
    <w:rsid w:val="06CB0AED"/>
    <w:rsid w:val="06D81AEB"/>
    <w:rsid w:val="06E04CA0"/>
    <w:rsid w:val="06E14A50"/>
    <w:rsid w:val="06E25862"/>
    <w:rsid w:val="06E415DA"/>
    <w:rsid w:val="06E4472A"/>
    <w:rsid w:val="06F029A2"/>
    <w:rsid w:val="06F12262"/>
    <w:rsid w:val="06FA0DFD"/>
    <w:rsid w:val="07006449"/>
    <w:rsid w:val="07061550"/>
    <w:rsid w:val="0708554F"/>
    <w:rsid w:val="070D0B30"/>
    <w:rsid w:val="071870E7"/>
    <w:rsid w:val="071A149F"/>
    <w:rsid w:val="072458A5"/>
    <w:rsid w:val="072B0FB7"/>
    <w:rsid w:val="072D2F81"/>
    <w:rsid w:val="072D511A"/>
    <w:rsid w:val="0731221B"/>
    <w:rsid w:val="07375BAD"/>
    <w:rsid w:val="073D7622"/>
    <w:rsid w:val="07401F94"/>
    <w:rsid w:val="0745303F"/>
    <w:rsid w:val="07475ECE"/>
    <w:rsid w:val="074B1659"/>
    <w:rsid w:val="074D4BA2"/>
    <w:rsid w:val="074E0831"/>
    <w:rsid w:val="074F1149"/>
    <w:rsid w:val="07540A01"/>
    <w:rsid w:val="075A37A8"/>
    <w:rsid w:val="075B4E29"/>
    <w:rsid w:val="075C5614"/>
    <w:rsid w:val="0768045D"/>
    <w:rsid w:val="0771054E"/>
    <w:rsid w:val="07750484"/>
    <w:rsid w:val="07770336"/>
    <w:rsid w:val="079316E9"/>
    <w:rsid w:val="079572DA"/>
    <w:rsid w:val="07A12BE1"/>
    <w:rsid w:val="07B44D7F"/>
    <w:rsid w:val="07B55DCC"/>
    <w:rsid w:val="07BF2B9A"/>
    <w:rsid w:val="07CB0AE4"/>
    <w:rsid w:val="07CD206E"/>
    <w:rsid w:val="07CF02F4"/>
    <w:rsid w:val="07D32816"/>
    <w:rsid w:val="07E13398"/>
    <w:rsid w:val="07EA5262"/>
    <w:rsid w:val="07EE5E7B"/>
    <w:rsid w:val="07F63D80"/>
    <w:rsid w:val="0800417B"/>
    <w:rsid w:val="08013471"/>
    <w:rsid w:val="08030185"/>
    <w:rsid w:val="080B2F10"/>
    <w:rsid w:val="0816525F"/>
    <w:rsid w:val="082D0D5E"/>
    <w:rsid w:val="082D2CC6"/>
    <w:rsid w:val="082D2F75"/>
    <w:rsid w:val="083A18B6"/>
    <w:rsid w:val="083B791F"/>
    <w:rsid w:val="083E7991"/>
    <w:rsid w:val="08413ED6"/>
    <w:rsid w:val="084906CD"/>
    <w:rsid w:val="084A1910"/>
    <w:rsid w:val="084C1597"/>
    <w:rsid w:val="084E684E"/>
    <w:rsid w:val="084F1229"/>
    <w:rsid w:val="084F1741"/>
    <w:rsid w:val="08517143"/>
    <w:rsid w:val="08534C69"/>
    <w:rsid w:val="085655DF"/>
    <w:rsid w:val="085707BD"/>
    <w:rsid w:val="086329D2"/>
    <w:rsid w:val="08640C24"/>
    <w:rsid w:val="0865674A"/>
    <w:rsid w:val="08750546"/>
    <w:rsid w:val="08752477"/>
    <w:rsid w:val="087A126E"/>
    <w:rsid w:val="087D5D1C"/>
    <w:rsid w:val="08813158"/>
    <w:rsid w:val="08887EE8"/>
    <w:rsid w:val="088D149B"/>
    <w:rsid w:val="0898648B"/>
    <w:rsid w:val="08A14B2D"/>
    <w:rsid w:val="08BC116E"/>
    <w:rsid w:val="08C3462D"/>
    <w:rsid w:val="08D5228A"/>
    <w:rsid w:val="08DA144C"/>
    <w:rsid w:val="08DF64FD"/>
    <w:rsid w:val="08E11040"/>
    <w:rsid w:val="08E25E9D"/>
    <w:rsid w:val="08E25FED"/>
    <w:rsid w:val="08E87026"/>
    <w:rsid w:val="08E91129"/>
    <w:rsid w:val="08EC29C7"/>
    <w:rsid w:val="08ED74B0"/>
    <w:rsid w:val="08FA1588"/>
    <w:rsid w:val="08FC1A5D"/>
    <w:rsid w:val="09073DA6"/>
    <w:rsid w:val="090C59C7"/>
    <w:rsid w:val="09174946"/>
    <w:rsid w:val="091A7535"/>
    <w:rsid w:val="091E5277"/>
    <w:rsid w:val="092D5225"/>
    <w:rsid w:val="0931502F"/>
    <w:rsid w:val="093D1475"/>
    <w:rsid w:val="093F6878"/>
    <w:rsid w:val="09403669"/>
    <w:rsid w:val="09442E22"/>
    <w:rsid w:val="094531C6"/>
    <w:rsid w:val="094835EF"/>
    <w:rsid w:val="094910E0"/>
    <w:rsid w:val="094B0F40"/>
    <w:rsid w:val="094C5B9E"/>
    <w:rsid w:val="094F6298"/>
    <w:rsid w:val="0950210E"/>
    <w:rsid w:val="09533FF9"/>
    <w:rsid w:val="09571D58"/>
    <w:rsid w:val="095A5B83"/>
    <w:rsid w:val="09632A6E"/>
    <w:rsid w:val="096C152D"/>
    <w:rsid w:val="09732D00"/>
    <w:rsid w:val="097372F0"/>
    <w:rsid w:val="09740540"/>
    <w:rsid w:val="097E7AC3"/>
    <w:rsid w:val="09903C9B"/>
    <w:rsid w:val="0996094B"/>
    <w:rsid w:val="09982C16"/>
    <w:rsid w:val="099A067F"/>
    <w:rsid w:val="099E1F14"/>
    <w:rsid w:val="09A25D48"/>
    <w:rsid w:val="09AB471C"/>
    <w:rsid w:val="09B24FFE"/>
    <w:rsid w:val="09C120A6"/>
    <w:rsid w:val="09C24EAC"/>
    <w:rsid w:val="09C63218"/>
    <w:rsid w:val="09CD27EC"/>
    <w:rsid w:val="09D23423"/>
    <w:rsid w:val="09DC47EA"/>
    <w:rsid w:val="09DD63BD"/>
    <w:rsid w:val="09DF33FD"/>
    <w:rsid w:val="09E51434"/>
    <w:rsid w:val="09E666F3"/>
    <w:rsid w:val="09E8465A"/>
    <w:rsid w:val="09FB7366"/>
    <w:rsid w:val="0A024166"/>
    <w:rsid w:val="0A06214D"/>
    <w:rsid w:val="0A0D0E47"/>
    <w:rsid w:val="0A1469C9"/>
    <w:rsid w:val="0A187F18"/>
    <w:rsid w:val="0A1B3A63"/>
    <w:rsid w:val="0A1F187C"/>
    <w:rsid w:val="0A204081"/>
    <w:rsid w:val="0A3A06E2"/>
    <w:rsid w:val="0A402FCB"/>
    <w:rsid w:val="0A480D82"/>
    <w:rsid w:val="0A4E393A"/>
    <w:rsid w:val="0A565793"/>
    <w:rsid w:val="0A5B07A0"/>
    <w:rsid w:val="0A5C2321"/>
    <w:rsid w:val="0A5F2B25"/>
    <w:rsid w:val="0A603E2E"/>
    <w:rsid w:val="0A621193"/>
    <w:rsid w:val="0A622F41"/>
    <w:rsid w:val="0A6234FB"/>
    <w:rsid w:val="0A661FD2"/>
    <w:rsid w:val="0A682522"/>
    <w:rsid w:val="0A7C2C9B"/>
    <w:rsid w:val="0A857B18"/>
    <w:rsid w:val="0A8F4B0E"/>
    <w:rsid w:val="0A8F4B76"/>
    <w:rsid w:val="0A906F29"/>
    <w:rsid w:val="0A9458F4"/>
    <w:rsid w:val="0A97308A"/>
    <w:rsid w:val="0A995ACB"/>
    <w:rsid w:val="0A9B33FC"/>
    <w:rsid w:val="0A9F04E7"/>
    <w:rsid w:val="0AA04A63"/>
    <w:rsid w:val="0AA55FA6"/>
    <w:rsid w:val="0AA907AA"/>
    <w:rsid w:val="0AAB35C8"/>
    <w:rsid w:val="0AAD5646"/>
    <w:rsid w:val="0ABA5D1E"/>
    <w:rsid w:val="0ABF0394"/>
    <w:rsid w:val="0ACE4B98"/>
    <w:rsid w:val="0AD32DEC"/>
    <w:rsid w:val="0AD876A7"/>
    <w:rsid w:val="0AE04D50"/>
    <w:rsid w:val="0AE11B0E"/>
    <w:rsid w:val="0AE11D9E"/>
    <w:rsid w:val="0AE41BA8"/>
    <w:rsid w:val="0AEA6FC8"/>
    <w:rsid w:val="0AEB73DB"/>
    <w:rsid w:val="0AEC6CAF"/>
    <w:rsid w:val="0AED51A0"/>
    <w:rsid w:val="0AF5436D"/>
    <w:rsid w:val="0B003984"/>
    <w:rsid w:val="0B022976"/>
    <w:rsid w:val="0B034735"/>
    <w:rsid w:val="0B0545C4"/>
    <w:rsid w:val="0B154457"/>
    <w:rsid w:val="0B287C79"/>
    <w:rsid w:val="0B2C326B"/>
    <w:rsid w:val="0B311D87"/>
    <w:rsid w:val="0B370709"/>
    <w:rsid w:val="0B3922FC"/>
    <w:rsid w:val="0B3D1E85"/>
    <w:rsid w:val="0B434A1A"/>
    <w:rsid w:val="0B434B98"/>
    <w:rsid w:val="0B481DB2"/>
    <w:rsid w:val="0B4B5814"/>
    <w:rsid w:val="0B5A5195"/>
    <w:rsid w:val="0B5D14EA"/>
    <w:rsid w:val="0B62601C"/>
    <w:rsid w:val="0B6B289D"/>
    <w:rsid w:val="0B6C7DF0"/>
    <w:rsid w:val="0B6D6042"/>
    <w:rsid w:val="0B6E3B68"/>
    <w:rsid w:val="0B716B7B"/>
    <w:rsid w:val="0B786794"/>
    <w:rsid w:val="0B7E1269"/>
    <w:rsid w:val="0B7E6AB6"/>
    <w:rsid w:val="0B8213C1"/>
    <w:rsid w:val="0B877549"/>
    <w:rsid w:val="0B893844"/>
    <w:rsid w:val="0B9A495D"/>
    <w:rsid w:val="0BB772BD"/>
    <w:rsid w:val="0BBE27CF"/>
    <w:rsid w:val="0BCB720C"/>
    <w:rsid w:val="0BCE4D3A"/>
    <w:rsid w:val="0BDE7418"/>
    <w:rsid w:val="0BDF05C2"/>
    <w:rsid w:val="0BED0F30"/>
    <w:rsid w:val="0BED7182"/>
    <w:rsid w:val="0BEF3831"/>
    <w:rsid w:val="0BF00A21"/>
    <w:rsid w:val="0BF16CA4"/>
    <w:rsid w:val="0BFE67EC"/>
    <w:rsid w:val="0BFE6C9A"/>
    <w:rsid w:val="0C0D15D3"/>
    <w:rsid w:val="0C0E6327"/>
    <w:rsid w:val="0C112162"/>
    <w:rsid w:val="0C274950"/>
    <w:rsid w:val="0C3D1EB8"/>
    <w:rsid w:val="0C3E159B"/>
    <w:rsid w:val="0C3E79DE"/>
    <w:rsid w:val="0C455BBE"/>
    <w:rsid w:val="0C470638"/>
    <w:rsid w:val="0C5C1141"/>
    <w:rsid w:val="0C672D7C"/>
    <w:rsid w:val="0C6C00A7"/>
    <w:rsid w:val="0C6D05EB"/>
    <w:rsid w:val="0C702DC4"/>
    <w:rsid w:val="0C820B73"/>
    <w:rsid w:val="0C874EE1"/>
    <w:rsid w:val="0C8D626F"/>
    <w:rsid w:val="0C8E1EF0"/>
    <w:rsid w:val="0C8F308B"/>
    <w:rsid w:val="0C8F4C8D"/>
    <w:rsid w:val="0CAD06C0"/>
    <w:rsid w:val="0CB00BC4"/>
    <w:rsid w:val="0CB20045"/>
    <w:rsid w:val="0CB3217A"/>
    <w:rsid w:val="0CBD084F"/>
    <w:rsid w:val="0CC021A1"/>
    <w:rsid w:val="0CCD6F41"/>
    <w:rsid w:val="0CD20C6F"/>
    <w:rsid w:val="0CD35B59"/>
    <w:rsid w:val="0CDF64B0"/>
    <w:rsid w:val="0CE37A9E"/>
    <w:rsid w:val="0CE64D68"/>
    <w:rsid w:val="0CE66723"/>
    <w:rsid w:val="0CEA0B1C"/>
    <w:rsid w:val="0CF307C8"/>
    <w:rsid w:val="0CF31BE1"/>
    <w:rsid w:val="0CF956B3"/>
    <w:rsid w:val="0CFD3B89"/>
    <w:rsid w:val="0CFF0E61"/>
    <w:rsid w:val="0D012192"/>
    <w:rsid w:val="0D0429D6"/>
    <w:rsid w:val="0D1B6EBF"/>
    <w:rsid w:val="0D1F336B"/>
    <w:rsid w:val="0D2A344E"/>
    <w:rsid w:val="0D31309F"/>
    <w:rsid w:val="0D374B59"/>
    <w:rsid w:val="0D38013A"/>
    <w:rsid w:val="0D441AFE"/>
    <w:rsid w:val="0D445F14"/>
    <w:rsid w:val="0D4910BC"/>
    <w:rsid w:val="0D4A4AC2"/>
    <w:rsid w:val="0D4A579F"/>
    <w:rsid w:val="0D4C1C87"/>
    <w:rsid w:val="0D5154EF"/>
    <w:rsid w:val="0D531961"/>
    <w:rsid w:val="0D643BFB"/>
    <w:rsid w:val="0D705975"/>
    <w:rsid w:val="0D706B21"/>
    <w:rsid w:val="0D77528F"/>
    <w:rsid w:val="0D7A2C98"/>
    <w:rsid w:val="0D7F67B3"/>
    <w:rsid w:val="0D837D9E"/>
    <w:rsid w:val="0D86163D"/>
    <w:rsid w:val="0D892EDB"/>
    <w:rsid w:val="0D9C12F0"/>
    <w:rsid w:val="0DB241E0"/>
    <w:rsid w:val="0DBC1585"/>
    <w:rsid w:val="0DC14D9E"/>
    <w:rsid w:val="0DC9255D"/>
    <w:rsid w:val="0DC939B3"/>
    <w:rsid w:val="0DCD1019"/>
    <w:rsid w:val="0DCD4BB1"/>
    <w:rsid w:val="0DD95C10"/>
    <w:rsid w:val="0DDA33B3"/>
    <w:rsid w:val="0DDE15BB"/>
    <w:rsid w:val="0DDF4AC7"/>
    <w:rsid w:val="0DE034C2"/>
    <w:rsid w:val="0DE31E05"/>
    <w:rsid w:val="0DE9348A"/>
    <w:rsid w:val="0DF04D08"/>
    <w:rsid w:val="0DF15B06"/>
    <w:rsid w:val="0DF63947"/>
    <w:rsid w:val="0DF73BA1"/>
    <w:rsid w:val="0DF960F9"/>
    <w:rsid w:val="0E097B78"/>
    <w:rsid w:val="0E201A24"/>
    <w:rsid w:val="0E2D54E8"/>
    <w:rsid w:val="0E34574D"/>
    <w:rsid w:val="0E3914CE"/>
    <w:rsid w:val="0E3A41D5"/>
    <w:rsid w:val="0E3E49C9"/>
    <w:rsid w:val="0E4930E4"/>
    <w:rsid w:val="0E6261F4"/>
    <w:rsid w:val="0E680D42"/>
    <w:rsid w:val="0E796B94"/>
    <w:rsid w:val="0E8B2739"/>
    <w:rsid w:val="0E8C1B29"/>
    <w:rsid w:val="0E8C2D01"/>
    <w:rsid w:val="0E8D4826"/>
    <w:rsid w:val="0E94482B"/>
    <w:rsid w:val="0E977A04"/>
    <w:rsid w:val="0E98691A"/>
    <w:rsid w:val="0EA4479A"/>
    <w:rsid w:val="0EA855E3"/>
    <w:rsid w:val="0EAF04CE"/>
    <w:rsid w:val="0EB01956"/>
    <w:rsid w:val="0EC81F13"/>
    <w:rsid w:val="0EDB32C2"/>
    <w:rsid w:val="0EE6426E"/>
    <w:rsid w:val="0EE710B6"/>
    <w:rsid w:val="0EEA5AA1"/>
    <w:rsid w:val="0EFF71F4"/>
    <w:rsid w:val="0F075B14"/>
    <w:rsid w:val="0F0C2CA2"/>
    <w:rsid w:val="0F0D45D0"/>
    <w:rsid w:val="0F1F58A5"/>
    <w:rsid w:val="0F2C1D70"/>
    <w:rsid w:val="0F301544"/>
    <w:rsid w:val="0F312C7C"/>
    <w:rsid w:val="0F384E0C"/>
    <w:rsid w:val="0F447267"/>
    <w:rsid w:val="0F5349C4"/>
    <w:rsid w:val="0F5936F5"/>
    <w:rsid w:val="0F5C08A7"/>
    <w:rsid w:val="0F6156E5"/>
    <w:rsid w:val="0F707EAE"/>
    <w:rsid w:val="0F73174D"/>
    <w:rsid w:val="0F7D2520"/>
    <w:rsid w:val="0F812B38"/>
    <w:rsid w:val="0F8743A7"/>
    <w:rsid w:val="0F981CA9"/>
    <w:rsid w:val="0F9F69E6"/>
    <w:rsid w:val="0FB36BEB"/>
    <w:rsid w:val="0FBC1346"/>
    <w:rsid w:val="0FC30B34"/>
    <w:rsid w:val="0FCC70AF"/>
    <w:rsid w:val="0FCD2D8B"/>
    <w:rsid w:val="0FCD5060"/>
    <w:rsid w:val="0FD45A11"/>
    <w:rsid w:val="0FE407F6"/>
    <w:rsid w:val="0FEB5BCF"/>
    <w:rsid w:val="0FEE5C55"/>
    <w:rsid w:val="0FEE617F"/>
    <w:rsid w:val="0FF26B4F"/>
    <w:rsid w:val="0FFF1232"/>
    <w:rsid w:val="1001152A"/>
    <w:rsid w:val="10050E93"/>
    <w:rsid w:val="100625C1"/>
    <w:rsid w:val="100869C0"/>
    <w:rsid w:val="10130A0B"/>
    <w:rsid w:val="101A615E"/>
    <w:rsid w:val="101B1392"/>
    <w:rsid w:val="102A0947"/>
    <w:rsid w:val="102D1235"/>
    <w:rsid w:val="102F6122"/>
    <w:rsid w:val="10366C9B"/>
    <w:rsid w:val="103959CF"/>
    <w:rsid w:val="103A04BC"/>
    <w:rsid w:val="103B4960"/>
    <w:rsid w:val="1043306C"/>
    <w:rsid w:val="104525C6"/>
    <w:rsid w:val="10484D73"/>
    <w:rsid w:val="105038CC"/>
    <w:rsid w:val="1057106E"/>
    <w:rsid w:val="105F73C3"/>
    <w:rsid w:val="10640D8F"/>
    <w:rsid w:val="106E1E4E"/>
    <w:rsid w:val="106F77AB"/>
    <w:rsid w:val="10797237"/>
    <w:rsid w:val="107A44E1"/>
    <w:rsid w:val="107C0A87"/>
    <w:rsid w:val="10817E99"/>
    <w:rsid w:val="108263A4"/>
    <w:rsid w:val="108B6695"/>
    <w:rsid w:val="109001A5"/>
    <w:rsid w:val="10923E40"/>
    <w:rsid w:val="10992431"/>
    <w:rsid w:val="10A136D2"/>
    <w:rsid w:val="10BB33AB"/>
    <w:rsid w:val="10BB4E28"/>
    <w:rsid w:val="10BC38BE"/>
    <w:rsid w:val="10C36639"/>
    <w:rsid w:val="10C761F4"/>
    <w:rsid w:val="10C81025"/>
    <w:rsid w:val="10D314D6"/>
    <w:rsid w:val="10D55AE8"/>
    <w:rsid w:val="10D94FCD"/>
    <w:rsid w:val="10E06638"/>
    <w:rsid w:val="10E30B54"/>
    <w:rsid w:val="10EA2634"/>
    <w:rsid w:val="10F42250"/>
    <w:rsid w:val="10FF6DAB"/>
    <w:rsid w:val="11056D1C"/>
    <w:rsid w:val="110621E9"/>
    <w:rsid w:val="111057E1"/>
    <w:rsid w:val="11147B8C"/>
    <w:rsid w:val="11160F29"/>
    <w:rsid w:val="11191CEE"/>
    <w:rsid w:val="111E13BE"/>
    <w:rsid w:val="111E393A"/>
    <w:rsid w:val="112015C7"/>
    <w:rsid w:val="112644FB"/>
    <w:rsid w:val="11305224"/>
    <w:rsid w:val="11335637"/>
    <w:rsid w:val="113B47DA"/>
    <w:rsid w:val="113D4AA4"/>
    <w:rsid w:val="113D5755"/>
    <w:rsid w:val="113E5D8A"/>
    <w:rsid w:val="114A472F"/>
    <w:rsid w:val="11594C68"/>
    <w:rsid w:val="11615DC6"/>
    <w:rsid w:val="116713A1"/>
    <w:rsid w:val="116B7501"/>
    <w:rsid w:val="116C0B49"/>
    <w:rsid w:val="116E2CDB"/>
    <w:rsid w:val="116F07BB"/>
    <w:rsid w:val="11701A6B"/>
    <w:rsid w:val="117414E6"/>
    <w:rsid w:val="1177026E"/>
    <w:rsid w:val="117D1268"/>
    <w:rsid w:val="11880D5D"/>
    <w:rsid w:val="118827D4"/>
    <w:rsid w:val="119D5389"/>
    <w:rsid w:val="11A32AA8"/>
    <w:rsid w:val="11A33DDF"/>
    <w:rsid w:val="11A45FE6"/>
    <w:rsid w:val="11A71270"/>
    <w:rsid w:val="11B55B00"/>
    <w:rsid w:val="11B60016"/>
    <w:rsid w:val="11C04BFB"/>
    <w:rsid w:val="11D32976"/>
    <w:rsid w:val="11D54941"/>
    <w:rsid w:val="11E50BE7"/>
    <w:rsid w:val="11EC77B4"/>
    <w:rsid w:val="11F36821"/>
    <w:rsid w:val="11F530FA"/>
    <w:rsid w:val="11FC5E66"/>
    <w:rsid w:val="11FF376C"/>
    <w:rsid w:val="120530AD"/>
    <w:rsid w:val="120A3BFB"/>
    <w:rsid w:val="1211524D"/>
    <w:rsid w:val="12255997"/>
    <w:rsid w:val="12256E78"/>
    <w:rsid w:val="1232769D"/>
    <w:rsid w:val="12487C1E"/>
    <w:rsid w:val="12493F04"/>
    <w:rsid w:val="12555A81"/>
    <w:rsid w:val="12595EC0"/>
    <w:rsid w:val="125A250D"/>
    <w:rsid w:val="125A73CC"/>
    <w:rsid w:val="125F5CE2"/>
    <w:rsid w:val="12603BAE"/>
    <w:rsid w:val="12612F8B"/>
    <w:rsid w:val="12642280"/>
    <w:rsid w:val="12693598"/>
    <w:rsid w:val="126F4F07"/>
    <w:rsid w:val="1274439A"/>
    <w:rsid w:val="127D6D97"/>
    <w:rsid w:val="127E3916"/>
    <w:rsid w:val="128976BA"/>
    <w:rsid w:val="128A386D"/>
    <w:rsid w:val="128B1B14"/>
    <w:rsid w:val="129126C0"/>
    <w:rsid w:val="12936881"/>
    <w:rsid w:val="12AB7F4C"/>
    <w:rsid w:val="12AC42C4"/>
    <w:rsid w:val="12C64289"/>
    <w:rsid w:val="12C66037"/>
    <w:rsid w:val="12D44BF8"/>
    <w:rsid w:val="12E3308D"/>
    <w:rsid w:val="12E442C0"/>
    <w:rsid w:val="12EF645A"/>
    <w:rsid w:val="12FA1C9C"/>
    <w:rsid w:val="12FD088C"/>
    <w:rsid w:val="12FD1BC4"/>
    <w:rsid w:val="12FE7721"/>
    <w:rsid w:val="130B27A8"/>
    <w:rsid w:val="13132C80"/>
    <w:rsid w:val="13201FF1"/>
    <w:rsid w:val="13290CB1"/>
    <w:rsid w:val="133E2D87"/>
    <w:rsid w:val="133F5408"/>
    <w:rsid w:val="134A310C"/>
    <w:rsid w:val="134B3FCA"/>
    <w:rsid w:val="135875D7"/>
    <w:rsid w:val="135B1ABE"/>
    <w:rsid w:val="13633631"/>
    <w:rsid w:val="136715C8"/>
    <w:rsid w:val="1367781A"/>
    <w:rsid w:val="136F32F6"/>
    <w:rsid w:val="13747BC4"/>
    <w:rsid w:val="137B5F2F"/>
    <w:rsid w:val="138C54D3"/>
    <w:rsid w:val="13953841"/>
    <w:rsid w:val="13981096"/>
    <w:rsid w:val="139948BE"/>
    <w:rsid w:val="139B073F"/>
    <w:rsid w:val="139F26B4"/>
    <w:rsid w:val="13A2432F"/>
    <w:rsid w:val="13BD568C"/>
    <w:rsid w:val="13BF6C3D"/>
    <w:rsid w:val="13C20EF5"/>
    <w:rsid w:val="13C64201"/>
    <w:rsid w:val="13CD1B70"/>
    <w:rsid w:val="13D00BA1"/>
    <w:rsid w:val="13E22825"/>
    <w:rsid w:val="13E92971"/>
    <w:rsid w:val="13EB21F9"/>
    <w:rsid w:val="13EB44B6"/>
    <w:rsid w:val="13ED23BB"/>
    <w:rsid w:val="13EF3151"/>
    <w:rsid w:val="13FA5B53"/>
    <w:rsid w:val="13FF3EF7"/>
    <w:rsid w:val="14022B44"/>
    <w:rsid w:val="1407587B"/>
    <w:rsid w:val="14075C85"/>
    <w:rsid w:val="14182D83"/>
    <w:rsid w:val="141A3A83"/>
    <w:rsid w:val="141F074C"/>
    <w:rsid w:val="14246547"/>
    <w:rsid w:val="142702EA"/>
    <w:rsid w:val="14297AF1"/>
    <w:rsid w:val="14305E5E"/>
    <w:rsid w:val="14315EEB"/>
    <w:rsid w:val="143202BF"/>
    <w:rsid w:val="14327E28"/>
    <w:rsid w:val="14340868"/>
    <w:rsid w:val="14423DE3"/>
    <w:rsid w:val="1447643D"/>
    <w:rsid w:val="144D5A0F"/>
    <w:rsid w:val="14516A6C"/>
    <w:rsid w:val="14523571"/>
    <w:rsid w:val="14640F02"/>
    <w:rsid w:val="146855F8"/>
    <w:rsid w:val="146C2E04"/>
    <w:rsid w:val="146E3DF0"/>
    <w:rsid w:val="147541B9"/>
    <w:rsid w:val="14783581"/>
    <w:rsid w:val="1479115B"/>
    <w:rsid w:val="14803667"/>
    <w:rsid w:val="14832432"/>
    <w:rsid w:val="148E7B67"/>
    <w:rsid w:val="149235F7"/>
    <w:rsid w:val="14992755"/>
    <w:rsid w:val="149A7DC2"/>
    <w:rsid w:val="14AB1989"/>
    <w:rsid w:val="14B00D4D"/>
    <w:rsid w:val="14B52807"/>
    <w:rsid w:val="14BC76F2"/>
    <w:rsid w:val="14C11E77"/>
    <w:rsid w:val="14C168E0"/>
    <w:rsid w:val="14C8078D"/>
    <w:rsid w:val="14C91E0F"/>
    <w:rsid w:val="14CB2B4C"/>
    <w:rsid w:val="14D97841"/>
    <w:rsid w:val="14E46C49"/>
    <w:rsid w:val="14E54E9B"/>
    <w:rsid w:val="14E629C1"/>
    <w:rsid w:val="14E66E55"/>
    <w:rsid w:val="15035E5D"/>
    <w:rsid w:val="150410A6"/>
    <w:rsid w:val="150A0A7B"/>
    <w:rsid w:val="15200D24"/>
    <w:rsid w:val="15294474"/>
    <w:rsid w:val="1533692A"/>
    <w:rsid w:val="15342050"/>
    <w:rsid w:val="15435889"/>
    <w:rsid w:val="15451E08"/>
    <w:rsid w:val="15472D88"/>
    <w:rsid w:val="154C0C58"/>
    <w:rsid w:val="15524257"/>
    <w:rsid w:val="155572BB"/>
    <w:rsid w:val="15567E21"/>
    <w:rsid w:val="156A3DEC"/>
    <w:rsid w:val="156D5EA5"/>
    <w:rsid w:val="15726548"/>
    <w:rsid w:val="15755461"/>
    <w:rsid w:val="1580325E"/>
    <w:rsid w:val="158649C8"/>
    <w:rsid w:val="158D072E"/>
    <w:rsid w:val="158E40F5"/>
    <w:rsid w:val="158F40CB"/>
    <w:rsid w:val="15904605"/>
    <w:rsid w:val="15973691"/>
    <w:rsid w:val="15984616"/>
    <w:rsid w:val="159F2ADF"/>
    <w:rsid w:val="15A235AB"/>
    <w:rsid w:val="15AD0242"/>
    <w:rsid w:val="15B044F4"/>
    <w:rsid w:val="15B30C85"/>
    <w:rsid w:val="15BD50F4"/>
    <w:rsid w:val="15BF49C6"/>
    <w:rsid w:val="15C56A7A"/>
    <w:rsid w:val="15C96439"/>
    <w:rsid w:val="15CB4C81"/>
    <w:rsid w:val="15CD67A2"/>
    <w:rsid w:val="15E02C48"/>
    <w:rsid w:val="15E60D23"/>
    <w:rsid w:val="15F31839"/>
    <w:rsid w:val="15F65F77"/>
    <w:rsid w:val="15F66C34"/>
    <w:rsid w:val="15FA2BC8"/>
    <w:rsid w:val="15FE3060"/>
    <w:rsid w:val="16072A18"/>
    <w:rsid w:val="160B551D"/>
    <w:rsid w:val="16153367"/>
    <w:rsid w:val="162A2827"/>
    <w:rsid w:val="162D6274"/>
    <w:rsid w:val="163B0AEA"/>
    <w:rsid w:val="16442095"/>
    <w:rsid w:val="16443FCF"/>
    <w:rsid w:val="1659114E"/>
    <w:rsid w:val="16616142"/>
    <w:rsid w:val="166203A0"/>
    <w:rsid w:val="16793C9D"/>
    <w:rsid w:val="16806894"/>
    <w:rsid w:val="1688503E"/>
    <w:rsid w:val="168F6A0C"/>
    <w:rsid w:val="16907088"/>
    <w:rsid w:val="16922E00"/>
    <w:rsid w:val="169F3FD7"/>
    <w:rsid w:val="169F4430"/>
    <w:rsid w:val="16A44A2E"/>
    <w:rsid w:val="16BE024E"/>
    <w:rsid w:val="16C3745D"/>
    <w:rsid w:val="16D04A51"/>
    <w:rsid w:val="16D67E81"/>
    <w:rsid w:val="16DA491E"/>
    <w:rsid w:val="16DA7F3D"/>
    <w:rsid w:val="16E61C63"/>
    <w:rsid w:val="16ED0036"/>
    <w:rsid w:val="16ED56D0"/>
    <w:rsid w:val="16EE5A16"/>
    <w:rsid w:val="16F5265C"/>
    <w:rsid w:val="16F5338F"/>
    <w:rsid w:val="16F60F7D"/>
    <w:rsid w:val="16F921DF"/>
    <w:rsid w:val="16FF47AA"/>
    <w:rsid w:val="17011D34"/>
    <w:rsid w:val="170B0393"/>
    <w:rsid w:val="170C1C58"/>
    <w:rsid w:val="170C1D9D"/>
    <w:rsid w:val="170F4451"/>
    <w:rsid w:val="170F4F7C"/>
    <w:rsid w:val="170F61FF"/>
    <w:rsid w:val="1714586B"/>
    <w:rsid w:val="17180C4F"/>
    <w:rsid w:val="171A7C74"/>
    <w:rsid w:val="171C5A69"/>
    <w:rsid w:val="172C5541"/>
    <w:rsid w:val="172E232B"/>
    <w:rsid w:val="17303537"/>
    <w:rsid w:val="17365E81"/>
    <w:rsid w:val="173F097B"/>
    <w:rsid w:val="17461CA6"/>
    <w:rsid w:val="174F7E55"/>
    <w:rsid w:val="17561C31"/>
    <w:rsid w:val="17591F64"/>
    <w:rsid w:val="17694A2A"/>
    <w:rsid w:val="176D00A5"/>
    <w:rsid w:val="176D553D"/>
    <w:rsid w:val="17732536"/>
    <w:rsid w:val="177B7D38"/>
    <w:rsid w:val="177E3384"/>
    <w:rsid w:val="17832749"/>
    <w:rsid w:val="17A55B27"/>
    <w:rsid w:val="17A60842"/>
    <w:rsid w:val="17A671A7"/>
    <w:rsid w:val="17B36426"/>
    <w:rsid w:val="17B55705"/>
    <w:rsid w:val="17C25478"/>
    <w:rsid w:val="17CB4F68"/>
    <w:rsid w:val="17CC40F0"/>
    <w:rsid w:val="17CC4554"/>
    <w:rsid w:val="17D52B86"/>
    <w:rsid w:val="17D8582B"/>
    <w:rsid w:val="17F40B94"/>
    <w:rsid w:val="17F52EAD"/>
    <w:rsid w:val="17FA5D40"/>
    <w:rsid w:val="180B2CBE"/>
    <w:rsid w:val="180D5C6B"/>
    <w:rsid w:val="182752FC"/>
    <w:rsid w:val="182E544D"/>
    <w:rsid w:val="18381835"/>
    <w:rsid w:val="183A1F74"/>
    <w:rsid w:val="18457D56"/>
    <w:rsid w:val="1853036D"/>
    <w:rsid w:val="185930F9"/>
    <w:rsid w:val="185A5DC7"/>
    <w:rsid w:val="1862438E"/>
    <w:rsid w:val="186277BB"/>
    <w:rsid w:val="18716A45"/>
    <w:rsid w:val="188535FB"/>
    <w:rsid w:val="188D67E6"/>
    <w:rsid w:val="18970A83"/>
    <w:rsid w:val="18A71CDF"/>
    <w:rsid w:val="18AB14A5"/>
    <w:rsid w:val="18AB65F7"/>
    <w:rsid w:val="18AC5CCF"/>
    <w:rsid w:val="18B46059"/>
    <w:rsid w:val="18B76B4E"/>
    <w:rsid w:val="18BC5F12"/>
    <w:rsid w:val="18C56BD4"/>
    <w:rsid w:val="18C67773"/>
    <w:rsid w:val="18CA16F5"/>
    <w:rsid w:val="18D02CEC"/>
    <w:rsid w:val="18D43258"/>
    <w:rsid w:val="18E11B0E"/>
    <w:rsid w:val="18E92A80"/>
    <w:rsid w:val="18ED6304"/>
    <w:rsid w:val="18EE6170"/>
    <w:rsid w:val="18F558C8"/>
    <w:rsid w:val="18F90F15"/>
    <w:rsid w:val="18FB7D92"/>
    <w:rsid w:val="18FF04F5"/>
    <w:rsid w:val="19042756"/>
    <w:rsid w:val="190768E8"/>
    <w:rsid w:val="190D676E"/>
    <w:rsid w:val="190E2AEB"/>
    <w:rsid w:val="19124114"/>
    <w:rsid w:val="19144B90"/>
    <w:rsid w:val="191F74B7"/>
    <w:rsid w:val="19241D0A"/>
    <w:rsid w:val="1925050E"/>
    <w:rsid w:val="19263CD4"/>
    <w:rsid w:val="1931770D"/>
    <w:rsid w:val="194258E0"/>
    <w:rsid w:val="19434185"/>
    <w:rsid w:val="194B703A"/>
    <w:rsid w:val="19515518"/>
    <w:rsid w:val="195D1A16"/>
    <w:rsid w:val="19607230"/>
    <w:rsid w:val="1962070A"/>
    <w:rsid w:val="196F5434"/>
    <w:rsid w:val="19777856"/>
    <w:rsid w:val="197B7DB5"/>
    <w:rsid w:val="197C38F4"/>
    <w:rsid w:val="197F62A2"/>
    <w:rsid w:val="198540F4"/>
    <w:rsid w:val="19932AA0"/>
    <w:rsid w:val="19966DF1"/>
    <w:rsid w:val="1999164F"/>
    <w:rsid w:val="199C1950"/>
    <w:rsid w:val="199E4AC0"/>
    <w:rsid w:val="19A76BC3"/>
    <w:rsid w:val="19A82775"/>
    <w:rsid w:val="19A846E9"/>
    <w:rsid w:val="19B6612C"/>
    <w:rsid w:val="19BD4ADE"/>
    <w:rsid w:val="19BE2F43"/>
    <w:rsid w:val="19C159DC"/>
    <w:rsid w:val="19C765A5"/>
    <w:rsid w:val="19C91F17"/>
    <w:rsid w:val="19CB117F"/>
    <w:rsid w:val="19CB3603"/>
    <w:rsid w:val="19CC6629"/>
    <w:rsid w:val="19D07AB5"/>
    <w:rsid w:val="19E020D4"/>
    <w:rsid w:val="19E311D5"/>
    <w:rsid w:val="19E35721"/>
    <w:rsid w:val="19E71D6F"/>
    <w:rsid w:val="19E969BD"/>
    <w:rsid w:val="19EC2827"/>
    <w:rsid w:val="19F5631F"/>
    <w:rsid w:val="19F90129"/>
    <w:rsid w:val="1A000C98"/>
    <w:rsid w:val="1A044015"/>
    <w:rsid w:val="1A0A1DC5"/>
    <w:rsid w:val="1A113680"/>
    <w:rsid w:val="1A1324AA"/>
    <w:rsid w:val="1A147FD0"/>
    <w:rsid w:val="1A1F08BE"/>
    <w:rsid w:val="1A226A73"/>
    <w:rsid w:val="1A25574C"/>
    <w:rsid w:val="1A2C356C"/>
    <w:rsid w:val="1A3D7435"/>
    <w:rsid w:val="1A495ECC"/>
    <w:rsid w:val="1A50475E"/>
    <w:rsid w:val="1A554870"/>
    <w:rsid w:val="1A5A3C35"/>
    <w:rsid w:val="1A5D3097"/>
    <w:rsid w:val="1A620438"/>
    <w:rsid w:val="1A650AB9"/>
    <w:rsid w:val="1A6630EB"/>
    <w:rsid w:val="1A6D1FBC"/>
    <w:rsid w:val="1A6E5932"/>
    <w:rsid w:val="1A701030"/>
    <w:rsid w:val="1A710E2A"/>
    <w:rsid w:val="1A714CE0"/>
    <w:rsid w:val="1A7B70CB"/>
    <w:rsid w:val="1A7E54AD"/>
    <w:rsid w:val="1A8E4212"/>
    <w:rsid w:val="1A8F7277"/>
    <w:rsid w:val="1A930BAF"/>
    <w:rsid w:val="1A9D7FC6"/>
    <w:rsid w:val="1AA07DEF"/>
    <w:rsid w:val="1AB400E7"/>
    <w:rsid w:val="1AB838F0"/>
    <w:rsid w:val="1AB854CF"/>
    <w:rsid w:val="1AC15557"/>
    <w:rsid w:val="1AC77F1B"/>
    <w:rsid w:val="1AD5426B"/>
    <w:rsid w:val="1AD74E8D"/>
    <w:rsid w:val="1ADA2FC8"/>
    <w:rsid w:val="1AEC68FB"/>
    <w:rsid w:val="1AF23E6D"/>
    <w:rsid w:val="1AF64057"/>
    <w:rsid w:val="1B0A6388"/>
    <w:rsid w:val="1B0C77AC"/>
    <w:rsid w:val="1B0D52D4"/>
    <w:rsid w:val="1B136929"/>
    <w:rsid w:val="1B150D68"/>
    <w:rsid w:val="1B155DAE"/>
    <w:rsid w:val="1B177723"/>
    <w:rsid w:val="1B1D4803"/>
    <w:rsid w:val="1B272DC5"/>
    <w:rsid w:val="1B2C513D"/>
    <w:rsid w:val="1B2E5034"/>
    <w:rsid w:val="1B2F50C2"/>
    <w:rsid w:val="1B302BE8"/>
    <w:rsid w:val="1B381F70"/>
    <w:rsid w:val="1B403A72"/>
    <w:rsid w:val="1B414C78"/>
    <w:rsid w:val="1B444C48"/>
    <w:rsid w:val="1B446693"/>
    <w:rsid w:val="1B447952"/>
    <w:rsid w:val="1B511487"/>
    <w:rsid w:val="1B5564D2"/>
    <w:rsid w:val="1B59213E"/>
    <w:rsid w:val="1B60542E"/>
    <w:rsid w:val="1B670C2E"/>
    <w:rsid w:val="1B673D60"/>
    <w:rsid w:val="1B6B10D2"/>
    <w:rsid w:val="1B6F54BE"/>
    <w:rsid w:val="1B824C72"/>
    <w:rsid w:val="1B8E41AB"/>
    <w:rsid w:val="1B9E3FF5"/>
    <w:rsid w:val="1BB53D78"/>
    <w:rsid w:val="1BBD4680"/>
    <w:rsid w:val="1BC56A6D"/>
    <w:rsid w:val="1BC7058C"/>
    <w:rsid w:val="1BD1324A"/>
    <w:rsid w:val="1BD315D7"/>
    <w:rsid w:val="1BD72EED"/>
    <w:rsid w:val="1BDA0A29"/>
    <w:rsid w:val="1BF53BA1"/>
    <w:rsid w:val="1BFD6F6E"/>
    <w:rsid w:val="1C0840B7"/>
    <w:rsid w:val="1C0B0EA2"/>
    <w:rsid w:val="1C1C41D0"/>
    <w:rsid w:val="1C214235"/>
    <w:rsid w:val="1C2B6AB3"/>
    <w:rsid w:val="1C317078"/>
    <w:rsid w:val="1C3804DD"/>
    <w:rsid w:val="1C47468D"/>
    <w:rsid w:val="1C4F3541"/>
    <w:rsid w:val="1C5B3C94"/>
    <w:rsid w:val="1C5D365C"/>
    <w:rsid w:val="1C5E5533"/>
    <w:rsid w:val="1C604105"/>
    <w:rsid w:val="1C62606C"/>
    <w:rsid w:val="1C6C0F68"/>
    <w:rsid w:val="1C836177"/>
    <w:rsid w:val="1C842CBE"/>
    <w:rsid w:val="1C84686D"/>
    <w:rsid w:val="1C8B64DC"/>
    <w:rsid w:val="1C8B78E4"/>
    <w:rsid w:val="1C9E1E99"/>
    <w:rsid w:val="1CA4623A"/>
    <w:rsid w:val="1CA551BF"/>
    <w:rsid w:val="1CA873E8"/>
    <w:rsid w:val="1CA9064A"/>
    <w:rsid w:val="1CAB17B2"/>
    <w:rsid w:val="1CAC44F0"/>
    <w:rsid w:val="1CAD0994"/>
    <w:rsid w:val="1CB73508"/>
    <w:rsid w:val="1CD959C7"/>
    <w:rsid w:val="1CE92B05"/>
    <w:rsid w:val="1CE9502B"/>
    <w:rsid w:val="1CEA58E9"/>
    <w:rsid w:val="1CF13ED6"/>
    <w:rsid w:val="1CF147FA"/>
    <w:rsid w:val="1CF27F3D"/>
    <w:rsid w:val="1CF475A6"/>
    <w:rsid w:val="1CFA3498"/>
    <w:rsid w:val="1D0011FE"/>
    <w:rsid w:val="1D0B7468"/>
    <w:rsid w:val="1D116745"/>
    <w:rsid w:val="1D1502E7"/>
    <w:rsid w:val="1D16792F"/>
    <w:rsid w:val="1D1A5D59"/>
    <w:rsid w:val="1D1F0B2D"/>
    <w:rsid w:val="1D217EBF"/>
    <w:rsid w:val="1D230AAD"/>
    <w:rsid w:val="1D252AFE"/>
    <w:rsid w:val="1D264422"/>
    <w:rsid w:val="1D272A7E"/>
    <w:rsid w:val="1D321169"/>
    <w:rsid w:val="1D3468A0"/>
    <w:rsid w:val="1D3A1AFC"/>
    <w:rsid w:val="1D4C76D6"/>
    <w:rsid w:val="1D5379F1"/>
    <w:rsid w:val="1D544767"/>
    <w:rsid w:val="1D551717"/>
    <w:rsid w:val="1D58201A"/>
    <w:rsid w:val="1D5D4FE6"/>
    <w:rsid w:val="1D676D7C"/>
    <w:rsid w:val="1D6D29AD"/>
    <w:rsid w:val="1D7019C1"/>
    <w:rsid w:val="1D7C2114"/>
    <w:rsid w:val="1D7E4C8B"/>
    <w:rsid w:val="1D8C384E"/>
    <w:rsid w:val="1D912762"/>
    <w:rsid w:val="1D9456B0"/>
    <w:rsid w:val="1D964007"/>
    <w:rsid w:val="1D996F65"/>
    <w:rsid w:val="1D9A44FD"/>
    <w:rsid w:val="1D9F5E03"/>
    <w:rsid w:val="1DA11B7B"/>
    <w:rsid w:val="1DB14DF8"/>
    <w:rsid w:val="1DBB57F6"/>
    <w:rsid w:val="1DC3653E"/>
    <w:rsid w:val="1DCF4502"/>
    <w:rsid w:val="1DD3548B"/>
    <w:rsid w:val="1DDA7C9E"/>
    <w:rsid w:val="1DDC1372"/>
    <w:rsid w:val="1DDE4563"/>
    <w:rsid w:val="1DDE6C40"/>
    <w:rsid w:val="1DE32193"/>
    <w:rsid w:val="1DEA1774"/>
    <w:rsid w:val="1DEC7EF8"/>
    <w:rsid w:val="1DED21D8"/>
    <w:rsid w:val="1DF9031F"/>
    <w:rsid w:val="1DFC311A"/>
    <w:rsid w:val="1DFE46BD"/>
    <w:rsid w:val="1E041A26"/>
    <w:rsid w:val="1E0565AE"/>
    <w:rsid w:val="1E0B4254"/>
    <w:rsid w:val="1E1031E0"/>
    <w:rsid w:val="1E142009"/>
    <w:rsid w:val="1E292242"/>
    <w:rsid w:val="1E2A1595"/>
    <w:rsid w:val="1E2A2264"/>
    <w:rsid w:val="1E2A4781"/>
    <w:rsid w:val="1E2C6187"/>
    <w:rsid w:val="1E432C32"/>
    <w:rsid w:val="1E470974"/>
    <w:rsid w:val="1E472841"/>
    <w:rsid w:val="1E501D53"/>
    <w:rsid w:val="1E522E75"/>
    <w:rsid w:val="1E553D53"/>
    <w:rsid w:val="1E5D1F46"/>
    <w:rsid w:val="1E6947B5"/>
    <w:rsid w:val="1E827BFE"/>
    <w:rsid w:val="1E845724"/>
    <w:rsid w:val="1E8A69AF"/>
    <w:rsid w:val="1E93681E"/>
    <w:rsid w:val="1EAE3721"/>
    <w:rsid w:val="1ECC0E79"/>
    <w:rsid w:val="1ECF3FF0"/>
    <w:rsid w:val="1ECF44B3"/>
    <w:rsid w:val="1ED33FB6"/>
    <w:rsid w:val="1ED85A70"/>
    <w:rsid w:val="1EDF295B"/>
    <w:rsid w:val="1EDF61C9"/>
    <w:rsid w:val="1F010B23"/>
    <w:rsid w:val="1F0114A7"/>
    <w:rsid w:val="1F05409E"/>
    <w:rsid w:val="1F0D0937"/>
    <w:rsid w:val="1F0E3240"/>
    <w:rsid w:val="1F0E3DA5"/>
    <w:rsid w:val="1F102014"/>
    <w:rsid w:val="1F1F24D0"/>
    <w:rsid w:val="1F24402E"/>
    <w:rsid w:val="1F305C05"/>
    <w:rsid w:val="1F325180"/>
    <w:rsid w:val="1F3F4481"/>
    <w:rsid w:val="1F432CA8"/>
    <w:rsid w:val="1F461948"/>
    <w:rsid w:val="1F466AC1"/>
    <w:rsid w:val="1F4C5B16"/>
    <w:rsid w:val="1F533349"/>
    <w:rsid w:val="1F5C044F"/>
    <w:rsid w:val="1F5F33FA"/>
    <w:rsid w:val="1F612D2D"/>
    <w:rsid w:val="1F627625"/>
    <w:rsid w:val="1F63358C"/>
    <w:rsid w:val="1F6B2FDE"/>
    <w:rsid w:val="1F6D7F66"/>
    <w:rsid w:val="1F773560"/>
    <w:rsid w:val="1F7D517B"/>
    <w:rsid w:val="1F7E03C6"/>
    <w:rsid w:val="1F961794"/>
    <w:rsid w:val="1F996FAD"/>
    <w:rsid w:val="1FA152A9"/>
    <w:rsid w:val="1FA26E82"/>
    <w:rsid w:val="1FAB2F75"/>
    <w:rsid w:val="1FB7248B"/>
    <w:rsid w:val="1FC952D8"/>
    <w:rsid w:val="1FCB7383"/>
    <w:rsid w:val="1FD43CEC"/>
    <w:rsid w:val="1FD56766"/>
    <w:rsid w:val="1FD71884"/>
    <w:rsid w:val="1FDC3EDB"/>
    <w:rsid w:val="1FDE3D4E"/>
    <w:rsid w:val="1FE17D15"/>
    <w:rsid w:val="1FE855CB"/>
    <w:rsid w:val="1FEA5A5B"/>
    <w:rsid w:val="1FEC48EF"/>
    <w:rsid w:val="1FEE08C0"/>
    <w:rsid w:val="1FF201E5"/>
    <w:rsid w:val="1FF832BF"/>
    <w:rsid w:val="1FFE6871"/>
    <w:rsid w:val="200308CB"/>
    <w:rsid w:val="200F2A25"/>
    <w:rsid w:val="20181912"/>
    <w:rsid w:val="201909EE"/>
    <w:rsid w:val="201A79C2"/>
    <w:rsid w:val="201B6A53"/>
    <w:rsid w:val="201E6FF0"/>
    <w:rsid w:val="20253079"/>
    <w:rsid w:val="202851D5"/>
    <w:rsid w:val="2030161D"/>
    <w:rsid w:val="203171E3"/>
    <w:rsid w:val="203A1279"/>
    <w:rsid w:val="203C0DDB"/>
    <w:rsid w:val="2040567B"/>
    <w:rsid w:val="20424522"/>
    <w:rsid w:val="20464445"/>
    <w:rsid w:val="20553479"/>
    <w:rsid w:val="20563455"/>
    <w:rsid w:val="2057386C"/>
    <w:rsid w:val="205C7EE2"/>
    <w:rsid w:val="205F240F"/>
    <w:rsid w:val="206E043A"/>
    <w:rsid w:val="209004B9"/>
    <w:rsid w:val="20965A6B"/>
    <w:rsid w:val="209A4F2C"/>
    <w:rsid w:val="20A0436C"/>
    <w:rsid w:val="20A10949"/>
    <w:rsid w:val="20A228E4"/>
    <w:rsid w:val="20A35354"/>
    <w:rsid w:val="20A943F9"/>
    <w:rsid w:val="20AF1106"/>
    <w:rsid w:val="20BD316F"/>
    <w:rsid w:val="20BD4973"/>
    <w:rsid w:val="20CE49AC"/>
    <w:rsid w:val="20D61E57"/>
    <w:rsid w:val="20D71E8A"/>
    <w:rsid w:val="20E24C8B"/>
    <w:rsid w:val="20F44BF5"/>
    <w:rsid w:val="20F6042F"/>
    <w:rsid w:val="20F942C0"/>
    <w:rsid w:val="20FF64C7"/>
    <w:rsid w:val="2112167C"/>
    <w:rsid w:val="2116462E"/>
    <w:rsid w:val="21173115"/>
    <w:rsid w:val="211B39F2"/>
    <w:rsid w:val="2120725A"/>
    <w:rsid w:val="212147D8"/>
    <w:rsid w:val="21237908"/>
    <w:rsid w:val="2127683B"/>
    <w:rsid w:val="212925B3"/>
    <w:rsid w:val="212B17DD"/>
    <w:rsid w:val="21302A4C"/>
    <w:rsid w:val="21311CDB"/>
    <w:rsid w:val="21331052"/>
    <w:rsid w:val="21342B8C"/>
    <w:rsid w:val="213857A8"/>
    <w:rsid w:val="213F3B84"/>
    <w:rsid w:val="21415B4F"/>
    <w:rsid w:val="214A1F6E"/>
    <w:rsid w:val="214C1A36"/>
    <w:rsid w:val="214F0EBA"/>
    <w:rsid w:val="21515666"/>
    <w:rsid w:val="21521B0A"/>
    <w:rsid w:val="21547AC0"/>
    <w:rsid w:val="215A31ED"/>
    <w:rsid w:val="216B2BCB"/>
    <w:rsid w:val="219537A4"/>
    <w:rsid w:val="21A34EC9"/>
    <w:rsid w:val="21B30273"/>
    <w:rsid w:val="21B373A5"/>
    <w:rsid w:val="21B55F67"/>
    <w:rsid w:val="21BB2C7A"/>
    <w:rsid w:val="21C119D0"/>
    <w:rsid w:val="21C7495B"/>
    <w:rsid w:val="21CD73E2"/>
    <w:rsid w:val="21D00C81"/>
    <w:rsid w:val="21D15573"/>
    <w:rsid w:val="21D70261"/>
    <w:rsid w:val="21D71147"/>
    <w:rsid w:val="21D774FC"/>
    <w:rsid w:val="21DA0092"/>
    <w:rsid w:val="21E07116"/>
    <w:rsid w:val="21E169EA"/>
    <w:rsid w:val="21E5472C"/>
    <w:rsid w:val="21EF55AB"/>
    <w:rsid w:val="21F15FD5"/>
    <w:rsid w:val="22043A9A"/>
    <w:rsid w:val="22070E81"/>
    <w:rsid w:val="2208041A"/>
    <w:rsid w:val="220E1DFD"/>
    <w:rsid w:val="220F01B7"/>
    <w:rsid w:val="22131CBB"/>
    <w:rsid w:val="2216567E"/>
    <w:rsid w:val="221B660F"/>
    <w:rsid w:val="2222233B"/>
    <w:rsid w:val="22274D44"/>
    <w:rsid w:val="2230171F"/>
    <w:rsid w:val="22305AE6"/>
    <w:rsid w:val="22326479"/>
    <w:rsid w:val="22365A0E"/>
    <w:rsid w:val="22384475"/>
    <w:rsid w:val="223C0E7D"/>
    <w:rsid w:val="2241392C"/>
    <w:rsid w:val="22572544"/>
    <w:rsid w:val="225C42C2"/>
    <w:rsid w:val="226077D5"/>
    <w:rsid w:val="22714212"/>
    <w:rsid w:val="227925D1"/>
    <w:rsid w:val="22817BF8"/>
    <w:rsid w:val="229A12AB"/>
    <w:rsid w:val="229E02CB"/>
    <w:rsid w:val="22A433E1"/>
    <w:rsid w:val="22A63A27"/>
    <w:rsid w:val="22A94203"/>
    <w:rsid w:val="22BE7D21"/>
    <w:rsid w:val="22C57B08"/>
    <w:rsid w:val="22CA56D0"/>
    <w:rsid w:val="22D16D91"/>
    <w:rsid w:val="22D27F28"/>
    <w:rsid w:val="22D43859"/>
    <w:rsid w:val="22D952F5"/>
    <w:rsid w:val="22E83DA8"/>
    <w:rsid w:val="22E844B5"/>
    <w:rsid w:val="22F75C0D"/>
    <w:rsid w:val="23082907"/>
    <w:rsid w:val="230A20F8"/>
    <w:rsid w:val="230F495C"/>
    <w:rsid w:val="23111573"/>
    <w:rsid w:val="23152DEF"/>
    <w:rsid w:val="2316350C"/>
    <w:rsid w:val="232050A1"/>
    <w:rsid w:val="23264976"/>
    <w:rsid w:val="23271F2C"/>
    <w:rsid w:val="233B089E"/>
    <w:rsid w:val="23400294"/>
    <w:rsid w:val="23504F15"/>
    <w:rsid w:val="2354533A"/>
    <w:rsid w:val="2360082D"/>
    <w:rsid w:val="23616034"/>
    <w:rsid w:val="23645B24"/>
    <w:rsid w:val="23681E86"/>
    <w:rsid w:val="23735D67"/>
    <w:rsid w:val="2375539B"/>
    <w:rsid w:val="239070BC"/>
    <w:rsid w:val="23983C0D"/>
    <w:rsid w:val="239C706C"/>
    <w:rsid w:val="23A24C60"/>
    <w:rsid w:val="23AB69F6"/>
    <w:rsid w:val="23B136BE"/>
    <w:rsid w:val="23B344F6"/>
    <w:rsid w:val="23B51F8F"/>
    <w:rsid w:val="23C62981"/>
    <w:rsid w:val="23D12C46"/>
    <w:rsid w:val="23D73D60"/>
    <w:rsid w:val="23DB1EF2"/>
    <w:rsid w:val="23DD6C97"/>
    <w:rsid w:val="23DF181D"/>
    <w:rsid w:val="23E85126"/>
    <w:rsid w:val="23EF49FE"/>
    <w:rsid w:val="23F16589"/>
    <w:rsid w:val="23F40D21"/>
    <w:rsid w:val="23F7318C"/>
    <w:rsid w:val="23FA7815"/>
    <w:rsid w:val="23FB1BE4"/>
    <w:rsid w:val="240F131C"/>
    <w:rsid w:val="241122F2"/>
    <w:rsid w:val="24150D04"/>
    <w:rsid w:val="241A4435"/>
    <w:rsid w:val="2423778D"/>
    <w:rsid w:val="24262DDA"/>
    <w:rsid w:val="242B0239"/>
    <w:rsid w:val="24311D5B"/>
    <w:rsid w:val="24311EAA"/>
    <w:rsid w:val="24315299"/>
    <w:rsid w:val="24384980"/>
    <w:rsid w:val="24390D5F"/>
    <w:rsid w:val="243B4AD7"/>
    <w:rsid w:val="24424DB6"/>
    <w:rsid w:val="244500A6"/>
    <w:rsid w:val="24491257"/>
    <w:rsid w:val="244D0366"/>
    <w:rsid w:val="244E0705"/>
    <w:rsid w:val="245A4C34"/>
    <w:rsid w:val="2467460D"/>
    <w:rsid w:val="247D3A58"/>
    <w:rsid w:val="24800494"/>
    <w:rsid w:val="24816262"/>
    <w:rsid w:val="24853E73"/>
    <w:rsid w:val="248741B6"/>
    <w:rsid w:val="248A3369"/>
    <w:rsid w:val="249935AC"/>
    <w:rsid w:val="24BC6655"/>
    <w:rsid w:val="24D5041C"/>
    <w:rsid w:val="24D740D4"/>
    <w:rsid w:val="24D80578"/>
    <w:rsid w:val="24D96279"/>
    <w:rsid w:val="24DB2327"/>
    <w:rsid w:val="24DC7ABD"/>
    <w:rsid w:val="24ED7754"/>
    <w:rsid w:val="24EE6F23"/>
    <w:rsid w:val="24F8319C"/>
    <w:rsid w:val="24FB48F0"/>
    <w:rsid w:val="24FC25FB"/>
    <w:rsid w:val="24FD3B3B"/>
    <w:rsid w:val="25005F42"/>
    <w:rsid w:val="250E322E"/>
    <w:rsid w:val="25114177"/>
    <w:rsid w:val="2513021B"/>
    <w:rsid w:val="2513476D"/>
    <w:rsid w:val="251A5AFB"/>
    <w:rsid w:val="252E42DA"/>
    <w:rsid w:val="253013F6"/>
    <w:rsid w:val="253C3A7B"/>
    <w:rsid w:val="253D03DB"/>
    <w:rsid w:val="254239C1"/>
    <w:rsid w:val="25461985"/>
    <w:rsid w:val="25495F97"/>
    <w:rsid w:val="254E5ABC"/>
    <w:rsid w:val="2551032A"/>
    <w:rsid w:val="255571C5"/>
    <w:rsid w:val="255975B9"/>
    <w:rsid w:val="255A7416"/>
    <w:rsid w:val="255E0351"/>
    <w:rsid w:val="255F2A47"/>
    <w:rsid w:val="25610C92"/>
    <w:rsid w:val="25671AA6"/>
    <w:rsid w:val="256B319A"/>
    <w:rsid w:val="256D4C1D"/>
    <w:rsid w:val="256F2C0D"/>
    <w:rsid w:val="256F4067"/>
    <w:rsid w:val="2578688F"/>
    <w:rsid w:val="25787665"/>
    <w:rsid w:val="257F689B"/>
    <w:rsid w:val="25902C01"/>
    <w:rsid w:val="25916979"/>
    <w:rsid w:val="2598773A"/>
    <w:rsid w:val="25995C9B"/>
    <w:rsid w:val="25A56B1C"/>
    <w:rsid w:val="25A62ED3"/>
    <w:rsid w:val="25A90CAF"/>
    <w:rsid w:val="25A91F14"/>
    <w:rsid w:val="25AF3341"/>
    <w:rsid w:val="25B05051"/>
    <w:rsid w:val="25B65D24"/>
    <w:rsid w:val="25BA0830"/>
    <w:rsid w:val="25BF3E17"/>
    <w:rsid w:val="25BF7042"/>
    <w:rsid w:val="25C21AF5"/>
    <w:rsid w:val="25C24D84"/>
    <w:rsid w:val="25C37E5A"/>
    <w:rsid w:val="25C60343"/>
    <w:rsid w:val="25CB5821"/>
    <w:rsid w:val="25D055B0"/>
    <w:rsid w:val="25D37547"/>
    <w:rsid w:val="25D37638"/>
    <w:rsid w:val="25D55FA5"/>
    <w:rsid w:val="25D671B8"/>
    <w:rsid w:val="25DD2FEF"/>
    <w:rsid w:val="25F56F08"/>
    <w:rsid w:val="25F801F9"/>
    <w:rsid w:val="2609594B"/>
    <w:rsid w:val="260E5351"/>
    <w:rsid w:val="260F180C"/>
    <w:rsid w:val="2618463E"/>
    <w:rsid w:val="26211B23"/>
    <w:rsid w:val="262F241A"/>
    <w:rsid w:val="2631179D"/>
    <w:rsid w:val="26355556"/>
    <w:rsid w:val="263F61EF"/>
    <w:rsid w:val="264029C9"/>
    <w:rsid w:val="264D34A8"/>
    <w:rsid w:val="265359DC"/>
    <w:rsid w:val="265B10D6"/>
    <w:rsid w:val="2667599A"/>
    <w:rsid w:val="266A3452"/>
    <w:rsid w:val="266B3FC7"/>
    <w:rsid w:val="266D54A1"/>
    <w:rsid w:val="26750A9B"/>
    <w:rsid w:val="26793695"/>
    <w:rsid w:val="26797B39"/>
    <w:rsid w:val="267B5F8E"/>
    <w:rsid w:val="26817E67"/>
    <w:rsid w:val="2685028B"/>
    <w:rsid w:val="26873F25"/>
    <w:rsid w:val="268A4888"/>
    <w:rsid w:val="268C1697"/>
    <w:rsid w:val="268F1910"/>
    <w:rsid w:val="26920BFA"/>
    <w:rsid w:val="26926505"/>
    <w:rsid w:val="26A54C67"/>
    <w:rsid w:val="26A61FB0"/>
    <w:rsid w:val="26A76454"/>
    <w:rsid w:val="26AA61AC"/>
    <w:rsid w:val="26B4291F"/>
    <w:rsid w:val="26BA7581"/>
    <w:rsid w:val="26BB1B03"/>
    <w:rsid w:val="26C5550D"/>
    <w:rsid w:val="26CA7D81"/>
    <w:rsid w:val="26CF02DB"/>
    <w:rsid w:val="26DA135F"/>
    <w:rsid w:val="26E30D8A"/>
    <w:rsid w:val="26E83C8A"/>
    <w:rsid w:val="26EA39A9"/>
    <w:rsid w:val="26F03531"/>
    <w:rsid w:val="27032D56"/>
    <w:rsid w:val="271676FA"/>
    <w:rsid w:val="271A7443"/>
    <w:rsid w:val="271D04C4"/>
    <w:rsid w:val="27205BE8"/>
    <w:rsid w:val="27223925"/>
    <w:rsid w:val="2726780D"/>
    <w:rsid w:val="2727102E"/>
    <w:rsid w:val="273336E2"/>
    <w:rsid w:val="273B094A"/>
    <w:rsid w:val="273B2B47"/>
    <w:rsid w:val="273C55BB"/>
    <w:rsid w:val="273D7B70"/>
    <w:rsid w:val="27446B8E"/>
    <w:rsid w:val="275715CA"/>
    <w:rsid w:val="276205CD"/>
    <w:rsid w:val="276212EB"/>
    <w:rsid w:val="27655F95"/>
    <w:rsid w:val="276B3EF6"/>
    <w:rsid w:val="276E3442"/>
    <w:rsid w:val="27745E2E"/>
    <w:rsid w:val="2777255D"/>
    <w:rsid w:val="27862269"/>
    <w:rsid w:val="27986674"/>
    <w:rsid w:val="279A3416"/>
    <w:rsid w:val="279C73CC"/>
    <w:rsid w:val="27A00255"/>
    <w:rsid w:val="27A9409F"/>
    <w:rsid w:val="27B801ED"/>
    <w:rsid w:val="27BE06F5"/>
    <w:rsid w:val="27C36275"/>
    <w:rsid w:val="27D52C02"/>
    <w:rsid w:val="27D97999"/>
    <w:rsid w:val="27DD03A6"/>
    <w:rsid w:val="27E86D24"/>
    <w:rsid w:val="27EC7E96"/>
    <w:rsid w:val="27F31225"/>
    <w:rsid w:val="27F531EF"/>
    <w:rsid w:val="280360ED"/>
    <w:rsid w:val="28043432"/>
    <w:rsid w:val="2807293F"/>
    <w:rsid w:val="2809199F"/>
    <w:rsid w:val="28133933"/>
    <w:rsid w:val="28201E28"/>
    <w:rsid w:val="2822142D"/>
    <w:rsid w:val="282615FA"/>
    <w:rsid w:val="28297246"/>
    <w:rsid w:val="282F068E"/>
    <w:rsid w:val="28354DF2"/>
    <w:rsid w:val="28387F5A"/>
    <w:rsid w:val="28405E36"/>
    <w:rsid w:val="284675D1"/>
    <w:rsid w:val="284B1CA3"/>
    <w:rsid w:val="284C18A2"/>
    <w:rsid w:val="285D1423"/>
    <w:rsid w:val="28651663"/>
    <w:rsid w:val="28675649"/>
    <w:rsid w:val="286E596D"/>
    <w:rsid w:val="286F70B3"/>
    <w:rsid w:val="28740EA7"/>
    <w:rsid w:val="287537D3"/>
    <w:rsid w:val="28793E20"/>
    <w:rsid w:val="28804244"/>
    <w:rsid w:val="28806838"/>
    <w:rsid w:val="288B50C2"/>
    <w:rsid w:val="288F2857"/>
    <w:rsid w:val="28963A16"/>
    <w:rsid w:val="289730BA"/>
    <w:rsid w:val="28981ADF"/>
    <w:rsid w:val="289B0427"/>
    <w:rsid w:val="289D395A"/>
    <w:rsid w:val="28A23637"/>
    <w:rsid w:val="28AB08E3"/>
    <w:rsid w:val="28AC4ED5"/>
    <w:rsid w:val="28AF482A"/>
    <w:rsid w:val="28BA1DC8"/>
    <w:rsid w:val="28D21782"/>
    <w:rsid w:val="28D64DCE"/>
    <w:rsid w:val="28E262F4"/>
    <w:rsid w:val="28E83221"/>
    <w:rsid w:val="28EE2507"/>
    <w:rsid w:val="28FA1A3E"/>
    <w:rsid w:val="28FC235B"/>
    <w:rsid w:val="2900187D"/>
    <w:rsid w:val="29014B82"/>
    <w:rsid w:val="290F7096"/>
    <w:rsid w:val="29137B4F"/>
    <w:rsid w:val="291776AF"/>
    <w:rsid w:val="292C0E92"/>
    <w:rsid w:val="29311869"/>
    <w:rsid w:val="29356AC7"/>
    <w:rsid w:val="29475C62"/>
    <w:rsid w:val="294C2C7F"/>
    <w:rsid w:val="29575EC7"/>
    <w:rsid w:val="295959FF"/>
    <w:rsid w:val="2961005D"/>
    <w:rsid w:val="29615F2F"/>
    <w:rsid w:val="2964298F"/>
    <w:rsid w:val="296A1E96"/>
    <w:rsid w:val="296C128F"/>
    <w:rsid w:val="29721899"/>
    <w:rsid w:val="297B490D"/>
    <w:rsid w:val="29841B29"/>
    <w:rsid w:val="29986CAF"/>
    <w:rsid w:val="299E3412"/>
    <w:rsid w:val="29A10093"/>
    <w:rsid w:val="29A17BDD"/>
    <w:rsid w:val="29A65D80"/>
    <w:rsid w:val="29A955D0"/>
    <w:rsid w:val="29AA1DB7"/>
    <w:rsid w:val="29AC275D"/>
    <w:rsid w:val="29AE5B2C"/>
    <w:rsid w:val="29B63968"/>
    <w:rsid w:val="29C0782D"/>
    <w:rsid w:val="29C40486"/>
    <w:rsid w:val="29C41856"/>
    <w:rsid w:val="29C9323D"/>
    <w:rsid w:val="29D73772"/>
    <w:rsid w:val="29DF4A6F"/>
    <w:rsid w:val="29E277A3"/>
    <w:rsid w:val="29E928DF"/>
    <w:rsid w:val="29EA4190"/>
    <w:rsid w:val="29F509F5"/>
    <w:rsid w:val="29FF6508"/>
    <w:rsid w:val="2A007C29"/>
    <w:rsid w:val="2A021D20"/>
    <w:rsid w:val="2A0F3F75"/>
    <w:rsid w:val="2A110088"/>
    <w:rsid w:val="2A145450"/>
    <w:rsid w:val="2A202079"/>
    <w:rsid w:val="2A255E7B"/>
    <w:rsid w:val="2A265FFB"/>
    <w:rsid w:val="2A29650B"/>
    <w:rsid w:val="2A3C5FC7"/>
    <w:rsid w:val="2A404264"/>
    <w:rsid w:val="2A451150"/>
    <w:rsid w:val="2A4630C9"/>
    <w:rsid w:val="2A552EB6"/>
    <w:rsid w:val="2A5C1303"/>
    <w:rsid w:val="2A5D14B3"/>
    <w:rsid w:val="2A617524"/>
    <w:rsid w:val="2A6B208A"/>
    <w:rsid w:val="2A6C6875"/>
    <w:rsid w:val="2A6E1A98"/>
    <w:rsid w:val="2A6F5259"/>
    <w:rsid w:val="2A7144E0"/>
    <w:rsid w:val="2A746B03"/>
    <w:rsid w:val="2A762075"/>
    <w:rsid w:val="2A764076"/>
    <w:rsid w:val="2A7A3E7F"/>
    <w:rsid w:val="2A7B4061"/>
    <w:rsid w:val="2A7F3244"/>
    <w:rsid w:val="2A803129"/>
    <w:rsid w:val="2A87552C"/>
    <w:rsid w:val="2A917901"/>
    <w:rsid w:val="2A961738"/>
    <w:rsid w:val="2A9F6AE3"/>
    <w:rsid w:val="2AA03DBC"/>
    <w:rsid w:val="2AAA09E3"/>
    <w:rsid w:val="2AAB62DC"/>
    <w:rsid w:val="2AAD396D"/>
    <w:rsid w:val="2AB3056F"/>
    <w:rsid w:val="2AB46A0B"/>
    <w:rsid w:val="2AB7478C"/>
    <w:rsid w:val="2ACB39CA"/>
    <w:rsid w:val="2ACD7B20"/>
    <w:rsid w:val="2AD701A6"/>
    <w:rsid w:val="2AD7749B"/>
    <w:rsid w:val="2ADC4325"/>
    <w:rsid w:val="2ADE2D81"/>
    <w:rsid w:val="2AE42490"/>
    <w:rsid w:val="2AE73431"/>
    <w:rsid w:val="2AEE0367"/>
    <w:rsid w:val="2AF2153B"/>
    <w:rsid w:val="2AFD00DE"/>
    <w:rsid w:val="2AFF6C0F"/>
    <w:rsid w:val="2B02672A"/>
    <w:rsid w:val="2B0379D1"/>
    <w:rsid w:val="2B0600DD"/>
    <w:rsid w:val="2B075399"/>
    <w:rsid w:val="2B105824"/>
    <w:rsid w:val="2B2960C0"/>
    <w:rsid w:val="2B2D4A4E"/>
    <w:rsid w:val="2B2F000A"/>
    <w:rsid w:val="2B303F3A"/>
    <w:rsid w:val="2B310476"/>
    <w:rsid w:val="2B3758CC"/>
    <w:rsid w:val="2B3F5A8C"/>
    <w:rsid w:val="2B445582"/>
    <w:rsid w:val="2B472849"/>
    <w:rsid w:val="2B4F37FA"/>
    <w:rsid w:val="2B527847"/>
    <w:rsid w:val="2B583B11"/>
    <w:rsid w:val="2B5A0909"/>
    <w:rsid w:val="2B5D17D7"/>
    <w:rsid w:val="2B612949"/>
    <w:rsid w:val="2B7B2F52"/>
    <w:rsid w:val="2B804517"/>
    <w:rsid w:val="2B8133C7"/>
    <w:rsid w:val="2B8D32DC"/>
    <w:rsid w:val="2B8D65C8"/>
    <w:rsid w:val="2B8F74B6"/>
    <w:rsid w:val="2B94733A"/>
    <w:rsid w:val="2B9F0AA6"/>
    <w:rsid w:val="2BAD316E"/>
    <w:rsid w:val="2BB41350"/>
    <w:rsid w:val="2BB60431"/>
    <w:rsid w:val="2BBD04C8"/>
    <w:rsid w:val="2BBE1B4A"/>
    <w:rsid w:val="2BC00B1B"/>
    <w:rsid w:val="2BC25897"/>
    <w:rsid w:val="2BC41856"/>
    <w:rsid w:val="2BC443FD"/>
    <w:rsid w:val="2BD7225E"/>
    <w:rsid w:val="2BE27F2E"/>
    <w:rsid w:val="2BE31DB2"/>
    <w:rsid w:val="2BFF66F4"/>
    <w:rsid w:val="2BFF795D"/>
    <w:rsid w:val="2C0E22C0"/>
    <w:rsid w:val="2C1B1F33"/>
    <w:rsid w:val="2C250DF4"/>
    <w:rsid w:val="2C262F37"/>
    <w:rsid w:val="2C2C0071"/>
    <w:rsid w:val="2C3E20F1"/>
    <w:rsid w:val="2C415648"/>
    <w:rsid w:val="2C4E5788"/>
    <w:rsid w:val="2C524399"/>
    <w:rsid w:val="2C536DDB"/>
    <w:rsid w:val="2C565582"/>
    <w:rsid w:val="2C5B7534"/>
    <w:rsid w:val="2C5D5807"/>
    <w:rsid w:val="2C6A21E9"/>
    <w:rsid w:val="2C814E8F"/>
    <w:rsid w:val="2C842F9B"/>
    <w:rsid w:val="2C9034E6"/>
    <w:rsid w:val="2C9E3E55"/>
    <w:rsid w:val="2CA04779"/>
    <w:rsid w:val="2CA164F5"/>
    <w:rsid w:val="2CAE56E3"/>
    <w:rsid w:val="2CC17B44"/>
    <w:rsid w:val="2CC413E2"/>
    <w:rsid w:val="2CCA6C75"/>
    <w:rsid w:val="2CDA5B6D"/>
    <w:rsid w:val="2CF91626"/>
    <w:rsid w:val="2CFC6DCE"/>
    <w:rsid w:val="2CFF7372"/>
    <w:rsid w:val="2D0855E2"/>
    <w:rsid w:val="2D1A4B5A"/>
    <w:rsid w:val="2D285E15"/>
    <w:rsid w:val="2D2B0077"/>
    <w:rsid w:val="2D2F0F51"/>
    <w:rsid w:val="2D324452"/>
    <w:rsid w:val="2D33180B"/>
    <w:rsid w:val="2D3849AB"/>
    <w:rsid w:val="2D401F26"/>
    <w:rsid w:val="2D442E26"/>
    <w:rsid w:val="2D4F26DE"/>
    <w:rsid w:val="2D5317FA"/>
    <w:rsid w:val="2D55028C"/>
    <w:rsid w:val="2D563179"/>
    <w:rsid w:val="2D5704A8"/>
    <w:rsid w:val="2D6A27A3"/>
    <w:rsid w:val="2D6B572E"/>
    <w:rsid w:val="2D6F57F1"/>
    <w:rsid w:val="2D7C3814"/>
    <w:rsid w:val="2D7C6FA8"/>
    <w:rsid w:val="2D810A1D"/>
    <w:rsid w:val="2D825525"/>
    <w:rsid w:val="2D842856"/>
    <w:rsid w:val="2D904C7A"/>
    <w:rsid w:val="2D9413F6"/>
    <w:rsid w:val="2D983D9E"/>
    <w:rsid w:val="2DA65B4D"/>
    <w:rsid w:val="2DB763C4"/>
    <w:rsid w:val="2DB80F39"/>
    <w:rsid w:val="2DC0147C"/>
    <w:rsid w:val="2DC31699"/>
    <w:rsid w:val="2DC639C4"/>
    <w:rsid w:val="2DC92570"/>
    <w:rsid w:val="2DC972F7"/>
    <w:rsid w:val="2DCE0908"/>
    <w:rsid w:val="2DD52485"/>
    <w:rsid w:val="2DE35ACF"/>
    <w:rsid w:val="2DE8751E"/>
    <w:rsid w:val="2DFB0E33"/>
    <w:rsid w:val="2DFB52D7"/>
    <w:rsid w:val="2DFC3D21"/>
    <w:rsid w:val="2E01775A"/>
    <w:rsid w:val="2E0529A0"/>
    <w:rsid w:val="2E0B376C"/>
    <w:rsid w:val="2E0D30D1"/>
    <w:rsid w:val="2E0D47AD"/>
    <w:rsid w:val="2E0E56BC"/>
    <w:rsid w:val="2E100933"/>
    <w:rsid w:val="2E135FCF"/>
    <w:rsid w:val="2E28744D"/>
    <w:rsid w:val="2E331072"/>
    <w:rsid w:val="2E374561"/>
    <w:rsid w:val="2E3D0A4D"/>
    <w:rsid w:val="2E400F3C"/>
    <w:rsid w:val="2E4647A4"/>
    <w:rsid w:val="2E47051C"/>
    <w:rsid w:val="2E4901CE"/>
    <w:rsid w:val="2E4B3B69"/>
    <w:rsid w:val="2E52320B"/>
    <w:rsid w:val="2E533748"/>
    <w:rsid w:val="2E563B41"/>
    <w:rsid w:val="2E565A10"/>
    <w:rsid w:val="2E59680A"/>
    <w:rsid w:val="2E5B1625"/>
    <w:rsid w:val="2E5C10B1"/>
    <w:rsid w:val="2E5C404F"/>
    <w:rsid w:val="2E5E50F9"/>
    <w:rsid w:val="2E73153F"/>
    <w:rsid w:val="2E8157DC"/>
    <w:rsid w:val="2E836F13"/>
    <w:rsid w:val="2E94057F"/>
    <w:rsid w:val="2E975000"/>
    <w:rsid w:val="2E9B2311"/>
    <w:rsid w:val="2E9B2B14"/>
    <w:rsid w:val="2E9B50AE"/>
    <w:rsid w:val="2EA072F1"/>
    <w:rsid w:val="2EAE5EE7"/>
    <w:rsid w:val="2EB830BB"/>
    <w:rsid w:val="2EC41B6D"/>
    <w:rsid w:val="2ED67A5B"/>
    <w:rsid w:val="2ED71236"/>
    <w:rsid w:val="2ED87DFD"/>
    <w:rsid w:val="2EE77E6A"/>
    <w:rsid w:val="2EED581D"/>
    <w:rsid w:val="2EF052CF"/>
    <w:rsid w:val="2EF44F5B"/>
    <w:rsid w:val="2EF5119C"/>
    <w:rsid w:val="2EF666B9"/>
    <w:rsid w:val="2F040DEB"/>
    <w:rsid w:val="2F067EBB"/>
    <w:rsid w:val="2F141F6E"/>
    <w:rsid w:val="2F1C72B3"/>
    <w:rsid w:val="2F255B03"/>
    <w:rsid w:val="2F290E1C"/>
    <w:rsid w:val="2F3A0034"/>
    <w:rsid w:val="2F48004D"/>
    <w:rsid w:val="2F48227F"/>
    <w:rsid w:val="2F57478F"/>
    <w:rsid w:val="2F590507"/>
    <w:rsid w:val="2F6E4F51"/>
    <w:rsid w:val="2F7C71E8"/>
    <w:rsid w:val="2F7E3ACA"/>
    <w:rsid w:val="2F813832"/>
    <w:rsid w:val="2F927575"/>
    <w:rsid w:val="2FA774C5"/>
    <w:rsid w:val="2FB6664B"/>
    <w:rsid w:val="2FC34366"/>
    <w:rsid w:val="2FC55B9D"/>
    <w:rsid w:val="2FC70B3B"/>
    <w:rsid w:val="2FC86E76"/>
    <w:rsid w:val="2FCB3E35"/>
    <w:rsid w:val="2FCC17BB"/>
    <w:rsid w:val="2FCD6A01"/>
    <w:rsid w:val="2FD33E4C"/>
    <w:rsid w:val="2FD42E20"/>
    <w:rsid w:val="2FD659C3"/>
    <w:rsid w:val="2FDB0CF6"/>
    <w:rsid w:val="2FDD4C94"/>
    <w:rsid w:val="2FE06C6D"/>
    <w:rsid w:val="2FE30913"/>
    <w:rsid w:val="2FE82C9C"/>
    <w:rsid w:val="2FEA7D58"/>
    <w:rsid w:val="2FFA541F"/>
    <w:rsid w:val="2FFD7975"/>
    <w:rsid w:val="301736A5"/>
    <w:rsid w:val="301C2935"/>
    <w:rsid w:val="301D7787"/>
    <w:rsid w:val="302C1325"/>
    <w:rsid w:val="302C7E5B"/>
    <w:rsid w:val="302D37FE"/>
    <w:rsid w:val="303C0A04"/>
    <w:rsid w:val="30466CDD"/>
    <w:rsid w:val="304B2D2F"/>
    <w:rsid w:val="304F28DA"/>
    <w:rsid w:val="304F50A2"/>
    <w:rsid w:val="306727B0"/>
    <w:rsid w:val="30705D96"/>
    <w:rsid w:val="307B7D51"/>
    <w:rsid w:val="307C49E8"/>
    <w:rsid w:val="30937A49"/>
    <w:rsid w:val="3095538B"/>
    <w:rsid w:val="30972ED0"/>
    <w:rsid w:val="30976F8A"/>
    <w:rsid w:val="309C68FD"/>
    <w:rsid w:val="30A95240"/>
    <w:rsid w:val="30AE4B28"/>
    <w:rsid w:val="30AE5A9B"/>
    <w:rsid w:val="30B72418"/>
    <w:rsid w:val="30C23E8A"/>
    <w:rsid w:val="30C85357"/>
    <w:rsid w:val="30D342E9"/>
    <w:rsid w:val="30D7326C"/>
    <w:rsid w:val="30DA37A2"/>
    <w:rsid w:val="30E12562"/>
    <w:rsid w:val="30E22319"/>
    <w:rsid w:val="30ED53AB"/>
    <w:rsid w:val="30ED6E80"/>
    <w:rsid w:val="30EE3CA8"/>
    <w:rsid w:val="30F7411A"/>
    <w:rsid w:val="30F77FD8"/>
    <w:rsid w:val="30FD381E"/>
    <w:rsid w:val="310606C9"/>
    <w:rsid w:val="31077AEF"/>
    <w:rsid w:val="310D15A9"/>
    <w:rsid w:val="31143314"/>
    <w:rsid w:val="3116763F"/>
    <w:rsid w:val="31181796"/>
    <w:rsid w:val="311E516F"/>
    <w:rsid w:val="312920CE"/>
    <w:rsid w:val="312E5DA9"/>
    <w:rsid w:val="31374EDD"/>
    <w:rsid w:val="31433066"/>
    <w:rsid w:val="314C4A85"/>
    <w:rsid w:val="31511DB5"/>
    <w:rsid w:val="31605200"/>
    <w:rsid w:val="316328C6"/>
    <w:rsid w:val="31636EBF"/>
    <w:rsid w:val="316B2774"/>
    <w:rsid w:val="316C68AC"/>
    <w:rsid w:val="316E4556"/>
    <w:rsid w:val="316E7B6E"/>
    <w:rsid w:val="31834B33"/>
    <w:rsid w:val="31836122"/>
    <w:rsid w:val="318453FF"/>
    <w:rsid w:val="318555E4"/>
    <w:rsid w:val="318D64FF"/>
    <w:rsid w:val="318F77E9"/>
    <w:rsid w:val="319115A7"/>
    <w:rsid w:val="319A0963"/>
    <w:rsid w:val="319B277E"/>
    <w:rsid w:val="31A64752"/>
    <w:rsid w:val="31B369D5"/>
    <w:rsid w:val="31B65818"/>
    <w:rsid w:val="31B82894"/>
    <w:rsid w:val="31B865DC"/>
    <w:rsid w:val="31BE4652"/>
    <w:rsid w:val="31C138C5"/>
    <w:rsid w:val="31C5640E"/>
    <w:rsid w:val="31CA16B8"/>
    <w:rsid w:val="31E43E89"/>
    <w:rsid w:val="31EE4C3D"/>
    <w:rsid w:val="31F639C9"/>
    <w:rsid w:val="31F766A6"/>
    <w:rsid w:val="3200110E"/>
    <w:rsid w:val="320E6677"/>
    <w:rsid w:val="3213206B"/>
    <w:rsid w:val="32193A1D"/>
    <w:rsid w:val="322116DA"/>
    <w:rsid w:val="322267E0"/>
    <w:rsid w:val="3227669B"/>
    <w:rsid w:val="3229379B"/>
    <w:rsid w:val="322A1467"/>
    <w:rsid w:val="322F72FD"/>
    <w:rsid w:val="323637DE"/>
    <w:rsid w:val="32372514"/>
    <w:rsid w:val="32397AEA"/>
    <w:rsid w:val="323B3EF4"/>
    <w:rsid w:val="32466FCD"/>
    <w:rsid w:val="324D3D92"/>
    <w:rsid w:val="32516B4B"/>
    <w:rsid w:val="32582F38"/>
    <w:rsid w:val="32625045"/>
    <w:rsid w:val="32653E2F"/>
    <w:rsid w:val="3268280F"/>
    <w:rsid w:val="32696CB3"/>
    <w:rsid w:val="326A47D9"/>
    <w:rsid w:val="326D57FE"/>
    <w:rsid w:val="327220E3"/>
    <w:rsid w:val="327A2C6E"/>
    <w:rsid w:val="327B5189"/>
    <w:rsid w:val="327F037F"/>
    <w:rsid w:val="32851613"/>
    <w:rsid w:val="328D470D"/>
    <w:rsid w:val="32912D2F"/>
    <w:rsid w:val="32A16475"/>
    <w:rsid w:val="32A45888"/>
    <w:rsid w:val="32A73338"/>
    <w:rsid w:val="32AA7591"/>
    <w:rsid w:val="32BF68D3"/>
    <w:rsid w:val="32C4326F"/>
    <w:rsid w:val="32C94DAB"/>
    <w:rsid w:val="32CC629B"/>
    <w:rsid w:val="32D305D1"/>
    <w:rsid w:val="32E26D92"/>
    <w:rsid w:val="32E91BA2"/>
    <w:rsid w:val="32EE71B8"/>
    <w:rsid w:val="32F934CB"/>
    <w:rsid w:val="32FA0F84"/>
    <w:rsid w:val="32FA542B"/>
    <w:rsid w:val="32FB6FE0"/>
    <w:rsid w:val="33036C08"/>
    <w:rsid w:val="33042538"/>
    <w:rsid w:val="33044C2E"/>
    <w:rsid w:val="33051776"/>
    <w:rsid w:val="3306446B"/>
    <w:rsid w:val="33080F7F"/>
    <w:rsid w:val="330B1CAA"/>
    <w:rsid w:val="330B7D6A"/>
    <w:rsid w:val="33107480"/>
    <w:rsid w:val="33122EA7"/>
    <w:rsid w:val="33137ECB"/>
    <w:rsid w:val="331A6E86"/>
    <w:rsid w:val="332350B4"/>
    <w:rsid w:val="33250571"/>
    <w:rsid w:val="332861CC"/>
    <w:rsid w:val="333203FD"/>
    <w:rsid w:val="33330392"/>
    <w:rsid w:val="333B6D3D"/>
    <w:rsid w:val="33467216"/>
    <w:rsid w:val="334868C9"/>
    <w:rsid w:val="33495DE2"/>
    <w:rsid w:val="334A06D1"/>
    <w:rsid w:val="33555E74"/>
    <w:rsid w:val="33561BBA"/>
    <w:rsid w:val="335C2374"/>
    <w:rsid w:val="335E433E"/>
    <w:rsid w:val="336327BC"/>
    <w:rsid w:val="33663BDB"/>
    <w:rsid w:val="33710C16"/>
    <w:rsid w:val="3382308C"/>
    <w:rsid w:val="3383173C"/>
    <w:rsid w:val="33920113"/>
    <w:rsid w:val="33986678"/>
    <w:rsid w:val="339A2E9C"/>
    <w:rsid w:val="339B3B9A"/>
    <w:rsid w:val="33A0783A"/>
    <w:rsid w:val="33A620BC"/>
    <w:rsid w:val="33A80FA2"/>
    <w:rsid w:val="33AD68FA"/>
    <w:rsid w:val="33B25199"/>
    <w:rsid w:val="33B478DA"/>
    <w:rsid w:val="33C817B8"/>
    <w:rsid w:val="33D939C5"/>
    <w:rsid w:val="33DD08AF"/>
    <w:rsid w:val="33DF3B9F"/>
    <w:rsid w:val="33EE7300"/>
    <w:rsid w:val="33FD029E"/>
    <w:rsid w:val="34036576"/>
    <w:rsid w:val="34076597"/>
    <w:rsid w:val="342113BF"/>
    <w:rsid w:val="342712D0"/>
    <w:rsid w:val="34384B8F"/>
    <w:rsid w:val="343D3515"/>
    <w:rsid w:val="34413B01"/>
    <w:rsid w:val="344242C8"/>
    <w:rsid w:val="344A5748"/>
    <w:rsid w:val="34543F34"/>
    <w:rsid w:val="34577CA0"/>
    <w:rsid w:val="345B3985"/>
    <w:rsid w:val="34627E5E"/>
    <w:rsid w:val="346E559B"/>
    <w:rsid w:val="34712CAD"/>
    <w:rsid w:val="34761214"/>
    <w:rsid w:val="347B73C8"/>
    <w:rsid w:val="3485178A"/>
    <w:rsid w:val="34897199"/>
    <w:rsid w:val="348B26F0"/>
    <w:rsid w:val="34995BF9"/>
    <w:rsid w:val="349D4FFE"/>
    <w:rsid w:val="34A02E01"/>
    <w:rsid w:val="34A0786D"/>
    <w:rsid w:val="34A21FE5"/>
    <w:rsid w:val="34A246FE"/>
    <w:rsid w:val="34B812FE"/>
    <w:rsid w:val="34B94AAC"/>
    <w:rsid w:val="34BA7353"/>
    <w:rsid w:val="34BB7AED"/>
    <w:rsid w:val="34C83FFF"/>
    <w:rsid w:val="34CA155F"/>
    <w:rsid w:val="34CC2227"/>
    <w:rsid w:val="34DA301D"/>
    <w:rsid w:val="34DB397E"/>
    <w:rsid w:val="34E9577A"/>
    <w:rsid w:val="34F52EC8"/>
    <w:rsid w:val="34F929ED"/>
    <w:rsid w:val="350608B2"/>
    <w:rsid w:val="350C02B9"/>
    <w:rsid w:val="35180755"/>
    <w:rsid w:val="351849C1"/>
    <w:rsid w:val="35233FDB"/>
    <w:rsid w:val="35245113"/>
    <w:rsid w:val="35337105"/>
    <w:rsid w:val="3536466A"/>
    <w:rsid w:val="353D61D5"/>
    <w:rsid w:val="353D7F83"/>
    <w:rsid w:val="35407BBF"/>
    <w:rsid w:val="35447D6A"/>
    <w:rsid w:val="354C2DB6"/>
    <w:rsid w:val="354F21EE"/>
    <w:rsid w:val="35574254"/>
    <w:rsid w:val="35654475"/>
    <w:rsid w:val="356B05EC"/>
    <w:rsid w:val="357D3B16"/>
    <w:rsid w:val="3593721A"/>
    <w:rsid w:val="359B6787"/>
    <w:rsid w:val="359F5FED"/>
    <w:rsid w:val="35A41DB0"/>
    <w:rsid w:val="35A9074E"/>
    <w:rsid w:val="35B16614"/>
    <w:rsid w:val="35B87D2C"/>
    <w:rsid w:val="35BF4B8B"/>
    <w:rsid w:val="35C91DF7"/>
    <w:rsid w:val="35CE2292"/>
    <w:rsid w:val="35D67FA6"/>
    <w:rsid w:val="35DE4712"/>
    <w:rsid w:val="35DF5B52"/>
    <w:rsid w:val="35E13004"/>
    <w:rsid w:val="35E201CD"/>
    <w:rsid w:val="35E50565"/>
    <w:rsid w:val="35E825E5"/>
    <w:rsid w:val="35E91EDC"/>
    <w:rsid w:val="35F04FF6"/>
    <w:rsid w:val="35F51B9B"/>
    <w:rsid w:val="36070CBD"/>
    <w:rsid w:val="36154A5C"/>
    <w:rsid w:val="36160F00"/>
    <w:rsid w:val="361835AA"/>
    <w:rsid w:val="361C7EF3"/>
    <w:rsid w:val="361F3F0C"/>
    <w:rsid w:val="3627310D"/>
    <w:rsid w:val="36304E36"/>
    <w:rsid w:val="3635380C"/>
    <w:rsid w:val="36394BEF"/>
    <w:rsid w:val="363C6761"/>
    <w:rsid w:val="364F2FE5"/>
    <w:rsid w:val="36511F38"/>
    <w:rsid w:val="365177F8"/>
    <w:rsid w:val="36517A3C"/>
    <w:rsid w:val="36525CB0"/>
    <w:rsid w:val="36563E1D"/>
    <w:rsid w:val="365D08DD"/>
    <w:rsid w:val="365E6403"/>
    <w:rsid w:val="366302BD"/>
    <w:rsid w:val="366F74D9"/>
    <w:rsid w:val="367B6950"/>
    <w:rsid w:val="368923EC"/>
    <w:rsid w:val="368D2A8B"/>
    <w:rsid w:val="368E32A1"/>
    <w:rsid w:val="36921D6D"/>
    <w:rsid w:val="36923A2F"/>
    <w:rsid w:val="36976A52"/>
    <w:rsid w:val="36995ECA"/>
    <w:rsid w:val="369F2018"/>
    <w:rsid w:val="36A173C8"/>
    <w:rsid w:val="36A614B8"/>
    <w:rsid w:val="36AC53C0"/>
    <w:rsid w:val="36B00EF8"/>
    <w:rsid w:val="36BD312A"/>
    <w:rsid w:val="36C151EB"/>
    <w:rsid w:val="36C4095C"/>
    <w:rsid w:val="36D65C5D"/>
    <w:rsid w:val="36DA15F0"/>
    <w:rsid w:val="36DD1A1E"/>
    <w:rsid w:val="36DF29F4"/>
    <w:rsid w:val="36E025F7"/>
    <w:rsid w:val="36E223ED"/>
    <w:rsid w:val="36E44741"/>
    <w:rsid w:val="36E56B24"/>
    <w:rsid w:val="36F05EFE"/>
    <w:rsid w:val="36F61EDB"/>
    <w:rsid w:val="36FB1EA4"/>
    <w:rsid w:val="370074BA"/>
    <w:rsid w:val="37015C42"/>
    <w:rsid w:val="370276D6"/>
    <w:rsid w:val="37113475"/>
    <w:rsid w:val="37152F66"/>
    <w:rsid w:val="3718636C"/>
    <w:rsid w:val="371D1F63"/>
    <w:rsid w:val="371E4010"/>
    <w:rsid w:val="371E52FC"/>
    <w:rsid w:val="371F0D4E"/>
    <w:rsid w:val="372431A9"/>
    <w:rsid w:val="37291A52"/>
    <w:rsid w:val="372C4707"/>
    <w:rsid w:val="3733335D"/>
    <w:rsid w:val="37334ACD"/>
    <w:rsid w:val="373D496B"/>
    <w:rsid w:val="37445E54"/>
    <w:rsid w:val="374764C1"/>
    <w:rsid w:val="374C0952"/>
    <w:rsid w:val="374E41AB"/>
    <w:rsid w:val="37500442"/>
    <w:rsid w:val="37537F32"/>
    <w:rsid w:val="37587C68"/>
    <w:rsid w:val="375C5E2D"/>
    <w:rsid w:val="37637E0E"/>
    <w:rsid w:val="376F44A6"/>
    <w:rsid w:val="377148CB"/>
    <w:rsid w:val="377D5868"/>
    <w:rsid w:val="3784210B"/>
    <w:rsid w:val="37886BC3"/>
    <w:rsid w:val="37887B70"/>
    <w:rsid w:val="379245B6"/>
    <w:rsid w:val="379519C7"/>
    <w:rsid w:val="37993671"/>
    <w:rsid w:val="379A16BD"/>
    <w:rsid w:val="37A83DDA"/>
    <w:rsid w:val="37A92619"/>
    <w:rsid w:val="37BB15A2"/>
    <w:rsid w:val="37BC125D"/>
    <w:rsid w:val="37C97B00"/>
    <w:rsid w:val="37D42ADB"/>
    <w:rsid w:val="37E8267C"/>
    <w:rsid w:val="37EB65C9"/>
    <w:rsid w:val="37ED144A"/>
    <w:rsid w:val="37F41477"/>
    <w:rsid w:val="37F83414"/>
    <w:rsid w:val="37FD59B4"/>
    <w:rsid w:val="380928B9"/>
    <w:rsid w:val="380E56EB"/>
    <w:rsid w:val="3834566E"/>
    <w:rsid w:val="38363647"/>
    <w:rsid w:val="383C3036"/>
    <w:rsid w:val="383D57D3"/>
    <w:rsid w:val="384358B1"/>
    <w:rsid w:val="38486BFE"/>
    <w:rsid w:val="384A4E91"/>
    <w:rsid w:val="384D5A1E"/>
    <w:rsid w:val="3851030C"/>
    <w:rsid w:val="386121DB"/>
    <w:rsid w:val="386A0303"/>
    <w:rsid w:val="386F5A84"/>
    <w:rsid w:val="387643B8"/>
    <w:rsid w:val="38766C59"/>
    <w:rsid w:val="387737AC"/>
    <w:rsid w:val="3878114E"/>
    <w:rsid w:val="38804D57"/>
    <w:rsid w:val="388D4737"/>
    <w:rsid w:val="388F0C04"/>
    <w:rsid w:val="38910B04"/>
    <w:rsid w:val="38A5656B"/>
    <w:rsid w:val="38A65E3F"/>
    <w:rsid w:val="38AC1268"/>
    <w:rsid w:val="38B85A42"/>
    <w:rsid w:val="38B90269"/>
    <w:rsid w:val="38C26B8B"/>
    <w:rsid w:val="38C37DA7"/>
    <w:rsid w:val="38CB22F9"/>
    <w:rsid w:val="38CD6121"/>
    <w:rsid w:val="38D363A1"/>
    <w:rsid w:val="38D429AD"/>
    <w:rsid w:val="38D508F1"/>
    <w:rsid w:val="38DB1B92"/>
    <w:rsid w:val="38DE1372"/>
    <w:rsid w:val="38E22182"/>
    <w:rsid w:val="38E56968"/>
    <w:rsid w:val="38EB42D3"/>
    <w:rsid w:val="38EC500F"/>
    <w:rsid w:val="38F435D4"/>
    <w:rsid w:val="38FB618B"/>
    <w:rsid w:val="390173A6"/>
    <w:rsid w:val="390414E4"/>
    <w:rsid w:val="3911775D"/>
    <w:rsid w:val="39161217"/>
    <w:rsid w:val="391B682D"/>
    <w:rsid w:val="391B6BCB"/>
    <w:rsid w:val="391D4354"/>
    <w:rsid w:val="39203A89"/>
    <w:rsid w:val="392456E2"/>
    <w:rsid w:val="39337655"/>
    <w:rsid w:val="393444A8"/>
    <w:rsid w:val="39354897"/>
    <w:rsid w:val="3936657E"/>
    <w:rsid w:val="393E243D"/>
    <w:rsid w:val="394E50E2"/>
    <w:rsid w:val="394F6566"/>
    <w:rsid w:val="39524EEB"/>
    <w:rsid w:val="39592BDA"/>
    <w:rsid w:val="395C14EB"/>
    <w:rsid w:val="395D0BF4"/>
    <w:rsid w:val="396A3746"/>
    <w:rsid w:val="39761CB6"/>
    <w:rsid w:val="397C5489"/>
    <w:rsid w:val="397F6DBC"/>
    <w:rsid w:val="39837062"/>
    <w:rsid w:val="3986014B"/>
    <w:rsid w:val="39861EF9"/>
    <w:rsid w:val="39866B55"/>
    <w:rsid w:val="3987639B"/>
    <w:rsid w:val="398B663D"/>
    <w:rsid w:val="399447C0"/>
    <w:rsid w:val="399D1B1E"/>
    <w:rsid w:val="39A53A12"/>
    <w:rsid w:val="39AF0880"/>
    <w:rsid w:val="39B747A8"/>
    <w:rsid w:val="39B96859"/>
    <w:rsid w:val="39BA7DF4"/>
    <w:rsid w:val="39DB0EDA"/>
    <w:rsid w:val="39E62997"/>
    <w:rsid w:val="39E82BB3"/>
    <w:rsid w:val="39EA28BE"/>
    <w:rsid w:val="39EE6480"/>
    <w:rsid w:val="39F03816"/>
    <w:rsid w:val="39F31088"/>
    <w:rsid w:val="39FA7BB0"/>
    <w:rsid w:val="39FB091D"/>
    <w:rsid w:val="3A0737A9"/>
    <w:rsid w:val="3A0C21C2"/>
    <w:rsid w:val="3A175A0A"/>
    <w:rsid w:val="3A190FBF"/>
    <w:rsid w:val="3A1937F6"/>
    <w:rsid w:val="3A1E4366"/>
    <w:rsid w:val="3A2009A3"/>
    <w:rsid w:val="3A2605A4"/>
    <w:rsid w:val="3A29562E"/>
    <w:rsid w:val="3A2B484E"/>
    <w:rsid w:val="3A323982"/>
    <w:rsid w:val="3A382338"/>
    <w:rsid w:val="3A3966CC"/>
    <w:rsid w:val="3A4519B9"/>
    <w:rsid w:val="3A4B56CD"/>
    <w:rsid w:val="3A522120"/>
    <w:rsid w:val="3A523E8D"/>
    <w:rsid w:val="3A537E48"/>
    <w:rsid w:val="3A5F5EDC"/>
    <w:rsid w:val="3A645F1D"/>
    <w:rsid w:val="3A704F21"/>
    <w:rsid w:val="3A7466B0"/>
    <w:rsid w:val="3A766039"/>
    <w:rsid w:val="3A836237"/>
    <w:rsid w:val="3A850402"/>
    <w:rsid w:val="3A89269F"/>
    <w:rsid w:val="3A8D53B8"/>
    <w:rsid w:val="3AA14658"/>
    <w:rsid w:val="3AA818B9"/>
    <w:rsid w:val="3ABE106A"/>
    <w:rsid w:val="3AC0143A"/>
    <w:rsid w:val="3AC13682"/>
    <w:rsid w:val="3AC16F61"/>
    <w:rsid w:val="3AD1465E"/>
    <w:rsid w:val="3AD273C0"/>
    <w:rsid w:val="3AD77F34"/>
    <w:rsid w:val="3AE64D15"/>
    <w:rsid w:val="3AE80991"/>
    <w:rsid w:val="3AF85078"/>
    <w:rsid w:val="3B0A4B43"/>
    <w:rsid w:val="3B132B09"/>
    <w:rsid w:val="3B16166F"/>
    <w:rsid w:val="3B1F46B1"/>
    <w:rsid w:val="3B2340C3"/>
    <w:rsid w:val="3B273268"/>
    <w:rsid w:val="3B361165"/>
    <w:rsid w:val="3B3F3B7E"/>
    <w:rsid w:val="3B4007CD"/>
    <w:rsid w:val="3B5248C3"/>
    <w:rsid w:val="3B6A24EF"/>
    <w:rsid w:val="3B6E2BDA"/>
    <w:rsid w:val="3B791033"/>
    <w:rsid w:val="3B7D732B"/>
    <w:rsid w:val="3B8859AA"/>
    <w:rsid w:val="3B892174"/>
    <w:rsid w:val="3B894CFC"/>
    <w:rsid w:val="3B8C2706"/>
    <w:rsid w:val="3B964DA0"/>
    <w:rsid w:val="3B9841F8"/>
    <w:rsid w:val="3BA9503D"/>
    <w:rsid w:val="3BAE2738"/>
    <w:rsid w:val="3BB74FE0"/>
    <w:rsid w:val="3BB92E19"/>
    <w:rsid w:val="3BBF5B96"/>
    <w:rsid w:val="3BC75DE5"/>
    <w:rsid w:val="3BC9431F"/>
    <w:rsid w:val="3BD52826"/>
    <w:rsid w:val="3BDF25B6"/>
    <w:rsid w:val="3BED77A3"/>
    <w:rsid w:val="3BF07AFD"/>
    <w:rsid w:val="3BFA3985"/>
    <w:rsid w:val="3C0134C4"/>
    <w:rsid w:val="3C06372E"/>
    <w:rsid w:val="3C0F3F2C"/>
    <w:rsid w:val="3C1732DC"/>
    <w:rsid w:val="3C1E25F2"/>
    <w:rsid w:val="3C227746"/>
    <w:rsid w:val="3C260B38"/>
    <w:rsid w:val="3C313640"/>
    <w:rsid w:val="3C321559"/>
    <w:rsid w:val="3C3472D2"/>
    <w:rsid w:val="3C355E58"/>
    <w:rsid w:val="3C363AD7"/>
    <w:rsid w:val="3C481925"/>
    <w:rsid w:val="3C4839CA"/>
    <w:rsid w:val="3C4A3F54"/>
    <w:rsid w:val="3C52185A"/>
    <w:rsid w:val="3C5A1E77"/>
    <w:rsid w:val="3C5A3E2C"/>
    <w:rsid w:val="3C5C5193"/>
    <w:rsid w:val="3C5F4B0B"/>
    <w:rsid w:val="3C605702"/>
    <w:rsid w:val="3C627E6C"/>
    <w:rsid w:val="3C64190D"/>
    <w:rsid w:val="3C6A5B02"/>
    <w:rsid w:val="3C7207FD"/>
    <w:rsid w:val="3C834E15"/>
    <w:rsid w:val="3C8A7F52"/>
    <w:rsid w:val="3C8B44A0"/>
    <w:rsid w:val="3C990018"/>
    <w:rsid w:val="3C9928C7"/>
    <w:rsid w:val="3C9E185E"/>
    <w:rsid w:val="3CA0196D"/>
    <w:rsid w:val="3CA64DA0"/>
    <w:rsid w:val="3CAA42F3"/>
    <w:rsid w:val="3CAE6359"/>
    <w:rsid w:val="3CB72D11"/>
    <w:rsid w:val="3CBC20D5"/>
    <w:rsid w:val="3CBD456D"/>
    <w:rsid w:val="3CC40E59"/>
    <w:rsid w:val="3CC93FD4"/>
    <w:rsid w:val="3CCD0143"/>
    <w:rsid w:val="3CD15B81"/>
    <w:rsid w:val="3CD25E68"/>
    <w:rsid w:val="3CE37662"/>
    <w:rsid w:val="3CE7736D"/>
    <w:rsid w:val="3CEC4F8A"/>
    <w:rsid w:val="3CFC24D2"/>
    <w:rsid w:val="3CFD63FC"/>
    <w:rsid w:val="3CFE449C"/>
    <w:rsid w:val="3D041B6D"/>
    <w:rsid w:val="3D0535B0"/>
    <w:rsid w:val="3D053A40"/>
    <w:rsid w:val="3D05582A"/>
    <w:rsid w:val="3D0E0CE4"/>
    <w:rsid w:val="3D0F48FB"/>
    <w:rsid w:val="3D111806"/>
    <w:rsid w:val="3D132189"/>
    <w:rsid w:val="3D1D5EC9"/>
    <w:rsid w:val="3D1F3EB0"/>
    <w:rsid w:val="3D211F38"/>
    <w:rsid w:val="3D381A93"/>
    <w:rsid w:val="3D4E0F7F"/>
    <w:rsid w:val="3D4E3999"/>
    <w:rsid w:val="3D4F6AA6"/>
    <w:rsid w:val="3D5440BC"/>
    <w:rsid w:val="3D5606BC"/>
    <w:rsid w:val="3D5C38D0"/>
    <w:rsid w:val="3D601CB7"/>
    <w:rsid w:val="3D603622"/>
    <w:rsid w:val="3D632551"/>
    <w:rsid w:val="3D734E8A"/>
    <w:rsid w:val="3D785115"/>
    <w:rsid w:val="3D803103"/>
    <w:rsid w:val="3D804D3D"/>
    <w:rsid w:val="3D893439"/>
    <w:rsid w:val="3D8F1598"/>
    <w:rsid w:val="3D904323"/>
    <w:rsid w:val="3D9B0B87"/>
    <w:rsid w:val="3D9B5847"/>
    <w:rsid w:val="3DA00DC7"/>
    <w:rsid w:val="3DA2540D"/>
    <w:rsid w:val="3DAB478C"/>
    <w:rsid w:val="3DB03FCF"/>
    <w:rsid w:val="3DCA02FB"/>
    <w:rsid w:val="3DDB0144"/>
    <w:rsid w:val="3DE15D5F"/>
    <w:rsid w:val="3DEA67CE"/>
    <w:rsid w:val="3DEB5180"/>
    <w:rsid w:val="3DF222C8"/>
    <w:rsid w:val="3DFA6BCE"/>
    <w:rsid w:val="3DFF4AA8"/>
    <w:rsid w:val="3E002376"/>
    <w:rsid w:val="3E002F07"/>
    <w:rsid w:val="3E12440C"/>
    <w:rsid w:val="3E132857"/>
    <w:rsid w:val="3E1C107E"/>
    <w:rsid w:val="3E251338"/>
    <w:rsid w:val="3E3839DE"/>
    <w:rsid w:val="3E425213"/>
    <w:rsid w:val="3E4800C5"/>
    <w:rsid w:val="3E48106C"/>
    <w:rsid w:val="3E4B2A2E"/>
    <w:rsid w:val="3E574458"/>
    <w:rsid w:val="3E5E3444"/>
    <w:rsid w:val="3E620EA8"/>
    <w:rsid w:val="3E7013C9"/>
    <w:rsid w:val="3E706DF2"/>
    <w:rsid w:val="3E724636"/>
    <w:rsid w:val="3E742DDB"/>
    <w:rsid w:val="3E7E5894"/>
    <w:rsid w:val="3E8169D4"/>
    <w:rsid w:val="3E8825A6"/>
    <w:rsid w:val="3E8D761B"/>
    <w:rsid w:val="3E92681E"/>
    <w:rsid w:val="3E99233F"/>
    <w:rsid w:val="3EA52074"/>
    <w:rsid w:val="3EA75D24"/>
    <w:rsid w:val="3EB92B95"/>
    <w:rsid w:val="3EBC6F7A"/>
    <w:rsid w:val="3EC50C9F"/>
    <w:rsid w:val="3EC643D0"/>
    <w:rsid w:val="3EC67BE6"/>
    <w:rsid w:val="3ED729DA"/>
    <w:rsid w:val="3EE55998"/>
    <w:rsid w:val="3EE6343A"/>
    <w:rsid w:val="3EED2A1A"/>
    <w:rsid w:val="3EEE6BD7"/>
    <w:rsid w:val="3EF43DA9"/>
    <w:rsid w:val="3EF63123"/>
    <w:rsid w:val="3F01469F"/>
    <w:rsid w:val="3F020453"/>
    <w:rsid w:val="3F0408A6"/>
    <w:rsid w:val="3F051B12"/>
    <w:rsid w:val="3F075C94"/>
    <w:rsid w:val="3F0A6CCA"/>
    <w:rsid w:val="3F116B25"/>
    <w:rsid w:val="3F175110"/>
    <w:rsid w:val="3F1907ED"/>
    <w:rsid w:val="3F1E4D6F"/>
    <w:rsid w:val="3F261A88"/>
    <w:rsid w:val="3F2A037F"/>
    <w:rsid w:val="3F2C1744"/>
    <w:rsid w:val="3F2F4DE1"/>
    <w:rsid w:val="3F3059C0"/>
    <w:rsid w:val="3F305A87"/>
    <w:rsid w:val="3F33498E"/>
    <w:rsid w:val="3F3D3089"/>
    <w:rsid w:val="3F524C02"/>
    <w:rsid w:val="3F617004"/>
    <w:rsid w:val="3F6176BC"/>
    <w:rsid w:val="3F6727CC"/>
    <w:rsid w:val="3F6C5720"/>
    <w:rsid w:val="3F700817"/>
    <w:rsid w:val="3F797437"/>
    <w:rsid w:val="3F7B6159"/>
    <w:rsid w:val="3F8446DA"/>
    <w:rsid w:val="3F8B4A3E"/>
    <w:rsid w:val="3F980BD8"/>
    <w:rsid w:val="3F9A03B7"/>
    <w:rsid w:val="3FBA0B4E"/>
    <w:rsid w:val="3FC278F4"/>
    <w:rsid w:val="3FCF30FF"/>
    <w:rsid w:val="3FD25259"/>
    <w:rsid w:val="3FE15832"/>
    <w:rsid w:val="3FE60355"/>
    <w:rsid w:val="3FF52818"/>
    <w:rsid w:val="3FFD68DC"/>
    <w:rsid w:val="400B39CC"/>
    <w:rsid w:val="400F745A"/>
    <w:rsid w:val="40100391"/>
    <w:rsid w:val="40112C30"/>
    <w:rsid w:val="401144E6"/>
    <w:rsid w:val="401330BC"/>
    <w:rsid w:val="40153557"/>
    <w:rsid w:val="40181D19"/>
    <w:rsid w:val="401A10A5"/>
    <w:rsid w:val="4039747F"/>
    <w:rsid w:val="40403EA8"/>
    <w:rsid w:val="40414DCB"/>
    <w:rsid w:val="4044666A"/>
    <w:rsid w:val="404F0FD2"/>
    <w:rsid w:val="404F3136"/>
    <w:rsid w:val="40567D6A"/>
    <w:rsid w:val="40727CC8"/>
    <w:rsid w:val="40742288"/>
    <w:rsid w:val="407E6D84"/>
    <w:rsid w:val="40844751"/>
    <w:rsid w:val="408949A0"/>
    <w:rsid w:val="408B4FB7"/>
    <w:rsid w:val="408C7F1F"/>
    <w:rsid w:val="408D59D2"/>
    <w:rsid w:val="409639A5"/>
    <w:rsid w:val="409D29B4"/>
    <w:rsid w:val="40A57F43"/>
    <w:rsid w:val="40A66A78"/>
    <w:rsid w:val="40AB43DF"/>
    <w:rsid w:val="40B01F51"/>
    <w:rsid w:val="40B42554"/>
    <w:rsid w:val="40B63FFD"/>
    <w:rsid w:val="40B82BB4"/>
    <w:rsid w:val="40BA692C"/>
    <w:rsid w:val="40BB56CA"/>
    <w:rsid w:val="40BB7E1D"/>
    <w:rsid w:val="40BE5D4E"/>
    <w:rsid w:val="40CA3FF1"/>
    <w:rsid w:val="40CE4F81"/>
    <w:rsid w:val="40D416C1"/>
    <w:rsid w:val="40ED0AAF"/>
    <w:rsid w:val="40EE627C"/>
    <w:rsid w:val="40FE303A"/>
    <w:rsid w:val="41050018"/>
    <w:rsid w:val="410D00A2"/>
    <w:rsid w:val="410E5834"/>
    <w:rsid w:val="4110479E"/>
    <w:rsid w:val="411242E1"/>
    <w:rsid w:val="41131E26"/>
    <w:rsid w:val="4118281D"/>
    <w:rsid w:val="411A508F"/>
    <w:rsid w:val="412359B7"/>
    <w:rsid w:val="412D35A2"/>
    <w:rsid w:val="413841C7"/>
    <w:rsid w:val="4141673F"/>
    <w:rsid w:val="414D77A0"/>
    <w:rsid w:val="414F41F9"/>
    <w:rsid w:val="41524DB6"/>
    <w:rsid w:val="41534705"/>
    <w:rsid w:val="4155531B"/>
    <w:rsid w:val="41570025"/>
    <w:rsid w:val="415D14E8"/>
    <w:rsid w:val="416845DA"/>
    <w:rsid w:val="416932BD"/>
    <w:rsid w:val="416A62F2"/>
    <w:rsid w:val="41710E59"/>
    <w:rsid w:val="417D0E4C"/>
    <w:rsid w:val="417F0BE7"/>
    <w:rsid w:val="4189590D"/>
    <w:rsid w:val="41957474"/>
    <w:rsid w:val="41990C37"/>
    <w:rsid w:val="419E6F60"/>
    <w:rsid w:val="41A76EB0"/>
    <w:rsid w:val="41A82F85"/>
    <w:rsid w:val="41A95738"/>
    <w:rsid w:val="41AF1BEC"/>
    <w:rsid w:val="41B07603"/>
    <w:rsid w:val="41B52DEC"/>
    <w:rsid w:val="41C651B0"/>
    <w:rsid w:val="41CF4789"/>
    <w:rsid w:val="41D36B59"/>
    <w:rsid w:val="41D542A5"/>
    <w:rsid w:val="41D7763E"/>
    <w:rsid w:val="41F21A19"/>
    <w:rsid w:val="41F67E38"/>
    <w:rsid w:val="41FE7921"/>
    <w:rsid w:val="42072045"/>
    <w:rsid w:val="42073DF3"/>
    <w:rsid w:val="42076DAD"/>
    <w:rsid w:val="42097B6B"/>
    <w:rsid w:val="422C3859"/>
    <w:rsid w:val="422E1E0B"/>
    <w:rsid w:val="42334BE8"/>
    <w:rsid w:val="42380450"/>
    <w:rsid w:val="423C1478"/>
    <w:rsid w:val="423F72D7"/>
    <w:rsid w:val="42446EA7"/>
    <w:rsid w:val="425F59DD"/>
    <w:rsid w:val="426F1037"/>
    <w:rsid w:val="427328C5"/>
    <w:rsid w:val="427A2817"/>
    <w:rsid w:val="42817701"/>
    <w:rsid w:val="428828DA"/>
    <w:rsid w:val="428E336C"/>
    <w:rsid w:val="42927D77"/>
    <w:rsid w:val="42974DD9"/>
    <w:rsid w:val="42A06AD4"/>
    <w:rsid w:val="42A7271C"/>
    <w:rsid w:val="42AD6748"/>
    <w:rsid w:val="42B07FE6"/>
    <w:rsid w:val="42BD2703"/>
    <w:rsid w:val="42C05343"/>
    <w:rsid w:val="42C60C82"/>
    <w:rsid w:val="42C825DA"/>
    <w:rsid w:val="42CB69EA"/>
    <w:rsid w:val="42D068DB"/>
    <w:rsid w:val="42DD4068"/>
    <w:rsid w:val="42E273CF"/>
    <w:rsid w:val="42F42BA6"/>
    <w:rsid w:val="42F6464A"/>
    <w:rsid w:val="43061A7D"/>
    <w:rsid w:val="43120CA1"/>
    <w:rsid w:val="431467C7"/>
    <w:rsid w:val="43186C73"/>
    <w:rsid w:val="431F1EF9"/>
    <w:rsid w:val="43224116"/>
    <w:rsid w:val="432A3D4B"/>
    <w:rsid w:val="432F6BA0"/>
    <w:rsid w:val="433938EB"/>
    <w:rsid w:val="433C41A2"/>
    <w:rsid w:val="433F7551"/>
    <w:rsid w:val="43405625"/>
    <w:rsid w:val="434150E2"/>
    <w:rsid w:val="43417F2A"/>
    <w:rsid w:val="434B48E0"/>
    <w:rsid w:val="434F5A7C"/>
    <w:rsid w:val="435531F8"/>
    <w:rsid w:val="435B51B8"/>
    <w:rsid w:val="436157EC"/>
    <w:rsid w:val="43702921"/>
    <w:rsid w:val="43713C1A"/>
    <w:rsid w:val="43732041"/>
    <w:rsid w:val="437872A7"/>
    <w:rsid w:val="437C221E"/>
    <w:rsid w:val="43856732"/>
    <w:rsid w:val="438B130F"/>
    <w:rsid w:val="43906B3F"/>
    <w:rsid w:val="4392593E"/>
    <w:rsid w:val="439774A3"/>
    <w:rsid w:val="43992DBB"/>
    <w:rsid w:val="439C6636"/>
    <w:rsid w:val="43A044FF"/>
    <w:rsid w:val="43AD2F59"/>
    <w:rsid w:val="43BB3E00"/>
    <w:rsid w:val="43BC45BD"/>
    <w:rsid w:val="43BD3F60"/>
    <w:rsid w:val="43C3280E"/>
    <w:rsid w:val="43C41794"/>
    <w:rsid w:val="43C804B1"/>
    <w:rsid w:val="43C875B2"/>
    <w:rsid w:val="43D2480F"/>
    <w:rsid w:val="43E24199"/>
    <w:rsid w:val="43E85CC6"/>
    <w:rsid w:val="43F11E69"/>
    <w:rsid w:val="43F74149"/>
    <w:rsid w:val="43FD54AD"/>
    <w:rsid w:val="44015340"/>
    <w:rsid w:val="44042EB6"/>
    <w:rsid w:val="44075F8C"/>
    <w:rsid w:val="440F3D61"/>
    <w:rsid w:val="440F4AA2"/>
    <w:rsid w:val="44157EA4"/>
    <w:rsid w:val="441627CE"/>
    <w:rsid w:val="44166896"/>
    <w:rsid w:val="44214120"/>
    <w:rsid w:val="44221214"/>
    <w:rsid w:val="4425792F"/>
    <w:rsid w:val="44272F91"/>
    <w:rsid w:val="442F13DF"/>
    <w:rsid w:val="4431024A"/>
    <w:rsid w:val="4437753B"/>
    <w:rsid w:val="443864E5"/>
    <w:rsid w:val="443B4C41"/>
    <w:rsid w:val="444C3D3F"/>
    <w:rsid w:val="445E58C2"/>
    <w:rsid w:val="445F7F16"/>
    <w:rsid w:val="446A74F4"/>
    <w:rsid w:val="447345DD"/>
    <w:rsid w:val="44743276"/>
    <w:rsid w:val="4477427C"/>
    <w:rsid w:val="447F2366"/>
    <w:rsid w:val="44821B53"/>
    <w:rsid w:val="44836DDE"/>
    <w:rsid w:val="4484797D"/>
    <w:rsid w:val="448E25A9"/>
    <w:rsid w:val="4497145E"/>
    <w:rsid w:val="44984F25"/>
    <w:rsid w:val="44996DA5"/>
    <w:rsid w:val="449A2CFC"/>
    <w:rsid w:val="449B67E5"/>
    <w:rsid w:val="449C6A74"/>
    <w:rsid w:val="449F6870"/>
    <w:rsid w:val="44A260F7"/>
    <w:rsid w:val="44A3135A"/>
    <w:rsid w:val="44A50D99"/>
    <w:rsid w:val="44AB691A"/>
    <w:rsid w:val="44B1523F"/>
    <w:rsid w:val="44B1659E"/>
    <w:rsid w:val="44B43DEA"/>
    <w:rsid w:val="44B452A4"/>
    <w:rsid w:val="44B85878"/>
    <w:rsid w:val="44BA1BBE"/>
    <w:rsid w:val="44C1472D"/>
    <w:rsid w:val="44CF5A62"/>
    <w:rsid w:val="44D04970"/>
    <w:rsid w:val="44E55B54"/>
    <w:rsid w:val="44EF110E"/>
    <w:rsid w:val="44FC7513"/>
    <w:rsid w:val="450D03B9"/>
    <w:rsid w:val="45121C7C"/>
    <w:rsid w:val="45154A79"/>
    <w:rsid w:val="45190172"/>
    <w:rsid w:val="451D117F"/>
    <w:rsid w:val="451F043F"/>
    <w:rsid w:val="45212D88"/>
    <w:rsid w:val="4522457C"/>
    <w:rsid w:val="452362BC"/>
    <w:rsid w:val="45272EF2"/>
    <w:rsid w:val="45297DB2"/>
    <w:rsid w:val="452C5874"/>
    <w:rsid w:val="452E76CC"/>
    <w:rsid w:val="45343151"/>
    <w:rsid w:val="4544551E"/>
    <w:rsid w:val="455972A2"/>
    <w:rsid w:val="455F2AAA"/>
    <w:rsid w:val="456B28EB"/>
    <w:rsid w:val="4577140A"/>
    <w:rsid w:val="45787076"/>
    <w:rsid w:val="45787E88"/>
    <w:rsid w:val="457C0912"/>
    <w:rsid w:val="457F1EF2"/>
    <w:rsid w:val="45834D18"/>
    <w:rsid w:val="458A0FDF"/>
    <w:rsid w:val="45956992"/>
    <w:rsid w:val="459748B3"/>
    <w:rsid w:val="459A469C"/>
    <w:rsid w:val="459F4C48"/>
    <w:rsid w:val="45A73E29"/>
    <w:rsid w:val="45AB1378"/>
    <w:rsid w:val="45AB535D"/>
    <w:rsid w:val="45AF7135"/>
    <w:rsid w:val="45B24076"/>
    <w:rsid w:val="45B778DE"/>
    <w:rsid w:val="45BA7D05"/>
    <w:rsid w:val="45BC4C79"/>
    <w:rsid w:val="45BD274C"/>
    <w:rsid w:val="45C136E3"/>
    <w:rsid w:val="45C517CD"/>
    <w:rsid w:val="45CA08BC"/>
    <w:rsid w:val="45CA0EDC"/>
    <w:rsid w:val="45D126D5"/>
    <w:rsid w:val="45D16BF2"/>
    <w:rsid w:val="45D41CFC"/>
    <w:rsid w:val="45E10A6C"/>
    <w:rsid w:val="45E168FF"/>
    <w:rsid w:val="45E70018"/>
    <w:rsid w:val="45E87A97"/>
    <w:rsid w:val="45EA3B0C"/>
    <w:rsid w:val="45F842DD"/>
    <w:rsid w:val="45FC3543"/>
    <w:rsid w:val="45FE1B6F"/>
    <w:rsid w:val="46005428"/>
    <w:rsid w:val="460B4AAA"/>
    <w:rsid w:val="46197391"/>
    <w:rsid w:val="46223C55"/>
    <w:rsid w:val="462F5CAC"/>
    <w:rsid w:val="464A0752"/>
    <w:rsid w:val="464B26A4"/>
    <w:rsid w:val="464D3B7A"/>
    <w:rsid w:val="465627B6"/>
    <w:rsid w:val="465D0485"/>
    <w:rsid w:val="465D3F29"/>
    <w:rsid w:val="46612C1C"/>
    <w:rsid w:val="466D235C"/>
    <w:rsid w:val="466E4440"/>
    <w:rsid w:val="46715CDF"/>
    <w:rsid w:val="46740CAC"/>
    <w:rsid w:val="467852BF"/>
    <w:rsid w:val="467F664E"/>
    <w:rsid w:val="46851BB8"/>
    <w:rsid w:val="46874322"/>
    <w:rsid w:val="468B5C63"/>
    <w:rsid w:val="468F3BD0"/>
    <w:rsid w:val="46977FF5"/>
    <w:rsid w:val="469A6FE4"/>
    <w:rsid w:val="469F7DC7"/>
    <w:rsid w:val="46AB11F1"/>
    <w:rsid w:val="46B63D8D"/>
    <w:rsid w:val="46B7138F"/>
    <w:rsid w:val="46B933C3"/>
    <w:rsid w:val="46BA3E8B"/>
    <w:rsid w:val="46BD2C17"/>
    <w:rsid w:val="46C96005"/>
    <w:rsid w:val="46D30747"/>
    <w:rsid w:val="46DE19A3"/>
    <w:rsid w:val="46E744D0"/>
    <w:rsid w:val="46E879BC"/>
    <w:rsid w:val="46ED25AE"/>
    <w:rsid w:val="46ED558D"/>
    <w:rsid w:val="46F87449"/>
    <w:rsid w:val="46FA7083"/>
    <w:rsid w:val="47171280"/>
    <w:rsid w:val="471A359B"/>
    <w:rsid w:val="471E3683"/>
    <w:rsid w:val="47280F8C"/>
    <w:rsid w:val="4729542C"/>
    <w:rsid w:val="472D11C4"/>
    <w:rsid w:val="472E4C62"/>
    <w:rsid w:val="472F2B61"/>
    <w:rsid w:val="4731447E"/>
    <w:rsid w:val="475950F1"/>
    <w:rsid w:val="475D7AD6"/>
    <w:rsid w:val="47637D1D"/>
    <w:rsid w:val="476D7F31"/>
    <w:rsid w:val="476E3F43"/>
    <w:rsid w:val="476E7363"/>
    <w:rsid w:val="477351DD"/>
    <w:rsid w:val="47740204"/>
    <w:rsid w:val="477422B8"/>
    <w:rsid w:val="478902C6"/>
    <w:rsid w:val="478A72B8"/>
    <w:rsid w:val="4792204F"/>
    <w:rsid w:val="47953C4F"/>
    <w:rsid w:val="479B74B7"/>
    <w:rsid w:val="479C4FDD"/>
    <w:rsid w:val="47A36CEE"/>
    <w:rsid w:val="47AA594C"/>
    <w:rsid w:val="47B63E4A"/>
    <w:rsid w:val="47BD7492"/>
    <w:rsid w:val="47BE4F54"/>
    <w:rsid w:val="47C3256A"/>
    <w:rsid w:val="47CD3F7E"/>
    <w:rsid w:val="47D206D6"/>
    <w:rsid w:val="47D42075"/>
    <w:rsid w:val="47E54182"/>
    <w:rsid w:val="47EC0DF8"/>
    <w:rsid w:val="47FA766D"/>
    <w:rsid w:val="4800556C"/>
    <w:rsid w:val="48113EF3"/>
    <w:rsid w:val="481E5DE0"/>
    <w:rsid w:val="48230461"/>
    <w:rsid w:val="482F162E"/>
    <w:rsid w:val="48326261"/>
    <w:rsid w:val="483333EE"/>
    <w:rsid w:val="48475AAC"/>
    <w:rsid w:val="484771C2"/>
    <w:rsid w:val="484A4A39"/>
    <w:rsid w:val="48507489"/>
    <w:rsid w:val="486420C6"/>
    <w:rsid w:val="4864286F"/>
    <w:rsid w:val="48653E0E"/>
    <w:rsid w:val="487418E6"/>
    <w:rsid w:val="487675DC"/>
    <w:rsid w:val="487C6CF1"/>
    <w:rsid w:val="48865901"/>
    <w:rsid w:val="48907855"/>
    <w:rsid w:val="48912EFC"/>
    <w:rsid w:val="48970F26"/>
    <w:rsid w:val="489B4BE2"/>
    <w:rsid w:val="489C0F14"/>
    <w:rsid w:val="48A56114"/>
    <w:rsid w:val="48B14AB8"/>
    <w:rsid w:val="48B370ED"/>
    <w:rsid w:val="48B55607"/>
    <w:rsid w:val="48B5718B"/>
    <w:rsid w:val="48BF243C"/>
    <w:rsid w:val="48C06AA9"/>
    <w:rsid w:val="48C14AA8"/>
    <w:rsid w:val="48C5221B"/>
    <w:rsid w:val="48CD53A9"/>
    <w:rsid w:val="48D14B82"/>
    <w:rsid w:val="48D83DF3"/>
    <w:rsid w:val="48EA2A5A"/>
    <w:rsid w:val="48EE3617"/>
    <w:rsid w:val="48F0738F"/>
    <w:rsid w:val="48F70338"/>
    <w:rsid w:val="49010977"/>
    <w:rsid w:val="49146603"/>
    <w:rsid w:val="4918748F"/>
    <w:rsid w:val="491F1635"/>
    <w:rsid w:val="491F164E"/>
    <w:rsid w:val="49200D4A"/>
    <w:rsid w:val="4922040B"/>
    <w:rsid w:val="492A4720"/>
    <w:rsid w:val="493014BE"/>
    <w:rsid w:val="49431D89"/>
    <w:rsid w:val="495C0F27"/>
    <w:rsid w:val="49632598"/>
    <w:rsid w:val="4968337F"/>
    <w:rsid w:val="496905EB"/>
    <w:rsid w:val="4969673B"/>
    <w:rsid w:val="496B4D57"/>
    <w:rsid w:val="49747FC0"/>
    <w:rsid w:val="497C50C6"/>
    <w:rsid w:val="49851CED"/>
    <w:rsid w:val="49883A6B"/>
    <w:rsid w:val="49A03E80"/>
    <w:rsid w:val="49A133BB"/>
    <w:rsid w:val="49A63952"/>
    <w:rsid w:val="49AB775A"/>
    <w:rsid w:val="49AD1724"/>
    <w:rsid w:val="49B303BC"/>
    <w:rsid w:val="49B82FD6"/>
    <w:rsid w:val="49B900C8"/>
    <w:rsid w:val="49BF6D61"/>
    <w:rsid w:val="49C56A6D"/>
    <w:rsid w:val="49CD4193"/>
    <w:rsid w:val="49D15D74"/>
    <w:rsid w:val="49D56585"/>
    <w:rsid w:val="49E00184"/>
    <w:rsid w:val="4A030F03"/>
    <w:rsid w:val="4A05330E"/>
    <w:rsid w:val="4A1454F7"/>
    <w:rsid w:val="4A16699A"/>
    <w:rsid w:val="4A2708C4"/>
    <w:rsid w:val="4A274A2C"/>
    <w:rsid w:val="4A275032"/>
    <w:rsid w:val="4A28076E"/>
    <w:rsid w:val="4A2A14B9"/>
    <w:rsid w:val="4A2A2BBF"/>
    <w:rsid w:val="4A2A2D74"/>
    <w:rsid w:val="4A2B438F"/>
    <w:rsid w:val="4A3727F9"/>
    <w:rsid w:val="4A3A6C60"/>
    <w:rsid w:val="4A4022CB"/>
    <w:rsid w:val="4A4054ED"/>
    <w:rsid w:val="4A4243FD"/>
    <w:rsid w:val="4A467B6C"/>
    <w:rsid w:val="4A514A50"/>
    <w:rsid w:val="4A5D4CE9"/>
    <w:rsid w:val="4A5D7687"/>
    <w:rsid w:val="4A644E4D"/>
    <w:rsid w:val="4A6718D3"/>
    <w:rsid w:val="4A6F2535"/>
    <w:rsid w:val="4A7D4C52"/>
    <w:rsid w:val="4A810F3F"/>
    <w:rsid w:val="4A851D13"/>
    <w:rsid w:val="4A896358"/>
    <w:rsid w:val="4A8D63D9"/>
    <w:rsid w:val="4A8E4641"/>
    <w:rsid w:val="4A9C478A"/>
    <w:rsid w:val="4A9E3BB3"/>
    <w:rsid w:val="4AA06216"/>
    <w:rsid w:val="4AA91ABE"/>
    <w:rsid w:val="4AA91EEB"/>
    <w:rsid w:val="4AAB19B4"/>
    <w:rsid w:val="4AAC3789"/>
    <w:rsid w:val="4AAC420B"/>
    <w:rsid w:val="4AB01073"/>
    <w:rsid w:val="4AB610F1"/>
    <w:rsid w:val="4AC11648"/>
    <w:rsid w:val="4AC26B09"/>
    <w:rsid w:val="4ACF5408"/>
    <w:rsid w:val="4AD34F25"/>
    <w:rsid w:val="4ADA20A4"/>
    <w:rsid w:val="4AE42F23"/>
    <w:rsid w:val="4AE67A2A"/>
    <w:rsid w:val="4AE9678B"/>
    <w:rsid w:val="4AFB3DAC"/>
    <w:rsid w:val="4AFC4647"/>
    <w:rsid w:val="4AFD11B3"/>
    <w:rsid w:val="4AFD2C64"/>
    <w:rsid w:val="4AFE4E38"/>
    <w:rsid w:val="4AFE5147"/>
    <w:rsid w:val="4B03491A"/>
    <w:rsid w:val="4B0A1811"/>
    <w:rsid w:val="4B0B0F03"/>
    <w:rsid w:val="4B0D50CE"/>
    <w:rsid w:val="4B0E1D4E"/>
    <w:rsid w:val="4B213171"/>
    <w:rsid w:val="4B233793"/>
    <w:rsid w:val="4B2C6678"/>
    <w:rsid w:val="4B3002DF"/>
    <w:rsid w:val="4B335D13"/>
    <w:rsid w:val="4B37255A"/>
    <w:rsid w:val="4B372A72"/>
    <w:rsid w:val="4B374AD3"/>
    <w:rsid w:val="4B3B68BB"/>
    <w:rsid w:val="4B3D2633"/>
    <w:rsid w:val="4B3E7D23"/>
    <w:rsid w:val="4B3F718A"/>
    <w:rsid w:val="4B402C97"/>
    <w:rsid w:val="4B4439C2"/>
    <w:rsid w:val="4B4F523A"/>
    <w:rsid w:val="4B4F7800"/>
    <w:rsid w:val="4B503E63"/>
    <w:rsid w:val="4B505650"/>
    <w:rsid w:val="4B653A51"/>
    <w:rsid w:val="4B6D14E4"/>
    <w:rsid w:val="4B7047B7"/>
    <w:rsid w:val="4B7E4ECA"/>
    <w:rsid w:val="4B83402D"/>
    <w:rsid w:val="4B871A45"/>
    <w:rsid w:val="4B893BC5"/>
    <w:rsid w:val="4B90753A"/>
    <w:rsid w:val="4B972405"/>
    <w:rsid w:val="4BAD1567"/>
    <w:rsid w:val="4BB2008D"/>
    <w:rsid w:val="4BCB5E91"/>
    <w:rsid w:val="4BCD71F4"/>
    <w:rsid w:val="4BD7012C"/>
    <w:rsid w:val="4BD74836"/>
    <w:rsid w:val="4BD90D76"/>
    <w:rsid w:val="4BD95724"/>
    <w:rsid w:val="4BDC2D26"/>
    <w:rsid w:val="4BDE33BE"/>
    <w:rsid w:val="4BE025B3"/>
    <w:rsid w:val="4BEA3324"/>
    <w:rsid w:val="4BF2520C"/>
    <w:rsid w:val="4C062EC6"/>
    <w:rsid w:val="4C066EC9"/>
    <w:rsid w:val="4C123AC0"/>
    <w:rsid w:val="4C147838"/>
    <w:rsid w:val="4C2C3526"/>
    <w:rsid w:val="4C2F6663"/>
    <w:rsid w:val="4C354CBB"/>
    <w:rsid w:val="4C383041"/>
    <w:rsid w:val="4C3D6D8F"/>
    <w:rsid w:val="4C44696B"/>
    <w:rsid w:val="4C4543D6"/>
    <w:rsid w:val="4C593C10"/>
    <w:rsid w:val="4C5B378A"/>
    <w:rsid w:val="4C6360CA"/>
    <w:rsid w:val="4C650094"/>
    <w:rsid w:val="4C667968"/>
    <w:rsid w:val="4C675424"/>
    <w:rsid w:val="4C6F016B"/>
    <w:rsid w:val="4C7069CF"/>
    <w:rsid w:val="4C73239C"/>
    <w:rsid w:val="4C7636E8"/>
    <w:rsid w:val="4C7D2F06"/>
    <w:rsid w:val="4C7E0A5E"/>
    <w:rsid w:val="4C8449BE"/>
    <w:rsid w:val="4C882837"/>
    <w:rsid w:val="4C8F6EBF"/>
    <w:rsid w:val="4C942073"/>
    <w:rsid w:val="4C9434F6"/>
    <w:rsid w:val="4C99280F"/>
    <w:rsid w:val="4C9B5EE7"/>
    <w:rsid w:val="4CA64BD6"/>
    <w:rsid w:val="4CAB5DF7"/>
    <w:rsid w:val="4CB46925"/>
    <w:rsid w:val="4CBC0FD4"/>
    <w:rsid w:val="4CC04307"/>
    <w:rsid w:val="4CD943D4"/>
    <w:rsid w:val="4CD944E5"/>
    <w:rsid w:val="4CDB65A8"/>
    <w:rsid w:val="4CE76CFB"/>
    <w:rsid w:val="4CE85314"/>
    <w:rsid w:val="4CF16A42"/>
    <w:rsid w:val="4CF65190"/>
    <w:rsid w:val="4D0239F3"/>
    <w:rsid w:val="4D1A5F9A"/>
    <w:rsid w:val="4D311E69"/>
    <w:rsid w:val="4D3217A8"/>
    <w:rsid w:val="4D3633B4"/>
    <w:rsid w:val="4D3C206A"/>
    <w:rsid w:val="4D3F3075"/>
    <w:rsid w:val="4D3F784F"/>
    <w:rsid w:val="4D493511"/>
    <w:rsid w:val="4D4E4DDA"/>
    <w:rsid w:val="4D5A228E"/>
    <w:rsid w:val="4D5A74CD"/>
    <w:rsid w:val="4D5B4FF3"/>
    <w:rsid w:val="4D5C16B2"/>
    <w:rsid w:val="4D5C170E"/>
    <w:rsid w:val="4D5D0D6B"/>
    <w:rsid w:val="4D7B638A"/>
    <w:rsid w:val="4D7C4587"/>
    <w:rsid w:val="4D9F4456"/>
    <w:rsid w:val="4DA05AE0"/>
    <w:rsid w:val="4DA117C0"/>
    <w:rsid w:val="4DA26653"/>
    <w:rsid w:val="4DA87458"/>
    <w:rsid w:val="4DAD1CF2"/>
    <w:rsid w:val="4DAD3AA0"/>
    <w:rsid w:val="4DAF7A0D"/>
    <w:rsid w:val="4DB44BA7"/>
    <w:rsid w:val="4DD01E2D"/>
    <w:rsid w:val="4DD1702E"/>
    <w:rsid w:val="4DD27D5A"/>
    <w:rsid w:val="4DDD67C7"/>
    <w:rsid w:val="4DE269DE"/>
    <w:rsid w:val="4DE3576F"/>
    <w:rsid w:val="4DE90850"/>
    <w:rsid w:val="4DF05F69"/>
    <w:rsid w:val="4DF92F05"/>
    <w:rsid w:val="4DFE60AA"/>
    <w:rsid w:val="4E010547"/>
    <w:rsid w:val="4E0431E3"/>
    <w:rsid w:val="4E075434"/>
    <w:rsid w:val="4E130DCE"/>
    <w:rsid w:val="4E13501B"/>
    <w:rsid w:val="4E191DFB"/>
    <w:rsid w:val="4E251F6A"/>
    <w:rsid w:val="4E255E4C"/>
    <w:rsid w:val="4E281EC3"/>
    <w:rsid w:val="4E316E1F"/>
    <w:rsid w:val="4E3E7657"/>
    <w:rsid w:val="4E446C88"/>
    <w:rsid w:val="4E4B12EC"/>
    <w:rsid w:val="4E5453DA"/>
    <w:rsid w:val="4E613784"/>
    <w:rsid w:val="4E715373"/>
    <w:rsid w:val="4E7372CD"/>
    <w:rsid w:val="4E7445BE"/>
    <w:rsid w:val="4E75357A"/>
    <w:rsid w:val="4E78117B"/>
    <w:rsid w:val="4E796E07"/>
    <w:rsid w:val="4E7B7CFA"/>
    <w:rsid w:val="4E7C7D13"/>
    <w:rsid w:val="4E7E6CF4"/>
    <w:rsid w:val="4E7E780B"/>
    <w:rsid w:val="4E82132E"/>
    <w:rsid w:val="4E8A27BB"/>
    <w:rsid w:val="4E8B5F43"/>
    <w:rsid w:val="4E8C5CEF"/>
    <w:rsid w:val="4E9663FD"/>
    <w:rsid w:val="4E9B542C"/>
    <w:rsid w:val="4E9D54D4"/>
    <w:rsid w:val="4EA13809"/>
    <w:rsid w:val="4EA3466D"/>
    <w:rsid w:val="4EA53F89"/>
    <w:rsid w:val="4EAB1F6C"/>
    <w:rsid w:val="4EAC6A7C"/>
    <w:rsid w:val="4EB52C76"/>
    <w:rsid w:val="4EB64455"/>
    <w:rsid w:val="4EB8760C"/>
    <w:rsid w:val="4EBB128C"/>
    <w:rsid w:val="4EBE53E4"/>
    <w:rsid w:val="4EBE55EA"/>
    <w:rsid w:val="4EC0005D"/>
    <w:rsid w:val="4EC4102A"/>
    <w:rsid w:val="4EC512BE"/>
    <w:rsid w:val="4EC66C15"/>
    <w:rsid w:val="4EC8490A"/>
    <w:rsid w:val="4EC92371"/>
    <w:rsid w:val="4EC930F0"/>
    <w:rsid w:val="4ED10D82"/>
    <w:rsid w:val="4ED60155"/>
    <w:rsid w:val="4ED60DD5"/>
    <w:rsid w:val="4ED908C5"/>
    <w:rsid w:val="4EDA424E"/>
    <w:rsid w:val="4EDA6F71"/>
    <w:rsid w:val="4EDB079A"/>
    <w:rsid w:val="4EEB6F55"/>
    <w:rsid w:val="4EF263E2"/>
    <w:rsid w:val="4F0168E2"/>
    <w:rsid w:val="4F075BAA"/>
    <w:rsid w:val="4F172D33"/>
    <w:rsid w:val="4F21010B"/>
    <w:rsid w:val="4F2109DE"/>
    <w:rsid w:val="4F231B40"/>
    <w:rsid w:val="4F4C60FA"/>
    <w:rsid w:val="4F55619D"/>
    <w:rsid w:val="4F585C8E"/>
    <w:rsid w:val="4F5A26F2"/>
    <w:rsid w:val="4F5D434A"/>
    <w:rsid w:val="4F61738C"/>
    <w:rsid w:val="4F6750C0"/>
    <w:rsid w:val="4F6805A8"/>
    <w:rsid w:val="4F6B45ED"/>
    <w:rsid w:val="4F71442C"/>
    <w:rsid w:val="4F740DBF"/>
    <w:rsid w:val="4F762F21"/>
    <w:rsid w:val="4F77086D"/>
    <w:rsid w:val="4F7E60D8"/>
    <w:rsid w:val="4F912F4E"/>
    <w:rsid w:val="4F96554B"/>
    <w:rsid w:val="4F966639"/>
    <w:rsid w:val="4F980780"/>
    <w:rsid w:val="4F9821D7"/>
    <w:rsid w:val="4F9927DF"/>
    <w:rsid w:val="4F9A229B"/>
    <w:rsid w:val="4F9A4D63"/>
    <w:rsid w:val="4FA15A56"/>
    <w:rsid w:val="4FA2250F"/>
    <w:rsid w:val="4FA26A43"/>
    <w:rsid w:val="4FA808E5"/>
    <w:rsid w:val="4FB2127C"/>
    <w:rsid w:val="4FC275AB"/>
    <w:rsid w:val="4FC652ED"/>
    <w:rsid w:val="4FCE15B5"/>
    <w:rsid w:val="4FD16FCB"/>
    <w:rsid w:val="4FD260CA"/>
    <w:rsid w:val="4FD53773"/>
    <w:rsid w:val="4FD80B7D"/>
    <w:rsid w:val="4FD84C34"/>
    <w:rsid w:val="4FDC16CB"/>
    <w:rsid w:val="4FE63299"/>
    <w:rsid w:val="4FE94B38"/>
    <w:rsid w:val="4FEF0470"/>
    <w:rsid w:val="50063F4E"/>
    <w:rsid w:val="50065CF3"/>
    <w:rsid w:val="5011010A"/>
    <w:rsid w:val="501C1E2F"/>
    <w:rsid w:val="50256589"/>
    <w:rsid w:val="502A4EE0"/>
    <w:rsid w:val="503523C8"/>
    <w:rsid w:val="50385BAC"/>
    <w:rsid w:val="503C156E"/>
    <w:rsid w:val="503E6C32"/>
    <w:rsid w:val="504500A5"/>
    <w:rsid w:val="5051105B"/>
    <w:rsid w:val="50550A9E"/>
    <w:rsid w:val="50577174"/>
    <w:rsid w:val="505822CE"/>
    <w:rsid w:val="506B5B0D"/>
    <w:rsid w:val="50834F8C"/>
    <w:rsid w:val="5086214D"/>
    <w:rsid w:val="50910D5A"/>
    <w:rsid w:val="5093767B"/>
    <w:rsid w:val="509504DC"/>
    <w:rsid w:val="509A568D"/>
    <w:rsid w:val="509B393B"/>
    <w:rsid w:val="50B87240"/>
    <w:rsid w:val="50C32CDA"/>
    <w:rsid w:val="50CE09B5"/>
    <w:rsid w:val="50D5700B"/>
    <w:rsid w:val="50D90FA9"/>
    <w:rsid w:val="50DA1AF2"/>
    <w:rsid w:val="50DB4AFD"/>
    <w:rsid w:val="50E8129A"/>
    <w:rsid w:val="50EB06CD"/>
    <w:rsid w:val="50EB591B"/>
    <w:rsid w:val="50F04DC2"/>
    <w:rsid w:val="50F1539F"/>
    <w:rsid w:val="50F32112"/>
    <w:rsid w:val="50F762C7"/>
    <w:rsid w:val="51060872"/>
    <w:rsid w:val="510C067A"/>
    <w:rsid w:val="51181B78"/>
    <w:rsid w:val="51187C31"/>
    <w:rsid w:val="51195947"/>
    <w:rsid w:val="511A5C60"/>
    <w:rsid w:val="511B2371"/>
    <w:rsid w:val="51255B44"/>
    <w:rsid w:val="51263CA3"/>
    <w:rsid w:val="5129543A"/>
    <w:rsid w:val="513E0339"/>
    <w:rsid w:val="5147776A"/>
    <w:rsid w:val="51495ABB"/>
    <w:rsid w:val="51514DF4"/>
    <w:rsid w:val="515B3813"/>
    <w:rsid w:val="51644DBE"/>
    <w:rsid w:val="5176064D"/>
    <w:rsid w:val="5176689F"/>
    <w:rsid w:val="51842D6A"/>
    <w:rsid w:val="5189205F"/>
    <w:rsid w:val="518A6447"/>
    <w:rsid w:val="518D02CD"/>
    <w:rsid w:val="518E5997"/>
    <w:rsid w:val="519A01DC"/>
    <w:rsid w:val="519B4ED3"/>
    <w:rsid w:val="51A339E7"/>
    <w:rsid w:val="51AB4833"/>
    <w:rsid w:val="51AF6F05"/>
    <w:rsid w:val="51B84C1B"/>
    <w:rsid w:val="51B91355"/>
    <w:rsid w:val="51BE6EBF"/>
    <w:rsid w:val="51C54584"/>
    <w:rsid w:val="51CF45E5"/>
    <w:rsid w:val="51D06218"/>
    <w:rsid w:val="51D51818"/>
    <w:rsid w:val="51EF3DA2"/>
    <w:rsid w:val="51FD48CA"/>
    <w:rsid w:val="52020CB9"/>
    <w:rsid w:val="520453CA"/>
    <w:rsid w:val="52045C59"/>
    <w:rsid w:val="521518E7"/>
    <w:rsid w:val="52162F97"/>
    <w:rsid w:val="52171E30"/>
    <w:rsid w:val="521E17EC"/>
    <w:rsid w:val="52295B3C"/>
    <w:rsid w:val="522D3402"/>
    <w:rsid w:val="523E0094"/>
    <w:rsid w:val="523F3058"/>
    <w:rsid w:val="52437A19"/>
    <w:rsid w:val="524C2B7F"/>
    <w:rsid w:val="524E5126"/>
    <w:rsid w:val="525C7E41"/>
    <w:rsid w:val="525F7AC1"/>
    <w:rsid w:val="52606A69"/>
    <w:rsid w:val="52661D77"/>
    <w:rsid w:val="526A2D50"/>
    <w:rsid w:val="526D1A50"/>
    <w:rsid w:val="526E442A"/>
    <w:rsid w:val="526E549B"/>
    <w:rsid w:val="526E7576"/>
    <w:rsid w:val="5273122B"/>
    <w:rsid w:val="52760D83"/>
    <w:rsid w:val="52872359"/>
    <w:rsid w:val="528D5C4E"/>
    <w:rsid w:val="529055D7"/>
    <w:rsid w:val="5290573F"/>
    <w:rsid w:val="52A31916"/>
    <w:rsid w:val="52A336C4"/>
    <w:rsid w:val="52A95150"/>
    <w:rsid w:val="52AA5F3F"/>
    <w:rsid w:val="52AC785B"/>
    <w:rsid w:val="52B46EDF"/>
    <w:rsid w:val="52BC29D7"/>
    <w:rsid w:val="52C210D2"/>
    <w:rsid w:val="52C90ACE"/>
    <w:rsid w:val="52CD4654"/>
    <w:rsid w:val="52D47D21"/>
    <w:rsid w:val="52DE26E9"/>
    <w:rsid w:val="52E361B6"/>
    <w:rsid w:val="52E7704D"/>
    <w:rsid w:val="52E947D8"/>
    <w:rsid w:val="52F45CCD"/>
    <w:rsid w:val="52F477DD"/>
    <w:rsid w:val="52F636BC"/>
    <w:rsid w:val="52F9488A"/>
    <w:rsid w:val="52FC2DD4"/>
    <w:rsid w:val="52FE4D9E"/>
    <w:rsid w:val="53024B3D"/>
    <w:rsid w:val="53057EDB"/>
    <w:rsid w:val="5314011E"/>
    <w:rsid w:val="53174F33"/>
    <w:rsid w:val="531C6FD2"/>
    <w:rsid w:val="531D3476"/>
    <w:rsid w:val="53212EBE"/>
    <w:rsid w:val="53324188"/>
    <w:rsid w:val="53332334"/>
    <w:rsid w:val="5344082C"/>
    <w:rsid w:val="53446C55"/>
    <w:rsid w:val="534A7FE3"/>
    <w:rsid w:val="535E23A6"/>
    <w:rsid w:val="536E3A72"/>
    <w:rsid w:val="53711656"/>
    <w:rsid w:val="53712D31"/>
    <w:rsid w:val="53787CD5"/>
    <w:rsid w:val="53794425"/>
    <w:rsid w:val="537D5377"/>
    <w:rsid w:val="538B284C"/>
    <w:rsid w:val="5392461E"/>
    <w:rsid w:val="53953D6F"/>
    <w:rsid w:val="53A63921"/>
    <w:rsid w:val="53AA427E"/>
    <w:rsid w:val="53C80263"/>
    <w:rsid w:val="53CE4770"/>
    <w:rsid w:val="53CE62D3"/>
    <w:rsid w:val="53D3037E"/>
    <w:rsid w:val="53D504F4"/>
    <w:rsid w:val="53D61877"/>
    <w:rsid w:val="53E54344"/>
    <w:rsid w:val="53F32429"/>
    <w:rsid w:val="53F341D7"/>
    <w:rsid w:val="53F71F19"/>
    <w:rsid w:val="540255D9"/>
    <w:rsid w:val="540957A8"/>
    <w:rsid w:val="54134E53"/>
    <w:rsid w:val="54153D6F"/>
    <w:rsid w:val="5415414D"/>
    <w:rsid w:val="5415488A"/>
    <w:rsid w:val="54177EC5"/>
    <w:rsid w:val="541858A9"/>
    <w:rsid w:val="54236F57"/>
    <w:rsid w:val="5429409D"/>
    <w:rsid w:val="542B1B1B"/>
    <w:rsid w:val="543518D8"/>
    <w:rsid w:val="54433E40"/>
    <w:rsid w:val="54455B3F"/>
    <w:rsid w:val="544A248C"/>
    <w:rsid w:val="544A3174"/>
    <w:rsid w:val="544B614B"/>
    <w:rsid w:val="544D467C"/>
    <w:rsid w:val="544F0351"/>
    <w:rsid w:val="54501629"/>
    <w:rsid w:val="54512B84"/>
    <w:rsid w:val="5454552F"/>
    <w:rsid w:val="54545609"/>
    <w:rsid w:val="545977F4"/>
    <w:rsid w:val="546B1FBF"/>
    <w:rsid w:val="547277F2"/>
    <w:rsid w:val="547C625A"/>
    <w:rsid w:val="54880DC3"/>
    <w:rsid w:val="54A40F48"/>
    <w:rsid w:val="54A56837"/>
    <w:rsid w:val="54A92AE8"/>
    <w:rsid w:val="54B204F6"/>
    <w:rsid w:val="54B345F3"/>
    <w:rsid w:val="54B532E1"/>
    <w:rsid w:val="54BF749F"/>
    <w:rsid w:val="54C0092B"/>
    <w:rsid w:val="54C07171"/>
    <w:rsid w:val="54C5716C"/>
    <w:rsid w:val="54C80AE9"/>
    <w:rsid w:val="54C94F38"/>
    <w:rsid w:val="54D91D1C"/>
    <w:rsid w:val="54DB6E02"/>
    <w:rsid w:val="54E1478A"/>
    <w:rsid w:val="54E571ED"/>
    <w:rsid w:val="54E91F92"/>
    <w:rsid w:val="54EA34F8"/>
    <w:rsid w:val="54EB7FE4"/>
    <w:rsid w:val="54EC2A94"/>
    <w:rsid w:val="54EC75A4"/>
    <w:rsid w:val="54EE1DF5"/>
    <w:rsid w:val="54FB7979"/>
    <w:rsid w:val="54FD7C85"/>
    <w:rsid w:val="54FE2DCE"/>
    <w:rsid w:val="55004DFD"/>
    <w:rsid w:val="550F6DEF"/>
    <w:rsid w:val="55102B67"/>
    <w:rsid w:val="55120D38"/>
    <w:rsid w:val="55146D4F"/>
    <w:rsid w:val="55156ECA"/>
    <w:rsid w:val="55166EEC"/>
    <w:rsid w:val="551C24B2"/>
    <w:rsid w:val="551E34D6"/>
    <w:rsid w:val="552C5D32"/>
    <w:rsid w:val="552C79A0"/>
    <w:rsid w:val="553261B8"/>
    <w:rsid w:val="55330662"/>
    <w:rsid w:val="55387EE4"/>
    <w:rsid w:val="553E24C4"/>
    <w:rsid w:val="554062AB"/>
    <w:rsid w:val="55450A62"/>
    <w:rsid w:val="554967A4"/>
    <w:rsid w:val="554A42CB"/>
    <w:rsid w:val="555962BC"/>
    <w:rsid w:val="556121F5"/>
    <w:rsid w:val="556E3137"/>
    <w:rsid w:val="557237AE"/>
    <w:rsid w:val="5578388A"/>
    <w:rsid w:val="557A002B"/>
    <w:rsid w:val="557C56AA"/>
    <w:rsid w:val="557F4CF9"/>
    <w:rsid w:val="5580080A"/>
    <w:rsid w:val="558A38DC"/>
    <w:rsid w:val="559B0682"/>
    <w:rsid w:val="559B69D1"/>
    <w:rsid w:val="55A06185"/>
    <w:rsid w:val="55BA2D2E"/>
    <w:rsid w:val="55BD2CEE"/>
    <w:rsid w:val="55BD684B"/>
    <w:rsid w:val="55C10CEF"/>
    <w:rsid w:val="55C633EB"/>
    <w:rsid w:val="55CD1A0C"/>
    <w:rsid w:val="55CD2711"/>
    <w:rsid w:val="55D21709"/>
    <w:rsid w:val="55E372D1"/>
    <w:rsid w:val="55EB335D"/>
    <w:rsid w:val="55FD1409"/>
    <w:rsid w:val="55FD7E27"/>
    <w:rsid w:val="56011CC9"/>
    <w:rsid w:val="561D5F9D"/>
    <w:rsid w:val="56237D59"/>
    <w:rsid w:val="56272ACF"/>
    <w:rsid w:val="562B06A5"/>
    <w:rsid w:val="562E463A"/>
    <w:rsid w:val="56336B0D"/>
    <w:rsid w:val="56366DDB"/>
    <w:rsid w:val="563D6695"/>
    <w:rsid w:val="5640122A"/>
    <w:rsid w:val="56440D1A"/>
    <w:rsid w:val="56466B2F"/>
    <w:rsid w:val="564E0DA2"/>
    <w:rsid w:val="56582A17"/>
    <w:rsid w:val="56602197"/>
    <w:rsid w:val="5661230A"/>
    <w:rsid w:val="5661367A"/>
    <w:rsid w:val="56640714"/>
    <w:rsid w:val="56645AFB"/>
    <w:rsid w:val="567A0BDF"/>
    <w:rsid w:val="567C2C63"/>
    <w:rsid w:val="56870466"/>
    <w:rsid w:val="568E421E"/>
    <w:rsid w:val="56951080"/>
    <w:rsid w:val="56A83F47"/>
    <w:rsid w:val="56AB2B47"/>
    <w:rsid w:val="56B62DCB"/>
    <w:rsid w:val="56C7052A"/>
    <w:rsid w:val="56C836F9"/>
    <w:rsid w:val="56D37223"/>
    <w:rsid w:val="56D57BC4"/>
    <w:rsid w:val="56D85635"/>
    <w:rsid w:val="56E47189"/>
    <w:rsid w:val="56E83D9B"/>
    <w:rsid w:val="56ED7A27"/>
    <w:rsid w:val="56F02EAD"/>
    <w:rsid w:val="56FD6CC8"/>
    <w:rsid w:val="57012357"/>
    <w:rsid w:val="57026392"/>
    <w:rsid w:val="57154464"/>
    <w:rsid w:val="571B2142"/>
    <w:rsid w:val="572378C8"/>
    <w:rsid w:val="5731514E"/>
    <w:rsid w:val="573165D2"/>
    <w:rsid w:val="573E39BB"/>
    <w:rsid w:val="57407681"/>
    <w:rsid w:val="57410580"/>
    <w:rsid w:val="574C572F"/>
    <w:rsid w:val="57517B92"/>
    <w:rsid w:val="57533D55"/>
    <w:rsid w:val="5759101D"/>
    <w:rsid w:val="575D5708"/>
    <w:rsid w:val="575E5C2A"/>
    <w:rsid w:val="57647564"/>
    <w:rsid w:val="57672E81"/>
    <w:rsid w:val="576D4215"/>
    <w:rsid w:val="57725BAB"/>
    <w:rsid w:val="57742541"/>
    <w:rsid w:val="57742B15"/>
    <w:rsid w:val="57743881"/>
    <w:rsid w:val="57776ECD"/>
    <w:rsid w:val="577D5C57"/>
    <w:rsid w:val="577E0F7D"/>
    <w:rsid w:val="577E64AD"/>
    <w:rsid w:val="578735B4"/>
    <w:rsid w:val="578A1E35"/>
    <w:rsid w:val="578B73FA"/>
    <w:rsid w:val="579009BF"/>
    <w:rsid w:val="57910069"/>
    <w:rsid w:val="579519A4"/>
    <w:rsid w:val="5797660A"/>
    <w:rsid w:val="57A05E6D"/>
    <w:rsid w:val="57A34D50"/>
    <w:rsid w:val="57AF6667"/>
    <w:rsid w:val="57BE6EA9"/>
    <w:rsid w:val="57C86371"/>
    <w:rsid w:val="57C87729"/>
    <w:rsid w:val="57D50EDB"/>
    <w:rsid w:val="57D936E4"/>
    <w:rsid w:val="57DA3A3B"/>
    <w:rsid w:val="57E3692C"/>
    <w:rsid w:val="57EE718F"/>
    <w:rsid w:val="57FB0AF6"/>
    <w:rsid w:val="58006B56"/>
    <w:rsid w:val="580544D9"/>
    <w:rsid w:val="58074AF2"/>
    <w:rsid w:val="58140C8A"/>
    <w:rsid w:val="58191E38"/>
    <w:rsid w:val="582A4D4D"/>
    <w:rsid w:val="58307B9A"/>
    <w:rsid w:val="58354DBE"/>
    <w:rsid w:val="58367828"/>
    <w:rsid w:val="58405511"/>
    <w:rsid w:val="584119B5"/>
    <w:rsid w:val="58432230"/>
    <w:rsid w:val="584543DB"/>
    <w:rsid w:val="584952EF"/>
    <w:rsid w:val="584C2582"/>
    <w:rsid w:val="58501BF8"/>
    <w:rsid w:val="58503776"/>
    <w:rsid w:val="58554788"/>
    <w:rsid w:val="58567A63"/>
    <w:rsid w:val="585E49A8"/>
    <w:rsid w:val="585F4412"/>
    <w:rsid w:val="5875529B"/>
    <w:rsid w:val="587A3E87"/>
    <w:rsid w:val="587A799F"/>
    <w:rsid w:val="587B5E81"/>
    <w:rsid w:val="58825813"/>
    <w:rsid w:val="58830FA1"/>
    <w:rsid w:val="5886065D"/>
    <w:rsid w:val="588C3C5C"/>
    <w:rsid w:val="58971740"/>
    <w:rsid w:val="5897380C"/>
    <w:rsid w:val="589B70BE"/>
    <w:rsid w:val="58A933DF"/>
    <w:rsid w:val="58B1615E"/>
    <w:rsid w:val="58B329A4"/>
    <w:rsid w:val="58B52014"/>
    <w:rsid w:val="58B74773"/>
    <w:rsid w:val="58BE2499"/>
    <w:rsid w:val="58C074BE"/>
    <w:rsid w:val="58D1252E"/>
    <w:rsid w:val="58D864B3"/>
    <w:rsid w:val="58DB0EE2"/>
    <w:rsid w:val="58FB184C"/>
    <w:rsid w:val="59146E58"/>
    <w:rsid w:val="5919648E"/>
    <w:rsid w:val="591D176F"/>
    <w:rsid w:val="592B78A5"/>
    <w:rsid w:val="592F661D"/>
    <w:rsid w:val="593432C8"/>
    <w:rsid w:val="593E4146"/>
    <w:rsid w:val="594B17FC"/>
    <w:rsid w:val="59527BF2"/>
    <w:rsid w:val="595E7A7B"/>
    <w:rsid w:val="596779DC"/>
    <w:rsid w:val="59681542"/>
    <w:rsid w:val="596F4300"/>
    <w:rsid w:val="59756F91"/>
    <w:rsid w:val="597854A6"/>
    <w:rsid w:val="597D0CD5"/>
    <w:rsid w:val="597D4C6F"/>
    <w:rsid w:val="59875994"/>
    <w:rsid w:val="59A044B9"/>
    <w:rsid w:val="59A255AB"/>
    <w:rsid w:val="59A73A9A"/>
    <w:rsid w:val="59A87D5B"/>
    <w:rsid w:val="59A947AD"/>
    <w:rsid w:val="59AE2690"/>
    <w:rsid w:val="59BB1F63"/>
    <w:rsid w:val="59BD5F2E"/>
    <w:rsid w:val="59C07D8E"/>
    <w:rsid w:val="59CC6333"/>
    <w:rsid w:val="59D92E78"/>
    <w:rsid w:val="59E475D1"/>
    <w:rsid w:val="5A0A65F8"/>
    <w:rsid w:val="5A0B0886"/>
    <w:rsid w:val="5A142627"/>
    <w:rsid w:val="5A1824A5"/>
    <w:rsid w:val="5A2927D3"/>
    <w:rsid w:val="5A2F2A8E"/>
    <w:rsid w:val="5A3115B5"/>
    <w:rsid w:val="5A403EEE"/>
    <w:rsid w:val="5A43335F"/>
    <w:rsid w:val="5A48390F"/>
    <w:rsid w:val="5A5663AA"/>
    <w:rsid w:val="5A5D0EA8"/>
    <w:rsid w:val="5A694DD5"/>
    <w:rsid w:val="5A6C6331"/>
    <w:rsid w:val="5A6E3A08"/>
    <w:rsid w:val="5A7308AD"/>
    <w:rsid w:val="5A744ADB"/>
    <w:rsid w:val="5A786798"/>
    <w:rsid w:val="5A847DE5"/>
    <w:rsid w:val="5A8A4A11"/>
    <w:rsid w:val="5A904975"/>
    <w:rsid w:val="5A99119D"/>
    <w:rsid w:val="5A9C608E"/>
    <w:rsid w:val="5A9F0C15"/>
    <w:rsid w:val="5AA14C72"/>
    <w:rsid w:val="5AA4733F"/>
    <w:rsid w:val="5AA60DE5"/>
    <w:rsid w:val="5AB22523"/>
    <w:rsid w:val="5AB23213"/>
    <w:rsid w:val="5AB81060"/>
    <w:rsid w:val="5ABB45BA"/>
    <w:rsid w:val="5AC218EF"/>
    <w:rsid w:val="5AC60466"/>
    <w:rsid w:val="5AC71F19"/>
    <w:rsid w:val="5ACA489C"/>
    <w:rsid w:val="5ACB1A15"/>
    <w:rsid w:val="5ACF6789"/>
    <w:rsid w:val="5ADF4C80"/>
    <w:rsid w:val="5AE053C1"/>
    <w:rsid w:val="5AE529D3"/>
    <w:rsid w:val="5AF03FD3"/>
    <w:rsid w:val="5AF6406C"/>
    <w:rsid w:val="5B054387"/>
    <w:rsid w:val="5B07333C"/>
    <w:rsid w:val="5B0F1454"/>
    <w:rsid w:val="5B1029FE"/>
    <w:rsid w:val="5B1074E5"/>
    <w:rsid w:val="5B12588A"/>
    <w:rsid w:val="5B134DE6"/>
    <w:rsid w:val="5B250407"/>
    <w:rsid w:val="5B2B3356"/>
    <w:rsid w:val="5B305D11"/>
    <w:rsid w:val="5B347BA8"/>
    <w:rsid w:val="5B357182"/>
    <w:rsid w:val="5B3D5C55"/>
    <w:rsid w:val="5B3E042E"/>
    <w:rsid w:val="5B3F14BF"/>
    <w:rsid w:val="5B527805"/>
    <w:rsid w:val="5B5703C5"/>
    <w:rsid w:val="5B5C6B06"/>
    <w:rsid w:val="5B5E462C"/>
    <w:rsid w:val="5B666607"/>
    <w:rsid w:val="5B670C95"/>
    <w:rsid w:val="5B6A7BC9"/>
    <w:rsid w:val="5B767BC7"/>
    <w:rsid w:val="5B812BD3"/>
    <w:rsid w:val="5B880F06"/>
    <w:rsid w:val="5B8E6EED"/>
    <w:rsid w:val="5B8F56AF"/>
    <w:rsid w:val="5B947378"/>
    <w:rsid w:val="5BA004D0"/>
    <w:rsid w:val="5BA069F2"/>
    <w:rsid w:val="5BA10890"/>
    <w:rsid w:val="5BA34735"/>
    <w:rsid w:val="5BAB6CC2"/>
    <w:rsid w:val="5BAF4251"/>
    <w:rsid w:val="5BB406F0"/>
    <w:rsid w:val="5BB67DF4"/>
    <w:rsid w:val="5BB756DE"/>
    <w:rsid w:val="5BB97AB4"/>
    <w:rsid w:val="5BC36B8A"/>
    <w:rsid w:val="5BCC715F"/>
    <w:rsid w:val="5BE42772"/>
    <w:rsid w:val="5BEC1C38"/>
    <w:rsid w:val="5BEE44D1"/>
    <w:rsid w:val="5BF814C1"/>
    <w:rsid w:val="5BFF15D7"/>
    <w:rsid w:val="5C067F68"/>
    <w:rsid w:val="5C0A234C"/>
    <w:rsid w:val="5C1C63A8"/>
    <w:rsid w:val="5C262452"/>
    <w:rsid w:val="5C2C3F5E"/>
    <w:rsid w:val="5C2E2250"/>
    <w:rsid w:val="5C361105"/>
    <w:rsid w:val="5C367157"/>
    <w:rsid w:val="5C3C2BE4"/>
    <w:rsid w:val="5C3F0A00"/>
    <w:rsid w:val="5C506285"/>
    <w:rsid w:val="5C56388C"/>
    <w:rsid w:val="5C5F054B"/>
    <w:rsid w:val="5C6235D7"/>
    <w:rsid w:val="5C6C3B0A"/>
    <w:rsid w:val="5C6D417E"/>
    <w:rsid w:val="5C6D4BB2"/>
    <w:rsid w:val="5C6F5853"/>
    <w:rsid w:val="5C891226"/>
    <w:rsid w:val="5C8D6481"/>
    <w:rsid w:val="5C9734BF"/>
    <w:rsid w:val="5C9A1D1A"/>
    <w:rsid w:val="5C9D098C"/>
    <w:rsid w:val="5CA50038"/>
    <w:rsid w:val="5CAE513F"/>
    <w:rsid w:val="5CB07109"/>
    <w:rsid w:val="5CB16013"/>
    <w:rsid w:val="5CB238D3"/>
    <w:rsid w:val="5CB24D5F"/>
    <w:rsid w:val="5CB421C1"/>
    <w:rsid w:val="5CCE758F"/>
    <w:rsid w:val="5CCF4C7D"/>
    <w:rsid w:val="5CDC1CAC"/>
    <w:rsid w:val="5CDE6DEA"/>
    <w:rsid w:val="5CE92CA9"/>
    <w:rsid w:val="5CEF7DBA"/>
    <w:rsid w:val="5CF76AE6"/>
    <w:rsid w:val="5CF8053C"/>
    <w:rsid w:val="5D033B65"/>
    <w:rsid w:val="5D0B6CD9"/>
    <w:rsid w:val="5D0C00B7"/>
    <w:rsid w:val="5D100AA1"/>
    <w:rsid w:val="5D1321C6"/>
    <w:rsid w:val="5D28270E"/>
    <w:rsid w:val="5D2A089D"/>
    <w:rsid w:val="5D2E7D7E"/>
    <w:rsid w:val="5D306275"/>
    <w:rsid w:val="5D337F8A"/>
    <w:rsid w:val="5D3405AB"/>
    <w:rsid w:val="5D352EBF"/>
    <w:rsid w:val="5D3654BA"/>
    <w:rsid w:val="5D414205"/>
    <w:rsid w:val="5D430782"/>
    <w:rsid w:val="5D460AD8"/>
    <w:rsid w:val="5D4A3572"/>
    <w:rsid w:val="5D4B0E0E"/>
    <w:rsid w:val="5D5142A8"/>
    <w:rsid w:val="5D587FEA"/>
    <w:rsid w:val="5D5C6C25"/>
    <w:rsid w:val="5D5E6E20"/>
    <w:rsid w:val="5D682F2E"/>
    <w:rsid w:val="5D6B1AFF"/>
    <w:rsid w:val="5D76441C"/>
    <w:rsid w:val="5D7F1F8B"/>
    <w:rsid w:val="5D814602"/>
    <w:rsid w:val="5D817B49"/>
    <w:rsid w:val="5D837CED"/>
    <w:rsid w:val="5D880542"/>
    <w:rsid w:val="5D9719A5"/>
    <w:rsid w:val="5DAB167E"/>
    <w:rsid w:val="5DAE68C5"/>
    <w:rsid w:val="5DC054BC"/>
    <w:rsid w:val="5DC15A13"/>
    <w:rsid w:val="5DC25D91"/>
    <w:rsid w:val="5DDD4F77"/>
    <w:rsid w:val="5DE2615A"/>
    <w:rsid w:val="5DE709FD"/>
    <w:rsid w:val="5E1244DA"/>
    <w:rsid w:val="5E221E2A"/>
    <w:rsid w:val="5E26570C"/>
    <w:rsid w:val="5E354EF2"/>
    <w:rsid w:val="5E3A0A3F"/>
    <w:rsid w:val="5E422B1C"/>
    <w:rsid w:val="5E443FAD"/>
    <w:rsid w:val="5E62027D"/>
    <w:rsid w:val="5E6A32E8"/>
    <w:rsid w:val="5E6B5734"/>
    <w:rsid w:val="5E774427"/>
    <w:rsid w:val="5E7A6231"/>
    <w:rsid w:val="5E7A6862"/>
    <w:rsid w:val="5E8425FB"/>
    <w:rsid w:val="5E8A714B"/>
    <w:rsid w:val="5E8F2D4E"/>
    <w:rsid w:val="5E901182"/>
    <w:rsid w:val="5E9E56E0"/>
    <w:rsid w:val="5EA27709"/>
    <w:rsid w:val="5EA44A4C"/>
    <w:rsid w:val="5EA73D9D"/>
    <w:rsid w:val="5EAD5B6F"/>
    <w:rsid w:val="5EAF519E"/>
    <w:rsid w:val="5EAF5318"/>
    <w:rsid w:val="5EB01BD9"/>
    <w:rsid w:val="5EBB5688"/>
    <w:rsid w:val="5EBC6446"/>
    <w:rsid w:val="5ECA47DC"/>
    <w:rsid w:val="5ECE1D35"/>
    <w:rsid w:val="5ED209B4"/>
    <w:rsid w:val="5ED66BCF"/>
    <w:rsid w:val="5EE66B82"/>
    <w:rsid w:val="5EEA0232"/>
    <w:rsid w:val="5EFF6126"/>
    <w:rsid w:val="5F022B25"/>
    <w:rsid w:val="5F092EC4"/>
    <w:rsid w:val="5F0C25F1"/>
    <w:rsid w:val="5F0E7066"/>
    <w:rsid w:val="5F0F4D15"/>
    <w:rsid w:val="5F13572D"/>
    <w:rsid w:val="5F1F3110"/>
    <w:rsid w:val="5F230066"/>
    <w:rsid w:val="5F265461"/>
    <w:rsid w:val="5F2B7CAC"/>
    <w:rsid w:val="5F346464"/>
    <w:rsid w:val="5F443B39"/>
    <w:rsid w:val="5F4C0C3F"/>
    <w:rsid w:val="5F5B37BC"/>
    <w:rsid w:val="5F5C03C6"/>
    <w:rsid w:val="5F6E6084"/>
    <w:rsid w:val="5F702FD4"/>
    <w:rsid w:val="5F71284F"/>
    <w:rsid w:val="5F744DEE"/>
    <w:rsid w:val="5F7D02AF"/>
    <w:rsid w:val="5F8152F0"/>
    <w:rsid w:val="5F860885"/>
    <w:rsid w:val="5F87519D"/>
    <w:rsid w:val="5F882C66"/>
    <w:rsid w:val="5F887A60"/>
    <w:rsid w:val="5F8933C4"/>
    <w:rsid w:val="5F8E5EDA"/>
    <w:rsid w:val="5FA34D03"/>
    <w:rsid w:val="5FBE08EE"/>
    <w:rsid w:val="5FC05925"/>
    <w:rsid w:val="5FC64024"/>
    <w:rsid w:val="5FD27172"/>
    <w:rsid w:val="5FD31FF2"/>
    <w:rsid w:val="5FDA449D"/>
    <w:rsid w:val="5FE87D9D"/>
    <w:rsid w:val="5FE91462"/>
    <w:rsid w:val="5FF56CA1"/>
    <w:rsid w:val="5FFC4413"/>
    <w:rsid w:val="5FFE1C27"/>
    <w:rsid w:val="600026B9"/>
    <w:rsid w:val="60082A68"/>
    <w:rsid w:val="60082DB8"/>
    <w:rsid w:val="600A6B30"/>
    <w:rsid w:val="600E251E"/>
    <w:rsid w:val="600F13F8"/>
    <w:rsid w:val="601F3E0C"/>
    <w:rsid w:val="60314805"/>
    <w:rsid w:val="603F68D1"/>
    <w:rsid w:val="604F09E7"/>
    <w:rsid w:val="60511C5D"/>
    <w:rsid w:val="6051206E"/>
    <w:rsid w:val="605129B1"/>
    <w:rsid w:val="60513A67"/>
    <w:rsid w:val="605E0C2A"/>
    <w:rsid w:val="606320D0"/>
    <w:rsid w:val="606C7CBC"/>
    <w:rsid w:val="606F3382"/>
    <w:rsid w:val="607664CF"/>
    <w:rsid w:val="6089739F"/>
    <w:rsid w:val="6091756A"/>
    <w:rsid w:val="60921174"/>
    <w:rsid w:val="60971848"/>
    <w:rsid w:val="60985885"/>
    <w:rsid w:val="60985EBA"/>
    <w:rsid w:val="609B08D5"/>
    <w:rsid w:val="60A40F7A"/>
    <w:rsid w:val="60AA02D8"/>
    <w:rsid w:val="60B9245A"/>
    <w:rsid w:val="60BD25C4"/>
    <w:rsid w:val="60BE62E0"/>
    <w:rsid w:val="60C12A21"/>
    <w:rsid w:val="60CC1DD1"/>
    <w:rsid w:val="60D07D7A"/>
    <w:rsid w:val="60D11881"/>
    <w:rsid w:val="60D241FC"/>
    <w:rsid w:val="60DA29A7"/>
    <w:rsid w:val="60DB671F"/>
    <w:rsid w:val="60DE6973"/>
    <w:rsid w:val="60DF4425"/>
    <w:rsid w:val="60E17CC9"/>
    <w:rsid w:val="60ED6A3F"/>
    <w:rsid w:val="60F83E92"/>
    <w:rsid w:val="60FF666C"/>
    <w:rsid w:val="610139D9"/>
    <w:rsid w:val="61080B29"/>
    <w:rsid w:val="610B59E0"/>
    <w:rsid w:val="610B78C3"/>
    <w:rsid w:val="6111766B"/>
    <w:rsid w:val="61167757"/>
    <w:rsid w:val="611B79AA"/>
    <w:rsid w:val="611D3699"/>
    <w:rsid w:val="6127214C"/>
    <w:rsid w:val="612956DC"/>
    <w:rsid w:val="613227E2"/>
    <w:rsid w:val="61396C5D"/>
    <w:rsid w:val="613A3445"/>
    <w:rsid w:val="6141545D"/>
    <w:rsid w:val="614A3E67"/>
    <w:rsid w:val="61506480"/>
    <w:rsid w:val="61561AAB"/>
    <w:rsid w:val="61577366"/>
    <w:rsid w:val="615F373B"/>
    <w:rsid w:val="61605AE8"/>
    <w:rsid w:val="616568EA"/>
    <w:rsid w:val="61691F7C"/>
    <w:rsid w:val="61695AD8"/>
    <w:rsid w:val="616C6B51"/>
    <w:rsid w:val="617C3A5E"/>
    <w:rsid w:val="618C39FB"/>
    <w:rsid w:val="619D3160"/>
    <w:rsid w:val="61B01723"/>
    <w:rsid w:val="61B63475"/>
    <w:rsid w:val="61BA6334"/>
    <w:rsid w:val="61BA72CD"/>
    <w:rsid w:val="61C32812"/>
    <w:rsid w:val="61C32AD7"/>
    <w:rsid w:val="61CD1C24"/>
    <w:rsid w:val="61DA5A8B"/>
    <w:rsid w:val="61DE431C"/>
    <w:rsid w:val="61DF5C83"/>
    <w:rsid w:val="61E15FB7"/>
    <w:rsid w:val="61E351CB"/>
    <w:rsid w:val="61E6216F"/>
    <w:rsid w:val="61E64F4D"/>
    <w:rsid w:val="61F37C97"/>
    <w:rsid w:val="62061579"/>
    <w:rsid w:val="621A1A0B"/>
    <w:rsid w:val="621C0D9D"/>
    <w:rsid w:val="621C2B4B"/>
    <w:rsid w:val="62281C3A"/>
    <w:rsid w:val="622A5268"/>
    <w:rsid w:val="6232236E"/>
    <w:rsid w:val="6235591B"/>
    <w:rsid w:val="623C4F9B"/>
    <w:rsid w:val="62470D22"/>
    <w:rsid w:val="62503224"/>
    <w:rsid w:val="625372AF"/>
    <w:rsid w:val="625E7607"/>
    <w:rsid w:val="62606EDB"/>
    <w:rsid w:val="626E6459"/>
    <w:rsid w:val="627D03CE"/>
    <w:rsid w:val="62803032"/>
    <w:rsid w:val="628166CB"/>
    <w:rsid w:val="62823958"/>
    <w:rsid w:val="62833409"/>
    <w:rsid w:val="62834DCD"/>
    <w:rsid w:val="62835353"/>
    <w:rsid w:val="62864468"/>
    <w:rsid w:val="62902368"/>
    <w:rsid w:val="629C6399"/>
    <w:rsid w:val="629F3B82"/>
    <w:rsid w:val="629F45FA"/>
    <w:rsid w:val="62A35AF0"/>
    <w:rsid w:val="62A95058"/>
    <w:rsid w:val="62AA45FB"/>
    <w:rsid w:val="62B86A67"/>
    <w:rsid w:val="62C27934"/>
    <w:rsid w:val="62C96373"/>
    <w:rsid w:val="62CA6A4B"/>
    <w:rsid w:val="62CC505B"/>
    <w:rsid w:val="62CC6A87"/>
    <w:rsid w:val="62CE1CF4"/>
    <w:rsid w:val="62D80195"/>
    <w:rsid w:val="62D9170D"/>
    <w:rsid w:val="62D953FF"/>
    <w:rsid w:val="62DF0F34"/>
    <w:rsid w:val="62E175EE"/>
    <w:rsid w:val="62E42249"/>
    <w:rsid w:val="62E95123"/>
    <w:rsid w:val="62ED7802"/>
    <w:rsid w:val="62F23D84"/>
    <w:rsid w:val="62F35928"/>
    <w:rsid w:val="62F53654"/>
    <w:rsid w:val="62F66152"/>
    <w:rsid w:val="62FA0015"/>
    <w:rsid w:val="62FD0BCE"/>
    <w:rsid w:val="62FD4FFA"/>
    <w:rsid w:val="630C0E11"/>
    <w:rsid w:val="631C702D"/>
    <w:rsid w:val="631D4DCC"/>
    <w:rsid w:val="632048BD"/>
    <w:rsid w:val="63254565"/>
    <w:rsid w:val="63276A6D"/>
    <w:rsid w:val="632811AA"/>
    <w:rsid w:val="632B1E59"/>
    <w:rsid w:val="6335164C"/>
    <w:rsid w:val="63367C3C"/>
    <w:rsid w:val="633A772C"/>
    <w:rsid w:val="633F4D43"/>
    <w:rsid w:val="634D463D"/>
    <w:rsid w:val="634D69BF"/>
    <w:rsid w:val="634F5D18"/>
    <w:rsid w:val="63525BE3"/>
    <w:rsid w:val="6356071F"/>
    <w:rsid w:val="63620A31"/>
    <w:rsid w:val="637A3FCD"/>
    <w:rsid w:val="637C3A4D"/>
    <w:rsid w:val="637F7129"/>
    <w:rsid w:val="638001AB"/>
    <w:rsid w:val="638C3054"/>
    <w:rsid w:val="639204AA"/>
    <w:rsid w:val="639A3968"/>
    <w:rsid w:val="639D27D0"/>
    <w:rsid w:val="63A1155A"/>
    <w:rsid w:val="63A407A4"/>
    <w:rsid w:val="63AF4F72"/>
    <w:rsid w:val="63B14BBD"/>
    <w:rsid w:val="63B26363"/>
    <w:rsid w:val="63B63813"/>
    <w:rsid w:val="63BC5F27"/>
    <w:rsid w:val="63BD1141"/>
    <w:rsid w:val="63C11844"/>
    <w:rsid w:val="63C379EA"/>
    <w:rsid w:val="63C638D8"/>
    <w:rsid w:val="63CB1C16"/>
    <w:rsid w:val="63CD67F3"/>
    <w:rsid w:val="63D01E3F"/>
    <w:rsid w:val="63D470A5"/>
    <w:rsid w:val="63DB26DB"/>
    <w:rsid w:val="63DB51EC"/>
    <w:rsid w:val="63DE4785"/>
    <w:rsid w:val="63DF3C15"/>
    <w:rsid w:val="63E03522"/>
    <w:rsid w:val="63E27944"/>
    <w:rsid w:val="63E43B3C"/>
    <w:rsid w:val="63E804E8"/>
    <w:rsid w:val="63EB6C79"/>
    <w:rsid w:val="63F1043B"/>
    <w:rsid w:val="63F10DE4"/>
    <w:rsid w:val="63F467D0"/>
    <w:rsid w:val="64025D70"/>
    <w:rsid w:val="6403419E"/>
    <w:rsid w:val="64063486"/>
    <w:rsid w:val="640A35A3"/>
    <w:rsid w:val="640C5039"/>
    <w:rsid w:val="640C5FEA"/>
    <w:rsid w:val="640D4E41"/>
    <w:rsid w:val="640F063A"/>
    <w:rsid w:val="64121C03"/>
    <w:rsid w:val="64134EC2"/>
    <w:rsid w:val="641418FC"/>
    <w:rsid w:val="64172642"/>
    <w:rsid w:val="641C6E32"/>
    <w:rsid w:val="641F4B74"/>
    <w:rsid w:val="642431AF"/>
    <w:rsid w:val="64264155"/>
    <w:rsid w:val="642A1160"/>
    <w:rsid w:val="642D5735"/>
    <w:rsid w:val="643B7C00"/>
    <w:rsid w:val="64435C03"/>
    <w:rsid w:val="644B7717"/>
    <w:rsid w:val="644C459B"/>
    <w:rsid w:val="646C0CE7"/>
    <w:rsid w:val="64721E3A"/>
    <w:rsid w:val="647F2757"/>
    <w:rsid w:val="6489441C"/>
    <w:rsid w:val="648E7D68"/>
    <w:rsid w:val="648F092B"/>
    <w:rsid w:val="64980CBE"/>
    <w:rsid w:val="649E1F3D"/>
    <w:rsid w:val="649F31DF"/>
    <w:rsid w:val="64A410D1"/>
    <w:rsid w:val="64AA769D"/>
    <w:rsid w:val="64AC70DB"/>
    <w:rsid w:val="64AD7690"/>
    <w:rsid w:val="64B52C64"/>
    <w:rsid w:val="64B60AD3"/>
    <w:rsid w:val="64B67287"/>
    <w:rsid w:val="64B91A9C"/>
    <w:rsid w:val="64B96AAC"/>
    <w:rsid w:val="64C15E13"/>
    <w:rsid w:val="64C557E4"/>
    <w:rsid w:val="64C86C12"/>
    <w:rsid w:val="64CD45D0"/>
    <w:rsid w:val="64D07CF0"/>
    <w:rsid w:val="64D5512E"/>
    <w:rsid w:val="64D5739D"/>
    <w:rsid w:val="64E26A95"/>
    <w:rsid w:val="64E61405"/>
    <w:rsid w:val="64F41B5D"/>
    <w:rsid w:val="64F7143D"/>
    <w:rsid w:val="64FE3CF8"/>
    <w:rsid w:val="6502071E"/>
    <w:rsid w:val="650F0CF8"/>
    <w:rsid w:val="650F7D72"/>
    <w:rsid w:val="65100A71"/>
    <w:rsid w:val="6515405C"/>
    <w:rsid w:val="651F0BE5"/>
    <w:rsid w:val="65201C97"/>
    <w:rsid w:val="65224B95"/>
    <w:rsid w:val="653766AB"/>
    <w:rsid w:val="65425F7D"/>
    <w:rsid w:val="654375E8"/>
    <w:rsid w:val="65493EB8"/>
    <w:rsid w:val="65552F9D"/>
    <w:rsid w:val="65566374"/>
    <w:rsid w:val="655A3525"/>
    <w:rsid w:val="655E4082"/>
    <w:rsid w:val="6562503C"/>
    <w:rsid w:val="65625846"/>
    <w:rsid w:val="656367A5"/>
    <w:rsid w:val="656F2731"/>
    <w:rsid w:val="65797B67"/>
    <w:rsid w:val="6583011E"/>
    <w:rsid w:val="65835A34"/>
    <w:rsid w:val="659155FE"/>
    <w:rsid w:val="659404FF"/>
    <w:rsid w:val="659A7695"/>
    <w:rsid w:val="659B008D"/>
    <w:rsid w:val="659B2B2B"/>
    <w:rsid w:val="659B53C0"/>
    <w:rsid w:val="659E3141"/>
    <w:rsid w:val="65A25A5D"/>
    <w:rsid w:val="65AD0F11"/>
    <w:rsid w:val="65AF3E4D"/>
    <w:rsid w:val="65C17015"/>
    <w:rsid w:val="65C24E85"/>
    <w:rsid w:val="65C46FED"/>
    <w:rsid w:val="65DB61EE"/>
    <w:rsid w:val="65DF44CB"/>
    <w:rsid w:val="65E10333"/>
    <w:rsid w:val="65E31235"/>
    <w:rsid w:val="65E54074"/>
    <w:rsid w:val="65E54300"/>
    <w:rsid w:val="65E62DF9"/>
    <w:rsid w:val="65F31A3A"/>
    <w:rsid w:val="65F62AC4"/>
    <w:rsid w:val="65F91B21"/>
    <w:rsid w:val="66165339"/>
    <w:rsid w:val="661B7B4A"/>
    <w:rsid w:val="662E109F"/>
    <w:rsid w:val="662F16C8"/>
    <w:rsid w:val="6632103A"/>
    <w:rsid w:val="66344907"/>
    <w:rsid w:val="663901FC"/>
    <w:rsid w:val="663C3592"/>
    <w:rsid w:val="663C61A4"/>
    <w:rsid w:val="663D291A"/>
    <w:rsid w:val="664070A6"/>
    <w:rsid w:val="66460BEA"/>
    <w:rsid w:val="6646288C"/>
    <w:rsid w:val="664755CE"/>
    <w:rsid w:val="664D64E9"/>
    <w:rsid w:val="664D7777"/>
    <w:rsid w:val="664E4B63"/>
    <w:rsid w:val="66584B49"/>
    <w:rsid w:val="665A5100"/>
    <w:rsid w:val="6664692A"/>
    <w:rsid w:val="66691488"/>
    <w:rsid w:val="666920D7"/>
    <w:rsid w:val="666A4179"/>
    <w:rsid w:val="666D6A19"/>
    <w:rsid w:val="666F3B7A"/>
    <w:rsid w:val="66700250"/>
    <w:rsid w:val="6672542F"/>
    <w:rsid w:val="667A591F"/>
    <w:rsid w:val="667A78FF"/>
    <w:rsid w:val="66837ACB"/>
    <w:rsid w:val="66862210"/>
    <w:rsid w:val="6695111E"/>
    <w:rsid w:val="66966BF3"/>
    <w:rsid w:val="66A215BE"/>
    <w:rsid w:val="66A31A8D"/>
    <w:rsid w:val="66A33088"/>
    <w:rsid w:val="66A4481D"/>
    <w:rsid w:val="66A7157D"/>
    <w:rsid w:val="66AA4BC9"/>
    <w:rsid w:val="66AC04A2"/>
    <w:rsid w:val="66B56BA5"/>
    <w:rsid w:val="66B94E0C"/>
    <w:rsid w:val="66C7577B"/>
    <w:rsid w:val="66D32F36"/>
    <w:rsid w:val="66D42F9A"/>
    <w:rsid w:val="66DF2882"/>
    <w:rsid w:val="66DF446D"/>
    <w:rsid w:val="66E005EB"/>
    <w:rsid w:val="66E5481B"/>
    <w:rsid w:val="66EB63DD"/>
    <w:rsid w:val="66EC3434"/>
    <w:rsid w:val="66F236EC"/>
    <w:rsid w:val="66F6115B"/>
    <w:rsid w:val="66F63515"/>
    <w:rsid w:val="66FD5FF3"/>
    <w:rsid w:val="670D6F06"/>
    <w:rsid w:val="67130717"/>
    <w:rsid w:val="67191D4F"/>
    <w:rsid w:val="672542EA"/>
    <w:rsid w:val="672D0DBA"/>
    <w:rsid w:val="672F1390"/>
    <w:rsid w:val="6732696D"/>
    <w:rsid w:val="6739704A"/>
    <w:rsid w:val="673A7FA6"/>
    <w:rsid w:val="674A015A"/>
    <w:rsid w:val="674A1F08"/>
    <w:rsid w:val="674F3731"/>
    <w:rsid w:val="675A65EF"/>
    <w:rsid w:val="675E6175"/>
    <w:rsid w:val="6760345F"/>
    <w:rsid w:val="6764121C"/>
    <w:rsid w:val="676531A6"/>
    <w:rsid w:val="67654378"/>
    <w:rsid w:val="676C641E"/>
    <w:rsid w:val="67700B74"/>
    <w:rsid w:val="67726524"/>
    <w:rsid w:val="67773160"/>
    <w:rsid w:val="678025FE"/>
    <w:rsid w:val="6780592A"/>
    <w:rsid w:val="678150A4"/>
    <w:rsid w:val="6786724A"/>
    <w:rsid w:val="67870B42"/>
    <w:rsid w:val="67883A47"/>
    <w:rsid w:val="678C0F3F"/>
    <w:rsid w:val="678E0047"/>
    <w:rsid w:val="679D1889"/>
    <w:rsid w:val="67A057E0"/>
    <w:rsid w:val="67A60E7B"/>
    <w:rsid w:val="67BA1F95"/>
    <w:rsid w:val="67C533B3"/>
    <w:rsid w:val="67CC37C0"/>
    <w:rsid w:val="67E14F96"/>
    <w:rsid w:val="67E224D7"/>
    <w:rsid w:val="67E254E2"/>
    <w:rsid w:val="67E61BFA"/>
    <w:rsid w:val="67F10B4C"/>
    <w:rsid w:val="67F26E01"/>
    <w:rsid w:val="67F57A98"/>
    <w:rsid w:val="68000A9D"/>
    <w:rsid w:val="680016F4"/>
    <w:rsid w:val="6810771C"/>
    <w:rsid w:val="68180FFB"/>
    <w:rsid w:val="681C38A5"/>
    <w:rsid w:val="681E70CE"/>
    <w:rsid w:val="6824200D"/>
    <w:rsid w:val="682D5CD6"/>
    <w:rsid w:val="682E0C23"/>
    <w:rsid w:val="682F4516"/>
    <w:rsid w:val="683244BB"/>
    <w:rsid w:val="683C5CF5"/>
    <w:rsid w:val="684B5558"/>
    <w:rsid w:val="685017A0"/>
    <w:rsid w:val="68505CC3"/>
    <w:rsid w:val="68534DEC"/>
    <w:rsid w:val="68551938"/>
    <w:rsid w:val="68575742"/>
    <w:rsid w:val="6858392D"/>
    <w:rsid w:val="68602B2C"/>
    <w:rsid w:val="68716D2F"/>
    <w:rsid w:val="68776BED"/>
    <w:rsid w:val="68882CE8"/>
    <w:rsid w:val="688B4586"/>
    <w:rsid w:val="688B4603"/>
    <w:rsid w:val="68953544"/>
    <w:rsid w:val="68953DD3"/>
    <w:rsid w:val="689A6F83"/>
    <w:rsid w:val="689E1EB2"/>
    <w:rsid w:val="68A15C67"/>
    <w:rsid w:val="68A477E0"/>
    <w:rsid w:val="68A658ED"/>
    <w:rsid w:val="68A70375"/>
    <w:rsid w:val="68A7470D"/>
    <w:rsid w:val="68A815DC"/>
    <w:rsid w:val="68AD2D1B"/>
    <w:rsid w:val="68B37290"/>
    <w:rsid w:val="68B7760F"/>
    <w:rsid w:val="68BE065F"/>
    <w:rsid w:val="68C05461"/>
    <w:rsid w:val="68C06F5D"/>
    <w:rsid w:val="68C1269E"/>
    <w:rsid w:val="68C5276F"/>
    <w:rsid w:val="68C62608"/>
    <w:rsid w:val="68CF2DA6"/>
    <w:rsid w:val="68D26788"/>
    <w:rsid w:val="68D51CA5"/>
    <w:rsid w:val="68DC1D8E"/>
    <w:rsid w:val="68E0397F"/>
    <w:rsid w:val="68E35190"/>
    <w:rsid w:val="68E812A4"/>
    <w:rsid w:val="68E853CD"/>
    <w:rsid w:val="68F2724B"/>
    <w:rsid w:val="68F63A0B"/>
    <w:rsid w:val="68FC544E"/>
    <w:rsid w:val="690C1867"/>
    <w:rsid w:val="690E312B"/>
    <w:rsid w:val="690F7D98"/>
    <w:rsid w:val="69100DC9"/>
    <w:rsid w:val="691B1DAE"/>
    <w:rsid w:val="691E58C2"/>
    <w:rsid w:val="69271689"/>
    <w:rsid w:val="69294CB9"/>
    <w:rsid w:val="692A255D"/>
    <w:rsid w:val="692F7608"/>
    <w:rsid w:val="693026FC"/>
    <w:rsid w:val="69312C14"/>
    <w:rsid w:val="69360638"/>
    <w:rsid w:val="693A3227"/>
    <w:rsid w:val="693B4444"/>
    <w:rsid w:val="694273AA"/>
    <w:rsid w:val="694623A8"/>
    <w:rsid w:val="69485E60"/>
    <w:rsid w:val="694F716F"/>
    <w:rsid w:val="695B3F54"/>
    <w:rsid w:val="695D4175"/>
    <w:rsid w:val="69603DB7"/>
    <w:rsid w:val="69676A9A"/>
    <w:rsid w:val="696C392D"/>
    <w:rsid w:val="697154AB"/>
    <w:rsid w:val="697265C7"/>
    <w:rsid w:val="69790883"/>
    <w:rsid w:val="697E0F3D"/>
    <w:rsid w:val="69880D8F"/>
    <w:rsid w:val="698B5207"/>
    <w:rsid w:val="69925B5F"/>
    <w:rsid w:val="699333D5"/>
    <w:rsid w:val="699437D6"/>
    <w:rsid w:val="699810D2"/>
    <w:rsid w:val="699C56B9"/>
    <w:rsid w:val="69A00505"/>
    <w:rsid w:val="69A51678"/>
    <w:rsid w:val="69B31FE7"/>
    <w:rsid w:val="69B62DA3"/>
    <w:rsid w:val="69BA063B"/>
    <w:rsid w:val="69C67EBF"/>
    <w:rsid w:val="69CC0BAC"/>
    <w:rsid w:val="69F543AD"/>
    <w:rsid w:val="69FA3BDB"/>
    <w:rsid w:val="69FE102B"/>
    <w:rsid w:val="6A037A68"/>
    <w:rsid w:val="6A047EEA"/>
    <w:rsid w:val="6A0D1302"/>
    <w:rsid w:val="6A153030"/>
    <w:rsid w:val="6A2765A7"/>
    <w:rsid w:val="6A276BEB"/>
    <w:rsid w:val="6A332502"/>
    <w:rsid w:val="6A3455DC"/>
    <w:rsid w:val="6A394797"/>
    <w:rsid w:val="6A413A96"/>
    <w:rsid w:val="6A415844"/>
    <w:rsid w:val="6A4807F0"/>
    <w:rsid w:val="6A4B00A2"/>
    <w:rsid w:val="6A4C0CAB"/>
    <w:rsid w:val="6A5542C5"/>
    <w:rsid w:val="6A58157A"/>
    <w:rsid w:val="6A611A43"/>
    <w:rsid w:val="6A615EE7"/>
    <w:rsid w:val="6A655C59"/>
    <w:rsid w:val="6A6A07E7"/>
    <w:rsid w:val="6A6B7069"/>
    <w:rsid w:val="6A6E2FE4"/>
    <w:rsid w:val="6A731776"/>
    <w:rsid w:val="6A7C5760"/>
    <w:rsid w:val="6A7F45BF"/>
    <w:rsid w:val="6A804B19"/>
    <w:rsid w:val="6A86594D"/>
    <w:rsid w:val="6A9517B9"/>
    <w:rsid w:val="6A9C4322"/>
    <w:rsid w:val="6AA52EA3"/>
    <w:rsid w:val="6AA858C3"/>
    <w:rsid w:val="6AAB2257"/>
    <w:rsid w:val="6AAE7EE7"/>
    <w:rsid w:val="6AAF02C9"/>
    <w:rsid w:val="6AB975BD"/>
    <w:rsid w:val="6ABE71F5"/>
    <w:rsid w:val="6ABF6769"/>
    <w:rsid w:val="6AC91B2D"/>
    <w:rsid w:val="6AD541DF"/>
    <w:rsid w:val="6AD662AB"/>
    <w:rsid w:val="6AD951EA"/>
    <w:rsid w:val="6ADB732E"/>
    <w:rsid w:val="6ADE3093"/>
    <w:rsid w:val="6AE14931"/>
    <w:rsid w:val="6AE85CC0"/>
    <w:rsid w:val="6AEC781D"/>
    <w:rsid w:val="6AF01018"/>
    <w:rsid w:val="6AFE2715"/>
    <w:rsid w:val="6B044BAC"/>
    <w:rsid w:val="6B06590B"/>
    <w:rsid w:val="6B09216C"/>
    <w:rsid w:val="6B097568"/>
    <w:rsid w:val="6B0B1578"/>
    <w:rsid w:val="6B0B6DED"/>
    <w:rsid w:val="6B102C5F"/>
    <w:rsid w:val="6B15282D"/>
    <w:rsid w:val="6B194063"/>
    <w:rsid w:val="6B1C36D8"/>
    <w:rsid w:val="6B1F5421"/>
    <w:rsid w:val="6B20545A"/>
    <w:rsid w:val="6B2F3F07"/>
    <w:rsid w:val="6B442600"/>
    <w:rsid w:val="6B4D0219"/>
    <w:rsid w:val="6B4E0D76"/>
    <w:rsid w:val="6B4E1544"/>
    <w:rsid w:val="6B5851D7"/>
    <w:rsid w:val="6B593628"/>
    <w:rsid w:val="6B5B3518"/>
    <w:rsid w:val="6B643711"/>
    <w:rsid w:val="6B670D46"/>
    <w:rsid w:val="6B6E08BB"/>
    <w:rsid w:val="6B851893"/>
    <w:rsid w:val="6B8A30C4"/>
    <w:rsid w:val="6BA240C1"/>
    <w:rsid w:val="6BA347F3"/>
    <w:rsid w:val="6BAE669D"/>
    <w:rsid w:val="6BB321B4"/>
    <w:rsid w:val="6BB827EE"/>
    <w:rsid w:val="6BC009EB"/>
    <w:rsid w:val="6BC70DD6"/>
    <w:rsid w:val="6BC81331"/>
    <w:rsid w:val="6BCA4077"/>
    <w:rsid w:val="6BCD02EE"/>
    <w:rsid w:val="6BCE004B"/>
    <w:rsid w:val="6BCF0C2E"/>
    <w:rsid w:val="6BDD5658"/>
    <w:rsid w:val="6BE80CB1"/>
    <w:rsid w:val="6BEB7BC8"/>
    <w:rsid w:val="6BED2885"/>
    <w:rsid w:val="6BF43D61"/>
    <w:rsid w:val="6BF905B3"/>
    <w:rsid w:val="6BFD2C67"/>
    <w:rsid w:val="6C040369"/>
    <w:rsid w:val="6C08733A"/>
    <w:rsid w:val="6C134FBF"/>
    <w:rsid w:val="6C140B59"/>
    <w:rsid w:val="6C1D2F01"/>
    <w:rsid w:val="6C281EFF"/>
    <w:rsid w:val="6C2F71C1"/>
    <w:rsid w:val="6C327B3B"/>
    <w:rsid w:val="6C384AD2"/>
    <w:rsid w:val="6C3D2E83"/>
    <w:rsid w:val="6C474C68"/>
    <w:rsid w:val="6C485AD0"/>
    <w:rsid w:val="6C4D0789"/>
    <w:rsid w:val="6C4F024C"/>
    <w:rsid w:val="6C560D53"/>
    <w:rsid w:val="6C5A760B"/>
    <w:rsid w:val="6C600868"/>
    <w:rsid w:val="6C631733"/>
    <w:rsid w:val="6C755A37"/>
    <w:rsid w:val="6C7C0A8B"/>
    <w:rsid w:val="6C843ACA"/>
    <w:rsid w:val="6C863145"/>
    <w:rsid w:val="6C8B0487"/>
    <w:rsid w:val="6CA04ECD"/>
    <w:rsid w:val="6CA05254"/>
    <w:rsid w:val="6CA85866"/>
    <w:rsid w:val="6CB7379F"/>
    <w:rsid w:val="6CB73BBF"/>
    <w:rsid w:val="6CCB0AA9"/>
    <w:rsid w:val="6CCB7232"/>
    <w:rsid w:val="6CD52274"/>
    <w:rsid w:val="6CDC3D71"/>
    <w:rsid w:val="6CE56BC6"/>
    <w:rsid w:val="6CE81FA7"/>
    <w:rsid w:val="6CEA21C3"/>
    <w:rsid w:val="6CF25111"/>
    <w:rsid w:val="6CFE17CB"/>
    <w:rsid w:val="6D0D1D19"/>
    <w:rsid w:val="6D121DE6"/>
    <w:rsid w:val="6D2033A3"/>
    <w:rsid w:val="6D21403F"/>
    <w:rsid w:val="6D254FA9"/>
    <w:rsid w:val="6D320290"/>
    <w:rsid w:val="6D340592"/>
    <w:rsid w:val="6D341690"/>
    <w:rsid w:val="6D3A4588"/>
    <w:rsid w:val="6D3E053C"/>
    <w:rsid w:val="6D47510A"/>
    <w:rsid w:val="6D496F42"/>
    <w:rsid w:val="6D4A501C"/>
    <w:rsid w:val="6D512055"/>
    <w:rsid w:val="6D561607"/>
    <w:rsid w:val="6D581348"/>
    <w:rsid w:val="6D5D5662"/>
    <w:rsid w:val="6D611B0B"/>
    <w:rsid w:val="6D660AA9"/>
    <w:rsid w:val="6D715EFC"/>
    <w:rsid w:val="6D724DCB"/>
    <w:rsid w:val="6D754F1D"/>
    <w:rsid w:val="6D7D608D"/>
    <w:rsid w:val="6D8065CA"/>
    <w:rsid w:val="6D897633"/>
    <w:rsid w:val="6D8A0B0A"/>
    <w:rsid w:val="6D8B379F"/>
    <w:rsid w:val="6D8D5D34"/>
    <w:rsid w:val="6D910891"/>
    <w:rsid w:val="6DA7173A"/>
    <w:rsid w:val="6DAB0CDA"/>
    <w:rsid w:val="6DB247E8"/>
    <w:rsid w:val="6DB620A5"/>
    <w:rsid w:val="6DBA298F"/>
    <w:rsid w:val="6DBE22CB"/>
    <w:rsid w:val="6DBE5BA1"/>
    <w:rsid w:val="6DC1423F"/>
    <w:rsid w:val="6DD53A07"/>
    <w:rsid w:val="6DEC3CBB"/>
    <w:rsid w:val="6DEF57DB"/>
    <w:rsid w:val="6DFD06A7"/>
    <w:rsid w:val="6E001383"/>
    <w:rsid w:val="6E0536F8"/>
    <w:rsid w:val="6E220E37"/>
    <w:rsid w:val="6E244BDE"/>
    <w:rsid w:val="6E2711F5"/>
    <w:rsid w:val="6E62222D"/>
    <w:rsid w:val="6E68398A"/>
    <w:rsid w:val="6E761386"/>
    <w:rsid w:val="6E875C43"/>
    <w:rsid w:val="6E934195"/>
    <w:rsid w:val="6EA011BB"/>
    <w:rsid w:val="6EAB3BD4"/>
    <w:rsid w:val="6EAC1B66"/>
    <w:rsid w:val="6EB15540"/>
    <w:rsid w:val="6EB56801"/>
    <w:rsid w:val="6EB90C51"/>
    <w:rsid w:val="6EB9149D"/>
    <w:rsid w:val="6EBC5E0E"/>
    <w:rsid w:val="6EC16F38"/>
    <w:rsid w:val="6EC801F1"/>
    <w:rsid w:val="6ED27D70"/>
    <w:rsid w:val="6ED91F54"/>
    <w:rsid w:val="6EEE315E"/>
    <w:rsid w:val="6EEF1902"/>
    <w:rsid w:val="6EF6481D"/>
    <w:rsid w:val="6F165FCD"/>
    <w:rsid w:val="6F1E67E1"/>
    <w:rsid w:val="6F1E7237"/>
    <w:rsid w:val="6F20155B"/>
    <w:rsid w:val="6F201F41"/>
    <w:rsid w:val="6F2358F6"/>
    <w:rsid w:val="6F2456EA"/>
    <w:rsid w:val="6F2C0B2F"/>
    <w:rsid w:val="6F335027"/>
    <w:rsid w:val="6F3A55AB"/>
    <w:rsid w:val="6F4612DC"/>
    <w:rsid w:val="6F484F7F"/>
    <w:rsid w:val="6F4D6A39"/>
    <w:rsid w:val="6F5A2F04"/>
    <w:rsid w:val="6F5C0734"/>
    <w:rsid w:val="6F5E0C47"/>
    <w:rsid w:val="6F6832DC"/>
    <w:rsid w:val="6F6A4D73"/>
    <w:rsid w:val="6F730127"/>
    <w:rsid w:val="6F740551"/>
    <w:rsid w:val="6F742218"/>
    <w:rsid w:val="6F7D57B0"/>
    <w:rsid w:val="6F8A28CD"/>
    <w:rsid w:val="6F8B04B6"/>
    <w:rsid w:val="6F8B0906"/>
    <w:rsid w:val="6F8C7C34"/>
    <w:rsid w:val="6F901273"/>
    <w:rsid w:val="6F96237A"/>
    <w:rsid w:val="6FA20283"/>
    <w:rsid w:val="6FAA386F"/>
    <w:rsid w:val="6FAC6AAE"/>
    <w:rsid w:val="6FAC7C04"/>
    <w:rsid w:val="6FB51D2E"/>
    <w:rsid w:val="6FB91610"/>
    <w:rsid w:val="6FBD10EF"/>
    <w:rsid w:val="6FC024F9"/>
    <w:rsid w:val="6FC4651B"/>
    <w:rsid w:val="6FC7059A"/>
    <w:rsid w:val="6FCC54C9"/>
    <w:rsid w:val="6FD43FAC"/>
    <w:rsid w:val="6FF0135B"/>
    <w:rsid w:val="6FF15617"/>
    <w:rsid w:val="6FF650E3"/>
    <w:rsid w:val="70062DA7"/>
    <w:rsid w:val="700E441B"/>
    <w:rsid w:val="70112827"/>
    <w:rsid w:val="70167888"/>
    <w:rsid w:val="702A436B"/>
    <w:rsid w:val="702E06E7"/>
    <w:rsid w:val="70305D85"/>
    <w:rsid w:val="703142D0"/>
    <w:rsid w:val="7043282C"/>
    <w:rsid w:val="70486082"/>
    <w:rsid w:val="704A2F79"/>
    <w:rsid w:val="70503A18"/>
    <w:rsid w:val="705D2CAC"/>
    <w:rsid w:val="705E3C35"/>
    <w:rsid w:val="70603F1E"/>
    <w:rsid w:val="706630B7"/>
    <w:rsid w:val="706D44FD"/>
    <w:rsid w:val="706F34A0"/>
    <w:rsid w:val="70701351"/>
    <w:rsid w:val="70721DCD"/>
    <w:rsid w:val="70763D6E"/>
    <w:rsid w:val="70785D38"/>
    <w:rsid w:val="707B32CB"/>
    <w:rsid w:val="707B4A25"/>
    <w:rsid w:val="707E4822"/>
    <w:rsid w:val="7083156E"/>
    <w:rsid w:val="708351E6"/>
    <w:rsid w:val="70867D86"/>
    <w:rsid w:val="709A53B9"/>
    <w:rsid w:val="70A1528F"/>
    <w:rsid w:val="70A25549"/>
    <w:rsid w:val="70A36453"/>
    <w:rsid w:val="70A750BB"/>
    <w:rsid w:val="70B11585"/>
    <w:rsid w:val="70B328CC"/>
    <w:rsid w:val="70B36B1B"/>
    <w:rsid w:val="70BC0326"/>
    <w:rsid w:val="70C25BEF"/>
    <w:rsid w:val="70C26FB3"/>
    <w:rsid w:val="70C3313A"/>
    <w:rsid w:val="70C37A02"/>
    <w:rsid w:val="70C55982"/>
    <w:rsid w:val="70C75E2E"/>
    <w:rsid w:val="70C8670C"/>
    <w:rsid w:val="70CB7386"/>
    <w:rsid w:val="70CD1FC8"/>
    <w:rsid w:val="70CF5A19"/>
    <w:rsid w:val="70D2015A"/>
    <w:rsid w:val="70D80585"/>
    <w:rsid w:val="70E0656B"/>
    <w:rsid w:val="70E91AA9"/>
    <w:rsid w:val="70F2224B"/>
    <w:rsid w:val="70FC4273"/>
    <w:rsid w:val="70FE001C"/>
    <w:rsid w:val="71006DDB"/>
    <w:rsid w:val="710815C2"/>
    <w:rsid w:val="71131694"/>
    <w:rsid w:val="711F7F62"/>
    <w:rsid w:val="71202538"/>
    <w:rsid w:val="71207CC5"/>
    <w:rsid w:val="712957B9"/>
    <w:rsid w:val="7134128E"/>
    <w:rsid w:val="71377307"/>
    <w:rsid w:val="71381023"/>
    <w:rsid w:val="71387EA2"/>
    <w:rsid w:val="713C664E"/>
    <w:rsid w:val="713F4C68"/>
    <w:rsid w:val="71453E6C"/>
    <w:rsid w:val="71557E27"/>
    <w:rsid w:val="715655B8"/>
    <w:rsid w:val="715E3FB6"/>
    <w:rsid w:val="71621E68"/>
    <w:rsid w:val="716A5126"/>
    <w:rsid w:val="716F2C97"/>
    <w:rsid w:val="717B0F9F"/>
    <w:rsid w:val="717B788E"/>
    <w:rsid w:val="7187023A"/>
    <w:rsid w:val="718872B2"/>
    <w:rsid w:val="718D0DE9"/>
    <w:rsid w:val="718E1AB1"/>
    <w:rsid w:val="719118B6"/>
    <w:rsid w:val="71941EE5"/>
    <w:rsid w:val="7194416C"/>
    <w:rsid w:val="719646C8"/>
    <w:rsid w:val="71AC7BAD"/>
    <w:rsid w:val="71AE1A22"/>
    <w:rsid w:val="71B425C5"/>
    <w:rsid w:val="71B72890"/>
    <w:rsid w:val="71BB2380"/>
    <w:rsid w:val="71BC1C54"/>
    <w:rsid w:val="71CC45F3"/>
    <w:rsid w:val="71D40D76"/>
    <w:rsid w:val="71D468C8"/>
    <w:rsid w:val="71DD22F7"/>
    <w:rsid w:val="71DD3C18"/>
    <w:rsid w:val="71DF766A"/>
    <w:rsid w:val="71E01BAE"/>
    <w:rsid w:val="71E57528"/>
    <w:rsid w:val="71E90505"/>
    <w:rsid w:val="71EE109B"/>
    <w:rsid w:val="71F17B50"/>
    <w:rsid w:val="71F66F14"/>
    <w:rsid w:val="720070B6"/>
    <w:rsid w:val="720749FE"/>
    <w:rsid w:val="72104AF7"/>
    <w:rsid w:val="72235079"/>
    <w:rsid w:val="72284E83"/>
    <w:rsid w:val="723870F8"/>
    <w:rsid w:val="7250061A"/>
    <w:rsid w:val="725062EC"/>
    <w:rsid w:val="72534367"/>
    <w:rsid w:val="725A659B"/>
    <w:rsid w:val="72605047"/>
    <w:rsid w:val="72633667"/>
    <w:rsid w:val="72636885"/>
    <w:rsid w:val="72653634"/>
    <w:rsid w:val="72660449"/>
    <w:rsid w:val="726C71D7"/>
    <w:rsid w:val="72734A35"/>
    <w:rsid w:val="72745A26"/>
    <w:rsid w:val="72804B59"/>
    <w:rsid w:val="729A1F96"/>
    <w:rsid w:val="72B9052A"/>
    <w:rsid w:val="72BC63B0"/>
    <w:rsid w:val="72C06E9A"/>
    <w:rsid w:val="72C47626"/>
    <w:rsid w:val="72C708B1"/>
    <w:rsid w:val="72C855E7"/>
    <w:rsid w:val="72D66D46"/>
    <w:rsid w:val="72E61CE5"/>
    <w:rsid w:val="72E655E7"/>
    <w:rsid w:val="72E871A5"/>
    <w:rsid w:val="72F90555"/>
    <w:rsid w:val="72FE543E"/>
    <w:rsid w:val="73035EDE"/>
    <w:rsid w:val="730833A3"/>
    <w:rsid w:val="730E7079"/>
    <w:rsid w:val="73104006"/>
    <w:rsid w:val="73137904"/>
    <w:rsid w:val="731736A1"/>
    <w:rsid w:val="73267CCD"/>
    <w:rsid w:val="732A002F"/>
    <w:rsid w:val="732B1009"/>
    <w:rsid w:val="73337CF4"/>
    <w:rsid w:val="7337660E"/>
    <w:rsid w:val="733F48EB"/>
    <w:rsid w:val="73412411"/>
    <w:rsid w:val="734A2CD9"/>
    <w:rsid w:val="734C38A2"/>
    <w:rsid w:val="734F4A2C"/>
    <w:rsid w:val="735C4069"/>
    <w:rsid w:val="73670538"/>
    <w:rsid w:val="73685C1A"/>
    <w:rsid w:val="736C0ED5"/>
    <w:rsid w:val="736C2290"/>
    <w:rsid w:val="737179D7"/>
    <w:rsid w:val="737500EB"/>
    <w:rsid w:val="73781BAB"/>
    <w:rsid w:val="7379604F"/>
    <w:rsid w:val="738A6545"/>
    <w:rsid w:val="738C6A11"/>
    <w:rsid w:val="739474A5"/>
    <w:rsid w:val="73A527C0"/>
    <w:rsid w:val="73AC2B26"/>
    <w:rsid w:val="73B44E16"/>
    <w:rsid w:val="73B52DCE"/>
    <w:rsid w:val="73BC6C29"/>
    <w:rsid w:val="73BD5419"/>
    <w:rsid w:val="73C67A86"/>
    <w:rsid w:val="73CA68AB"/>
    <w:rsid w:val="73CE23B2"/>
    <w:rsid w:val="73D31DF0"/>
    <w:rsid w:val="73D43F06"/>
    <w:rsid w:val="73D6245E"/>
    <w:rsid w:val="73D7024E"/>
    <w:rsid w:val="73DA65E5"/>
    <w:rsid w:val="73DC7B3F"/>
    <w:rsid w:val="73E13945"/>
    <w:rsid w:val="73E311C7"/>
    <w:rsid w:val="73F05985"/>
    <w:rsid w:val="73F57813"/>
    <w:rsid w:val="73F676A0"/>
    <w:rsid w:val="73FE47A6"/>
    <w:rsid w:val="73FF3DE3"/>
    <w:rsid w:val="74085625"/>
    <w:rsid w:val="740A4C59"/>
    <w:rsid w:val="74200FA2"/>
    <w:rsid w:val="742649FF"/>
    <w:rsid w:val="742B37A4"/>
    <w:rsid w:val="742F4162"/>
    <w:rsid w:val="74357509"/>
    <w:rsid w:val="74386626"/>
    <w:rsid w:val="7441687E"/>
    <w:rsid w:val="744676B7"/>
    <w:rsid w:val="7447407D"/>
    <w:rsid w:val="74491D19"/>
    <w:rsid w:val="744E128A"/>
    <w:rsid w:val="74502A9F"/>
    <w:rsid w:val="7453318B"/>
    <w:rsid w:val="74602D6B"/>
    <w:rsid w:val="746C4EAD"/>
    <w:rsid w:val="747D56CB"/>
    <w:rsid w:val="749300AD"/>
    <w:rsid w:val="749F1AE5"/>
    <w:rsid w:val="74AF4E29"/>
    <w:rsid w:val="74B84955"/>
    <w:rsid w:val="74CC6090"/>
    <w:rsid w:val="74D0225A"/>
    <w:rsid w:val="74D23952"/>
    <w:rsid w:val="74D70747"/>
    <w:rsid w:val="74D80B8C"/>
    <w:rsid w:val="74E4399C"/>
    <w:rsid w:val="74F24681"/>
    <w:rsid w:val="74F44D9E"/>
    <w:rsid w:val="74F72186"/>
    <w:rsid w:val="74FF08CE"/>
    <w:rsid w:val="74FF66FE"/>
    <w:rsid w:val="75046045"/>
    <w:rsid w:val="7510561C"/>
    <w:rsid w:val="751145EE"/>
    <w:rsid w:val="751F5DF8"/>
    <w:rsid w:val="7525450A"/>
    <w:rsid w:val="75274A6C"/>
    <w:rsid w:val="752D22A2"/>
    <w:rsid w:val="752D6D0A"/>
    <w:rsid w:val="75305D0D"/>
    <w:rsid w:val="75357D54"/>
    <w:rsid w:val="753967E2"/>
    <w:rsid w:val="753A6160"/>
    <w:rsid w:val="753D3B78"/>
    <w:rsid w:val="754577C9"/>
    <w:rsid w:val="755216DD"/>
    <w:rsid w:val="7559532B"/>
    <w:rsid w:val="75610752"/>
    <w:rsid w:val="75634DA1"/>
    <w:rsid w:val="75644ADD"/>
    <w:rsid w:val="756D1BE3"/>
    <w:rsid w:val="757C1F21"/>
    <w:rsid w:val="759F16EE"/>
    <w:rsid w:val="75A07DF4"/>
    <w:rsid w:val="75A65926"/>
    <w:rsid w:val="75A774F5"/>
    <w:rsid w:val="75B60315"/>
    <w:rsid w:val="75B94DC9"/>
    <w:rsid w:val="75BC66C7"/>
    <w:rsid w:val="75C16BA8"/>
    <w:rsid w:val="75C74F0C"/>
    <w:rsid w:val="75C86E1A"/>
    <w:rsid w:val="75D505D7"/>
    <w:rsid w:val="75DB74DD"/>
    <w:rsid w:val="75E023B5"/>
    <w:rsid w:val="75E1612D"/>
    <w:rsid w:val="75F64425"/>
    <w:rsid w:val="75FC4537"/>
    <w:rsid w:val="76051E1C"/>
    <w:rsid w:val="76067942"/>
    <w:rsid w:val="760E0D12"/>
    <w:rsid w:val="76137CBE"/>
    <w:rsid w:val="76171B4F"/>
    <w:rsid w:val="76190EB6"/>
    <w:rsid w:val="76215150"/>
    <w:rsid w:val="76294B21"/>
    <w:rsid w:val="76320737"/>
    <w:rsid w:val="76326989"/>
    <w:rsid w:val="76342701"/>
    <w:rsid w:val="763B21BE"/>
    <w:rsid w:val="764A4A67"/>
    <w:rsid w:val="7659231A"/>
    <w:rsid w:val="76633CB5"/>
    <w:rsid w:val="76664D00"/>
    <w:rsid w:val="766A0A75"/>
    <w:rsid w:val="768D7FCF"/>
    <w:rsid w:val="769E4855"/>
    <w:rsid w:val="76A1318D"/>
    <w:rsid w:val="76A3442B"/>
    <w:rsid w:val="76A47A19"/>
    <w:rsid w:val="76AF3B36"/>
    <w:rsid w:val="76AF6BA5"/>
    <w:rsid w:val="76BB697E"/>
    <w:rsid w:val="76BC22A7"/>
    <w:rsid w:val="76C84CE5"/>
    <w:rsid w:val="76CF3637"/>
    <w:rsid w:val="76E41C00"/>
    <w:rsid w:val="76ED16F0"/>
    <w:rsid w:val="76EE65C1"/>
    <w:rsid w:val="76F10BBE"/>
    <w:rsid w:val="7702635B"/>
    <w:rsid w:val="770B02D0"/>
    <w:rsid w:val="770D7281"/>
    <w:rsid w:val="770E4252"/>
    <w:rsid w:val="770F3343"/>
    <w:rsid w:val="77140C89"/>
    <w:rsid w:val="77195AB0"/>
    <w:rsid w:val="771E302F"/>
    <w:rsid w:val="771F173A"/>
    <w:rsid w:val="77242776"/>
    <w:rsid w:val="7724725D"/>
    <w:rsid w:val="77251D37"/>
    <w:rsid w:val="77292598"/>
    <w:rsid w:val="7729470F"/>
    <w:rsid w:val="77297A64"/>
    <w:rsid w:val="77327516"/>
    <w:rsid w:val="773A35CB"/>
    <w:rsid w:val="773D55E5"/>
    <w:rsid w:val="773E43EE"/>
    <w:rsid w:val="773F5E42"/>
    <w:rsid w:val="77420DCB"/>
    <w:rsid w:val="77480864"/>
    <w:rsid w:val="77482941"/>
    <w:rsid w:val="77494179"/>
    <w:rsid w:val="774F3A41"/>
    <w:rsid w:val="775478D1"/>
    <w:rsid w:val="775F555C"/>
    <w:rsid w:val="776079E3"/>
    <w:rsid w:val="77640DC4"/>
    <w:rsid w:val="776803F0"/>
    <w:rsid w:val="776849C2"/>
    <w:rsid w:val="776B6BD0"/>
    <w:rsid w:val="77702CAA"/>
    <w:rsid w:val="777B74F6"/>
    <w:rsid w:val="77952D54"/>
    <w:rsid w:val="77980A6E"/>
    <w:rsid w:val="77C211BB"/>
    <w:rsid w:val="77C421B9"/>
    <w:rsid w:val="77C94806"/>
    <w:rsid w:val="77CA3D76"/>
    <w:rsid w:val="77E54043"/>
    <w:rsid w:val="77E92539"/>
    <w:rsid w:val="77F008AA"/>
    <w:rsid w:val="77FB5589"/>
    <w:rsid w:val="77FE2EC2"/>
    <w:rsid w:val="77FE4E32"/>
    <w:rsid w:val="77FF289B"/>
    <w:rsid w:val="77FF6E33"/>
    <w:rsid w:val="780575F3"/>
    <w:rsid w:val="780C77AC"/>
    <w:rsid w:val="78305A5A"/>
    <w:rsid w:val="783442E3"/>
    <w:rsid w:val="78352119"/>
    <w:rsid w:val="783C50C7"/>
    <w:rsid w:val="7840538D"/>
    <w:rsid w:val="78466A03"/>
    <w:rsid w:val="78664A44"/>
    <w:rsid w:val="78675E8C"/>
    <w:rsid w:val="786D7846"/>
    <w:rsid w:val="786F39DD"/>
    <w:rsid w:val="78713799"/>
    <w:rsid w:val="78722E3D"/>
    <w:rsid w:val="789418E6"/>
    <w:rsid w:val="789631FF"/>
    <w:rsid w:val="78AD4010"/>
    <w:rsid w:val="78B9117A"/>
    <w:rsid w:val="78BC36B5"/>
    <w:rsid w:val="78C32445"/>
    <w:rsid w:val="78C53AE4"/>
    <w:rsid w:val="78C636DB"/>
    <w:rsid w:val="78C91625"/>
    <w:rsid w:val="78C93680"/>
    <w:rsid w:val="78CF32A7"/>
    <w:rsid w:val="78E3483C"/>
    <w:rsid w:val="78E85A4D"/>
    <w:rsid w:val="78F40238"/>
    <w:rsid w:val="78F4519D"/>
    <w:rsid w:val="78F87B7D"/>
    <w:rsid w:val="79094107"/>
    <w:rsid w:val="79133907"/>
    <w:rsid w:val="79224A93"/>
    <w:rsid w:val="792F30BE"/>
    <w:rsid w:val="79303A6C"/>
    <w:rsid w:val="79371DDB"/>
    <w:rsid w:val="7939313A"/>
    <w:rsid w:val="793F25B3"/>
    <w:rsid w:val="794C0F29"/>
    <w:rsid w:val="794E1584"/>
    <w:rsid w:val="79577795"/>
    <w:rsid w:val="795C61F7"/>
    <w:rsid w:val="795F1843"/>
    <w:rsid w:val="795F7A7E"/>
    <w:rsid w:val="796A1907"/>
    <w:rsid w:val="797D2716"/>
    <w:rsid w:val="797E2B1F"/>
    <w:rsid w:val="79853704"/>
    <w:rsid w:val="79853A17"/>
    <w:rsid w:val="798568C7"/>
    <w:rsid w:val="798E231C"/>
    <w:rsid w:val="799A7BDC"/>
    <w:rsid w:val="79A31390"/>
    <w:rsid w:val="79A91408"/>
    <w:rsid w:val="79AC0B1F"/>
    <w:rsid w:val="79BA2F1D"/>
    <w:rsid w:val="79CE3DED"/>
    <w:rsid w:val="79CE69C9"/>
    <w:rsid w:val="79CE7FD0"/>
    <w:rsid w:val="79DF4732"/>
    <w:rsid w:val="79E05CC6"/>
    <w:rsid w:val="79E306C6"/>
    <w:rsid w:val="79FF2AC1"/>
    <w:rsid w:val="7A004B2F"/>
    <w:rsid w:val="7A012555"/>
    <w:rsid w:val="7A08012D"/>
    <w:rsid w:val="7A0830BD"/>
    <w:rsid w:val="7A0A293F"/>
    <w:rsid w:val="7A0E0DDA"/>
    <w:rsid w:val="7A114163"/>
    <w:rsid w:val="7A120C5F"/>
    <w:rsid w:val="7A185E5A"/>
    <w:rsid w:val="7A252A8D"/>
    <w:rsid w:val="7A293999"/>
    <w:rsid w:val="7A2A00A3"/>
    <w:rsid w:val="7A356171"/>
    <w:rsid w:val="7A3C1B84"/>
    <w:rsid w:val="7A472812"/>
    <w:rsid w:val="7A4F7B0A"/>
    <w:rsid w:val="7A5137BE"/>
    <w:rsid w:val="7A623371"/>
    <w:rsid w:val="7A675C4A"/>
    <w:rsid w:val="7A70182E"/>
    <w:rsid w:val="7A7725C1"/>
    <w:rsid w:val="7A787B7F"/>
    <w:rsid w:val="7A7C7B9E"/>
    <w:rsid w:val="7A7E03EF"/>
    <w:rsid w:val="7A7E0F80"/>
    <w:rsid w:val="7A972354"/>
    <w:rsid w:val="7A9B77D0"/>
    <w:rsid w:val="7A9E3B1A"/>
    <w:rsid w:val="7AA80CFB"/>
    <w:rsid w:val="7AB67DDF"/>
    <w:rsid w:val="7AB737CA"/>
    <w:rsid w:val="7ABC322B"/>
    <w:rsid w:val="7ABC7734"/>
    <w:rsid w:val="7ABF5404"/>
    <w:rsid w:val="7AC71039"/>
    <w:rsid w:val="7AD11AA3"/>
    <w:rsid w:val="7AD34A2A"/>
    <w:rsid w:val="7AE0346C"/>
    <w:rsid w:val="7AE069B4"/>
    <w:rsid w:val="7AE06C8D"/>
    <w:rsid w:val="7AE47430"/>
    <w:rsid w:val="7AEC63E4"/>
    <w:rsid w:val="7AEE7323"/>
    <w:rsid w:val="7AF86259"/>
    <w:rsid w:val="7B03250B"/>
    <w:rsid w:val="7B0F4FB9"/>
    <w:rsid w:val="7B141771"/>
    <w:rsid w:val="7B143525"/>
    <w:rsid w:val="7B1623D5"/>
    <w:rsid w:val="7B1E34F6"/>
    <w:rsid w:val="7B24337E"/>
    <w:rsid w:val="7B2F3C05"/>
    <w:rsid w:val="7B304708"/>
    <w:rsid w:val="7B305D4C"/>
    <w:rsid w:val="7B354258"/>
    <w:rsid w:val="7B3A6C79"/>
    <w:rsid w:val="7B4B6523"/>
    <w:rsid w:val="7B4D00D7"/>
    <w:rsid w:val="7B592FF2"/>
    <w:rsid w:val="7B5978F9"/>
    <w:rsid w:val="7B5B3E2F"/>
    <w:rsid w:val="7B5F3D7C"/>
    <w:rsid w:val="7B5F4438"/>
    <w:rsid w:val="7B6C5E8D"/>
    <w:rsid w:val="7B7B492E"/>
    <w:rsid w:val="7B7F7F7B"/>
    <w:rsid w:val="7B81138D"/>
    <w:rsid w:val="7B8428C9"/>
    <w:rsid w:val="7B8729C7"/>
    <w:rsid w:val="7B881CB7"/>
    <w:rsid w:val="7B8952B9"/>
    <w:rsid w:val="7B8A359E"/>
    <w:rsid w:val="7B917CAE"/>
    <w:rsid w:val="7B9D361E"/>
    <w:rsid w:val="7B9D6653"/>
    <w:rsid w:val="7BAB0CD8"/>
    <w:rsid w:val="7BAE77B9"/>
    <w:rsid w:val="7BC167E5"/>
    <w:rsid w:val="7BC65BDF"/>
    <w:rsid w:val="7BCE35CE"/>
    <w:rsid w:val="7BD57617"/>
    <w:rsid w:val="7BD74E83"/>
    <w:rsid w:val="7BDC53CD"/>
    <w:rsid w:val="7BDD1145"/>
    <w:rsid w:val="7BDE0856"/>
    <w:rsid w:val="7BDE7810"/>
    <w:rsid w:val="7BE02965"/>
    <w:rsid w:val="7BE349AD"/>
    <w:rsid w:val="7BE40BE0"/>
    <w:rsid w:val="7BE67FFA"/>
    <w:rsid w:val="7BF94961"/>
    <w:rsid w:val="7C215CD2"/>
    <w:rsid w:val="7C2775FE"/>
    <w:rsid w:val="7C2823C0"/>
    <w:rsid w:val="7C2848FE"/>
    <w:rsid w:val="7C2A2EF9"/>
    <w:rsid w:val="7C350F81"/>
    <w:rsid w:val="7C3926A5"/>
    <w:rsid w:val="7C3A09C2"/>
    <w:rsid w:val="7C4138FE"/>
    <w:rsid w:val="7C492337"/>
    <w:rsid w:val="7C4A5821"/>
    <w:rsid w:val="7C533295"/>
    <w:rsid w:val="7C5424EB"/>
    <w:rsid w:val="7C5735AF"/>
    <w:rsid w:val="7C5930E5"/>
    <w:rsid w:val="7C5C02BC"/>
    <w:rsid w:val="7C5C7C2E"/>
    <w:rsid w:val="7C6357F8"/>
    <w:rsid w:val="7C6453C2"/>
    <w:rsid w:val="7C701135"/>
    <w:rsid w:val="7C7750F6"/>
    <w:rsid w:val="7C7B352C"/>
    <w:rsid w:val="7C801AC1"/>
    <w:rsid w:val="7C8264DF"/>
    <w:rsid w:val="7C8415C1"/>
    <w:rsid w:val="7C8539EA"/>
    <w:rsid w:val="7C991377"/>
    <w:rsid w:val="7C9A3EE6"/>
    <w:rsid w:val="7C9D1A6C"/>
    <w:rsid w:val="7C9F4B1B"/>
    <w:rsid w:val="7CA339E6"/>
    <w:rsid w:val="7CA53A11"/>
    <w:rsid w:val="7CA57EB5"/>
    <w:rsid w:val="7CAA6310"/>
    <w:rsid w:val="7CAC3C1C"/>
    <w:rsid w:val="7CB71996"/>
    <w:rsid w:val="7CBE4545"/>
    <w:rsid w:val="7CC1780F"/>
    <w:rsid w:val="7CC8341A"/>
    <w:rsid w:val="7CEC5E10"/>
    <w:rsid w:val="7CED0300"/>
    <w:rsid w:val="7CF0781C"/>
    <w:rsid w:val="7CF12B2E"/>
    <w:rsid w:val="7CF912E2"/>
    <w:rsid w:val="7D02202B"/>
    <w:rsid w:val="7D0A5735"/>
    <w:rsid w:val="7D163280"/>
    <w:rsid w:val="7D1E37C3"/>
    <w:rsid w:val="7D2342A2"/>
    <w:rsid w:val="7D263721"/>
    <w:rsid w:val="7D2D37F6"/>
    <w:rsid w:val="7D31284F"/>
    <w:rsid w:val="7D341239"/>
    <w:rsid w:val="7D433735"/>
    <w:rsid w:val="7D483EB1"/>
    <w:rsid w:val="7D4A280A"/>
    <w:rsid w:val="7D53331B"/>
    <w:rsid w:val="7D576453"/>
    <w:rsid w:val="7D59477F"/>
    <w:rsid w:val="7D5B761B"/>
    <w:rsid w:val="7D5D5338"/>
    <w:rsid w:val="7D6417FB"/>
    <w:rsid w:val="7D6E1389"/>
    <w:rsid w:val="7D7D04EA"/>
    <w:rsid w:val="7D8C56D1"/>
    <w:rsid w:val="7D8E7BA3"/>
    <w:rsid w:val="7D9931BF"/>
    <w:rsid w:val="7DA3365D"/>
    <w:rsid w:val="7DA62C80"/>
    <w:rsid w:val="7DA912DF"/>
    <w:rsid w:val="7DAD7AD3"/>
    <w:rsid w:val="7DAE6CFF"/>
    <w:rsid w:val="7DBC3267"/>
    <w:rsid w:val="7DBE4BDF"/>
    <w:rsid w:val="7DCC6EF5"/>
    <w:rsid w:val="7DCF05C7"/>
    <w:rsid w:val="7DD13B4D"/>
    <w:rsid w:val="7DE767C6"/>
    <w:rsid w:val="7DF6029C"/>
    <w:rsid w:val="7DFC389A"/>
    <w:rsid w:val="7E0231AE"/>
    <w:rsid w:val="7E047359"/>
    <w:rsid w:val="7E0F5EDE"/>
    <w:rsid w:val="7E1D6EC7"/>
    <w:rsid w:val="7E2E107A"/>
    <w:rsid w:val="7E2E24E2"/>
    <w:rsid w:val="7E303E5A"/>
    <w:rsid w:val="7E390327"/>
    <w:rsid w:val="7E3E7348"/>
    <w:rsid w:val="7E495178"/>
    <w:rsid w:val="7E527BC8"/>
    <w:rsid w:val="7E581484"/>
    <w:rsid w:val="7E5E534D"/>
    <w:rsid w:val="7E5F22E5"/>
    <w:rsid w:val="7E617E0B"/>
    <w:rsid w:val="7E6B0DF0"/>
    <w:rsid w:val="7E767114"/>
    <w:rsid w:val="7E77155B"/>
    <w:rsid w:val="7E797E7B"/>
    <w:rsid w:val="7E7A0287"/>
    <w:rsid w:val="7E7E0A80"/>
    <w:rsid w:val="7E8772AC"/>
    <w:rsid w:val="7E8D6E52"/>
    <w:rsid w:val="7E8F4979"/>
    <w:rsid w:val="7E977CD1"/>
    <w:rsid w:val="7EA261DD"/>
    <w:rsid w:val="7EA903F9"/>
    <w:rsid w:val="7EAB096B"/>
    <w:rsid w:val="7EB31A46"/>
    <w:rsid w:val="7EBA5128"/>
    <w:rsid w:val="7EBC28C5"/>
    <w:rsid w:val="7EC41EA5"/>
    <w:rsid w:val="7ECC2743"/>
    <w:rsid w:val="7ED700CE"/>
    <w:rsid w:val="7ED71C45"/>
    <w:rsid w:val="7ED94418"/>
    <w:rsid w:val="7EDA2C70"/>
    <w:rsid w:val="7EDD4C00"/>
    <w:rsid w:val="7EF70D04"/>
    <w:rsid w:val="7EF94F6B"/>
    <w:rsid w:val="7EFF6290"/>
    <w:rsid w:val="7F074CF1"/>
    <w:rsid w:val="7F076C05"/>
    <w:rsid w:val="7F0C1F27"/>
    <w:rsid w:val="7F0C60CF"/>
    <w:rsid w:val="7F164CFC"/>
    <w:rsid w:val="7F242AE9"/>
    <w:rsid w:val="7F284050"/>
    <w:rsid w:val="7F2D4234"/>
    <w:rsid w:val="7F371ADF"/>
    <w:rsid w:val="7F390D88"/>
    <w:rsid w:val="7F4657F5"/>
    <w:rsid w:val="7F4C4648"/>
    <w:rsid w:val="7F5434CC"/>
    <w:rsid w:val="7F6F306D"/>
    <w:rsid w:val="7F8042C1"/>
    <w:rsid w:val="7F8513AE"/>
    <w:rsid w:val="7F9213C1"/>
    <w:rsid w:val="7F9D6F5B"/>
    <w:rsid w:val="7F9F423D"/>
    <w:rsid w:val="7FA70A26"/>
    <w:rsid w:val="7FAC50B6"/>
    <w:rsid w:val="7FB17544"/>
    <w:rsid w:val="7FC42ED4"/>
    <w:rsid w:val="7FCA378E"/>
    <w:rsid w:val="7FCB7C32"/>
    <w:rsid w:val="7FD05249"/>
    <w:rsid w:val="7FD0592B"/>
    <w:rsid w:val="7FD241E7"/>
    <w:rsid w:val="7FD56F18"/>
    <w:rsid w:val="7FD64829"/>
    <w:rsid w:val="7FD9470E"/>
    <w:rsid w:val="7FE3268C"/>
    <w:rsid w:val="7FE44850"/>
    <w:rsid w:val="7FE51A01"/>
    <w:rsid w:val="7FE6596A"/>
    <w:rsid w:val="7FEC20D4"/>
    <w:rsid w:val="7FF54CAF"/>
    <w:rsid w:val="7FF76E7D"/>
    <w:rsid w:val="7FFC42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qFormat="1" w:uiPriority="99" w:semiHidden="0"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autoRedefine/>
    <w:qFormat/>
    <w:uiPriority w:val="0"/>
    <w:pPr>
      <w:keepNext/>
      <w:jc w:val="center"/>
      <w:outlineLvl w:val="0"/>
    </w:pPr>
    <w:rPr>
      <w:rFonts w:ascii="Times New Roman" w:hAnsi="Times New Roman" w:eastAsia="宋体"/>
      <w:b/>
      <w:bCs/>
      <w:sz w:val="32"/>
      <w:szCs w:val="20"/>
    </w:rPr>
  </w:style>
  <w:style w:type="paragraph" w:styleId="3">
    <w:name w:val="heading 2"/>
    <w:basedOn w:val="1"/>
    <w:next w:val="1"/>
    <w:link w:val="61"/>
    <w:autoRedefine/>
    <w:qFormat/>
    <w:uiPriority w:val="0"/>
    <w:pPr>
      <w:keepNext/>
      <w:keepLines/>
      <w:spacing w:line="360" w:lineRule="auto"/>
      <w:outlineLvl w:val="1"/>
    </w:pPr>
    <w:rPr>
      <w:rFonts w:ascii="Arial" w:hAnsi="Arial" w:eastAsia="宋体"/>
      <w:b/>
      <w:bCs/>
      <w:sz w:val="21"/>
      <w:szCs w:val="32"/>
    </w:rPr>
  </w:style>
  <w:style w:type="paragraph" w:styleId="4">
    <w:name w:val="heading 3"/>
    <w:basedOn w:val="1"/>
    <w:next w:val="1"/>
    <w:link w:val="68"/>
    <w:autoRedefine/>
    <w:qFormat/>
    <w:uiPriority w:val="0"/>
    <w:pPr>
      <w:keepNext/>
      <w:keepLines/>
      <w:spacing w:before="260" w:after="260" w:line="416" w:lineRule="auto"/>
      <w:jc w:val="center"/>
      <w:outlineLvl w:val="2"/>
    </w:pPr>
    <w:rPr>
      <w:rFonts w:ascii="Times New Roman" w:hAnsi="Times New Roman" w:eastAsia="宋体"/>
      <w:b/>
      <w:bCs/>
      <w:sz w:val="24"/>
      <w:szCs w:val="32"/>
    </w:rPr>
  </w:style>
  <w:style w:type="paragraph" w:styleId="5">
    <w:name w:val="heading 4"/>
    <w:basedOn w:val="1"/>
    <w:next w:val="1"/>
    <w:link w:val="69"/>
    <w:autoRedefine/>
    <w:qFormat/>
    <w:uiPriority w:val="0"/>
    <w:pPr>
      <w:keepNext/>
      <w:keepLines/>
      <w:spacing w:before="280" w:after="290" w:line="240" w:lineRule="auto"/>
      <w:jc w:val="left"/>
      <w:outlineLvl w:val="3"/>
    </w:pPr>
    <w:rPr>
      <w:rFonts w:ascii="Arial" w:hAnsi="Arial" w:eastAsia="宋体"/>
      <w:b/>
      <w:bCs/>
      <w:sz w:val="24"/>
      <w:szCs w:val="28"/>
    </w:rPr>
  </w:style>
  <w:style w:type="paragraph" w:styleId="6">
    <w:name w:val="heading 5"/>
    <w:basedOn w:val="1"/>
    <w:next w:val="1"/>
    <w:link w:val="70"/>
    <w:autoRedefine/>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1"/>
    <w:autoRedefine/>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2"/>
    <w:autoRedefine/>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3"/>
    <w:autoRedefine/>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4"/>
    <w:autoRedefine/>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6">
    <w:name w:val="Default Paragraph Font"/>
    <w:autoRedefine/>
    <w:semiHidden/>
    <w:unhideWhenUsed/>
    <w:qFormat/>
    <w:uiPriority w:val="1"/>
  </w:style>
  <w:style w:type="table" w:default="1" w:styleId="44">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ind w:left="2520" w:leftChars="1200"/>
    </w:pPr>
    <w:rPr>
      <w:rFonts w:asciiTheme="minorHAnsi" w:hAnsiTheme="minorHAnsi" w:eastAsiaTheme="minorEastAsia" w:cstheme="minorBidi"/>
      <w:szCs w:val="22"/>
    </w:rPr>
  </w:style>
  <w:style w:type="paragraph" w:styleId="12">
    <w:name w:val="Normal Indent"/>
    <w:basedOn w:val="1"/>
    <w:autoRedefine/>
    <w:qFormat/>
    <w:uiPriority w:val="0"/>
    <w:pPr>
      <w:widowControl/>
      <w:ind w:firstLine="420"/>
      <w:jc w:val="left"/>
    </w:pPr>
    <w:rPr>
      <w:kern w:val="0"/>
      <w:sz w:val="20"/>
      <w:szCs w:val="20"/>
    </w:rPr>
  </w:style>
  <w:style w:type="paragraph" w:styleId="13">
    <w:name w:val="Document Map"/>
    <w:basedOn w:val="1"/>
    <w:link w:val="98"/>
    <w:autoRedefine/>
    <w:semiHidden/>
    <w:qFormat/>
    <w:uiPriority w:val="0"/>
    <w:pPr>
      <w:shd w:val="clear" w:color="auto" w:fill="000080"/>
    </w:pPr>
  </w:style>
  <w:style w:type="paragraph" w:styleId="14">
    <w:name w:val="annotation text"/>
    <w:basedOn w:val="1"/>
    <w:link w:val="82"/>
    <w:autoRedefine/>
    <w:semiHidden/>
    <w:qFormat/>
    <w:uiPriority w:val="0"/>
    <w:pPr>
      <w:jc w:val="left"/>
    </w:pPr>
  </w:style>
  <w:style w:type="paragraph" w:styleId="15">
    <w:name w:val="Salutation"/>
    <w:basedOn w:val="1"/>
    <w:next w:val="1"/>
    <w:link w:val="87"/>
    <w:autoRedefine/>
    <w:qFormat/>
    <w:uiPriority w:val="0"/>
    <w:rPr>
      <w:rFonts w:ascii="仿宋_GB2312" w:eastAsia="仿宋_GB2312"/>
      <w:sz w:val="24"/>
    </w:rPr>
  </w:style>
  <w:style w:type="paragraph" w:styleId="16">
    <w:name w:val="Body Text"/>
    <w:basedOn w:val="1"/>
    <w:next w:val="17"/>
    <w:link w:val="76"/>
    <w:autoRedefine/>
    <w:qFormat/>
    <w:uiPriority w:val="0"/>
    <w:pPr>
      <w:spacing w:after="120"/>
    </w:pPr>
  </w:style>
  <w:style w:type="paragraph" w:customStyle="1" w:styleId="17">
    <w:name w:val="Default"/>
    <w:next w:val="18"/>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8">
    <w:name w:val="index 7"/>
    <w:basedOn w:val="1"/>
    <w:next w:val="1"/>
    <w:autoRedefine/>
    <w:unhideWhenUsed/>
    <w:qFormat/>
    <w:uiPriority w:val="99"/>
    <w:pPr>
      <w:ind w:left="2520"/>
    </w:pPr>
    <w:rPr>
      <w:rFonts w:ascii="Calibri" w:hAnsi="Calibri"/>
      <w:szCs w:val="22"/>
    </w:rPr>
  </w:style>
  <w:style w:type="paragraph" w:styleId="19">
    <w:name w:val="Body Text Indent"/>
    <w:basedOn w:val="1"/>
    <w:next w:val="20"/>
    <w:link w:val="79"/>
    <w:autoRedefine/>
    <w:qFormat/>
    <w:uiPriority w:val="0"/>
    <w:pPr>
      <w:spacing w:after="120"/>
      <w:ind w:left="420" w:leftChars="200"/>
    </w:pPr>
  </w:style>
  <w:style w:type="paragraph" w:styleId="20">
    <w:name w:val="Body Text Indent 2"/>
    <w:basedOn w:val="1"/>
    <w:link w:val="89"/>
    <w:autoRedefine/>
    <w:qFormat/>
    <w:uiPriority w:val="0"/>
    <w:pPr>
      <w:spacing w:after="120" w:line="480" w:lineRule="auto"/>
      <w:ind w:left="420" w:leftChars="200"/>
    </w:pPr>
  </w:style>
  <w:style w:type="paragraph" w:styleId="21">
    <w:name w:val="Block Text"/>
    <w:basedOn w:val="1"/>
    <w:autoRedefine/>
    <w:qFormat/>
    <w:uiPriority w:val="0"/>
    <w:pPr>
      <w:ind w:left="1171" w:right="91" w:hanging="1080"/>
    </w:pPr>
    <w:rPr>
      <w:rFonts w:eastAsia="楷体_GB2312"/>
      <w:szCs w:val="20"/>
    </w:rPr>
  </w:style>
  <w:style w:type="paragraph" w:styleId="22">
    <w:name w:val="toc 5"/>
    <w:basedOn w:val="1"/>
    <w:next w:val="1"/>
    <w:autoRedefine/>
    <w:unhideWhenUsed/>
    <w:qFormat/>
    <w:uiPriority w:val="39"/>
    <w:pPr>
      <w:ind w:left="1680" w:leftChars="800"/>
    </w:pPr>
    <w:rPr>
      <w:rFonts w:asciiTheme="minorHAnsi" w:hAnsiTheme="minorHAnsi" w:eastAsiaTheme="minorEastAsia" w:cstheme="minorBidi"/>
      <w:szCs w:val="22"/>
    </w:rPr>
  </w:style>
  <w:style w:type="paragraph" w:styleId="23">
    <w:name w:val="toc 3"/>
    <w:basedOn w:val="1"/>
    <w:next w:val="1"/>
    <w:autoRedefine/>
    <w:unhideWhenUsed/>
    <w:qFormat/>
    <w:uiPriority w:val="39"/>
    <w:pPr>
      <w:adjustRightInd w:val="0"/>
      <w:snapToGrid w:val="0"/>
      <w:spacing w:line="360" w:lineRule="auto"/>
      <w:ind w:left="400" w:leftChars="400"/>
    </w:pPr>
    <w:rPr>
      <w:rFonts w:eastAsiaTheme="minorEastAsia"/>
      <w:b/>
    </w:rPr>
  </w:style>
  <w:style w:type="paragraph" w:styleId="24">
    <w:name w:val="Plain Text"/>
    <w:basedOn w:val="1"/>
    <w:link w:val="81"/>
    <w:autoRedefine/>
    <w:qFormat/>
    <w:uiPriority w:val="0"/>
    <w:rPr>
      <w:rFonts w:ascii="宋体" w:hAnsi="Courier New" w:cs="Courier New"/>
      <w:szCs w:val="21"/>
    </w:rPr>
  </w:style>
  <w:style w:type="paragraph" w:styleId="25">
    <w:name w:val="toc 8"/>
    <w:basedOn w:val="1"/>
    <w:next w:val="1"/>
    <w:autoRedefine/>
    <w:unhideWhenUsed/>
    <w:qFormat/>
    <w:uiPriority w:val="39"/>
    <w:pPr>
      <w:ind w:left="2940" w:leftChars="1400"/>
    </w:pPr>
    <w:rPr>
      <w:rFonts w:asciiTheme="minorHAnsi" w:hAnsiTheme="minorHAnsi" w:eastAsiaTheme="minorEastAsia" w:cstheme="minorBidi"/>
      <w:szCs w:val="22"/>
    </w:rPr>
  </w:style>
  <w:style w:type="paragraph" w:styleId="26">
    <w:name w:val="Date"/>
    <w:basedOn w:val="1"/>
    <w:next w:val="1"/>
    <w:link w:val="92"/>
    <w:autoRedefine/>
    <w:qFormat/>
    <w:uiPriority w:val="0"/>
    <w:rPr>
      <w:sz w:val="24"/>
      <w:szCs w:val="20"/>
    </w:rPr>
  </w:style>
  <w:style w:type="paragraph" w:styleId="27">
    <w:name w:val="Balloon Text"/>
    <w:basedOn w:val="1"/>
    <w:link w:val="105"/>
    <w:autoRedefine/>
    <w:qFormat/>
    <w:uiPriority w:val="0"/>
    <w:rPr>
      <w:sz w:val="18"/>
      <w:szCs w:val="18"/>
    </w:rPr>
  </w:style>
  <w:style w:type="paragraph" w:styleId="28">
    <w:name w:val="footer"/>
    <w:basedOn w:val="1"/>
    <w:link w:val="77"/>
    <w:autoRedefine/>
    <w:qFormat/>
    <w:uiPriority w:val="99"/>
    <w:pPr>
      <w:tabs>
        <w:tab w:val="center" w:pos="4153"/>
        <w:tab w:val="right" w:pos="8306"/>
      </w:tabs>
      <w:snapToGrid w:val="0"/>
      <w:jc w:val="left"/>
    </w:pPr>
    <w:rPr>
      <w:sz w:val="18"/>
      <w:szCs w:val="18"/>
    </w:rPr>
  </w:style>
  <w:style w:type="paragraph" w:styleId="29">
    <w:name w:val="header"/>
    <w:basedOn w:val="1"/>
    <w:link w:val="78"/>
    <w:autoRedefine/>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autoRedefine/>
    <w:qFormat/>
    <w:uiPriority w:val="39"/>
    <w:pPr>
      <w:spacing w:line="360" w:lineRule="auto"/>
    </w:pPr>
    <w:rPr>
      <w:rFonts w:asciiTheme="minorEastAsia" w:hAnsiTheme="minorEastAsia" w:eastAsiaTheme="minorEastAsia"/>
      <w:b/>
      <w:sz w:val="24"/>
      <w:szCs w:val="21"/>
    </w:rPr>
  </w:style>
  <w:style w:type="paragraph" w:styleId="31">
    <w:name w:val="toc 4"/>
    <w:basedOn w:val="1"/>
    <w:next w:val="1"/>
    <w:autoRedefine/>
    <w:unhideWhenUsed/>
    <w:qFormat/>
    <w:uiPriority w:val="39"/>
    <w:pPr>
      <w:adjustRightInd w:val="0"/>
      <w:snapToGrid w:val="0"/>
      <w:spacing w:line="360" w:lineRule="auto"/>
      <w:ind w:left="600" w:leftChars="600"/>
    </w:pPr>
    <w:rPr>
      <w:rFonts w:asciiTheme="minorHAnsi" w:hAnsiTheme="minorHAnsi" w:eastAsiaTheme="minorEastAsia" w:cstheme="minorBidi"/>
      <w:b/>
      <w:szCs w:val="22"/>
    </w:rPr>
  </w:style>
  <w:style w:type="paragraph" w:styleId="32">
    <w:name w:val="toc 6"/>
    <w:basedOn w:val="1"/>
    <w:next w:val="1"/>
    <w:autoRedefine/>
    <w:qFormat/>
    <w:uiPriority w:val="39"/>
    <w:pPr>
      <w:ind w:left="2100"/>
    </w:pPr>
    <w:rPr>
      <w:szCs w:val="20"/>
    </w:rPr>
  </w:style>
  <w:style w:type="paragraph" w:styleId="33">
    <w:name w:val="Body Text Indent 3"/>
    <w:basedOn w:val="1"/>
    <w:link w:val="91"/>
    <w:autoRedefine/>
    <w:qFormat/>
    <w:uiPriority w:val="0"/>
    <w:pPr>
      <w:spacing w:after="120"/>
      <w:ind w:left="420" w:leftChars="200"/>
    </w:pPr>
    <w:rPr>
      <w:sz w:val="16"/>
      <w:szCs w:val="16"/>
    </w:rPr>
  </w:style>
  <w:style w:type="paragraph" w:styleId="34">
    <w:name w:val="toc 2"/>
    <w:basedOn w:val="1"/>
    <w:next w:val="1"/>
    <w:autoRedefine/>
    <w:unhideWhenUsed/>
    <w:qFormat/>
    <w:uiPriority w:val="39"/>
    <w:pPr>
      <w:spacing w:line="360" w:lineRule="auto"/>
      <w:ind w:left="200" w:leftChars="200"/>
    </w:pPr>
    <w:rPr>
      <w:rFonts w:eastAsiaTheme="majorEastAsia"/>
      <w:b/>
    </w:rPr>
  </w:style>
  <w:style w:type="paragraph" w:styleId="35">
    <w:name w:val="toc 9"/>
    <w:basedOn w:val="1"/>
    <w:next w:val="1"/>
    <w:autoRedefine/>
    <w:unhideWhenUsed/>
    <w:qFormat/>
    <w:uiPriority w:val="39"/>
    <w:pPr>
      <w:ind w:left="3360" w:leftChars="1600"/>
    </w:pPr>
    <w:rPr>
      <w:rFonts w:asciiTheme="minorHAnsi" w:hAnsiTheme="minorHAnsi" w:eastAsiaTheme="minorEastAsia" w:cstheme="minorBidi"/>
      <w:szCs w:val="22"/>
    </w:rPr>
  </w:style>
  <w:style w:type="paragraph" w:styleId="36">
    <w:name w:val="Body Text 2"/>
    <w:basedOn w:val="1"/>
    <w:link w:val="88"/>
    <w:autoRedefine/>
    <w:qFormat/>
    <w:uiPriority w:val="0"/>
    <w:pPr>
      <w:spacing w:after="120" w:line="480" w:lineRule="auto"/>
    </w:pPr>
  </w:style>
  <w:style w:type="paragraph" w:styleId="37">
    <w:name w:val="HTML Preformatted"/>
    <w:basedOn w:val="1"/>
    <w:link w:val="86"/>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8">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autoRedefine/>
    <w:qFormat/>
    <w:uiPriority w:val="0"/>
    <w:pPr>
      <w:spacing w:line="220" w:lineRule="exact"/>
      <w:jc w:val="center"/>
    </w:pPr>
    <w:rPr>
      <w:rFonts w:ascii="仿宋_GB2312" w:eastAsia="仿宋_GB2312"/>
      <w:szCs w:val="20"/>
    </w:rPr>
  </w:style>
  <w:style w:type="paragraph" w:styleId="40">
    <w:name w:val="Title"/>
    <w:basedOn w:val="1"/>
    <w:link w:val="122"/>
    <w:autoRedefine/>
    <w:qFormat/>
    <w:uiPriority w:val="0"/>
    <w:pPr>
      <w:jc w:val="center"/>
      <w:outlineLvl w:val="0"/>
    </w:pPr>
    <w:rPr>
      <w:rFonts w:asciiTheme="minorHAnsi" w:hAnsiTheme="minorHAnsi" w:eastAsiaTheme="minorEastAsia" w:cstheme="minorBidi"/>
      <w:b/>
      <w:sz w:val="32"/>
      <w:szCs w:val="22"/>
    </w:rPr>
  </w:style>
  <w:style w:type="paragraph" w:styleId="41">
    <w:name w:val="annotation subject"/>
    <w:basedOn w:val="14"/>
    <w:next w:val="14"/>
    <w:link w:val="104"/>
    <w:autoRedefine/>
    <w:qFormat/>
    <w:uiPriority w:val="0"/>
    <w:rPr>
      <w:b/>
      <w:bCs/>
    </w:rPr>
  </w:style>
  <w:style w:type="paragraph" w:styleId="42">
    <w:name w:val="Body Text First Indent"/>
    <w:basedOn w:val="16"/>
    <w:next w:val="43"/>
    <w:autoRedefine/>
    <w:semiHidden/>
    <w:unhideWhenUsed/>
    <w:qFormat/>
    <w:uiPriority w:val="99"/>
    <w:pPr>
      <w:ind w:firstLine="420" w:firstLineChars="100"/>
    </w:pPr>
  </w:style>
  <w:style w:type="paragraph" w:styleId="43">
    <w:name w:val="Body Text First Indent 2"/>
    <w:basedOn w:val="19"/>
    <w:next w:val="12"/>
    <w:autoRedefine/>
    <w:qFormat/>
    <w:uiPriority w:val="0"/>
    <w:pPr>
      <w:ind w:firstLine="420" w:firstLineChars="200"/>
    </w:pPr>
  </w:style>
  <w:style w:type="table" w:styleId="45">
    <w:name w:val="Table Grid"/>
    <w:basedOn w:val="44"/>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autoRedefine/>
    <w:qFormat/>
    <w:uiPriority w:val="0"/>
    <w:rPr>
      <w:b/>
      <w:bCs/>
    </w:rPr>
  </w:style>
  <w:style w:type="character" w:styleId="48">
    <w:name w:val="page number"/>
    <w:basedOn w:val="46"/>
    <w:autoRedefine/>
    <w:qFormat/>
    <w:uiPriority w:val="0"/>
  </w:style>
  <w:style w:type="character" w:styleId="49">
    <w:name w:val="FollowedHyperlink"/>
    <w:autoRedefine/>
    <w:qFormat/>
    <w:uiPriority w:val="0"/>
    <w:rPr>
      <w:color w:val="800080"/>
      <w:u w:val="single"/>
    </w:rPr>
  </w:style>
  <w:style w:type="character" w:styleId="50">
    <w:name w:val="Emphasis"/>
    <w:basedOn w:val="46"/>
    <w:autoRedefine/>
    <w:qFormat/>
    <w:uiPriority w:val="20"/>
  </w:style>
  <w:style w:type="character" w:styleId="51">
    <w:name w:val="HTML Definition"/>
    <w:basedOn w:val="46"/>
    <w:autoRedefine/>
    <w:semiHidden/>
    <w:unhideWhenUsed/>
    <w:qFormat/>
    <w:uiPriority w:val="99"/>
  </w:style>
  <w:style w:type="character" w:styleId="52">
    <w:name w:val="HTML Typewriter"/>
    <w:basedOn w:val="46"/>
    <w:autoRedefine/>
    <w:semiHidden/>
    <w:unhideWhenUsed/>
    <w:qFormat/>
    <w:uiPriority w:val="99"/>
    <w:rPr>
      <w:rFonts w:hint="default" w:ascii="monospace" w:hAnsi="monospace" w:eastAsia="monospace" w:cs="monospace"/>
      <w:sz w:val="20"/>
    </w:rPr>
  </w:style>
  <w:style w:type="character" w:styleId="53">
    <w:name w:val="HTML Acronym"/>
    <w:basedOn w:val="46"/>
    <w:autoRedefine/>
    <w:semiHidden/>
    <w:unhideWhenUsed/>
    <w:qFormat/>
    <w:uiPriority w:val="99"/>
  </w:style>
  <w:style w:type="character" w:styleId="54">
    <w:name w:val="HTML Variable"/>
    <w:basedOn w:val="46"/>
    <w:autoRedefine/>
    <w:semiHidden/>
    <w:unhideWhenUsed/>
    <w:qFormat/>
    <w:uiPriority w:val="99"/>
  </w:style>
  <w:style w:type="character" w:styleId="55">
    <w:name w:val="Hyperlink"/>
    <w:basedOn w:val="46"/>
    <w:autoRedefine/>
    <w:qFormat/>
    <w:uiPriority w:val="99"/>
    <w:rPr>
      <w:color w:val="136EC2"/>
      <w:u w:val="single"/>
    </w:rPr>
  </w:style>
  <w:style w:type="character" w:styleId="56">
    <w:name w:val="HTML Code"/>
    <w:basedOn w:val="46"/>
    <w:autoRedefine/>
    <w:semiHidden/>
    <w:unhideWhenUsed/>
    <w:qFormat/>
    <w:uiPriority w:val="99"/>
    <w:rPr>
      <w:rFonts w:hint="default" w:ascii="Arial" w:hAnsi="Arial" w:cs="Arial"/>
      <w:sz w:val="20"/>
    </w:rPr>
  </w:style>
  <w:style w:type="character" w:styleId="57">
    <w:name w:val="annotation reference"/>
    <w:autoRedefine/>
    <w:qFormat/>
    <w:uiPriority w:val="0"/>
    <w:rPr>
      <w:sz w:val="21"/>
      <w:szCs w:val="21"/>
    </w:rPr>
  </w:style>
  <w:style w:type="character" w:styleId="58">
    <w:name w:val="HTML Cite"/>
    <w:basedOn w:val="46"/>
    <w:autoRedefine/>
    <w:semiHidden/>
    <w:unhideWhenUsed/>
    <w:qFormat/>
    <w:uiPriority w:val="99"/>
  </w:style>
  <w:style w:type="character" w:styleId="59">
    <w:name w:val="HTML Keyboard"/>
    <w:basedOn w:val="46"/>
    <w:autoRedefine/>
    <w:semiHidden/>
    <w:unhideWhenUsed/>
    <w:qFormat/>
    <w:uiPriority w:val="99"/>
    <w:rPr>
      <w:rFonts w:hint="default" w:ascii="Arial" w:hAnsi="Arial" w:cs="Arial"/>
      <w:sz w:val="20"/>
    </w:rPr>
  </w:style>
  <w:style w:type="character" w:styleId="60">
    <w:name w:val="HTML Sample"/>
    <w:basedOn w:val="46"/>
    <w:autoRedefine/>
    <w:semiHidden/>
    <w:unhideWhenUsed/>
    <w:qFormat/>
    <w:uiPriority w:val="99"/>
    <w:rPr>
      <w:rFonts w:hint="eastAsia" w:ascii="Arial" w:hAnsi="Arial" w:cs="Arial"/>
    </w:rPr>
  </w:style>
  <w:style w:type="character" w:customStyle="1" w:styleId="61">
    <w:name w:val="标题 2 Char"/>
    <w:basedOn w:val="46"/>
    <w:link w:val="3"/>
    <w:autoRedefine/>
    <w:qFormat/>
    <w:uiPriority w:val="0"/>
    <w:rPr>
      <w:rFonts w:ascii="Arial" w:hAnsi="Arial" w:eastAsia="宋体" w:cs="Times New Roman"/>
      <w:b/>
      <w:bCs/>
      <w:sz w:val="21"/>
      <w:szCs w:val="32"/>
    </w:rPr>
  </w:style>
  <w:style w:type="paragraph" w:customStyle="1" w:styleId="62">
    <w:name w:val="列出段落1"/>
    <w:basedOn w:val="1"/>
    <w:autoRedefine/>
    <w:qFormat/>
    <w:uiPriority w:val="0"/>
    <w:pPr>
      <w:ind w:firstLine="420" w:firstLineChars="200"/>
    </w:pPr>
    <w:rPr>
      <w:rFonts w:ascii="Calibri" w:hAnsi="Calibri"/>
      <w:szCs w:val="22"/>
    </w:rPr>
  </w:style>
  <w:style w:type="paragraph" w:customStyle="1" w:styleId="63">
    <w:name w:val="正文1"/>
    <w:basedOn w:val="1"/>
    <w:autoRedefine/>
    <w:qFormat/>
    <w:uiPriority w:val="0"/>
    <w:pPr>
      <w:widowControl/>
      <w:spacing w:before="120" w:after="120"/>
      <w:jc w:val="left"/>
    </w:pPr>
    <w:rPr>
      <w:rFonts w:ascii="Arial" w:hAnsi="Arial" w:cs="Arial"/>
      <w:kern w:val="0"/>
      <w:sz w:val="24"/>
    </w:rPr>
  </w:style>
  <w:style w:type="paragraph" w:customStyle="1" w:styleId="64">
    <w:name w:val="正文首行缩进1"/>
    <w:basedOn w:val="1"/>
    <w:autoRedefine/>
    <w:qFormat/>
    <w:uiPriority w:val="99"/>
    <w:pPr>
      <w:spacing w:after="120"/>
      <w:ind w:firstLine="420" w:firstLineChars="100"/>
    </w:pPr>
  </w:style>
  <w:style w:type="paragraph" w:customStyle="1" w:styleId="65">
    <w:name w:val="正文格式"/>
    <w:basedOn w:val="1"/>
    <w:autoRedefine/>
    <w:qFormat/>
    <w:uiPriority w:val="99"/>
    <w:pPr>
      <w:widowControl/>
      <w:adjustRightInd w:val="0"/>
      <w:snapToGrid w:val="0"/>
      <w:spacing w:line="400" w:lineRule="atLeast"/>
      <w:ind w:firstLine="482"/>
      <w:textAlignment w:val="baseline"/>
    </w:pPr>
    <w:rPr>
      <w:kern w:val="0"/>
      <w:sz w:val="24"/>
      <w:szCs w:val="24"/>
    </w:rPr>
  </w:style>
  <w:style w:type="paragraph" w:customStyle="1" w:styleId="6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67">
    <w:name w:val="标题 1 Char"/>
    <w:basedOn w:val="46"/>
    <w:link w:val="2"/>
    <w:autoRedefine/>
    <w:qFormat/>
    <w:uiPriority w:val="0"/>
    <w:rPr>
      <w:rFonts w:ascii="Times New Roman" w:hAnsi="Times New Roman" w:eastAsia="宋体" w:cs="Times New Roman"/>
      <w:b/>
      <w:bCs/>
      <w:sz w:val="32"/>
      <w:szCs w:val="20"/>
    </w:rPr>
  </w:style>
  <w:style w:type="character" w:customStyle="1" w:styleId="68">
    <w:name w:val="标题 3 Char"/>
    <w:basedOn w:val="46"/>
    <w:link w:val="4"/>
    <w:autoRedefine/>
    <w:qFormat/>
    <w:uiPriority w:val="0"/>
    <w:rPr>
      <w:rFonts w:ascii="Times New Roman" w:hAnsi="Times New Roman" w:eastAsia="宋体" w:cs="Times New Roman"/>
      <w:b/>
      <w:bCs/>
      <w:sz w:val="24"/>
      <w:szCs w:val="32"/>
    </w:rPr>
  </w:style>
  <w:style w:type="character" w:customStyle="1" w:styleId="69">
    <w:name w:val="标题 4 Char"/>
    <w:basedOn w:val="46"/>
    <w:link w:val="5"/>
    <w:autoRedefine/>
    <w:qFormat/>
    <w:uiPriority w:val="0"/>
    <w:rPr>
      <w:rFonts w:ascii="Arial" w:hAnsi="Arial" w:eastAsia="宋体" w:cs="Times New Roman"/>
      <w:b/>
      <w:bCs/>
      <w:sz w:val="24"/>
      <w:szCs w:val="28"/>
    </w:rPr>
  </w:style>
  <w:style w:type="character" w:customStyle="1" w:styleId="70">
    <w:name w:val="标题 5 Char"/>
    <w:basedOn w:val="46"/>
    <w:link w:val="6"/>
    <w:autoRedefine/>
    <w:qFormat/>
    <w:uiPriority w:val="0"/>
    <w:rPr>
      <w:rFonts w:ascii="Times New Roman" w:hAnsi="Times New Roman" w:eastAsia="宋体" w:cs="Times New Roman"/>
      <w:b/>
      <w:bCs/>
      <w:kern w:val="0"/>
      <w:sz w:val="28"/>
      <w:szCs w:val="28"/>
    </w:rPr>
  </w:style>
  <w:style w:type="character" w:customStyle="1" w:styleId="71">
    <w:name w:val="标题 6 Char"/>
    <w:basedOn w:val="46"/>
    <w:link w:val="7"/>
    <w:autoRedefine/>
    <w:qFormat/>
    <w:uiPriority w:val="0"/>
    <w:rPr>
      <w:rFonts w:ascii="Arial" w:hAnsi="Arial" w:eastAsia="黑体" w:cs="Times New Roman"/>
      <w:b/>
      <w:bCs/>
      <w:kern w:val="0"/>
      <w:sz w:val="24"/>
      <w:szCs w:val="24"/>
    </w:rPr>
  </w:style>
  <w:style w:type="character" w:customStyle="1" w:styleId="72">
    <w:name w:val="标题 7 Char"/>
    <w:basedOn w:val="46"/>
    <w:link w:val="8"/>
    <w:autoRedefine/>
    <w:qFormat/>
    <w:uiPriority w:val="0"/>
    <w:rPr>
      <w:rFonts w:ascii="Times New Roman" w:hAnsi="Times New Roman" w:eastAsia="宋体" w:cs="Times New Roman"/>
      <w:b/>
      <w:bCs/>
      <w:kern w:val="0"/>
      <w:sz w:val="24"/>
      <w:szCs w:val="24"/>
    </w:rPr>
  </w:style>
  <w:style w:type="character" w:customStyle="1" w:styleId="73">
    <w:name w:val="标题 8 Char"/>
    <w:basedOn w:val="46"/>
    <w:link w:val="9"/>
    <w:autoRedefine/>
    <w:qFormat/>
    <w:uiPriority w:val="0"/>
    <w:rPr>
      <w:rFonts w:ascii="Arial" w:hAnsi="Arial" w:eastAsia="黑体" w:cs="Times New Roman"/>
      <w:kern w:val="0"/>
      <w:sz w:val="24"/>
      <w:szCs w:val="24"/>
    </w:rPr>
  </w:style>
  <w:style w:type="character" w:customStyle="1" w:styleId="74">
    <w:name w:val="标题 9 Char"/>
    <w:basedOn w:val="46"/>
    <w:link w:val="10"/>
    <w:autoRedefine/>
    <w:qFormat/>
    <w:uiPriority w:val="0"/>
    <w:rPr>
      <w:rFonts w:ascii="Arial" w:hAnsi="Arial" w:eastAsia="黑体" w:cs="Times New Roman"/>
      <w:kern w:val="0"/>
      <w:szCs w:val="21"/>
    </w:rPr>
  </w:style>
  <w:style w:type="paragraph" w:customStyle="1" w:styleId="75">
    <w:name w:val="表格内容"/>
    <w:basedOn w:val="16"/>
    <w:autoRedefine/>
    <w:qFormat/>
    <w:uiPriority w:val="0"/>
    <w:pPr>
      <w:suppressLineNumbers/>
      <w:suppressAutoHyphens/>
      <w:jc w:val="left"/>
    </w:pPr>
    <w:rPr>
      <w:rFonts w:cs="Tahoma"/>
      <w:kern w:val="0"/>
      <w:sz w:val="24"/>
    </w:rPr>
  </w:style>
  <w:style w:type="character" w:customStyle="1" w:styleId="76">
    <w:name w:val="正文文本 Char"/>
    <w:basedOn w:val="46"/>
    <w:link w:val="16"/>
    <w:autoRedefine/>
    <w:qFormat/>
    <w:uiPriority w:val="0"/>
    <w:rPr>
      <w:rFonts w:ascii="Times New Roman" w:hAnsi="Times New Roman" w:eastAsia="宋体" w:cs="Times New Roman"/>
      <w:szCs w:val="24"/>
    </w:rPr>
  </w:style>
  <w:style w:type="character" w:customStyle="1" w:styleId="77">
    <w:name w:val="页脚 Char"/>
    <w:basedOn w:val="46"/>
    <w:link w:val="28"/>
    <w:autoRedefine/>
    <w:qFormat/>
    <w:uiPriority w:val="99"/>
    <w:rPr>
      <w:rFonts w:ascii="Times New Roman" w:hAnsi="Times New Roman" w:eastAsia="宋体" w:cs="Times New Roman"/>
      <w:sz w:val="18"/>
      <w:szCs w:val="18"/>
    </w:rPr>
  </w:style>
  <w:style w:type="character" w:customStyle="1" w:styleId="78">
    <w:name w:val="页眉 Char"/>
    <w:basedOn w:val="46"/>
    <w:link w:val="29"/>
    <w:autoRedefine/>
    <w:qFormat/>
    <w:uiPriority w:val="99"/>
    <w:rPr>
      <w:rFonts w:ascii="Times New Roman" w:hAnsi="Times New Roman" w:eastAsia="宋体" w:cs="Times New Roman"/>
      <w:sz w:val="18"/>
      <w:szCs w:val="18"/>
    </w:rPr>
  </w:style>
  <w:style w:type="character" w:customStyle="1" w:styleId="79">
    <w:name w:val="正文文本缩进 Char"/>
    <w:basedOn w:val="46"/>
    <w:link w:val="19"/>
    <w:autoRedefine/>
    <w:qFormat/>
    <w:uiPriority w:val="0"/>
    <w:rPr>
      <w:rFonts w:ascii="Times New Roman" w:hAnsi="Times New Roman" w:eastAsia="宋体" w:cs="Times New Roman"/>
      <w:szCs w:val="24"/>
    </w:rPr>
  </w:style>
  <w:style w:type="paragraph" w:customStyle="1" w:styleId="80">
    <w:name w:val="Char Char Char Char Char Char Char"/>
    <w:basedOn w:val="1"/>
    <w:autoRedefine/>
    <w:qFormat/>
    <w:uiPriority w:val="0"/>
    <w:pPr>
      <w:snapToGrid w:val="0"/>
      <w:spacing w:line="360" w:lineRule="auto"/>
      <w:ind w:firstLine="200" w:firstLineChars="200"/>
    </w:pPr>
    <w:rPr>
      <w:rFonts w:eastAsia="仿宋_GB2312"/>
      <w:sz w:val="24"/>
    </w:rPr>
  </w:style>
  <w:style w:type="character" w:customStyle="1" w:styleId="81">
    <w:name w:val="纯文本 Char"/>
    <w:basedOn w:val="46"/>
    <w:link w:val="24"/>
    <w:autoRedefine/>
    <w:qFormat/>
    <w:uiPriority w:val="0"/>
    <w:rPr>
      <w:rFonts w:ascii="宋体" w:hAnsi="Courier New" w:eastAsia="宋体" w:cs="Courier New"/>
      <w:szCs w:val="21"/>
    </w:rPr>
  </w:style>
  <w:style w:type="character" w:customStyle="1" w:styleId="82">
    <w:name w:val="批注文字 Char"/>
    <w:basedOn w:val="46"/>
    <w:link w:val="14"/>
    <w:autoRedefine/>
    <w:semiHidden/>
    <w:qFormat/>
    <w:uiPriority w:val="0"/>
    <w:rPr>
      <w:rFonts w:ascii="Times New Roman" w:hAnsi="Times New Roman" w:eastAsia="宋体" w:cs="Times New Roman"/>
      <w:szCs w:val="24"/>
    </w:rPr>
  </w:style>
  <w:style w:type="paragraph" w:customStyle="1" w:styleId="83">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84">
    <w:name w:val="Char Char Char"/>
    <w:basedOn w:val="1"/>
    <w:autoRedefine/>
    <w:qFormat/>
    <w:uiPriority w:val="0"/>
    <w:rPr>
      <w:rFonts w:ascii="宋体" w:hAnsi="宋体"/>
      <w:b/>
      <w:sz w:val="28"/>
      <w:szCs w:val="28"/>
    </w:rPr>
  </w:style>
  <w:style w:type="paragraph" w:customStyle="1" w:styleId="85">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character" w:customStyle="1" w:styleId="86">
    <w:name w:val="HTML 预设格式 Char"/>
    <w:basedOn w:val="46"/>
    <w:link w:val="37"/>
    <w:autoRedefine/>
    <w:qFormat/>
    <w:uiPriority w:val="0"/>
    <w:rPr>
      <w:rFonts w:ascii="Arial" w:hAnsi="Arial" w:eastAsia="宋体" w:cs="Arial"/>
      <w:kern w:val="0"/>
      <w:sz w:val="24"/>
      <w:szCs w:val="24"/>
    </w:rPr>
  </w:style>
  <w:style w:type="character" w:customStyle="1" w:styleId="87">
    <w:name w:val="称呼 Char"/>
    <w:basedOn w:val="46"/>
    <w:link w:val="15"/>
    <w:autoRedefine/>
    <w:qFormat/>
    <w:uiPriority w:val="0"/>
    <w:rPr>
      <w:rFonts w:ascii="仿宋_GB2312" w:hAnsi="Times New Roman" w:eastAsia="仿宋_GB2312" w:cs="Times New Roman"/>
      <w:sz w:val="24"/>
      <w:szCs w:val="24"/>
    </w:rPr>
  </w:style>
  <w:style w:type="character" w:customStyle="1" w:styleId="88">
    <w:name w:val="正文文本 2 Char"/>
    <w:basedOn w:val="46"/>
    <w:link w:val="36"/>
    <w:autoRedefine/>
    <w:qFormat/>
    <w:uiPriority w:val="0"/>
    <w:rPr>
      <w:rFonts w:ascii="Times New Roman" w:hAnsi="Times New Roman" w:eastAsia="宋体" w:cs="Times New Roman"/>
      <w:szCs w:val="24"/>
    </w:rPr>
  </w:style>
  <w:style w:type="character" w:customStyle="1" w:styleId="89">
    <w:name w:val="正文文本缩进 2 Char"/>
    <w:basedOn w:val="46"/>
    <w:link w:val="20"/>
    <w:autoRedefine/>
    <w:qFormat/>
    <w:uiPriority w:val="0"/>
    <w:rPr>
      <w:rFonts w:ascii="Times New Roman" w:hAnsi="Times New Roman" w:eastAsia="宋体" w:cs="Times New Roman"/>
      <w:szCs w:val="24"/>
    </w:rPr>
  </w:style>
  <w:style w:type="paragraph" w:customStyle="1" w:styleId="90">
    <w:name w:val="Char"/>
    <w:basedOn w:val="1"/>
    <w:autoRedefine/>
    <w:qFormat/>
    <w:uiPriority w:val="0"/>
    <w:pPr>
      <w:tabs>
        <w:tab w:val="left" w:pos="360"/>
      </w:tabs>
      <w:ind w:left="360" w:hanging="360" w:hangingChars="200"/>
    </w:pPr>
    <w:rPr>
      <w:sz w:val="24"/>
    </w:rPr>
  </w:style>
  <w:style w:type="character" w:customStyle="1" w:styleId="91">
    <w:name w:val="正文文本缩进 3 Char"/>
    <w:basedOn w:val="46"/>
    <w:link w:val="33"/>
    <w:autoRedefine/>
    <w:qFormat/>
    <w:uiPriority w:val="0"/>
    <w:rPr>
      <w:rFonts w:ascii="Times New Roman" w:hAnsi="Times New Roman" w:eastAsia="宋体" w:cs="Times New Roman"/>
      <w:sz w:val="16"/>
      <w:szCs w:val="16"/>
    </w:rPr>
  </w:style>
  <w:style w:type="character" w:customStyle="1" w:styleId="92">
    <w:name w:val="日期 Char"/>
    <w:basedOn w:val="46"/>
    <w:link w:val="26"/>
    <w:autoRedefine/>
    <w:qFormat/>
    <w:uiPriority w:val="0"/>
    <w:rPr>
      <w:rFonts w:ascii="Times New Roman" w:hAnsi="Times New Roman" w:eastAsia="宋体" w:cs="Times New Roman"/>
      <w:sz w:val="24"/>
      <w:szCs w:val="20"/>
    </w:rPr>
  </w:style>
  <w:style w:type="paragraph" w:customStyle="1" w:styleId="93">
    <w:name w:val="样式1"/>
    <w:basedOn w:val="1"/>
    <w:link w:val="124"/>
    <w:autoRedefine/>
    <w:qFormat/>
    <w:uiPriority w:val="0"/>
    <w:pPr>
      <w:tabs>
        <w:tab w:val="left" w:pos="360"/>
      </w:tabs>
      <w:adjustRightInd w:val="0"/>
      <w:ind w:left="360" w:hanging="360"/>
      <w:textAlignment w:val="baseline"/>
    </w:pPr>
    <w:rPr>
      <w:rFonts w:ascii="宋体" w:hAnsi="宋体"/>
      <w:kern w:val="0"/>
      <w:szCs w:val="21"/>
    </w:rPr>
  </w:style>
  <w:style w:type="character" w:customStyle="1" w:styleId="94">
    <w:name w:val="p0 Char"/>
    <w:link w:val="95"/>
    <w:autoRedefine/>
    <w:qFormat/>
    <w:uiPriority w:val="0"/>
    <w:rPr>
      <w:rFonts w:eastAsia="宋体"/>
      <w:szCs w:val="21"/>
    </w:rPr>
  </w:style>
  <w:style w:type="paragraph" w:customStyle="1" w:styleId="95">
    <w:name w:val="p0"/>
    <w:basedOn w:val="1"/>
    <w:link w:val="94"/>
    <w:autoRedefine/>
    <w:qFormat/>
    <w:uiPriority w:val="0"/>
    <w:pPr>
      <w:widowControl/>
    </w:pPr>
    <w:rPr>
      <w:rFonts w:asciiTheme="minorHAnsi" w:hAnsiTheme="minorHAnsi" w:cstheme="minorBidi"/>
      <w:szCs w:val="21"/>
    </w:rPr>
  </w:style>
  <w:style w:type="paragraph" w:customStyle="1" w:styleId="96">
    <w:name w:val="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97">
    <w:name w:val="Char Char1 Char Char Char Char Char1 Char Char Char Char"/>
    <w:basedOn w:val="13"/>
    <w:autoRedefine/>
    <w:qFormat/>
    <w:uiPriority w:val="0"/>
    <w:rPr>
      <w:rFonts w:ascii="Tahoma" w:hAnsi="Tahoma"/>
    </w:rPr>
  </w:style>
  <w:style w:type="character" w:customStyle="1" w:styleId="98">
    <w:name w:val="文档结构图 Char"/>
    <w:basedOn w:val="46"/>
    <w:link w:val="13"/>
    <w:autoRedefine/>
    <w:semiHidden/>
    <w:qFormat/>
    <w:uiPriority w:val="0"/>
    <w:rPr>
      <w:rFonts w:ascii="Times New Roman" w:hAnsi="Times New Roman" w:eastAsia="宋体" w:cs="Times New Roman"/>
      <w:szCs w:val="24"/>
      <w:shd w:val="clear" w:color="auto" w:fill="000080"/>
    </w:rPr>
  </w:style>
  <w:style w:type="paragraph" w:customStyle="1" w:styleId="99">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00">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01">
    <w:name w:val="1"/>
    <w:basedOn w:val="1"/>
    <w:autoRedefine/>
    <w:qFormat/>
    <w:uiPriority w:val="0"/>
    <w:pPr>
      <w:spacing w:afterLines="50" w:line="360" w:lineRule="auto"/>
    </w:pPr>
    <w:rPr>
      <w:rFonts w:ascii="宋体" w:hAnsi="宋体"/>
      <w:b/>
      <w:sz w:val="30"/>
      <w:szCs w:val="21"/>
    </w:rPr>
  </w:style>
  <w:style w:type="paragraph" w:customStyle="1" w:styleId="102">
    <w:name w:val="样式 标题 2 + 宋体 五号 行距: 单倍行距"/>
    <w:basedOn w:val="3"/>
    <w:autoRedefine/>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03">
    <w:name w:val="标题 1 +"/>
    <w:basedOn w:val="2"/>
    <w:next w:val="1"/>
    <w:autoRedefine/>
    <w:qFormat/>
    <w:uiPriority w:val="0"/>
    <w:pPr>
      <w:keepLines/>
      <w:spacing w:line="600" w:lineRule="auto"/>
    </w:pPr>
    <w:rPr>
      <w:kern w:val="0"/>
      <w:sz w:val="32"/>
      <w:szCs w:val="32"/>
    </w:rPr>
  </w:style>
  <w:style w:type="character" w:customStyle="1" w:styleId="104">
    <w:name w:val="批注主题 Char"/>
    <w:basedOn w:val="82"/>
    <w:link w:val="41"/>
    <w:autoRedefine/>
    <w:qFormat/>
    <w:uiPriority w:val="0"/>
    <w:rPr>
      <w:rFonts w:ascii="Times New Roman" w:hAnsi="Times New Roman" w:eastAsia="宋体" w:cs="Times New Roman"/>
      <w:b/>
      <w:bCs/>
      <w:szCs w:val="24"/>
    </w:rPr>
  </w:style>
  <w:style w:type="character" w:customStyle="1" w:styleId="105">
    <w:name w:val="批注框文本 Char"/>
    <w:basedOn w:val="46"/>
    <w:link w:val="27"/>
    <w:autoRedefine/>
    <w:qFormat/>
    <w:uiPriority w:val="0"/>
    <w:rPr>
      <w:rFonts w:ascii="Times New Roman" w:hAnsi="Times New Roman" w:eastAsia="宋体" w:cs="Times New Roman"/>
      <w:sz w:val="18"/>
      <w:szCs w:val="18"/>
    </w:rPr>
  </w:style>
  <w:style w:type="paragraph" w:customStyle="1" w:styleId="106">
    <w:name w:val="样式 标题 2 + Times New Roman 四号 非加粗 段前: 5 磅 段后: 0 磅 行距: 固定值 20..."/>
    <w:basedOn w:val="3"/>
    <w:autoRedefine/>
    <w:qFormat/>
    <w:uiPriority w:val="0"/>
    <w:pPr>
      <w:spacing w:before="100" w:line="400" w:lineRule="exact"/>
    </w:pPr>
    <w:rPr>
      <w:rFonts w:ascii="Times New Roman" w:hAnsi="Times New Roman" w:eastAsia="黑体"/>
      <w:b w:val="0"/>
      <w:bCs w:val="0"/>
      <w:sz w:val="28"/>
      <w:szCs w:val="20"/>
    </w:rPr>
  </w:style>
  <w:style w:type="paragraph" w:customStyle="1" w:styleId="107">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108">
    <w:name w:val="Char1 Char Char Char 字元 Char Char 字元 Char 字元 Char1 Char Char Char"/>
    <w:basedOn w:val="1"/>
    <w:autoRedefine/>
    <w:qFormat/>
    <w:uiPriority w:val="0"/>
    <w:rPr>
      <w:szCs w:val="20"/>
    </w:rPr>
  </w:style>
  <w:style w:type="paragraph" w:customStyle="1" w:styleId="109">
    <w:name w:val="p16"/>
    <w:basedOn w:val="1"/>
    <w:autoRedefine/>
    <w:qFormat/>
    <w:uiPriority w:val="0"/>
    <w:pPr>
      <w:widowControl/>
      <w:jc w:val="left"/>
    </w:pPr>
    <w:rPr>
      <w:kern w:val="0"/>
      <w:szCs w:val="21"/>
    </w:rPr>
  </w:style>
  <w:style w:type="paragraph" w:customStyle="1" w:styleId="110">
    <w:name w:val="xl3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3">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14">
    <w:name w:val="Char Char Char1 Char"/>
    <w:basedOn w:val="1"/>
    <w:autoRedefine/>
    <w:qFormat/>
    <w:uiPriority w:val="0"/>
    <w:pPr>
      <w:tabs>
        <w:tab w:val="left" w:pos="360"/>
      </w:tabs>
      <w:snapToGrid w:val="0"/>
      <w:spacing w:line="360" w:lineRule="auto"/>
    </w:pPr>
    <w:rPr>
      <w:rFonts w:eastAsia="仿宋_GB2312" w:cs="宋体"/>
      <w:sz w:val="24"/>
    </w:rPr>
  </w:style>
  <w:style w:type="paragraph" w:styleId="115">
    <w:name w:val="List Paragraph"/>
    <w:basedOn w:val="1"/>
    <w:link w:val="121"/>
    <w:autoRedefine/>
    <w:qFormat/>
    <w:uiPriority w:val="0"/>
    <w:pPr>
      <w:ind w:firstLine="420" w:firstLineChars="200"/>
    </w:pPr>
  </w:style>
  <w:style w:type="character" w:customStyle="1" w:styleId="116">
    <w:name w:val="fontstyle01"/>
    <w:basedOn w:val="46"/>
    <w:autoRedefine/>
    <w:qFormat/>
    <w:uiPriority w:val="0"/>
    <w:rPr>
      <w:rFonts w:hint="eastAsia" w:ascii="宋体" w:hAnsi="宋体" w:eastAsia="宋体"/>
      <w:color w:val="000000"/>
      <w:sz w:val="24"/>
      <w:szCs w:val="24"/>
    </w:rPr>
  </w:style>
  <w:style w:type="character" w:customStyle="1" w:styleId="117">
    <w:name w:val="fontstyle11"/>
    <w:basedOn w:val="46"/>
    <w:autoRedefine/>
    <w:qFormat/>
    <w:uiPriority w:val="0"/>
    <w:rPr>
      <w:rFonts w:hint="default" w:ascii="TimesNewRomanPSMT" w:hAnsi="TimesNewRomanPSMT"/>
      <w:color w:val="000000"/>
      <w:sz w:val="24"/>
      <w:szCs w:val="24"/>
    </w:rPr>
  </w:style>
  <w:style w:type="paragraph" w:customStyle="1" w:styleId="118">
    <w:name w:val="TOC 标题1"/>
    <w:basedOn w:val="2"/>
    <w:next w:val="1"/>
    <w:autoRedefine/>
    <w:semiHidden/>
    <w:unhideWhenUsed/>
    <w:qFormat/>
    <w:uiPriority w:val="39"/>
    <w:pPr>
      <w:keepLines/>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19">
    <w:name w:val="fontstyle21"/>
    <w:basedOn w:val="46"/>
    <w:autoRedefine/>
    <w:qFormat/>
    <w:uiPriority w:val="0"/>
    <w:rPr>
      <w:rFonts w:hint="eastAsia" w:ascii="宋体" w:hAnsi="宋体" w:eastAsia="宋体"/>
      <w:color w:val="993300"/>
      <w:sz w:val="24"/>
      <w:szCs w:val="24"/>
    </w:rPr>
  </w:style>
  <w:style w:type="character" w:customStyle="1" w:styleId="120">
    <w:name w:val="fontstyle31"/>
    <w:basedOn w:val="46"/>
    <w:autoRedefine/>
    <w:qFormat/>
    <w:uiPriority w:val="0"/>
    <w:rPr>
      <w:rFonts w:hint="default" w:ascii="Arial" w:hAnsi="Arial" w:cs="Arial"/>
      <w:color w:val="993300"/>
      <w:sz w:val="24"/>
      <w:szCs w:val="24"/>
    </w:rPr>
  </w:style>
  <w:style w:type="character" w:customStyle="1" w:styleId="121">
    <w:name w:val="列出段落 Char"/>
    <w:link w:val="115"/>
    <w:autoRedefine/>
    <w:qFormat/>
    <w:uiPriority w:val="0"/>
    <w:rPr>
      <w:rFonts w:ascii="Times New Roman" w:hAnsi="Times New Roman" w:eastAsia="宋体" w:cs="Times New Roman"/>
      <w:szCs w:val="24"/>
    </w:rPr>
  </w:style>
  <w:style w:type="character" w:customStyle="1" w:styleId="122">
    <w:name w:val="标题 Char"/>
    <w:link w:val="40"/>
    <w:autoRedefine/>
    <w:qFormat/>
    <w:uiPriority w:val="0"/>
    <w:rPr>
      <w:b/>
      <w:sz w:val="32"/>
    </w:rPr>
  </w:style>
  <w:style w:type="character" w:customStyle="1" w:styleId="123">
    <w:name w:val="标题 Char1"/>
    <w:basedOn w:val="46"/>
    <w:autoRedefine/>
    <w:qFormat/>
    <w:uiPriority w:val="10"/>
    <w:rPr>
      <w:rFonts w:eastAsia="宋体" w:asciiTheme="majorHAnsi" w:hAnsiTheme="majorHAnsi" w:cstheme="majorBidi"/>
      <w:b/>
      <w:bCs/>
      <w:sz w:val="32"/>
      <w:szCs w:val="32"/>
    </w:rPr>
  </w:style>
  <w:style w:type="character" w:customStyle="1" w:styleId="124">
    <w:name w:val="样式1 Char Char"/>
    <w:link w:val="93"/>
    <w:autoRedefine/>
    <w:qFormat/>
    <w:uiPriority w:val="0"/>
    <w:rPr>
      <w:rFonts w:ascii="宋体" w:hAnsi="宋体" w:eastAsia="宋体" w:cs="Times New Roman"/>
      <w:kern w:val="0"/>
      <w:szCs w:val="21"/>
    </w:rPr>
  </w:style>
  <w:style w:type="paragraph" w:customStyle="1" w:styleId="125">
    <w:name w:val="pa-20"/>
    <w:basedOn w:val="1"/>
    <w:autoRedefine/>
    <w:qFormat/>
    <w:uiPriority w:val="0"/>
    <w:pPr>
      <w:widowControl/>
      <w:spacing w:before="150" w:after="150"/>
      <w:jc w:val="left"/>
    </w:pPr>
    <w:rPr>
      <w:rFonts w:ascii="Arial Unicode MS" w:hAnsi="Arial Unicode MS" w:eastAsia="Times New Roman" w:cs="Arial Unicode MS"/>
      <w:kern w:val="0"/>
      <w:sz w:val="24"/>
    </w:rPr>
  </w:style>
  <w:style w:type="character" w:customStyle="1" w:styleId="126">
    <w:name w:val="font71"/>
    <w:basedOn w:val="46"/>
    <w:autoRedefine/>
    <w:qFormat/>
    <w:uiPriority w:val="0"/>
    <w:rPr>
      <w:rFonts w:hint="eastAsia" w:ascii="宋体" w:hAnsi="宋体" w:eastAsia="宋体" w:cs="宋体"/>
      <w:color w:val="000000"/>
      <w:sz w:val="18"/>
      <w:szCs w:val="18"/>
      <w:u w:val="none"/>
    </w:rPr>
  </w:style>
  <w:style w:type="character" w:customStyle="1" w:styleId="127">
    <w:name w:val="font21"/>
    <w:basedOn w:val="46"/>
    <w:autoRedefine/>
    <w:qFormat/>
    <w:uiPriority w:val="0"/>
    <w:rPr>
      <w:rFonts w:hint="eastAsia" w:ascii="宋体" w:hAnsi="宋体" w:eastAsia="宋体" w:cs="宋体"/>
      <w:color w:val="000000"/>
      <w:sz w:val="22"/>
      <w:szCs w:val="22"/>
      <w:u w:val="none"/>
    </w:rPr>
  </w:style>
  <w:style w:type="character" w:customStyle="1" w:styleId="128">
    <w:name w:val="font11"/>
    <w:basedOn w:val="46"/>
    <w:autoRedefine/>
    <w:qFormat/>
    <w:uiPriority w:val="0"/>
    <w:rPr>
      <w:rFonts w:hint="default" w:ascii="Tahoma" w:hAnsi="Tahoma" w:eastAsia="Tahoma" w:cs="Tahoma"/>
      <w:color w:val="000000"/>
      <w:sz w:val="22"/>
      <w:szCs w:val="22"/>
      <w:u w:val="none"/>
    </w:rPr>
  </w:style>
  <w:style w:type="character" w:customStyle="1" w:styleId="129">
    <w:name w:val="font01"/>
    <w:basedOn w:val="46"/>
    <w:autoRedefine/>
    <w:qFormat/>
    <w:uiPriority w:val="0"/>
    <w:rPr>
      <w:rFonts w:hint="eastAsia" w:ascii="宋体" w:hAnsi="宋体" w:eastAsia="宋体" w:cs="宋体"/>
      <w:color w:val="000000"/>
      <w:sz w:val="22"/>
      <w:szCs w:val="22"/>
      <w:u w:val="none"/>
    </w:rPr>
  </w:style>
  <w:style w:type="paragraph" w:customStyle="1" w:styleId="130">
    <w:name w:val="_Style 1"/>
    <w:basedOn w:val="1"/>
    <w:autoRedefine/>
    <w:qFormat/>
    <w:uiPriority w:val="34"/>
    <w:pPr>
      <w:ind w:firstLine="420" w:firstLineChars="200"/>
    </w:pPr>
    <w:rPr>
      <w:kern w:val="0"/>
      <w:sz w:val="20"/>
    </w:rPr>
  </w:style>
  <w:style w:type="character" w:customStyle="1" w:styleId="131">
    <w:name w:val="font131"/>
    <w:basedOn w:val="46"/>
    <w:autoRedefine/>
    <w:qFormat/>
    <w:uiPriority w:val="0"/>
    <w:rPr>
      <w:rFonts w:hint="eastAsia" w:ascii="幼圆" w:hAnsi="幼圆" w:eastAsia="幼圆" w:cs="幼圆"/>
      <w:color w:val="000000"/>
      <w:sz w:val="18"/>
      <w:szCs w:val="18"/>
      <w:u w:val="none"/>
    </w:rPr>
  </w:style>
  <w:style w:type="character" w:customStyle="1" w:styleId="132">
    <w:name w:val="font121"/>
    <w:basedOn w:val="46"/>
    <w:autoRedefine/>
    <w:qFormat/>
    <w:uiPriority w:val="0"/>
    <w:rPr>
      <w:rFonts w:hint="eastAsia" w:ascii="幼圆" w:hAnsi="幼圆" w:eastAsia="幼圆" w:cs="幼圆"/>
      <w:color w:val="000000"/>
      <w:sz w:val="21"/>
      <w:szCs w:val="21"/>
      <w:u w:val="none"/>
    </w:rPr>
  </w:style>
  <w:style w:type="character" w:customStyle="1" w:styleId="133">
    <w:name w:val="font81"/>
    <w:basedOn w:val="46"/>
    <w:autoRedefine/>
    <w:qFormat/>
    <w:uiPriority w:val="0"/>
    <w:rPr>
      <w:rFonts w:ascii="Calibri" w:hAnsi="Calibri" w:cs="Calibri"/>
      <w:color w:val="000000"/>
      <w:sz w:val="21"/>
      <w:szCs w:val="21"/>
      <w:u w:val="none"/>
    </w:rPr>
  </w:style>
  <w:style w:type="paragraph" w:customStyle="1" w:styleId="134">
    <w:name w:val="Table Paragraph"/>
    <w:basedOn w:val="1"/>
    <w:autoRedefine/>
    <w:qFormat/>
    <w:uiPriority w:val="1"/>
  </w:style>
  <w:style w:type="paragraph" w:customStyle="1" w:styleId="135">
    <w:name w:val="_Style 121"/>
    <w:basedOn w:val="19"/>
    <w:next w:val="43"/>
    <w:autoRedefine/>
    <w:qFormat/>
    <w:uiPriority w:val="0"/>
    <w:pPr>
      <w:ind w:firstLine="420" w:firstLineChars="200"/>
    </w:pPr>
  </w:style>
  <w:style w:type="character" w:customStyle="1" w:styleId="136">
    <w:name w:val="纯文本 字符"/>
    <w:autoRedefine/>
    <w:qFormat/>
    <w:uiPriority w:val="0"/>
    <w:rPr>
      <w:rFonts w:ascii="宋体" w:hAnsi="Courier New" w:eastAsia="宋体" w:cs="Courier New"/>
      <w:szCs w:val="21"/>
    </w:rPr>
  </w:style>
  <w:style w:type="character" w:customStyle="1" w:styleId="137">
    <w:name w:val="二级无 Char"/>
    <w:link w:val="138"/>
    <w:autoRedefine/>
    <w:qFormat/>
    <w:uiPriority w:val="0"/>
    <w:rPr>
      <w:rFonts w:ascii="宋体"/>
      <w:szCs w:val="21"/>
    </w:rPr>
  </w:style>
  <w:style w:type="paragraph" w:customStyle="1" w:styleId="138">
    <w:name w:val="二级无"/>
    <w:basedOn w:val="1"/>
    <w:link w:val="137"/>
    <w:autoRedefine/>
    <w:qFormat/>
    <w:uiPriority w:val="0"/>
    <w:pPr>
      <w:widowControl/>
      <w:spacing w:before="50" w:after="50"/>
      <w:ind w:left="710"/>
      <w:jc w:val="left"/>
      <w:outlineLvl w:val="3"/>
    </w:pPr>
    <w:rPr>
      <w:rFonts w:ascii="宋体"/>
      <w:kern w:val="0"/>
      <w:sz w:val="20"/>
      <w:szCs w:val="21"/>
    </w:rPr>
  </w:style>
  <w:style w:type="paragraph" w:customStyle="1" w:styleId="139">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0">
    <w:name w:val="一级条标题"/>
    <w:next w:val="139"/>
    <w:autoRedefine/>
    <w:qFormat/>
    <w:uiPriority w:val="0"/>
    <w:pPr>
      <w:tabs>
        <w:tab w:val="left" w:pos="420"/>
        <w:tab w:val="left" w:pos="840"/>
      </w:tabs>
      <w:spacing w:beforeLines="50" w:afterLines="50"/>
      <w:outlineLvl w:val="2"/>
    </w:pPr>
    <w:rPr>
      <w:rFonts w:ascii="黑体" w:hAnsi="Times New Roman" w:eastAsia="黑体" w:cs="Times New Roman"/>
      <w:kern w:val="2"/>
      <w:sz w:val="21"/>
      <w:szCs w:val="21"/>
      <w:lang w:val="en-US" w:eastAsia="zh-CN" w:bidi="ar-SA"/>
    </w:rPr>
  </w:style>
  <w:style w:type="paragraph" w:customStyle="1" w:styleId="141">
    <w:name w:val="WPSOffice手动目录 1"/>
    <w:autoRedefine/>
    <w:qFormat/>
    <w:uiPriority w:val="0"/>
    <w:rPr>
      <w:rFonts w:asciiTheme="minorHAnsi" w:hAnsiTheme="minorHAnsi" w:eastAsiaTheme="minorEastAsia" w:cstheme="minorBidi"/>
      <w:lang w:val="en-US" w:eastAsia="zh-CN" w:bidi="ar-SA"/>
    </w:rPr>
  </w:style>
  <w:style w:type="paragraph" w:customStyle="1" w:styleId="142">
    <w:name w:val="WPSOffice手动目录 2"/>
    <w:autoRedefine/>
    <w:qFormat/>
    <w:uiPriority w:val="0"/>
    <w:pPr>
      <w:ind w:left="200" w:leftChars="200"/>
    </w:pPr>
    <w:rPr>
      <w:rFonts w:asciiTheme="minorHAnsi" w:hAnsiTheme="minorHAnsi" w:eastAsiaTheme="minorEastAsia" w:cstheme="minorBidi"/>
      <w:lang w:val="en-US" w:eastAsia="zh-CN" w:bidi="ar-SA"/>
    </w:rPr>
  </w:style>
  <w:style w:type="paragraph" w:customStyle="1" w:styleId="143">
    <w:name w:val="WPSOffice手动目录 3"/>
    <w:autoRedefine/>
    <w:qFormat/>
    <w:uiPriority w:val="0"/>
    <w:pPr>
      <w:ind w:left="400" w:leftChars="400"/>
    </w:pPr>
    <w:rPr>
      <w:rFonts w:asciiTheme="minorHAnsi" w:hAnsiTheme="minorHAnsi" w:eastAsiaTheme="minorEastAsia" w:cstheme="minorBidi"/>
      <w:lang w:val="en-US" w:eastAsia="zh-CN" w:bidi="ar-SA"/>
    </w:rPr>
  </w:style>
  <w:style w:type="character" w:customStyle="1" w:styleId="144">
    <w:name w:val="font31"/>
    <w:autoRedefine/>
    <w:qFormat/>
    <w:uiPriority w:val="0"/>
    <w:rPr>
      <w:rFonts w:hint="eastAsia" w:ascii="宋体" w:hAnsi="宋体" w:eastAsia="宋体" w:cs="宋体"/>
      <w:color w:val="000000"/>
      <w:sz w:val="18"/>
      <w:szCs w:val="18"/>
      <w:u w:val="none"/>
    </w:rPr>
  </w:style>
  <w:style w:type="character" w:customStyle="1" w:styleId="145">
    <w:name w:val="font51"/>
    <w:autoRedefine/>
    <w:qFormat/>
    <w:uiPriority w:val="0"/>
    <w:rPr>
      <w:rFonts w:hint="eastAsia" w:ascii="宋体" w:hAnsi="宋体" w:eastAsia="宋体" w:cs="宋体"/>
      <w:color w:val="000000"/>
      <w:sz w:val="18"/>
      <w:szCs w:val="18"/>
      <w:u w:val="none"/>
    </w:rPr>
  </w:style>
  <w:style w:type="paragraph" w:customStyle="1" w:styleId="146">
    <w:name w:val="正文缩进1"/>
    <w:basedOn w:val="1"/>
    <w:autoRedefine/>
    <w:qFormat/>
    <w:uiPriority w:val="0"/>
    <w:pPr>
      <w:widowControl/>
      <w:ind w:firstLine="420"/>
      <w:jc w:val="left"/>
    </w:pPr>
    <w:rPr>
      <w:kern w:val="0"/>
    </w:rPr>
  </w:style>
  <w:style w:type="character" w:customStyle="1" w:styleId="147">
    <w:name w:val="font41"/>
    <w:basedOn w:val="46"/>
    <w:autoRedefine/>
    <w:qFormat/>
    <w:uiPriority w:val="0"/>
    <w:rPr>
      <w:rFonts w:hint="eastAsia" w:ascii="黑体" w:hAnsi="宋体" w:eastAsia="黑体" w:cs="黑体"/>
      <w:color w:val="000000"/>
      <w:sz w:val="36"/>
      <w:szCs w:val="36"/>
      <w:u w:val="none"/>
    </w:rPr>
  </w:style>
  <w:style w:type="character" w:customStyle="1" w:styleId="148">
    <w:name w:val="font61"/>
    <w:basedOn w:val="46"/>
    <w:autoRedefine/>
    <w:qFormat/>
    <w:uiPriority w:val="0"/>
    <w:rPr>
      <w:rFonts w:hint="eastAsia" w:ascii="宋体" w:hAnsi="宋体" w:eastAsia="宋体" w:cs="宋体"/>
      <w:color w:val="000000"/>
      <w:sz w:val="24"/>
      <w:szCs w:val="24"/>
      <w:u w:val="none"/>
    </w:rPr>
  </w:style>
  <w:style w:type="paragraph" w:customStyle="1" w:styleId="149">
    <w:name w:val="表格文字"/>
    <w:basedOn w:val="1"/>
    <w:next w:val="16"/>
    <w:autoRedefine/>
    <w:qFormat/>
    <w:uiPriority w:val="99"/>
    <w:pPr>
      <w:snapToGrid w:val="0"/>
      <w:spacing w:before="120"/>
    </w:pPr>
    <w:rPr>
      <w:szCs w:val="20"/>
    </w:rPr>
  </w:style>
  <w:style w:type="character" w:customStyle="1" w:styleId="150">
    <w:name w:val="Unresolved Mention"/>
    <w:basedOn w:val="46"/>
    <w:autoRedefine/>
    <w:semiHidden/>
    <w:unhideWhenUsed/>
    <w:qFormat/>
    <w:uiPriority w:val="99"/>
    <w:rPr>
      <w:color w:val="605E5C"/>
      <w:shd w:val="clear" w:color="auto" w:fill="E1DFDD"/>
    </w:rPr>
  </w:style>
  <w:style w:type="character" w:customStyle="1" w:styleId="151">
    <w:name w:val="bzrq"/>
    <w:basedOn w:val="46"/>
    <w:autoRedefine/>
    <w:qFormat/>
    <w:uiPriority w:val="0"/>
  </w:style>
  <w:style w:type="character" w:customStyle="1" w:styleId="152">
    <w:name w:val="bzmc"/>
    <w:basedOn w:val="46"/>
    <w:autoRedefine/>
    <w:qFormat/>
    <w:uiPriority w:val="0"/>
  </w:style>
  <w:style w:type="character" w:customStyle="1" w:styleId="153">
    <w:name w:val="bzmc1"/>
    <w:basedOn w:val="46"/>
    <w:autoRedefine/>
    <w:qFormat/>
    <w:uiPriority w:val="0"/>
  </w:style>
  <w:style w:type="character" w:customStyle="1" w:styleId="154">
    <w:name w:val="bzmc2"/>
    <w:basedOn w:val="46"/>
    <w:autoRedefine/>
    <w:qFormat/>
    <w:uiPriority w:val="0"/>
  </w:style>
  <w:style w:type="character" w:customStyle="1" w:styleId="155">
    <w:name w:val="thisit"/>
    <w:basedOn w:val="46"/>
    <w:autoRedefine/>
    <w:qFormat/>
    <w:uiPriority w:val="0"/>
  </w:style>
  <w:style w:type="character" w:customStyle="1" w:styleId="156">
    <w:name w:val="sysj"/>
    <w:basedOn w:val="46"/>
    <w:autoRedefine/>
    <w:qFormat/>
    <w:uiPriority w:val="0"/>
  </w:style>
  <w:style w:type="character" w:customStyle="1" w:styleId="157">
    <w:name w:val="f_r6"/>
    <w:basedOn w:val="46"/>
    <w:autoRedefine/>
    <w:qFormat/>
    <w:uiPriority w:val="0"/>
  </w:style>
  <w:style w:type="character" w:customStyle="1" w:styleId="158">
    <w:name w:val="bsharetext"/>
    <w:basedOn w:val="46"/>
    <w:autoRedefine/>
    <w:qFormat/>
    <w:uiPriority w:val="0"/>
  </w:style>
  <w:style w:type="paragraph" w:customStyle="1" w:styleId="159">
    <w:name w:val="Other|1"/>
    <w:basedOn w:val="1"/>
    <w:autoRedefine/>
    <w:qFormat/>
    <w:uiPriority w:val="0"/>
    <w:pPr>
      <w:widowControl w:val="0"/>
      <w:shd w:val="clear" w:color="auto" w:fill="auto"/>
      <w:spacing w:line="252" w:lineRule="exact"/>
      <w:jc w:val="center"/>
    </w:pPr>
    <w:rPr>
      <w:rFonts w:ascii="MingLiU" w:hAnsi="MingLiU" w:eastAsia="MingLiU" w:cs="MingLiU"/>
      <w:sz w:val="19"/>
      <w:szCs w:val="19"/>
      <w:u w:val="none"/>
      <w:shd w:val="clear" w:color="auto" w:fill="auto"/>
      <w:lang w:val="zh-TW" w:eastAsia="zh-TW" w:bidi="zh-TW"/>
    </w:rPr>
  </w:style>
  <w:style w:type="character" w:customStyle="1" w:styleId="160">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161">
    <w:name w:val="Normal"/>
    <w:autoRedefine/>
    <w:qFormat/>
    <w:uiPriority w:val="0"/>
    <w:pPr>
      <w:jc w:val="both"/>
    </w:pPr>
    <w:rPr>
      <w:rFonts w:ascii="Calibri" w:hAnsi="Calibri" w:eastAsia="宋体" w:cs="宋体"/>
      <w:kern w:val="2"/>
      <w:sz w:val="21"/>
      <w:szCs w:val="21"/>
      <w:lang w:val="en-US" w:eastAsia="zh-CN" w:bidi="ar-SA"/>
    </w:rPr>
  </w:style>
  <w:style w:type="paragraph" w:customStyle="1" w:styleId="162">
    <w:name w:val="Normal_0_1"/>
    <w:autoRedefine/>
    <w:qFormat/>
    <w:uiPriority w:val="0"/>
    <w:rPr>
      <w:rFonts w:ascii="Times New Roman" w:hAnsi="Times New Roman" w:eastAsia="Times New Roman" w:cs="Times New Roman"/>
      <w:sz w:val="24"/>
      <w:szCs w:val="24"/>
    </w:rPr>
  </w:style>
  <w:style w:type="table" w:customStyle="1" w:styleId="163">
    <w:name w:val="Table Normal"/>
    <w:autoRedefine/>
    <w:semiHidden/>
    <w:unhideWhenUsed/>
    <w:qFormat/>
    <w:uiPriority w:val="0"/>
    <w:tblPr>
      <w:tblCellMar>
        <w:top w:w="0" w:type="dxa"/>
        <w:left w:w="0" w:type="dxa"/>
        <w:bottom w:w="0" w:type="dxa"/>
        <w:right w:w="0" w:type="dxa"/>
      </w:tblCellMar>
    </w:tblPr>
  </w:style>
  <w:style w:type="paragraph" w:customStyle="1" w:styleId="164">
    <w:name w:val="Normal_0_2"/>
    <w:autoRedefine/>
    <w:qFormat/>
    <w:uiPriority w:val="0"/>
    <w:rPr>
      <w:rFonts w:ascii="Times New Roman" w:hAnsi="Times New Roman" w:eastAsia="宋体" w:cs="Times New Roman"/>
      <w:sz w:val="24"/>
      <w:szCs w:val="24"/>
    </w:rPr>
  </w:style>
  <w:style w:type="character" w:customStyle="1" w:styleId="165">
    <w:name w:val="hover27"/>
    <w:basedOn w:val="46"/>
    <w:autoRedefine/>
    <w:qFormat/>
    <w:uiPriority w:val="0"/>
  </w:style>
  <w:style w:type="character" w:customStyle="1" w:styleId="166">
    <w:name w:val="hover28"/>
    <w:basedOn w:val="46"/>
    <w:autoRedefine/>
    <w:qFormat/>
    <w:uiPriority w:val="0"/>
    <w:rPr>
      <w:color w:val="315EFB"/>
    </w:rPr>
  </w:style>
  <w:style w:type="character" w:customStyle="1" w:styleId="167">
    <w:name w:val="c-icon30"/>
    <w:basedOn w:val="46"/>
    <w:autoRedefine/>
    <w:qFormat/>
    <w:uiPriority w:val="0"/>
  </w:style>
  <w:style w:type="character" w:customStyle="1" w:styleId="168">
    <w:name w:val="hover29"/>
    <w:basedOn w:val="46"/>
    <w:autoRedefine/>
    <w:qFormat/>
    <w:uiPriority w:val="0"/>
    <w:rPr>
      <w:color w:val="315EFB"/>
    </w:rPr>
  </w:style>
  <w:style w:type="character" w:customStyle="1" w:styleId="169">
    <w:name w:val="15"/>
    <w:basedOn w:val="46"/>
    <w:autoRedefine/>
    <w:qFormat/>
    <w:uiPriority w:val="0"/>
    <w:rPr>
      <w:rFonts w:hint="default" w:ascii="Arial" w:hAnsi="Arial" w:eastAsia="宋体" w:cs="Times New Roman"/>
      <w:b/>
      <w:bCs/>
      <w:sz w:val="21"/>
      <w:szCs w:val="21"/>
    </w:rPr>
  </w:style>
  <w:style w:type="paragraph" w:customStyle="1" w:styleId="170">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1">
    <w:name w:val="正文_7"/>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2">
    <w:name w:val="Normal_8"/>
    <w:autoRedefine/>
    <w:qFormat/>
    <w:uiPriority w:val="0"/>
    <w:rPr>
      <w:rFonts w:ascii="Times New Roman" w:hAnsi="Times New Roman" w:eastAsia="Times New Roman" w:cs="Times New Roman"/>
      <w:sz w:val="24"/>
      <w:szCs w:val="24"/>
    </w:rPr>
  </w:style>
  <w:style w:type="paragraph" w:customStyle="1" w:styleId="173">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4">
    <w:name w:val="Normal_6"/>
    <w:autoRedefine/>
    <w:qFormat/>
    <w:uiPriority w:val="0"/>
    <w:rPr>
      <w:rFonts w:ascii="Times New Roman" w:hAnsi="Times New Roman" w:eastAsia="Times New Roman" w:cs="Times New Roman"/>
      <w:sz w:val="24"/>
      <w:szCs w:val="24"/>
    </w:rPr>
  </w:style>
  <w:style w:type="paragraph" w:customStyle="1" w:styleId="175">
    <w:name w:val="正文_0_0"/>
    <w:next w:val="176"/>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6">
    <w:name w:val="正文文本_0"/>
    <w:basedOn w:val="175"/>
    <w:next w:val="177"/>
    <w:autoRedefine/>
    <w:qFormat/>
    <w:uiPriority w:val="99"/>
    <w:pPr>
      <w:spacing w:after="120"/>
    </w:pPr>
  </w:style>
  <w:style w:type="paragraph" w:customStyle="1" w:styleId="177">
    <w:name w:val="Default_1"/>
    <w:next w:val="178"/>
    <w:autoRedefine/>
    <w:qFormat/>
    <w:uiPriority w:val="99"/>
    <w:pPr>
      <w:widowControl w:val="0"/>
      <w:autoSpaceDE w:val="0"/>
      <w:autoSpaceDN w:val="0"/>
      <w:adjustRightInd w:val="0"/>
    </w:pPr>
    <w:rPr>
      <w:rFonts w:ascii="黑体" w:hAnsi="Times New Roman" w:eastAsia="黑体" w:cs="Times New Roman"/>
      <w:kern w:val="0"/>
      <w:sz w:val="20"/>
      <w:szCs w:val="20"/>
      <w:lang w:val="en-US" w:eastAsia="zh-CN" w:bidi="ar-SA"/>
    </w:rPr>
  </w:style>
  <w:style w:type="paragraph" w:customStyle="1" w:styleId="178">
    <w:name w:val="索引 7_0"/>
    <w:basedOn w:val="175"/>
    <w:next w:val="175"/>
    <w:autoRedefine/>
    <w:qFormat/>
    <w:uiPriority w:val="99"/>
    <w:pPr>
      <w:ind w:left="2520"/>
    </w:pPr>
    <w:rPr>
      <w:rFonts w:ascii="Calibri" w:hAnsi="Calibri"/>
      <w:szCs w:val="22"/>
    </w:rPr>
  </w:style>
  <w:style w:type="paragraph" w:customStyle="1" w:styleId="179">
    <w:name w:val="Normal_0"/>
    <w:autoRedefine/>
    <w:qFormat/>
    <w:uiPriority w:val="0"/>
    <w:rPr>
      <w:rFonts w:ascii="Times New Roman" w:hAnsi="Times New Roman" w:eastAsia="Times New Roman" w:cs="Times New Roman"/>
      <w:sz w:val="24"/>
      <w:szCs w:val="24"/>
      <w:lang w:bidi="ar-SA"/>
    </w:rPr>
  </w:style>
  <w:style w:type="paragraph" w:customStyle="1" w:styleId="180">
    <w:name w:val="Normal_1"/>
    <w:autoRedefine/>
    <w:qFormat/>
    <w:uiPriority w:val="0"/>
    <w:rPr>
      <w:rFonts w:ascii="Times New Roman" w:hAnsi="Times New Roman" w:eastAsia="Times New Roman" w:cs="Times New Roman"/>
      <w:sz w:val="24"/>
      <w:szCs w:val="24"/>
      <w:lang w:bidi="ar-SA"/>
    </w:rPr>
  </w:style>
  <w:style w:type="paragraph" w:customStyle="1" w:styleId="181">
    <w:name w:val="Default2"/>
    <w:autoRedefine/>
    <w:qFormat/>
    <w:uiPriority w:val="0"/>
    <w:pPr>
      <w:widowControl w:val="0"/>
      <w:autoSpaceDE w:val="0"/>
      <w:autoSpaceDN w:val="0"/>
      <w:adjustRightInd w:val="0"/>
    </w:pPr>
    <w:rPr>
      <w:rFonts w:ascii="黑体" w:hAnsi="Calibri" w:eastAsia="黑体" w:cs="Times New Roman"/>
      <w:sz w:val="21"/>
      <w:szCs w:val="22"/>
      <w:lang w:val="en-US" w:eastAsia="zh-CN" w:bidi="ar-SA"/>
    </w:rPr>
  </w:style>
  <w:style w:type="character" w:customStyle="1" w:styleId="182">
    <w:name w:val="input1"/>
    <w:basedOn w:val="46"/>
    <w:autoRedefine/>
    <w:qFormat/>
    <w:uiPriority w:val="0"/>
    <w:rPr>
      <w:color w:val="000000"/>
      <w:sz w:val="21"/>
      <w:szCs w:val="21"/>
      <w:bdr w:val="single" w:color="000000" w:sz="2" w:space="0"/>
      <w:shd w:val="clear" w:fill="F7F2B0"/>
    </w:rPr>
  </w:style>
  <w:style w:type="paragraph" w:customStyle="1" w:styleId="183">
    <w:name w:val="Normal_12"/>
    <w:autoRedefine/>
    <w:qFormat/>
    <w:uiPriority w:val="0"/>
    <w:rPr>
      <w:rFonts w:ascii="Times New Roman" w:hAnsi="Times New Roman" w:eastAsia="Times New Roman" w:cs="Times New Roman"/>
      <w:sz w:val="24"/>
      <w:szCs w:val="24"/>
    </w:rPr>
  </w:style>
  <w:style w:type="paragraph" w:customStyle="1" w:styleId="184">
    <w:name w:val="Normal_13"/>
    <w:next w:val="115"/>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85">
    <w:name w:val="Comment Text"/>
    <w:basedOn w:val="184"/>
    <w:autoRedefine/>
    <w:qFormat/>
    <w:uiPriority w:val="0"/>
    <w:pPr>
      <w:jc w:val="left"/>
    </w:pPr>
    <w:rPr>
      <w:szCs w:val="22"/>
    </w:rPr>
  </w:style>
  <w:style w:type="paragraph" w:customStyle="1" w:styleId="186">
    <w:name w:val="Normal_14"/>
    <w:autoRedefine/>
    <w:qFormat/>
    <w:uiPriority w:val="0"/>
    <w:rPr>
      <w:rFonts w:ascii="Times New Roman" w:hAnsi="Times New Roman" w:eastAsia="Times New Roman" w:cs="Times New Roman"/>
      <w:sz w:val="24"/>
      <w:szCs w:val="24"/>
    </w:rPr>
  </w:style>
  <w:style w:type="paragraph" w:customStyle="1" w:styleId="187">
    <w:name w:val="正文_1"/>
    <w:next w:val="18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8">
    <w:name w:val="标题 2_0"/>
    <w:basedOn w:val="187"/>
    <w:next w:val="189"/>
    <w:autoRedefine/>
    <w:qFormat/>
    <w:uiPriority w:val="0"/>
    <w:pPr>
      <w:keepNext/>
      <w:keepLines/>
      <w:spacing w:line="360" w:lineRule="auto"/>
      <w:outlineLvl w:val="1"/>
    </w:pPr>
    <w:rPr>
      <w:rFonts w:ascii="Arial" w:hAnsi="Arial"/>
      <w:b/>
      <w:bCs/>
      <w:sz w:val="24"/>
      <w:szCs w:val="32"/>
    </w:rPr>
  </w:style>
  <w:style w:type="paragraph" w:customStyle="1" w:styleId="189">
    <w:name w:val="正文缩进_0"/>
    <w:basedOn w:val="187"/>
    <w:autoRedefine/>
    <w:qFormat/>
    <w:uiPriority w:val="0"/>
    <w:pPr>
      <w:widowControl/>
      <w:ind w:firstLine="420"/>
      <w:jc w:val="left"/>
    </w:pPr>
    <w:rPr>
      <w:kern w:val="0"/>
      <w:sz w:val="20"/>
      <w:szCs w:val="20"/>
    </w:rPr>
  </w:style>
  <w:style w:type="character" w:customStyle="1" w:styleId="190">
    <w:name w:val="mini-outputtext1"/>
    <w:basedOn w:val="46"/>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jpe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09CE7C-1DF2-400A-A4CD-37C5A41ADA72}">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112</Pages>
  <Words>5134</Words>
  <Characters>5707</Characters>
  <Lines>82</Lines>
  <Paragraphs>123</Paragraphs>
  <TotalTime>12</TotalTime>
  <ScaleCrop>false</ScaleCrop>
  <LinksUpToDate>false</LinksUpToDate>
  <CharactersWithSpaces>5955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2020-11-04T06:18:00Z</dcterms:created>
  <dc:creator>admin</dc:creator>
  <cp:lastModifiedBy>钟小小</cp:lastModifiedBy>
  <cp:lastPrinted>2023-02-02T00:53:00Z</cp:lastPrinted>
  <dcterms:modified xsi:type="dcterms:W3CDTF">2026-08-12T10:11:28Z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6CDE6FC815784BD7BF180307802BDB97_13</vt:lpwstr>
  </property>
  <property fmtid="{D5CDD505-2E9C-101B-9397-08002B2CF9AE}" pid="4" name="KSOTemplateDocerSaveRecord">
    <vt:lpwstr>eyJoZGlkIjoiYjQ5NGVlMzhiODA2ZWRmMjVmYjk2ZDVlMTg1ODA1MDkiLCJ1c2VySWQiOiIyMDQwMjk2MzcifQ==</vt:lpwstr>
  </property>
</Properties>
</file>