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65CB8">
      <w:pPr>
        <w:pStyle w:val="2"/>
        <w:numPr>
          <w:ilvl w:val="0"/>
          <w:numId w:val="0"/>
        </w:numPr>
        <w:spacing w:before="120" w:after="120" w:line="240" w:lineRule="auto"/>
      </w:pPr>
      <w:bookmarkStart w:id="0" w:name="_Toc178338855"/>
      <w:bookmarkStart w:id="1" w:name="_Toc256000013"/>
      <w:r>
        <w:rPr>
          <w:rFonts w:hint="eastAsia"/>
          <w:highlight w:val="white"/>
        </w:rPr>
        <w:t>第五章  采购内容与要求</w:t>
      </w:r>
      <w:bookmarkEnd w:id="0"/>
      <w:bookmarkEnd w:id="1"/>
    </w:p>
    <w:p w14:paraId="54507A68">
      <w:pPr>
        <w:pStyle w:val="6"/>
        <w:keepNext w:val="0"/>
        <w:keepLines w:val="0"/>
        <w:pageBreakBefore w:val="0"/>
        <w:widowControl/>
        <w:wordWrap/>
        <w:overflowPunct/>
        <w:topLinePunct w:val="0"/>
        <w:autoSpaceDE w:val="0"/>
        <w:autoSpaceDN w:val="0"/>
        <w:bidi w:val="0"/>
        <w:adjustRightInd w:val="0"/>
        <w:snapToGrid w:val="0"/>
        <w:spacing w:before="0" w:after="0" w:line="312" w:lineRule="auto"/>
        <w:ind w:left="13" w:right="0"/>
        <w:jc w:val="left"/>
        <w:outlineLvl w:val="2"/>
        <w:rPr>
          <w:rStyle w:val="5"/>
          <w:rFonts w:hint="eastAsia" w:ascii="黑体" w:hAnsi="黑体" w:eastAsia="黑体" w:cs="黑体"/>
          <w:b/>
          <w:bCs/>
          <w:color w:val="auto"/>
          <w:kern w:val="0"/>
          <w:sz w:val="28"/>
          <w:szCs w:val="28"/>
          <w:lang w:val="zh-CN" w:bidi="zh-CN"/>
        </w:rPr>
      </w:pPr>
      <w:bookmarkStart w:id="2" w:name="_Toc31915"/>
      <w:bookmarkStart w:id="3" w:name="_Toc256000014"/>
      <w:bookmarkStart w:id="4" w:name="_Toc27706"/>
      <w:r>
        <w:rPr>
          <w:rStyle w:val="5"/>
          <w:rFonts w:hint="eastAsia" w:ascii="黑体" w:hAnsi="黑体" w:eastAsia="黑体" w:cs="黑体"/>
          <w:b/>
          <w:bCs/>
          <w:color w:val="auto"/>
          <w:spacing w:val="-2"/>
          <w:kern w:val="0"/>
          <w:sz w:val="28"/>
          <w:szCs w:val="28"/>
          <w:lang w:val="zh-CN" w:bidi="zh-CN"/>
        </w:rPr>
        <w:t>一、采购内容及数量</w:t>
      </w:r>
      <w:bookmarkEnd w:id="2"/>
      <w:bookmarkEnd w:id="3"/>
      <w:bookmarkEnd w:id="4"/>
    </w:p>
    <w:tbl>
      <w:tblPr>
        <w:tblStyle w:val="3"/>
        <w:tblW w:w="9241"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323"/>
        <w:gridCol w:w="1275"/>
        <w:gridCol w:w="1725"/>
        <w:gridCol w:w="1181"/>
        <w:gridCol w:w="1444"/>
        <w:gridCol w:w="1293"/>
      </w:tblGrid>
      <w:tr w14:paraId="4A5AAF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2323" w:type="dxa"/>
            <w:tcBorders>
              <w:tl2br w:val="nil"/>
              <w:tr2bl w:val="nil"/>
            </w:tcBorders>
            <w:noWrap/>
            <w:vAlign w:val="center"/>
          </w:tcPr>
          <w:p w14:paraId="7BEC69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bookmarkStart w:id="5" w:name="_Toc256000015"/>
            <w:bookmarkStart w:id="6" w:name="_Toc25014"/>
            <w:bookmarkStart w:id="7" w:name="_Toc5118"/>
            <w:r>
              <w:rPr>
                <w:rFonts w:hint="eastAsia" w:ascii="宋体" w:hAnsi="宋体" w:eastAsia="宋体" w:cs="宋体"/>
                <w:i w:val="0"/>
                <w:iCs w:val="0"/>
                <w:color w:val="auto"/>
                <w:kern w:val="0"/>
                <w:sz w:val="21"/>
                <w:szCs w:val="21"/>
                <w:u w:val="none"/>
                <w:lang w:val="en-US" w:eastAsia="zh-CN" w:bidi="ar"/>
              </w:rPr>
              <w:t>包号</w:t>
            </w:r>
          </w:p>
        </w:tc>
        <w:tc>
          <w:tcPr>
            <w:tcW w:w="1275" w:type="dxa"/>
            <w:tcBorders>
              <w:tl2br w:val="nil"/>
              <w:tr2bl w:val="nil"/>
            </w:tcBorders>
            <w:noWrap/>
            <w:vAlign w:val="center"/>
          </w:tcPr>
          <w:p w14:paraId="03D241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品种需求</w:t>
            </w:r>
          </w:p>
        </w:tc>
        <w:tc>
          <w:tcPr>
            <w:tcW w:w="1725" w:type="dxa"/>
            <w:tcBorders>
              <w:tl2br w:val="nil"/>
              <w:tr2bl w:val="nil"/>
            </w:tcBorders>
            <w:noWrap w:val="0"/>
            <w:vAlign w:val="center"/>
          </w:tcPr>
          <w:p w14:paraId="7D1067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主要技术参数</w:t>
            </w:r>
          </w:p>
        </w:tc>
        <w:tc>
          <w:tcPr>
            <w:tcW w:w="1181" w:type="dxa"/>
            <w:tcBorders>
              <w:tl2br w:val="nil"/>
              <w:tr2bl w:val="nil"/>
            </w:tcBorders>
            <w:noWrap w:val="0"/>
            <w:vAlign w:val="center"/>
          </w:tcPr>
          <w:p w14:paraId="216507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数量</w:t>
            </w:r>
          </w:p>
        </w:tc>
        <w:tc>
          <w:tcPr>
            <w:tcW w:w="1444" w:type="dxa"/>
            <w:tcBorders>
              <w:tl2br w:val="nil"/>
              <w:tr2bl w:val="nil"/>
            </w:tcBorders>
            <w:noWrap w:val="0"/>
            <w:vAlign w:val="center"/>
          </w:tcPr>
          <w:p w14:paraId="0AF4AD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单价限价           </w:t>
            </w:r>
          </w:p>
        </w:tc>
        <w:tc>
          <w:tcPr>
            <w:tcW w:w="1293" w:type="dxa"/>
            <w:tcBorders>
              <w:tl2br w:val="nil"/>
              <w:tr2bl w:val="nil"/>
            </w:tcBorders>
            <w:noWrap w:val="0"/>
            <w:vAlign w:val="center"/>
          </w:tcPr>
          <w:p w14:paraId="66F708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最高限价        （万元）</w:t>
            </w:r>
          </w:p>
        </w:tc>
      </w:tr>
      <w:tr w14:paraId="10CDA50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restart"/>
            <w:tcBorders>
              <w:tl2br w:val="nil"/>
              <w:tr2bl w:val="nil"/>
            </w:tcBorders>
            <w:noWrap w:val="0"/>
            <w:vAlign w:val="center"/>
          </w:tcPr>
          <w:p w14:paraId="5B6014E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包一</w:t>
            </w:r>
          </w:p>
          <w:p w14:paraId="78581B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（油菜种子）</w:t>
            </w:r>
          </w:p>
        </w:tc>
        <w:tc>
          <w:tcPr>
            <w:tcW w:w="1275" w:type="dxa"/>
            <w:tcBorders>
              <w:tl2br w:val="nil"/>
              <w:tr2bl w:val="nil"/>
            </w:tcBorders>
            <w:noWrap/>
            <w:vAlign w:val="center"/>
          </w:tcPr>
          <w:p w14:paraId="2AC86C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庆油3号</w:t>
            </w:r>
          </w:p>
        </w:tc>
        <w:tc>
          <w:tcPr>
            <w:tcW w:w="1725" w:type="dxa"/>
            <w:vMerge w:val="restart"/>
            <w:tcBorders>
              <w:tl2br w:val="nil"/>
              <w:tr2bl w:val="nil"/>
            </w:tcBorders>
            <w:noWrap w:val="0"/>
            <w:vAlign w:val="center"/>
          </w:tcPr>
          <w:p w14:paraId="1DA4701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1.符合国家标准和行业标准；</w:t>
            </w:r>
          </w:p>
          <w:p w14:paraId="456D7CC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2.国家审定或湖南省审定；</w:t>
            </w:r>
          </w:p>
          <w:p w14:paraId="0E977CE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3.非转基因种子。</w:t>
            </w:r>
          </w:p>
        </w:tc>
        <w:tc>
          <w:tcPr>
            <w:tcW w:w="1181" w:type="dxa"/>
            <w:tcBorders>
              <w:tl2br w:val="nil"/>
              <w:tr2bl w:val="nil"/>
            </w:tcBorders>
            <w:noWrap w:val="0"/>
            <w:vAlign w:val="center"/>
          </w:tcPr>
          <w:p w14:paraId="5E16CD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ign w:val="center"/>
          </w:tcPr>
          <w:p w14:paraId="07FFA4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75元/公斤</w:t>
            </w:r>
          </w:p>
        </w:tc>
        <w:tc>
          <w:tcPr>
            <w:tcW w:w="1293" w:type="dxa"/>
            <w:vMerge w:val="restart"/>
            <w:tcBorders>
              <w:tl2br w:val="nil"/>
              <w:tr2bl w:val="nil"/>
            </w:tcBorders>
            <w:noWrap/>
            <w:vAlign w:val="center"/>
          </w:tcPr>
          <w:p w14:paraId="07297B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r>
      <w:tr w14:paraId="355D978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0"/>
            <w:vAlign w:val="center"/>
          </w:tcPr>
          <w:p w14:paraId="2D611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1275" w:type="dxa"/>
            <w:tcBorders>
              <w:tl2br w:val="nil"/>
              <w:tr2bl w:val="nil"/>
            </w:tcBorders>
            <w:noWrap/>
            <w:vAlign w:val="center"/>
          </w:tcPr>
          <w:p w14:paraId="61021E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晶油1号</w:t>
            </w:r>
          </w:p>
        </w:tc>
        <w:tc>
          <w:tcPr>
            <w:tcW w:w="1725" w:type="dxa"/>
            <w:vMerge w:val="continue"/>
            <w:tcBorders>
              <w:tl2br w:val="nil"/>
              <w:tr2bl w:val="nil"/>
            </w:tcBorders>
            <w:noWrap w:val="0"/>
            <w:vAlign w:val="center"/>
          </w:tcPr>
          <w:p w14:paraId="28C7D6D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p>
        </w:tc>
        <w:tc>
          <w:tcPr>
            <w:tcW w:w="1181" w:type="dxa"/>
            <w:tcBorders>
              <w:tl2br w:val="nil"/>
              <w:tr2bl w:val="nil"/>
            </w:tcBorders>
            <w:noWrap w:val="0"/>
            <w:vAlign w:val="center"/>
          </w:tcPr>
          <w:p w14:paraId="1C6BCC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ign w:val="center"/>
          </w:tcPr>
          <w:p w14:paraId="4C39F4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764B6414">
            <w:pPr>
              <w:jc w:val="center"/>
              <w:rPr>
                <w:rFonts w:hint="eastAsia" w:ascii="宋体" w:hAnsi="宋体" w:eastAsia="宋体" w:cs="宋体"/>
                <w:i w:val="0"/>
                <w:iCs w:val="0"/>
                <w:color w:val="auto"/>
                <w:sz w:val="21"/>
                <w:szCs w:val="21"/>
                <w:u w:val="none"/>
              </w:rPr>
            </w:pPr>
          </w:p>
        </w:tc>
      </w:tr>
      <w:tr w14:paraId="5D90E36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ign w:val="center"/>
          </w:tcPr>
          <w:p w14:paraId="1323359B">
            <w:pPr>
              <w:rPr>
                <w:rFonts w:hint="eastAsia" w:ascii="宋体" w:hAnsi="宋体" w:eastAsia="宋体" w:cs="宋体"/>
                <w:i w:val="0"/>
                <w:iCs w:val="0"/>
                <w:color w:val="auto"/>
                <w:sz w:val="22"/>
                <w:szCs w:val="22"/>
                <w:u w:val="none"/>
              </w:rPr>
            </w:pPr>
          </w:p>
        </w:tc>
        <w:tc>
          <w:tcPr>
            <w:tcW w:w="1275" w:type="dxa"/>
            <w:tcBorders>
              <w:tl2br w:val="nil"/>
              <w:tr2bl w:val="nil"/>
            </w:tcBorders>
            <w:noWrap/>
            <w:vAlign w:val="center"/>
          </w:tcPr>
          <w:p w14:paraId="1F40D6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景油993</w:t>
            </w:r>
          </w:p>
        </w:tc>
        <w:tc>
          <w:tcPr>
            <w:tcW w:w="1725" w:type="dxa"/>
            <w:vMerge w:val="continue"/>
            <w:tcBorders>
              <w:tl2br w:val="nil"/>
              <w:tr2bl w:val="nil"/>
            </w:tcBorders>
            <w:noWrap w:val="0"/>
            <w:vAlign w:val="center"/>
          </w:tcPr>
          <w:p w14:paraId="26ED656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p>
        </w:tc>
        <w:tc>
          <w:tcPr>
            <w:tcW w:w="1181" w:type="dxa"/>
            <w:tcBorders>
              <w:tl2br w:val="nil"/>
              <w:tr2bl w:val="nil"/>
            </w:tcBorders>
            <w:noWrap w:val="0"/>
            <w:vAlign w:val="center"/>
          </w:tcPr>
          <w:p w14:paraId="54304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ign w:val="center"/>
          </w:tcPr>
          <w:p w14:paraId="2FD513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2BDD1CE5">
            <w:pPr>
              <w:jc w:val="center"/>
              <w:rPr>
                <w:rFonts w:hint="eastAsia" w:ascii="宋体" w:hAnsi="宋体" w:eastAsia="宋体" w:cs="宋体"/>
                <w:i w:val="0"/>
                <w:iCs w:val="0"/>
                <w:color w:val="auto"/>
                <w:sz w:val="21"/>
                <w:szCs w:val="21"/>
                <w:u w:val="none"/>
              </w:rPr>
            </w:pPr>
          </w:p>
        </w:tc>
      </w:tr>
      <w:tr w14:paraId="154A26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ign w:val="center"/>
          </w:tcPr>
          <w:p w14:paraId="59A45AB3">
            <w:pPr>
              <w:rPr>
                <w:rFonts w:hint="eastAsia" w:ascii="宋体" w:hAnsi="宋体" w:eastAsia="宋体" w:cs="宋体"/>
                <w:i w:val="0"/>
                <w:iCs w:val="0"/>
                <w:color w:val="auto"/>
                <w:sz w:val="22"/>
                <w:szCs w:val="22"/>
                <w:u w:val="none"/>
              </w:rPr>
            </w:pPr>
          </w:p>
        </w:tc>
        <w:tc>
          <w:tcPr>
            <w:tcW w:w="1275" w:type="dxa"/>
            <w:tcBorders>
              <w:tl2br w:val="nil"/>
              <w:tr2bl w:val="nil"/>
            </w:tcBorders>
            <w:noWrap/>
            <w:vAlign w:val="center"/>
          </w:tcPr>
          <w:p w14:paraId="770F75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景油865</w:t>
            </w:r>
          </w:p>
        </w:tc>
        <w:tc>
          <w:tcPr>
            <w:tcW w:w="1725" w:type="dxa"/>
            <w:vMerge w:val="continue"/>
            <w:tcBorders>
              <w:tl2br w:val="nil"/>
              <w:tr2bl w:val="nil"/>
            </w:tcBorders>
            <w:noWrap/>
            <w:vAlign w:val="center"/>
          </w:tcPr>
          <w:p w14:paraId="630D602B">
            <w:pPr>
              <w:rPr>
                <w:rFonts w:hint="eastAsia" w:ascii="宋体" w:hAnsi="宋体" w:eastAsia="宋体" w:cs="宋体"/>
                <w:i w:val="0"/>
                <w:iCs w:val="0"/>
                <w:color w:val="auto"/>
                <w:sz w:val="22"/>
                <w:szCs w:val="22"/>
                <w:u w:val="none"/>
              </w:rPr>
            </w:pPr>
          </w:p>
        </w:tc>
        <w:tc>
          <w:tcPr>
            <w:tcW w:w="1181" w:type="dxa"/>
            <w:tcBorders>
              <w:tl2br w:val="nil"/>
              <w:tr2bl w:val="nil"/>
            </w:tcBorders>
            <w:noWrap w:val="0"/>
            <w:vAlign w:val="center"/>
          </w:tcPr>
          <w:p w14:paraId="034B49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ign w:val="center"/>
          </w:tcPr>
          <w:p w14:paraId="090162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505118AB">
            <w:pPr>
              <w:jc w:val="center"/>
              <w:rPr>
                <w:rFonts w:hint="eastAsia" w:ascii="宋体" w:hAnsi="宋体" w:eastAsia="宋体" w:cs="宋体"/>
                <w:i w:val="0"/>
                <w:iCs w:val="0"/>
                <w:color w:val="auto"/>
                <w:sz w:val="21"/>
                <w:szCs w:val="21"/>
                <w:u w:val="none"/>
              </w:rPr>
            </w:pPr>
          </w:p>
        </w:tc>
      </w:tr>
      <w:tr w14:paraId="228A29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ign w:val="center"/>
          </w:tcPr>
          <w:p w14:paraId="2F908C3F">
            <w:pPr>
              <w:rPr>
                <w:rFonts w:hint="eastAsia" w:ascii="宋体" w:hAnsi="宋体" w:eastAsia="宋体" w:cs="宋体"/>
                <w:i w:val="0"/>
                <w:iCs w:val="0"/>
                <w:color w:val="auto"/>
                <w:sz w:val="22"/>
                <w:szCs w:val="22"/>
                <w:u w:val="none"/>
              </w:rPr>
            </w:pPr>
          </w:p>
        </w:tc>
        <w:tc>
          <w:tcPr>
            <w:tcW w:w="1275" w:type="dxa"/>
            <w:tcBorders>
              <w:tl2br w:val="nil"/>
              <w:tr2bl w:val="nil"/>
            </w:tcBorders>
            <w:noWrap/>
            <w:vAlign w:val="center"/>
          </w:tcPr>
          <w:p w14:paraId="59CC0C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油研70</w:t>
            </w:r>
          </w:p>
        </w:tc>
        <w:tc>
          <w:tcPr>
            <w:tcW w:w="1725" w:type="dxa"/>
            <w:vMerge w:val="continue"/>
            <w:tcBorders>
              <w:tl2br w:val="nil"/>
              <w:tr2bl w:val="nil"/>
            </w:tcBorders>
            <w:noWrap/>
            <w:vAlign w:val="center"/>
          </w:tcPr>
          <w:p w14:paraId="278BF12D">
            <w:pPr>
              <w:rPr>
                <w:rFonts w:hint="eastAsia" w:ascii="宋体" w:hAnsi="宋体" w:eastAsia="宋体" w:cs="宋体"/>
                <w:i w:val="0"/>
                <w:iCs w:val="0"/>
                <w:color w:val="auto"/>
                <w:sz w:val="22"/>
                <w:szCs w:val="22"/>
                <w:u w:val="none"/>
              </w:rPr>
            </w:pPr>
          </w:p>
        </w:tc>
        <w:tc>
          <w:tcPr>
            <w:tcW w:w="1181" w:type="dxa"/>
            <w:tcBorders>
              <w:tl2br w:val="nil"/>
              <w:tr2bl w:val="nil"/>
            </w:tcBorders>
            <w:noWrap w:val="0"/>
            <w:vAlign w:val="center"/>
          </w:tcPr>
          <w:p w14:paraId="441423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ign w:val="center"/>
          </w:tcPr>
          <w:p w14:paraId="163255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2E2829CE">
            <w:pPr>
              <w:jc w:val="center"/>
              <w:rPr>
                <w:rFonts w:hint="eastAsia" w:ascii="宋体" w:hAnsi="宋体" w:eastAsia="宋体" w:cs="宋体"/>
                <w:i w:val="0"/>
                <w:iCs w:val="0"/>
                <w:color w:val="auto"/>
                <w:sz w:val="21"/>
                <w:szCs w:val="21"/>
                <w:u w:val="none"/>
              </w:rPr>
            </w:pPr>
          </w:p>
        </w:tc>
      </w:tr>
      <w:tr w14:paraId="4E30C82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ign w:val="center"/>
          </w:tcPr>
          <w:p w14:paraId="54E8D4E8">
            <w:pPr>
              <w:rPr>
                <w:rFonts w:hint="eastAsia" w:ascii="宋体" w:hAnsi="宋体" w:eastAsia="宋体" w:cs="宋体"/>
                <w:i w:val="0"/>
                <w:iCs w:val="0"/>
                <w:color w:val="auto"/>
                <w:sz w:val="22"/>
                <w:szCs w:val="22"/>
                <w:u w:val="none"/>
              </w:rPr>
            </w:pPr>
          </w:p>
        </w:tc>
        <w:tc>
          <w:tcPr>
            <w:tcW w:w="1275" w:type="dxa"/>
            <w:tcBorders>
              <w:tl2br w:val="nil"/>
              <w:tr2bl w:val="nil"/>
            </w:tcBorders>
            <w:noWrap/>
            <w:vAlign w:val="center"/>
          </w:tcPr>
          <w:p w14:paraId="1C5FA3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油研2020</w:t>
            </w:r>
          </w:p>
        </w:tc>
        <w:tc>
          <w:tcPr>
            <w:tcW w:w="1725" w:type="dxa"/>
            <w:vMerge w:val="continue"/>
            <w:tcBorders>
              <w:tl2br w:val="nil"/>
              <w:tr2bl w:val="nil"/>
            </w:tcBorders>
            <w:noWrap/>
            <w:vAlign w:val="center"/>
          </w:tcPr>
          <w:p w14:paraId="25104A27">
            <w:pPr>
              <w:rPr>
                <w:rFonts w:hint="eastAsia" w:ascii="宋体" w:hAnsi="宋体" w:eastAsia="宋体" w:cs="宋体"/>
                <w:i w:val="0"/>
                <w:iCs w:val="0"/>
                <w:color w:val="auto"/>
                <w:sz w:val="22"/>
                <w:szCs w:val="22"/>
                <w:u w:val="none"/>
              </w:rPr>
            </w:pPr>
          </w:p>
        </w:tc>
        <w:tc>
          <w:tcPr>
            <w:tcW w:w="1181" w:type="dxa"/>
            <w:tcBorders>
              <w:tl2br w:val="nil"/>
              <w:tr2bl w:val="nil"/>
            </w:tcBorders>
            <w:noWrap w:val="0"/>
            <w:vAlign w:val="center"/>
          </w:tcPr>
          <w:p w14:paraId="123618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ign w:val="center"/>
          </w:tcPr>
          <w:p w14:paraId="5AF375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361584AD">
            <w:pPr>
              <w:jc w:val="center"/>
              <w:rPr>
                <w:rFonts w:hint="eastAsia" w:ascii="宋体" w:hAnsi="宋体" w:eastAsia="宋体" w:cs="宋体"/>
                <w:i w:val="0"/>
                <w:iCs w:val="0"/>
                <w:color w:val="auto"/>
                <w:sz w:val="21"/>
                <w:szCs w:val="21"/>
                <w:u w:val="none"/>
              </w:rPr>
            </w:pPr>
          </w:p>
        </w:tc>
      </w:tr>
      <w:tr w14:paraId="773748A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restart"/>
            <w:tcBorders>
              <w:tl2br w:val="nil"/>
              <w:tr2bl w:val="nil"/>
            </w:tcBorders>
            <w:noWrap w:val="0"/>
            <w:vAlign w:val="center"/>
          </w:tcPr>
          <w:p w14:paraId="707D531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包二</w:t>
            </w:r>
          </w:p>
          <w:p w14:paraId="4350A9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（油菜种子）</w:t>
            </w:r>
          </w:p>
        </w:tc>
        <w:tc>
          <w:tcPr>
            <w:tcW w:w="1275" w:type="dxa"/>
            <w:tcBorders>
              <w:tl2br w:val="nil"/>
              <w:tr2bl w:val="nil"/>
            </w:tcBorders>
            <w:noWrap/>
            <w:vAlign w:val="center"/>
          </w:tcPr>
          <w:p w14:paraId="4D6A01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中油杂39</w:t>
            </w:r>
          </w:p>
        </w:tc>
        <w:tc>
          <w:tcPr>
            <w:tcW w:w="1725" w:type="dxa"/>
            <w:vMerge w:val="continue"/>
            <w:tcBorders>
              <w:tl2br w:val="nil"/>
              <w:tr2bl w:val="nil"/>
            </w:tcBorders>
            <w:noWrap/>
            <w:vAlign w:val="center"/>
          </w:tcPr>
          <w:p w14:paraId="363D296C">
            <w:pPr>
              <w:rPr>
                <w:rFonts w:hint="eastAsia" w:ascii="宋体" w:hAnsi="宋体" w:eastAsia="宋体" w:cs="宋体"/>
                <w:i w:val="0"/>
                <w:iCs w:val="0"/>
                <w:color w:val="auto"/>
                <w:sz w:val="22"/>
                <w:szCs w:val="22"/>
                <w:u w:val="none"/>
              </w:rPr>
            </w:pPr>
          </w:p>
        </w:tc>
        <w:tc>
          <w:tcPr>
            <w:tcW w:w="1181" w:type="dxa"/>
            <w:tcBorders>
              <w:tl2br w:val="nil"/>
              <w:tr2bl w:val="nil"/>
            </w:tcBorders>
            <w:noWrap/>
            <w:vAlign w:val="center"/>
          </w:tcPr>
          <w:p w14:paraId="546AEB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0"/>
            <w:vAlign w:val="center"/>
          </w:tcPr>
          <w:p w14:paraId="105D20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restart"/>
            <w:tcBorders>
              <w:tl2br w:val="nil"/>
              <w:tr2bl w:val="nil"/>
            </w:tcBorders>
            <w:noWrap/>
            <w:vAlign w:val="center"/>
          </w:tcPr>
          <w:p w14:paraId="319833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w:t>
            </w:r>
          </w:p>
        </w:tc>
      </w:tr>
      <w:tr w14:paraId="6E5DE29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0"/>
            <w:vAlign w:val="center"/>
          </w:tcPr>
          <w:p w14:paraId="1452107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p>
        </w:tc>
        <w:tc>
          <w:tcPr>
            <w:tcW w:w="1275" w:type="dxa"/>
            <w:tcBorders>
              <w:tl2br w:val="nil"/>
              <w:tr2bl w:val="nil"/>
            </w:tcBorders>
            <w:noWrap/>
            <w:vAlign w:val="center"/>
          </w:tcPr>
          <w:p w14:paraId="7AAD7E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常香油3号</w:t>
            </w:r>
          </w:p>
        </w:tc>
        <w:tc>
          <w:tcPr>
            <w:tcW w:w="1725" w:type="dxa"/>
            <w:vMerge w:val="continue"/>
            <w:tcBorders>
              <w:tl2br w:val="nil"/>
              <w:tr2bl w:val="nil"/>
            </w:tcBorders>
            <w:noWrap/>
            <w:vAlign w:val="center"/>
          </w:tcPr>
          <w:p w14:paraId="4990F524">
            <w:pPr>
              <w:rPr>
                <w:rFonts w:hint="eastAsia" w:ascii="宋体" w:hAnsi="宋体" w:eastAsia="宋体" w:cs="宋体"/>
                <w:i w:val="0"/>
                <w:iCs w:val="0"/>
                <w:color w:val="auto"/>
                <w:sz w:val="22"/>
                <w:szCs w:val="22"/>
                <w:u w:val="none"/>
              </w:rPr>
            </w:pPr>
          </w:p>
        </w:tc>
        <w:tc>
          <w:tcPr>
            <w:tcW w:w="1181" w:type="dxa"/>
            <w:tcBorders>
              <w:tl2br w:val="nil"/>
              <w:tr2bl w:val="nil"/>
            </w:tcBorders>
            <w:noWrap/>
            <w:vAlign w:val="center"/>
          </w:tcPr>
          <w:p w14:paraId="54CEDF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0"/>
            <w:vAlign w:val="center"/>
          </w:tcPr>
          <w:p w14:paraId="753381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53173806">
            <w:pPr>
              <w:jc w:val="center"/>
              <w:rPr>
                <w:rFonts w:hint="eastAsia" w:ascii="宋体" w:hAnsi="宋体" w:eastAsia="宋体" w:cs="宋体"/>
                <w:i w:val="0"/>
                <w:iCs w:val="0"/>
                <w:color w:val="auto"/>
                <w:sz w:val="21"/>
                <w:szCs w:val="21"/>
                <w:u w:val="none"/>
              </w:rPr>
            </w:pPr>
          </w:p>
        </w:tc>
      </w:tr>
      <w:tr w14:paraId="482A7DD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0"/>
            <w:vAlign w:val="center"/>
          </w:tcPr>
          <w:p w14:paraId="1DC8C624">
            <w:pPr>
              <w:rPr>
                <w:rFonts w:hint="eastAsia" w:ascii="宋体" w:hAnsi="宋体" w:eastAsia="宋体" w:cs="宋体"/>
                <w:i w:val="0"/>
                <w:iCs w:val="0"/>
                <w:color w:val="auto"/>
                <w:sz w:val="21"/>
                <w:szCs w:val="21"/>
                <w:u w:val="none"/>
              </w:rPr>
            </w:pPr>
          </w:p>
        </w:tc>
        <w:tc>
          <w:tcPr>
            <w:tcW w:w="1275" w:type="dxa"/>
            <w:tcBorders>
              <w:tl2br w:val="nil"/>
              <w:tr2bl w:val="nil"/>
            </w:tcBorders>
            <w:noWrap/>
            <w:vAlign w:val="center"/>
          </w:tcPr>
          <w:p w14:paraId="304D5B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亚美油1号</w:t>
            </w:r>
          </w:p>
        </w:tc>
        <w:tc>
          <w:tcPr>
            <w:tcW w:w="1725" w:type="dxa"/>
            <w:vMerge w:val="continue"/>
            <w:tcBorders>
              <w:tl2br w:val="nil"/>
              <w:tr2bl w:val="nil"/>
            </w:tcBorders>
            <w:noWrap/>
            <w:vAlign w:val="center"/>
          </w:tcPr>
          <w:p w14:paraId="7447767F">
            <w:pPr>
              <w:rPr>
                <w:rFonts w:hint="eastAsia" w:ascii="宋体" w:hAnsi="宋体" w:eastAsia="宋体" w:cs="宋体"/>
                <w:i w:val="0"/>
                <w:iCs w:val="0"/>
                <w:color w:val="auto"/>
                <w:sz w:val="22"/>
                <w:szCs w:val="22"/>
                <w:u w:val="none"/>
              </w:rPr>
            </w:pPr>
          </w:p>
        </w:tc>
        <w:tc>
          <w:tcPr>
            <w:tcW w:w="1181" w:type="dxa"/>
            <w:tcBorders>
              <w:tl2br w:val="nil"/>
              <w:tr2bl w:val="nil"/>
            </w:tcBorders>
            <w:noWrap/>
            <w:vAlign w:val="center"/>
          </w:tcPr>
          <w:p w14:paraId="6D6136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0"/>
            <w:vAlign w:val="center"/>
          </w:tcPr>
          <w:p w14:paraId="375F66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3D251558">
            <w:pPr>
              <w:jc w:val="center"/>
              <w:rPr>
                <w:rFonts w:hint="eastAsia" w:ascii="宋体" w:hAnsi="宋体" w:eastAsia="宋体" w:cs="宋体"/>
                <w:i w:val="0"/>
                <w:iCs w:val="0"/>
                <w:color w:val="auto"/>
                <w:sz w:val="21"/>
                <w:szCs w:val="21"/>
                <w:u w:val="none"/>
              </w:rPr>
            </w:pPr>
          </w:p>
        </w:tc>
      </w:tr>
      <w:tr w14:paraId="543179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0"/>
            <w:vAlign w:val="center"/>
          </w:tcPr>
          <w:p w14:paraId="663E1F63">
            <w:pPr>
              <w:rPr>
                <w:rFonts w:hint="eastAsia" w:ascii="宋体" w:hAnsi="宋体" w:eastAsia="宋体" w:cs="宋体"/>
                <w:i w:val="0"/>
                <w:iCs w:val="0"/>
                <w:color w:val="auto"/>
                <w:sz w:val="21"/>
                <w:szCs w:val="21"/>
                <w:u w:val="none"/>
              </w:rPr>
            </w:pPr>
          </w:p>
        </w:tc>
        <w:tc>
          <w:tcPr>
            <w:tcW w:w="1275" w:type="dxa"/>
            <w:tcBorders>
              <w:tl2br w:val="nil"/>
              <w:tr2bl w:val="nil"/>
            </w:tcBorders>
            <w:noWrap/>
            <w:vAlign w:val="center"/>
          </w:tcPr>
          <w:p w14:paraId="251854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丰油730</w:t>
            </w:r>
          </w:p>
        </w:tc>
        <w:tc>
          <w:tcPr>
            <w:tcW w:w="1725" w:type="dxa"/>
            <w:vMerge w:val="continue"/>
            <w:tcBorders>
              <w:tl2br w:val="nil"/>
              <w:tr2bl w:val="nil"/>
            </w:tcBorders>
            <w:noWrap/>
            <w:vAlign w:val="center"/>
          </w:tcPr>
          <w:p w14:paraId="2C584252">
            <w:pPr>
              <w:rPr>
                <w:rFonts w:hint="eastAsia" w:ascii="宋体" w:hAnsi="宋体" w:eastAsia="宋体" w:cs="宋体"/>
                <w:i w:val="0"/>
                <w:iCs w:val="0"/>
                <w:color w:val="auto"/>
                <w:sz w:val="22"/>
                <w:szCs w:val="22"/>
                <w:u w:val="none"/>
              </w:rPr>
            </w:pPr>
          </w:p>
        </w:tc>
        <w:tc>
          <w:tcPr>
            <w:tcW w:w="1181" w:type="dxa"/>
            <w:tcBorders>
              <w:tl2br w:val="nil"/>
              <w:tr2bl w:val="nil"/>
            </w:tcBorders>
            <w:noWrap/>
            <w:vAlign w:val="center"/>
          </w:tcPr>
          <w:p w14:paraId="77384B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0"/>
            <w:vAlign w:val="center"/>
          </w:tcPr>
          <w:p w14:paraId="77C84C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4D3F589C">
            <w:pPr>
              <w:jc w:val="center"/>
              <w:rPr>
                <w:rFonts w:hint="eastAsia" w:ascii="宋体" w:hAnsi="宋体" w:eastAsia="宋体" w:cs="宋体"/>
                <w:i w:val="0"/>
                <w:iCs w:val="0"/>
                <w:color w:val="auto"/>
                <w:sz w:val="21"/>
                <w:szCs w:val="21"/>
                <w:u w:val="none"/>
              </w:rPr>
            </w:pPr>
          </w:p>
        </w:tc>
      </w:tr>
      <w:tr w14:paraId="5428432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0"/>
            <w:vAlign w:val="center"/>
          </w:tcPr>
          <w:p w14:paraId="408C483C">
            <w:pPr>
              <w:rPr>
                <w:rFonts w:hint="eastAsia" w:ascii="宋体" w:hAnsi="宋体" w:eastAsia="宋体" w:cs="宋体"/>
                <w:i w:val="0"/>
                <w:iCs w:val="0"/>
                <w:color w:val="auto"/>
                <w:sz w:val="21"/>
                <w:szCs w:val="21"/>
                <w:u w:val="none"/>
              </w:rPr>
            </w:pPr>
          </w:p>
        </w:tc>
        <w:tc>
          <w:tcPr>
            <w:tcW w:w="1275" w:type="dxa"/>
            <w:tcBorders>
              <w:tl2br w:val="nil"/>
              <w:tr2bl w:val="nil"/>
            </w:tcBorders>
            <w:noWrap/>
            <w:vAlign w:val="center"/>
          </w:tcPr>
          <w:p w14:paraId="19262E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绵新167</w:t>
            </w:r>
          </w:p>
        </w:tc>
        <w:tc>
          <w:tcPr>
            <w:tcW w:w="1725" w:type="dxa"/>
            <w:vMerge w:val="continue"/>
            <w:tcBorders>
              <w:tl2br w:val="nil"/>
              <w:tr2bl w:val="nil"/>
            </w:tcBorders>
            <w:noWrap/>
            <w:vAlign w:val="center"/>
          </w:tcPr>
          <w:p w14:paraId="4B63F3D7">
            <w:pPr>
              <w:rPr>
                <w:rFonts w:hint="eastAsia" w:ascii="宋体" w:hAnsi="宋体" w:eastAsia="宋体" w:cs="宋体"/>
                <w:i w:val="0"/>
                <w:iCs w:val="0"/>
                <w:color w:val="auto"/>
                <w:sz w:val="22"/>
                <w:szCs w:val="22"/>
                <w:u w:val="none"/>
              </w:rPr>
            </w:pPr>
          </w:p>
        </w:tc>
        <w:tc>
          <w:tcPr>
            <w:tcW w:w="1181" w:type="dxa"/>
            <w:tcBorders>
              <w:tl2br w:val="nil"/>
              <w:tr2bl w:val="nil"/>
            </w:tcBorders>
            <w:noWrap/>
            <w:vAlign w:val="center"/>
          </w:tcPr>
          <w:p w14:paraId="34498D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0"/>
            <w:vAlign w:val="center"/>
          </w:tcPr>
          <w:p w14:paraId="050A1F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776FA77A">
            <w:pPr>
              <w:jc w:val="center"/>
              <w:rPr>
                <w:rFonts w:hint="eastAsia" w:ascii="宋体" w:hAnsi="宋体" w:eastAsia="宋体" w:cs="宋体"/>
                <w:i w:val="0"/>
                <w:iCs w:val="0"/>
                <w:color w:val="auto"/>
                <w:sz w:val="21"/>
                <w:szCs w:val="21"/>
                <w:u w:val="none"/>
              </w:rPr>
            </w:pPr>
          </w:p>
        </w:tc>
      </w:tr>
      <w:tr w14:paraId="42FD0B6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323" w:type="dxa"/>
            <w:vMerge w:val="continue"/>
            <w:tcBorders>
              <w:tl2br w:val="nil"/>
              <w:tr2bl w:val="nil"/>
            </w:tcBorders>
            <w:noWrap w:val="0"/>
            <w:vAlign w:val="center"/>
          </w:tcPr>
          <w:p w14:paraId="6ECECF6E">
            <w:pPr>
              <w:rPr>
                <w:rFonts w:hint="eastAsia" w:ascii="宋体" w:hAnsi="宋体" w:eastAsia="宋体" w:cs="宋体"/>
                <w:i w:val="0"/>
                <w:iCs w:val="0"/>
                <w:color w:val="auto"/>
                <w:sz w:val="21"/>
                <w:szCs w:val="21"/>
                <w:u w:val="none"/>
              </w:rPr>
            </w:pPr>
          </w:p>
        </w:tc>
        <w:tc>
          <w:tcPr>
            <w:tcW w:w="1275" w:type="dxa"/>
            <w:tcBorders>
              <w:tl2br w:val="nil"/>
              <w:tr2bl w:val="nil"/>
            </w:tcBorders>
            <w:noWrap/>
            <w:vAlign w:val="center"/>
          </w:tcPr>
          <w:p w14:paraId="72CC69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欣星油3号</w:t>
            </w:r>
          </w:p>
        </w:tc>
        <w:tc>
          <w:tcPr>
            <w:tcW w:w="1725" w:type="dxa"/>
            <w:vMerge w:val="continue"/>
            <w:tcBorders>
              <w:tl2br w:val="nil"/>
              <w:tr2bl w:val="nil"/>
            </w:tcBorders>
            <w:noWrap/>
            <w:vAlign w:val="center"/>
          </w:tcPr>
          <w:p w14:paraId="55BAF44B">
            <w:pPr>
              <w:rPr>
                <w:rFonts w:hint="eastAsia" w:ascii="宋体" w:hAnsi="宋体" w:eastAsia="宋体" w:cs="宋体"/>
                <w:i w:val="0"/>
                <w:iCs w:val="0"/>
                <w:color w:val="auto"/>
                <w:sz w:val="22"/>
                <w:szCs w:val="22"/>
                <w:u w:val="none"/>
              </w:rPr>
            </w:pPr>
          </w:p>
        </w:tc>
        <w:tc>
          <w:tcPr>
            <w:tcW w:w="1181" w:type="dxa"/>
            <w:tcBorders>
              <w:tl2br w:val="nil"/>
              <w:tr2bl w:val="nil"/>
            </w:tcBorders>
            <w:noWrap/>
            <w:vAlign w:val="center"/>
          </w:tcPr>
          <w:p w14:paraId="3F7BF4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5000公斤</w:t>
            </w:r>
          </w:p>
        </w:tc>
        <w:tc>
          <w:tcPr>
            <w:tcW w:w="1444" w:type="dxa"/>
            <w:tcBorders>
              <w:tl2br w:val="nil"/>
              <w:tr2bl w:val="nil"/>
            </w:tcBorders>
            <w:noWrap w:val="0"/>
            <w:vAlign w:val="center"/>
          </w:tcPr>
          <w:p w14:paraId="4AEC90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41元/公斤</w:t>
            </w:r>
          </w:p>
        </w:tc>
        <w:tc>
          <w:tcPr>
            <w:tcW w:w="1293" w:type="dxa"/>
            <w:vMerge w:val="continue"/>
            <w:tcBorders>
              <w:tl2br w:val="nil"/>
              <w:tr2bl w:val="nil"/>
            </w:tcBorders>
            <w:noWrap/>
            <w:vAlign w:val="center"/>
          </w:tcPr>
          <w:p w14:paraId="730594A4">
            <w:pPr>
              <w:jc w:val="center"/>
              <w:rPr>
                <w:rFonts w:hint="eastAsia" w:ascii="宋体" w:hAnsi="宋体" w:eastAsia="宋体" w:cs="宋体"/>
                <w:i w:val="0"/>
                <w:iCs w:val="0"/>
                <w:color w:val="auto"/>
                <w:sz w:val="21"/>
                <w:szCs w:val="21"/>
                <w:u w:val="none"/>
              </w:rPr>
            </w:pPr>
          </w:p>
        </w:tc>
      </w:tr>
      <w:tr w14:paraId="5E8150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180" w:hRule="atLeast"/>
          <w:jc w:val="center"/>
        </w:trPr>
        <w:tc>
          <w:tcPr>
            <w:tcW w:w="2323" w:type="dxa"/>
            <w:tcBorders>
              <w:tl2br w:val="nil"/>
              <w:tr2bl w:val="nil"/>
            </w:tcBorders>
            <w:noWrap w:val="0"/>
            <w:vAlign w:val="center"/>
          </w:tcPr>
          <w:p w14:paraId="777C11A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包三</w:t>
            </w:r>
          </w:p>
          <w:p w14:paraId="5EA6AB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（硼肥）</w:t>
            </w:r>
          </w:p>
        </w:tc>
        <w:tc>
          <w:tcPr>
            <w:tcW w:w="1275" w:type="dxa"/>
            <w:tcBorders>
              <w:tl2br w:val="nil"/>
              <w:tr2bl w:val="nil"/>
            </w:tcBorders>
            <w:noWrap/>
            <w:vAlign w:val="center"/>
          </w:tcPr>
          <w:p w14:paraId="63B47A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油菜专用硼肥</w:t>
            </w:r>
          </w:p>
        </w:tc>
        <w:tc>
          <w:tcPr>
            <w:tcW w:w="1725" w:type="dxa"/>
            <w:tcBorders>
              <w:tl2br w:val="nil"/>
              <w:tr2bl w:val="nil"/>
            </w:tcBorders>
            <w:noWrap w:val="0"/>
            <w:vAlign w:val="center"/>
          </w:tcPr>
          <w:p w14:paraId="7A434B5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1.满足硼肥执行标准：GB/T537-2009；               2.重金属含量指标符合国家规定。</w:t>
            </w:r>
          </w:p>
        </w:tc>
        <w:tc>
          <w:tcPr>
            <w:tcW w:w="1181" w:type="dxa"/>
            <w:tcBorders>
              <w:tl2br w:val="nil"/>
              <w:tr2bl w:val="nil"/>
            </w:tcBorders>
            <w:noWrap/>
            <w:vAlign w:val="center"/>
          </w:tcPr>
          <w:p w14:paraId="4E56696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50000公斤</w:t>
            </w:r>
          </w:p>
        </w:tc>
        <w:tc>
          <w:tcPr>
            <w:tcW w:w="1444" w:type="dxa"/>
            <w:tcBorders>
              <w:tl2br w:val="nil"/>
              <w:tr2bl w:val="nil"/>
            </w:tcBorders>
            <w:noWrap w:val="0"/>
            <w:vAlign w:val="center"/>
          </w:tcPr>
          <w:p w14:paraId="082987B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16.4元/公斤</w:t>
            </w:r>
          </w:p>
        </w:tc>
        <w:tc>
          <w:tcPr>
            <w:tcW w:w="1293" w:type="dxa"/>
            <w:tcBorders>
              <w:tl2br w:val="nil"/>
              <w:tr2bl w:val="nil"/>
            </w:tcBorders>
            <w:noWrap/>
            <w:vAlign w:val="center"/>
          </w:tcPr>
          <w:p w14:paraId="7DF78FC1">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82</w:t>
            </w:r>
          </w:p>
        </w:tc>
      </w:tr>
      <w:tr w14:paraId="1D53126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321" w:hRule="atLeast"/>
          <w:jc w:val="center"/>
        </w:trPr>
        <w:tc>
          <w:tcPr>
            <w:tcW w:w="2323" w:type="dxa"/>
            <w:tcBorders>
              <w:tl2br w:val="nil"/>
              <w:tr2bl w:val="nil"/>
            </w:tcBorders>
            <w:noWrap w:val="0"/>
            <w:vAlign w:val="center"/>
          </w:tcPr>
          <w:p w14:paraId="029840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包四（稻油轮作等类型区域油菜机械化耕种社会化服务）</w:t>
            </w:r>
          </w:p>
        </w:tc>
        <w:tc>
          <w:tcPr>
            <w:tcW w:w="1275" w:type="dxa"/>
            <w:tcBorders>
              <w:tl2br w:val="nil"/>
              <w:tr2bl w:val="nil"/>
            </w:tcBorders>
            <w:noWrap/>
            <w:vAlign w:val="center"/>
          </w:tcPr>
          <w:p w14:paraId="153013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725" w:type="dxa"/>
            <w:tcBorders>
              <w:tl2br w:val="nil"/>
              <w:tr2bl w:val="nil"/>
            </w:tcBorders>
            <w:noWrap w:val="0"/>
            <w:vAlign w:val="center"/>
          </w:tcPr>
          <w:p w14:paraId="5D43064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提供机械翻耕、起垄、开沟、播栽等机械化作业服务</w:t>
            </w:r>
          </w:p>
        </w:tc>
        <w:tc>
          <w:tcPr>
            <w:tcW w:w="1181" w:type="dxa"/>
            <w:tcBorders>
              <w:tl2br w:val="nil"/>
              <w:tr2bl w:val="nil"/>
            </w:tcBorders>
            <w:noWrap/>
            <w:vAlign w:val="center"/>
          </w:tcPr>
          <w:p w14:paraId="33865A8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6700亩</w:t>
            </w:r>
          </w:p>
        </w:tc>
        <w:tc>
          <w:tcPr>
            <w:tcW w:w="1444" w:type="dxa"/>
            <w:tcBorders>
              <w:tl2br w:val="nil"/>
              <w:tr2bl w:val="nil"/>
            </w:tcBorders>
            <w:noWrap w:val="0"/>
            <w:vAlign w:val="center"/>
          </w:tcPr>
          <w:p w14:paraId="55077D7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118</w:t>
            </w:r>
            <w:r>
              <w:rPr>
                <w:rFonts w:hint="eastAsia" w:ascii="宋体" w:hAnsi="宋体" w:eastAsia="宋体" w:cs="宋体"/>
                <w:i w:val="0"/>
                <w:iCs w:val="0"/>
                <w:color w:val="auto"/>
                <w:kern w:val="0"/>
                <w:sz w:val="21"/>
                <w:szCs w:val="21"/>
                <w:u w:val="none"/>
                <w:lang w:val="en-US" w:eastAsia="zh-CN" w:bidi="ar"/>
              </w:rPr>
              <w:t>元/亩</w:t>
            </w:r>
          </w:p>
        </w:tc>
        <w:tc>
          <w:tcPr>
            <w:tcW w:w="1293" w:type="dxa"/>
            <w:tcBorders>
              <w:tl2br w:val="nil"/>
              <w:tr2bl w:val="nil"/>
            </w:tcBorders>
            <w:noWrap/>
            <w:vAlign w:val="center"/>
          </w:tcPr>
          <w:p w14:paraId="5EE8832A">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79.06</w:t>
            </w:r>
          </w:p>
        </w:tc>
      </w:tr>
      <w:tr w14:paraId="6E077EB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321" w:hRule="atLeast"/>
          <w:jc w:val="center"/>
        </w:trPr>
        <w:tc>
          <w:tcPr>
            <w:tcW w:w="2323" w:type="dxa"/>
            <w:tcBorders>
              <w:tl2br w:val="nil"/>
              <w:tr2bl w:val="nil"/>
            </w:tcBorders>
            <w:noWrap w:val="0"/>
            <w:vAlign w:val="center"/>
          </w:tcPr>
          <w:p w14:paraId="0FC2D6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包五（稻油轮作等类型区域油菜机械化耕种社会化服务）</w:t>
            </w:r>
          </w:p>
        </w:tc>
        <w:tc>
          <w:tcPr>
            <w:tcW w:w="1275" w:type="dxa"/>
            <w:tcBorders>
              <w:tl2br w:val="nil"/>
              <w:tr2bl w:val="nil"/>
            </w:tcBorders>
            <w:noWrap/>
            <w:vAlign w:val="center"/>
          </w:tcPr>
          <w:p w14:paraId="55BD12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725" w:type="dxa"/>
            <w:tcBorders>
              <w:tl2br w:val="nil"/>
              <w:tr2bl w:val="nil"/>
            </w:tcBorders>
            <w:noWrap w:val="0"/>
            <w:vAlign w:val="center"/>
          </w:tcPr>
          <w:p w14:paraId="12D2282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提供机械翻耕、起垄、开沟、播栽等机械化作业服务</w:t>
            </w:r>
          </w:p>
        </w:tc>
        <w:tc>
          <w:tcPr>
            <w:tcW w:w="1181" w:type="dxa"/>
            <w:tcBorders>
              <w:tl2br w:val="nil"/>
              <w:tr2bl w:val="nil"/>
            </w:tcBorders>
            <w:noWrap/>
            <w:vAlign w:val="center"/>
          </w:tcPr>
          <w:p w14:paraId="0F25CFB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6600亩</w:t>
            </w:r>
          </w:p>
        </w:tc>
        <w:tc>
          <w:tcPr>
            <w:tcW w:w="1444" w:type="dxa"/>
            <w:tcBorders>
              <w:tl2br w:val="nil"/>
              <w:tr2bl w:val="nil"/>
            </w:tcBorders>
            <w:noWrap w:val="0"/>
            <w:vAlign w:val="center"/>
          </w:tcPr>
          <w:p w14:paraId="7B83F65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118</w:t>
            </w:r>
            <w:r>
              <w:rPr>
                <w:rFonts w:hint="eastAsia" w:ascii="宋体" w:hAnsi="宋体" w:eastAsia="宋体" w:cs="宋体"/>
                <w:i w:val="0"/>
                <w:iCs w:val="0"/>
                <w:color w:val="auto"/>
                <w:kern w:val="0"/>
                <w:sz w:val="21"/>
                <w:szCs w:val="21"/>
                <w:u w:val="none"/>
                <w:lang w:val="en-US" w:eastAsia="zh-CN" w:bidi="ar"/>
              </w:rPr>
              <w:t>元/亩</w:t>
            </w:r>
          </w:p>
        </w:tc>
        <w:tc>
          <w:tcPr>
            <w:tcW w:w="1293" w:type="dxa"/>
            <w:tcBorders>
              <w:tl2br w:val="nil"/>
              <w:tr2bl w:val="nil"/>
            </w:tcBorders>
            <w:noWrap/>
            <w:vAlign w:val="center"/>
          </w:tcPr>
          <w:p w14:paraId="7C33E568">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77.88</w:t>
            </w:r>
          </w:p>
        </w:tc>
      </w:tr>
      <w:tr w14:paraId="24D961D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321" w:hRule="atLeast"/>
          <w:jc w:val="center"/>
        </w:trPr>
        <w:tc>
          <w:tcPr>
            <w:tcW w:w="2323" w:type="dxa"/>
            <w:tcBorders>
              <w:tl2br w:val="nil"/>
              <w:tr2bl w:val="nil"/>
            </w:tcBorders>
            <w:noWrap w:val="0"/>
            <w:vAlign w:val="center"/>
          </w:tcPr>
          <w:p w14:paraId="23513A25">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包</w:t>
            </w:r>
            <w:r>
              <w:rPr>
                <w:rFonts w:hint="eastAsia" w:ascii="宋体" w:hAnsi="宋体" w:cs="宋体"/>
                <w:i w:val="0"/>
                <w:iCs w:val="0"/>
                <w:color w:val="auto"/>
                <w:kern w:val="0"/>
                <w:sz w:val="21"/>
                <w:szCs w:val="21"/>
                <w:u w:val="none"/>
                <w:lang w:val="en-US" w:eastAsia="zh-CN" w:bidi="ar"/>
              </w:rPr>
              <w:t>六</w:t>
            </w:r>
            <w:r>
              <w:rPr>
                <w:rFonts w:hint="eastAsia" w:ascii="宋体" w:hAnsi="宋体" w:eastAsia="宋体" w:cs="宋体"/>
                <w:i w:val="0"/>
                <w:iCs w:val="0"/>
                <w:color w:val="auto"/>
                <w:kern w:val="0"/>
                <w:sz w:val="21"/>
                <w:szCs w:val="21"/>
                <w:u w:val="none"/>
                <w:lang w:val="en-US" w:eastAsia="zh-CN" w:bidi="ar"/>
              </w:rPr>
              <w:t>（稻油轮作等类型区域油菜机械化耕种社会化服务）</w:t>
            </w:r>
          </w:p>
        </w:tc>
        <w:tc>
          <w:tcPr>
            <w:tcW w:w="1275" w:type="dxa"/>
            <w:tcBorders>
              <w:tl2br w:val="nil"/>
              <w:tr2bl w:val="nil"/>
            </w:tcBorders>
            <w:noWrap/>
            <w:vAlign w:val="center"/>
          </w:tcPr>
          <w:p w14:paraId="45D7D0BD">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1725" w:type="dxa"/>
            <w:tcBorders>
              <w:tl2br w:val="nil"/>
              <w:tr2bl w:val="nil"/>
            </w:tcBorders>
            <w:noWrap w:val="0"/>
            <w:vAlign w:val="center"/>
          </w:tcPr>
          <w:p w14:paraId="0CEE5541">
            <w:pPr>
              <w:keepNext w:val="0"/>
              <w:keepLines w:val="0"/>
              <w:widowControl/>
              <w:suppressLineNumbers w:val="0"/>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提供机械翻耕、起垄、开沟、播栽等机械化作业服务</w:t>
            </w:r>
          </w:p>
        </w:tc>
        <w:tc>
          <w:tcPr>
            <w:tcW w:w="1181" w:type="dxa"/>
            <w:tcBorders>
              <w:tl2br w:val="nil"/>
              <w:tr2bl w:val="nil"/>
            </w:tcBorders>
            <w:noWrap/>
            <w:vAlign w:val="center"/>
          </w:tcPr>
          <w:p w14:paraId="199E7BA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6700亩</w:t>
            </w:r>
          </w:p>
        </w:tc>
        <w:tc>
          <w:tcPr>
            <w:tcW w:w="1444" w:type="dxa"/>
            <w:tcBorders>
              <w:tl2br w:val="nil"/>
              <w:tr2bl w:val="nil"/>
            </w:tcBorders>
            <w:noWrap w:val="0"/>
            <w:vAlign w:val="center"/>
          </w:tcPr>
          <w:p w14:paraId="54117B5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118</w:t>
            </w:r>
            <w:r>
              <w:rPr>
                <w:rFonts w:hint="eastAsia" w:ascii="宋体" w:hAnsi="宋体" w:eastAsia="宋体" w:cs="宋体"/>
                <w:i w:val="0"/>
                <w:iCs w:val="0"/>
                <w:color w:val="auto"/>
                <w:kern w:val="0"/>
                <w:sz w:val="21"/>
                <w:szCs w:val="21"/>
                <w:u w:val="none"/>
                <w:lang w:val="en-US" w:eastAsia="zh-CN" w:bidi="ar"/>
              </w:rPr>
              <w:t>元/亩</w:t>
            </w:r>
          </w:p>
        </w:tc>
        <w:tc>
          <w:tcPr>
            <w:tcW w:w="1293" w:type="dxa"/>
            <w:tcBorders>
              <w:tl2br w:val="nil"/>
              <w:tr2bl w:val="nil"/>
            </w:tcBorders>
            <w:noWrap/>
            <w:vAlign w:val="center"/>
          </w:tcPr>
          <w:p w14:paraId="451738AE">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79.06</w:t>
            </w:r>
          </w:p>
        </w:tc>
      </w:tr>
    </w:tbl>
    <w:p w14:paraId="3E19E1EC">
      <w:pPr>
        <w:pStyle w:val="6"/>
        <w:keepNext w:val="0"/>
        <w:keepLines w:val="0"/>
        <w:pageBreakBefore w:val="0"/>
        <w:widowControl/>
        <w:wordWrap/>
        <w:overflowPunct/>
        <w:topLinePunct w:val="0"/>
        <w:autoSpaceDE w:val="0"/>
        <w:autoSpaceDN w:val="0"/>
        <w:bidi w:val="0"/>
        <w:adjustRightInd w:val="0"/>
        <w:snapToGrid w:val="0"/>
        <w:spacing w:before="0" w:after="0" w:line="312" w:lineRule="auto"/>
        <w:ind w:left="13" w:right="0"/>
        <w:jc w:val="left"/>
        <w:outlineLvl w:val="2"/>
        <w:rPr>
          <w:rStyle w:val="5"/>
          <w:rFonts w:hint="eastAsia" w:ascii="黑体" w:hAnsi="黑体" w:eastAsia="黑体" w:cs="黑体"/>
          <w:b/>
          <w:bCs/>
          <w:color w:val="auto"/>
          <w:spacing w:val="-2"/>
          <w:kern w:val="0"/>
          <w:sz w:val="28"/>
          <w:szCs w:val="28"/>
          <w:lang w:val="zh-CN" w:bidi="zh-CN"/>
        </w:rPr>
      </w:pPr>
      <w:r>
        <w:rPr>
          <w:rStyle w:val="5"/>
          <w:rFonts w:hint="eastAsia" w:ascii="黑体" w:hAnsi="黑体" w:eastAsia="黑体" w:cs="黑体"/>
          <w:b/>
          <w:bCs/>
          <w:color w:val="auto"/>
          <w:spacing w:val="-2"/>
          <w:kern w:val="0"/>
          <w:sz w:val="28"/>
          <w:szCs w:val="28"/>
          <w:lang w:val="zh-CN" w:bidi="zh-CN"/>
        </w:rPr>
        <w:t>二、</w:t>
      </w:r>
      <w:r>
        <w:rPr>
          <w:rStyle w:val="5"/>
          <w:rFonts w:hint="eastAsia" w:ascii="黑体" w:hAnsi="黑体" w:eastAsia="黑体" w:cs="黑体"/>
          <w:b/>
          <w:bCs/>
          <w:color w:val="auto"/>
          <w:spacing w:val="-2"/>
          <w:kern w:val="0"/>
          <w:sz w:val="28"/>
          <w:szCs w:val="28"/>
          <w:lang w:val="en-US" w:bidi="zh-CN"/>
        </w:rPr>
        <w:t>油菜种子、硼肥</w:t>
      </w:r>
      <w:r>
        <w:rPr>
          <w:rStyle w:val="5"/>
          <w:rFonts w:hint="eastAsia" w:ascii="黑体" w:hAnsi="黑体" w:eastAsia="黑体" w:cs="黑体"/>
          <w:b/>
          <w:bCs/>
          <w:color w:val="auto"/>
          <w:spacing w:val="-2"/>
          <w:kern w:val="0"/>
          <w:sz w:val="28"/>
          <w:szCs w:val="28"/>
          <w:lang w:val="zh-CN" w:bidi="zh-CN"/>
        </w:rPr>
        <w:t>技术规格、参数与要求</w:t>
      </w:r>
      <w:bookmarkEnd w:id="5"/>
      <w:bookmarkEnd w:id="6"/>
      <w:bookmarkEnd w:id="7"/>
    </w:p>
    <w:p w14:paraId="47BE584B">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1</w:t>
      </w:r>
      <w:r>
        <w:rPr>
          <w:rStyle w:val="5"/>
          <w:rFonts w:hint="eastAsia" w:ascii="宋体" w:hAnsi="宋体" w:eastAsia="宋体" w:cs="宋体"/>
          <w:b/>
          <w:bCs/>
          <w:color w:val="auto"/>
          <w:spacing w:val="0"/>
          <w:kern w:val="0"/>
          <w:sz w:val="24"/>
          <w:szCs w:val="24"/>
          <w:lang w:val="zh-CN" w:bidi="zh-CN"/>
        </w:rPr>
        <w:t>）油菜种子技术规格、参数与要求</w:t>
      </w:r>
    </w:p>
    <w:p w14:paraId="7F69A01B">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bookmarkStart w:id="8" w:name="_Toc29225"/>
      <w:bookmarkStart w:id="9" w:name="_Toc31832"/>
      <w:r>
        <w:rPr>
          <w:rStyle w:val="5"/>
          <w:rFonts w:hint="eastAsia" w:ascii="宋体" w:hAnsi="宋体" w:eastAsia="宋体" w:cs="宋体"/>
          <w:color w:val="auto"/>
          <w:spacing w:val="-2"/>
          <w:kern w:val="0"/>
          <w:sz w:val="24"/>
          <w:szCs w:val="24"/>
          <w:lang w:val="zh-CN" w:bidi="zh-CN"/>
        </w:rPr>
        <w:t>1、所投的油菜种子品种应通过国家（含湖南省区域）审定或通过湖南省审定的非转基因种子。</w:t>
      </w:r>
    </w:p>
    <w:p w14:paraId="472FD248">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2、油菜种子品种纯度≥86.0%，净度≥98.0%，发芽率≥82.0%，水分≤9.0%。符合国家标准GB 4407.2</w:t>
      </w:r>
      <w:r>
        <w:rPr>
          <w:rStyle w:val="5"/>
          <w:rFonts w:hint="eastAsia" w:ascii="宋体" w:hAnsi="宋体" w:eastAsia="宋体" w:cs="宋体"/>
          <w:color w:val="auto"/>
          <w:spacing w:val="-2"/>
          <w:kern w:val="0"/>
          <w:sz w:val="24"/>
          <w:szCs w:val="24"/>
          <w:lang w:val="en-US" w:bidi="zh-CN"/>
        </w:rPr>
        <w:t>-</w:t>
      </w:r>
      <w:r>
        <w:rPr>
          <w:rStyle w:val="5"/>
          <w:rFonts w:hint="eastAsia" w:ascii="宋体" w:hAnsi="宋体" w:eastAsia="宋体" w:cs="宋体"/>
          <w:color w:val="auto"/>
          <w:spacing w:val="-2"/>
          <w:kern w:val="0"/>
          <w:sz w:val="24"/>
          <w:szCs w:val="24"/>
          <w:lang w:val="zh-CN" w:bidi="zh-CN"/>
        </w:rPr>
        <w:t>2024《经济作物种子 第2部分：油料类》。</w:t>
      </w:r>
    </w:p>
    <w:p w14:paraId="441F4581">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3、种子包装：包装以100g/包（油苔 10g/包）的包装规格，包装封口符合国家要求，包装标签符合 GB20464‑2024《农作物种子标签通则》要求，</w:t>
      </w:r>
      <w:r>
        <w:rPr>
          <w:rStyle w:val="5"/>
          <w:rFonts w:hint="eastAsia" w:ascii="宋体" w:hAnsi="宋体" w:eastAsia="宋体" w:cs="宋体"/>
          <w:color w:val="auto"/>
          <w:spacing w:val="-2"/>
          <w:kern w:val="0"/>
          <w:sz w:val="24"/>
          <w:szCs w:val="24"/>
          <w:lang w:val="en-US" w:bidi="zh-CN"/>
        </w:rPr>
        <w:t>即包装必须标注：登记编号、生产年月、质量指标、生产商、净含量、质量保证期（8-12个月）</w:t>
      </w:r>
      <w:r>
        <w:rPr>
          <w:rStyle w:val="5"/>
          <w:rFonts w:hint="eastAsia" w:ascii="宋体" w:hAnsi="宋体" w:eastAsia="宋体" w:cs="宋体"/>
          <w:color w:val="auto"/>
          <w:spacing w:val="-2"/>
          <w:kern w:val="0"/>
          <w:sz w:val="24"/>
          <w:szCs w:val="24"/>
          <w:lang w:val="zh-CN" w:bidi="zh-CN"/>
        </w:rPr>
        <w:t>。</w:t>
      </w:r>
    </w:p>
    <w:p w14:paraId="6E8A493C">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4、所投油菜种子品种必须具有202</w:t>
      </w:r>
      <w:r>
        <w:rPr>
          <w:rStyle w:val="5"/>
          <w:rFonts w:hint="eastAsia" w:ascii="宋体" w:hAnsi="宋体" w:eastAsia="宋体" w:cs="宋体"/>
          <w:color w:val="auto"/>
          <w:spacing w:val="-2"/>
          <w:kern w:val="0"/>
          <w:sz w:val="24"/>
          <w:szCs w:val="24"/>
          <w:lang w:val="en-US" w:bidi="zh-CN"/>
        </w:rPr>
        <w:t>5</w:t>
      </w:r>
      <w:r>
        <w:rPr>
          <w:rStyle w:val="5"/>
          <w:rFonts w:hint="eastAsia" w:ascii="宋体" w:hAnsi="宋体" w:eastAsia="宋体" w:cs="宋体"/>
          <w:color w:val="auto"/>
          <w:spacing w:val="-2"/>
          <w:kern w:val="0"/>
          <w:sz w:val="24"/>
          <w:szCs w:val="24"/>
          <w:lang w:val="zh-CN" w:bidi="zh-CN"/>
        </w:rPr>
        <w:t>年质量检验合格报告复印件和非转基因检验报告复印件。</w:t>
      </w:r>
    </w:p>
    <w:p w14:paraId="35DB9B68">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2</w:t>
      </w:r>
      <w:r>
        <w:rPr>
          <w:rStyle w:val="5"/>
          <w:rFonts w:hint="eastAsia" w:ascii="宋体" w:hAnsi="宋体" w:eastAsia="宋体" w:cs="宋体"/>
          <w:b/>
          <w:bCs/>
          <w:color w:val="auto"/>
          <w:spacing w:val="0"/>
          <w:kern w:val="0"/>
          <w:sz w:val="24"/>
          <w:szCs w:val="24"/>
          <w:lang w:val="zh-CN" w:bidi="zh-CN"/>
        </w:rPr>
        <w:t>）硼肥技术规格、参数与要求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0"/>
        <w:gridCol w:w="2842"/>
      </w:tblGrid>
      <w:tr w14:paraId="002C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4" w:hRule="atLeast"/>
        </w:trPr>
        <w:tc>
          <w:tcPr>
            <w:tcW w:w="1666" w:type="pct"/>
            <w:noWrap w:val="0"/>
            <w:vAlign w:val="center"/>
          </w:tcPr>
          <w:p w14:paraId="5A702C20">
            <w:pPr>
              <w:pStyle w:val="6"/>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rightChars="0"/>
              <w:jc w:val="center"/>
              <w:textAlignment w:val="baseline"/>
              <w:rPr>
                <w:rStyle w:val="5"/>
                <w:rFonts w:hint="eastAsia" w:ascii="宋体" w:hAnsi="宋体" w:eastAsia="宋体" w:cs="宋体"/>
                <w:b/>
                <w:bCs/>
                <w:color w:val="auto"/>
                <w:spacing w:val="0"/>
                <w:kern w:val="0"/>
                <w:sz w:val="21"/>
                <w:szCs w:val="21"/>
                <w:vertAlign w:val="baseline"/>
                <w:lang w:val="en-US" w:bidi="zh-CN"/>
              </w:rPr>
            </w:pPr>
            <w:r>
              <w:rPr>
                <w:rStyle w:val="5"/>
                <w:rFonts w:hint="eastAsia" w:ascii="宋体" w:hAnsi="宋体" w:eastAsia="宋体" w:cs="宋体"/>
                <w:b/>
                <w:bCs/>
                <w:color w:val="auto"/>
                <w:spacing w:val="0"/>
                <w:kern w:val="0"/>
                <w:sz w:val="21"/>
                <w:szCs w:val="21"/>
                <w:vertAlign w:val="baseline"/>
                <w:lang w:val="en-US" w:bidi="zh-CN"/>
              </w:rPr>
              <w:t>名称</w:t>
            </w:r>
          </w:p>
        </w:tc>
        <w:tc>
          <w:tcPr>
            <w:tcW w:w="3333" w:type="pct"/>
            <w:gridSpan w:val="2"/>
            <w:noWrap w:val="0"/>
            <w:vAlign w:val="center"/>
          </w:tcPr>
          <w:p w14:paraId="1E7FEDC4">
            <w:pPr>
              <w:pStyle w:val="6"/>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rightChars="0"/>
              <w:jc w:val="center"/>
              <w:textAlignment w:val="baseline"/>
              <w:rPr>
                <w:rStyle w:val="5"/>
                <w:rFonts w:hint="eastAsia" w:ascii="宋体" w:hAnsi="宋体" w:eastAsia="宋体" w:cs="宋体"/>
                <w:b/>
                <w:bCs/>
                <w:color w:val="auto"/>
                <w:spacing w:val="0"/>
                <w:kern w:val="0"/>
                <w:sz w:val="21"/>
                <w:szCs w:val="21"/>
                <w:vertAlign w:val="baseline"/>
                <w:lang w:val="zh-CN" w:bidi="zh-CN"/>
              </w:rPr>
            </w:pPr>
            <w:r>
              <w:rPr>
                <w:rStyle w:val="5"/>
                <w:rFonts w:hint="eastAsia" w:ascii="宋体" w:hAnsi="宋体" w:eastAsia="宋体" w:cs="宋体"/>
                <w:b/>
                <w:bCs/>
                <w:color w:val="auto"/>
                <w:spacing w:val="0"/>
                <w:kern w:val="0"/>
                <w:sz w:val="21"/>
                <w:szCs w:val="21"/>
                <w:lang w:val="zh-CN" w:bidi="zh-CN"/>
              </w:rPr>
              <w:t>术规格、参数与要求</w:t>
            </w:r>
          </w:p>
        </w:tc>
      </w:tr>
      <w:tr w14:paraId="200F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666" w:type="pct"/>
            <w:vMerge w:val="restart"/>
            <w:noWrap w:val="0"/>
            <w:vAlign w:val="center"/>
          </w:tcPr>
          <w:p w14:paraId="4FA3649F">
            <w:pPr>
              <w:keepNext w:val="0"/>
              <w:keepLines w:val="0"/>
              <w:widowControl/>
              <w:suppressLineNumbers w:val="0"/>
              <w:spacing w:line="240" w:lineRule="auto"/>
              <w:jc w:val="center"/>
              <w:rPr>
                <w:rStyle w:val="5"/>
                <w:rFonts w:hint="eastAsia" w:ascii="宋体" w:hAnsi="宋体" w:eastAsia="宋体" w:cs="宋体"/>
                <w:b/>
                <w:bCs/>
                <w:color w:val="auto"/>
                <w:spacing w:val="0"/>
                <w:kern w:val="0"/>
                <w:sz w:val="21"/>
                <w:szCs w:val="21"/>
                <w:vertAlign w:val="baseline"/>
                <w:lang w:val="zh-CN" w:bidi="zh-CN"/>
              </w:rPr>
            </w:pPr>
            <w:r>
              <w:rPr>
                <w:rFonts w:hint="eastAsia" w:ascii="宋体" w:hAnsi="宋体" w:eastAsia="宋体" w:cs="宋体"/>
                <w:color w:val="auto"/>
                <w:kern w:val="0"/>
                <w:sz w:val="21"/>
                <w:szCs w:val="21"/>
                <w:lang w:val="en-US" w:eastAsia="zh-CN" w:bidi="ar"/>
              </w:rPr>
              <w:t>油菜专用颗粒硼肥</w:t>
            </w:r>
          </w:p>
        </w:tc>
        <w:tc>
          <w:tcPr>
            <w:tcW w:w="1666" w:type="pct"/>
            <w:noWrap w:val="0"/>
            <w:vAlign w:val="center"/>
          </w:tcPr>
          <w:p w14:paraId="5D3558A2">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纯硼（B）</w:t>
            </w:r>
          </w:p>
        </w:tc>
        <w:tc>
          <w:tcPr>
            <w:tcW w:w="1666" w:type="pct"/>
            <w:noWrap w:val="0"/>
            <w:vAlign w:val="center"/>
          </w:tcPr>
          <w:p w14:paraId="2E3A3BFD">
            <w:pPr>
              <w:pStyle w:val="6"/>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rightChars="0"/>
              <w:jc w:val="center"/>
              <w:textAlignment w:val="baseline"/>
              <w:rPr>
                <w:rStyle w:val="5"/>
                <w:rFonts w:hint="eastAsia" w:ascii="宋体" w:hAnsi="宋体" w:eastAsia="宋体" w:cs="宋体"/>
                <w:b w:val="0"/>
                <w:bCs w:val="0"/>
                <w:color w:val="auto"/>
                <w:spacing w:val="0"/>
                <w:kern w:val="0"/>
                <w:sz w:val="21"/>
                <w:szCs w:val="21"/>
                <w:vertAlign w:val="baseline"/>
                <w:lang w:val="zh-CN" w:bidi="zh-CN"/>
              </w:rPr>
            </w:pPr>
            <w:r>
              <w:rPr>
                <w:rStyle w:val="5"/>
                <w:rFonts w:hint="eastAsia" w:ascii="宋体" w:hAnsi="宋体" w:eastAsia="宋体" w:cs="宋体"/>
                <w:b w:val="0"/>
                <w:bCs w:val="0"/>
                <w:color w:val="auto"/>
                <w:spacing w:val="0"/>
                <w:kern w:val="0"/>
                <w:sz w:val="21"/>
                <w:szCs w:val="21"/>
                <w:vertAlign w:val="baseline"/>
                <w:lang w:val="zh-CN" w:bidi="zh-CN"/>
              </w:rPr>
              <w:t>≥12%</w:t>
            </w:r>
          </w:p>
        </w:tc>
      </w:tr>
      <w:tr w14:paraId="6209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666" w:type="pct"/>
            <w:vMerge w:val="continue"/>
            <w:noWrap w:val="0"/>
            <w:vAlign w:val="center"/>
          </w:tcPr>
          <w:p w14:paraId="623CD01D">
            <w:pPr>
              <w:pStyle w:val="6"/>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rightChars="0"/>
              <w:jc w:val="center"/>
              <w:textAlignment w:val="baseline"/>
              <w:rPr>
                <w:rStyle w:val="5"/>
                <w:rFonts w:hint="eastAsia" w:ascii="宋体" w:hAnsi="宋体" w:eastAsia="宋体" w:cs="宋体"/>
                <w:b/>
                <w:bCs/>
                <w:color w:val="auto"/>
                <w:spacing w:val="0"/>
                <w:kern w:val="0"/>
                <w:sz w:val="21"/>
                <w:szCs w:val="21"/>
                <w:vertAlign w:val="baseline"/>
                <w:lang w:val="zh-CN" w:bidi="zh-CN"/>
              </w:rPr>
            </w:pPr>
          </w:p>
        </w:tc>
        <w:tc>
          <w:tcPr>
            <w:tcW w:w="1666" w:type="pct"/>
            <w:noWrap w:val="0"/>
            <w:vAlign w:val="center"/>
          </w:tcPr>
          <w:p w14:paraId="1C7F9543">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产品剂型</w:t>
            </w:r>
          </w:p>
        </w:tc>
        <w:tc>
          <w:tcPr>
            <w:tcW w:w="1666" w:type="pct"/>
            <w:noWrap w:val="0"/>
            <w:vAlign w:val="center"/>
          </w:tcPr>
          <w:p w14:paraId="29B46854">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颗粒</w:t>
            </w:r>
          </w:p>
        </w:tc>
      </w:tr>
      <w:tr w14:paraId="4AA7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666" w:type="pct"/>
            <w:vMerge w:val="continue"/>
            <w:noWrap w:val="0"/>
            <w:vAlign w:val="center"/>
          </w:tcPr>
          <w:p w14:paraId="73CADC31">
            <w:pPr>
              <w:pStyle w:val="6"/>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rightChars="0"/>
              <w:jc w:val="center"/>
              <w:textAlignment w:val="baseline"/>
              <w:rPr>
                <w:rStyle w:val="5"/>
                <w:rFonts w:hint="eastAsia" w:ascii="宋体" w:hAnsi="宋体" w:eastAsia="宋体" w:cs="宋体"/>
                <w:b/>
                <w:bCs/>
                <w:color w:val="auto"/>
                <w:spacing w:val="0"/>
                <w:kern w:val="0"/>
                <w:sz w:val="21"/>
                <w:szCs w:val="21"/>
                <w:vertAlign w:val="baseline"/>
                <w:lang w:val="zh-CN" w:bidi="zh-CN"/>
              </w:rPr>
            </w:pPr>
          </w:p>
        </w:tc>
        <w:tc>
          <w:tcPr>
            <w:tcW w:w="1666" w:type="pct"/>
            <w:noWrap w:val="0"/>
            <w:vAlign w:val="center"/>
          </w:tcPr>
          <w:p w14:paraId="57A14391">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包装规格</w:t>
            </w:r>
          </w:p>
        </w:tc>
        <w:tc>
          <w:tcPr>
            <w:tcW w:w="1666" w:type="pct"/>
            <w:noWrap w:val="0"/>
            <w:vAlign w:val="center"/>
          </w:tcPr>
          <w:p w14:paraId="6EF385F5">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200g/袋</w:t>
            </w:r>
          </w:p>
        </w:tc>
      </w:tr>
      <w:tr w14:paraId="649A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666" w:type="pct"/>
            <w:vMerge w:val="continue"/>
            <w:noWrap w:val="0"/>
            <w:vAlign w:val="center"/>
          </w:tcPr>
          <w:p w14:paraId="5BAB8C57">
            <w:pPr>
              <w:pStyle w:val="6"/>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rightChars="0"/>
              <w:jc w:val="center"/>
              <w:textAlignment w:val="baseline"/>
              <w:rPr>
                <w:rStyle w:val="5"/>
                <w:rFonts w:hint="eastAsia" w:ascii="宋体" w:hAnsi="宋体" w:eastAsia="宋体" w:cs="宋体"/>
                <w:b/>
                <w:bCs/>
                <w:color w:val="auto"/>
                <w:spacing w:val="0"/>
                <w:kern w:val="0"/>
                <w:sz w:val="21"/>
                <w:szCs w:val="21"/>
                <w:vertAlign w:val="baseline"/>
                <w:lang w:val="zh-CN" w:bidi="zh-CN"/>
              </w:rPr>
            </w:pPr>
          </w:p>
        </w:tc>
        <w:tc>
          <w:tcPr>
            <w:tcW w:w="1666" w:type="pct"/>
            <w:noWrap w:val="0"/>
            <w:vAlign w:val="center"/>
          </w:tcPr>
          <w:p w14:paraId="5019BE5D">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产品质保</w:t>
            </w:r>
          </w:p>
        </w:tc>
        <w:tc>
          <w:tcPr>
            <w:tcW w:w="1666" w:type="pct"/>
            <w:noWrap w:val="0"/>
            <w:vAlign w:val="center"/>
          </w:tcPr>
          <w:p w14:paraId="215FDB66">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1年</w:t>
            </w:r>
          </w:p>
        </w:tc>
      </w:tr>
      <w:tr w14:paraId="3945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666" w:type="pct"/>
            <w:vMerge w:val="continue"/>
            <w:noWrap w:val="0"/>
            <w:vAlign w:val="center"/>
          </w:tcPr>
          <w:p w14:paraId="6D2D1FE9">
            <w:pPr>
              <w:pStyle w:val="6"/>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rightChars="0"/>
              <w:jc w:val="center"/>
              <w:textAlignment w:val="baseline"/>
              <w:rPr>
                <w:rStyle w:val="5"/>
                <w:rFonts w:hint="eastAsia" w:ascii="宋体" w:hAnsi="宋体" w:eastAsia="宋体" w:cs="宋体"/>
                <w:b/>
                <w:bCs/>
                <w:color w:val="auto"/>
                <w:spacing w:val="0"/>
                <w:kern w:val="0"/>
                <w:sz w:val="21"/>
                <w:szCs w:val="21"/>
                <w:vertAlign w:val="baseline"/>
                <w:lang w:val="zh-CN" w:bidi="zh-CN"/>
              </w:rPr>
            </w:pPr>
          </w:p>
        </w:tc>
        <w:tc>
          <w:tcPr>
            <w:tcW w:w="3333" w:type="pct"/>
            <w:gridSpan w:val="2"/>
            <w:noWrap w:val="0"/>
            <w:vAlign w:val="center"/>
          </w:tcPr>
          <w:p w14:paraId="0D483E07">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重金属含量指标符合国家规定</w:t>
            </w:r>
          </w:p>
        </w:tc>
      </w:tr>
      <w:tr w14:paraId="062C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666" w:type="pct"/>
            <w:vMerge w:val="continue"/>
            <w:noWrap w:val="0"/>
            <w:vAlign w:val="center"/>
          </w:tcPr>
          <w:p w14:paraId="451979A6">
            <w:pPr>
              <w:pStyle w:val="6"/>
              <w:keepNext w:val="0"/>
              <w:keepLines w:val="0"/>
              <w:pageBreakBefore w:val="0"/>
              <w:widowControl w:val="0"/>
              <w:kinsoku/>
              <w:wordWrap/>
              <w:overflowPunct/>
              <w:topLinePunct w:val="0"/>
              <w:autoSpaceDE w:val="0"/>
              <w:autoSpaceDN w:val="0"/>
              <w:bidi w:val="0"/>
              <w:adjustRightInd w:val="0"/>
              <w:snapToGrid w:val="0"/>
              <w:spacing w:before="0" w:after="0" w:line="240" w:lineRule="auto"/>
              <w:ind w:right="0" w:rightChars="0"/>
              <w:jc w:val="center"/>
              <w:textAlignment w:val="baseline"/>
              <w:rPr>
                <w:rStyle w:val="5"/>
                <w:rFonts w:hint="eastAsia" w:ascii="宋体" w:hAnsi="宋体" w:eastAsia="宋体" w:cs="宋体"/>
                <w:b/>
                <w:bCs/>
                <w:color w:val="auto"/>
                <w:spacing w:val="0"/>
                <w:kern w:val="0"/>
                <w:sz w:val="21"/>
                <w:szCs w:val="21"/>
                <w:vertAlign w:val="baseline"/>
                <w:lang w:val="zh-CN" w:bidi="zh-CN"/>
              </w:rPr>
            </w:pPr>
          </w:p>
        </w:tc>
        <w:tc>
          <w:tcPr>
            <w:tcW w:w="3333" w:type="pct"/>
            <w:gridSpan w:val="2"/>
            <w:noWrap w:val="0"/>
            <w:vAlign w:val="center"/>
          </w:tcPr>
          <w:p w14:paraId="37E3A8F9">
            <w:pPr>
              <w:keepNext w:val="0"/>
              <w:keepLines w:val="0"/>
              <w:widowControl/>
              <w:suppressLineNumbers w:val="0"/>
              <w:spacing w:line="240" w:lineRule="auto"/>
              <w:jc w:val="center"/>
              <w:rPr>
                <w:rStyle w:val="5"/>
                <w:rFonts w:hint="eastAsia" w:ascii="宋体" w:hAnsi="宋体" w:eastAsia="宋体" w:cs="宋体"/>
                <w:b w:val="0"/>
                <w:bCs w:val="0"/>
                <w:color w:val="auto"/>
                <w:spacing w:val="0"/>
                <w:kern w:val="0"/>
                <w:sz w:val="21"/>
                <w:szCs w:val="21"/>
                <w:vertAlign w:val="baseline"/>
                <w:lang w:val="zh-CN" w:bidi="zh-CN"/>
              </w:rPr>
            </w:pPr>
            <w:r>
              <w:rPr>
                <w:rFonts w:hint="eastAsia" w:ascii="宋体" w:hAnsi="宋体" w:eastAsia="宋体" w:cs="宋体"/>
                <w:b w:val="0"/>
                <w:bCs w:val="0"/>
                <w:color w:val="auto"/>
                <w:kern w:val="0"/>
                <w:sz w:val="21"/>
                <w:szCs w:val="21"/>
                <w:lang w:val="en-US" w:eastAsia="zh-CN" w:bidi="ar"/>
              </w:rPr>
              <w:t>满足硼肥执行标准：GB/T537-2009</w:t>
            </w:r>
          </w:p>
        </w:tc>
      </w:tr>
    </w:tbl>
    <w:p w14:paraId="766EB686">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3</w:t>
      </w:r>
      <w:r>
        <w:rPr>
          <w:rStyle w:val="5"/>
          <w:rFonts w:hint="eastAsia" w:ascii="宋体" w:hAnsi="宋体" w:eastAsia="宋体" w:cs="宋体"/>
          <w:b/>
          <w:bCs/>
          <w:color w:val="auto"/>
          <w:spacing w:val="0"/>
          <w:kern w:val="0"/>
          <w:sz w:val="24"/>
          <w:szCs w:val="24"/>
          <w:lang w:val="zh-CN" w:bidi="zh-CN"/>
        </w:rPr>
        <w:t>）包装和发运</w:t>
      </w:r>
    </w:p>
    <w:p w14:paraId="223B4017">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1、所供货物必须是完整、原装、未过期的正规合格产品，并且符合国家检测标准及货物出厂标准。在规定的保质期内，中标人应对由于工艺或材料缺陷等质量问题导致作物受害承担责任。</w:t>
      </w:r>
    </w:p>
    <w:p w14:paraId="5D0C1FA6">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2、中标人须按时按质按量按常宁市农业农村局指定地点交货。</w:t>
      </w:r>
    </w:p>
    <w:p w14:paraId="22860C0A">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4</w:t>
      </w:r>
      <w:r>
        <w:rPr>
          <w:rStyle w:val="5"/>
          <w:rFonts w:hint="eastAsia" w:ascii="宋体" w:hAnsi="宋体" w:eastAsia="宋体" w:cs="宋体"/>
          <w:b/>
          <w:bCs/>
          <w:color w:val="auto"/>
          <w:spacing w:val="0"/>
          <w:kern w:val="0"/>
          <w:sz w:val="24"/>
          <w:szCs w:val="24"/>
          <w:lang w:val="zh-CN" w:bidi="zh-CN"/>
        </w:rPr>
        <w:t>）检验与验收</w:t>
      </w:r>
    </w:p>
    <w:p w14:paraId="54B9AC12">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1、货物验收按照招标文件要求及投标文件承诺的有关规定执行,并经采购单位技术专家组验收。</w:t>
      </w:r>
    </w:p>
    <w:p w14:paraId="5A09DF00">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2、种子及硼肥质量不符合要求，采购人有权拒绝接收，并拒绝付款。</w:t>
      </w:r>
    </w:p>
    <w:p w14:paraId="14E9A93E">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3、履约验收标准和要求：符合</w:t>
      </w:r>
      <w:bookmarkStart w:id="10" w:name="_GoBack"/>
      <w:bookmarkEnd w:id="10"/>
      <w:r>
        <w:rPr>
          <w:rStyle w:val="5"/>
          <w:rFonts w:hint="eastAsia" w:ascii="宋体" w:hAnsi="宋体" w:eastAsia="宋体" w:cs="宋体"/>
          <w:color w:val="auto"/>
          <w:spacing w:val="-2"/>
          <w:kern w:val="0"/>
          <w:sz w:val="24"/>
          <w:szCs w:val="24"/>
          <w:lang w:val="zh-CN" w:bidi="zh-CN"/>
        </w:rPr>
        <w:t>国家和行业标准。</w:t>
      </w:r>
    </w:p>
    <w:p w14:paraId="5C6BDFD9">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5</w:t>
      </w:r>
      <w:r>
        <w:rPr>
          <w:rStyle w:val="5"/>
          <w:rFonts w:hint="eastAsia" w:ascii="宋体" w:hAnsi="宋体" w:eastAsia="宋体" w:cs="宋体"/>
          <w:b/>
          <w:bCs/>
          <w:color w:val="auto"/>
          <w:spacing w:val="0"/>
          <w:kern w:val="0"/>
          <w:sz w:val="24"/>
          <w:szCs w:val="24"/>
          <w:lang w:val="zh-CN" w:bidi="zh-CN"/>
        </w:rPr>
        <w:t>）售后服务</w:t>
      </w:r>
    </w:p>
    <w:p w14:paraId="1A9D302D">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1、项目实施期间提供24小时的技术咨询服务，紧急情况需4小时到达内现场处理。</w:t>
      </w:r>
    </w:p>
    <w:p w14:paraId="3E56E789">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2、重要农业生产时期、节假日须提供技术人员值守服务。</w:t>
      </w:r>
    </w:p>
    <w:p w14:paraId="0CFA6D46">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6</w:t>
      </w:r>
      <w:r>
        <w:rPr>
          <w:rStyle w:val="5"/>
          <w:rFonts w:hint="eastAsia" w:ascii="宋体" w:hAnsi="宋体" w:eastAsia="宋体" w:cs="宋体"/>
          <w:b/>
          <w:bCs/>
          <w:color w:val="auto"/>
          <w:spacing w:val="0"/>
          <w:kern w:val="0"/>
          <w:sz w:val="24"/>
          <w:szCs w:val="24"/>
          <w:lang w:val="zh-CN" w:bidi="zh-CN"/>
        </w:rPr>
        <w:t>）供货</w:t>
      </w:r>
    </w:p>
    <w:p w14:paraId="3A9628DE">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期及付款方式</w:t>
      </w:r>
    </w:p>
    <w:p w14:paraId="06EF1C77">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★1、交货期</w:t>
      </w:r>
    </w:p>
    <w:p w14:paraId="6D309291">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按使用计划分批交货，用户提前3天交计划，计划收到后3个工作日内交货。若中标人没有按要求在约定的交货期内交货，采购人则有权拒付货款或中标人按每天万分之五支付违约金。</w:t>
      </w:r>
    </w:p>
    <w:p w14:paraId="75C08891">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2、交货地点及方式</w:t>
      </w:r>
    </w:p>
    <w:p w14:paraId="2B63A5CA">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交货地点：中标人需按采购人要求送至指定地点。</w:t>
      </w:r>
    </w:p>
    <w:p w14:paraId="19F457CB">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3、付款方式</w:t>
      </w:r>
    </w:p>
    <w:p w14:paraId="3DB50C32">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合同签定后种子及硼肥经验收合格，收割后（无质量问题、售后服务纠纷、以及其他经济法律纠纷等）一次性付款。</w:t>
      </w:r>
    </w:p>
    <w:p w14:paraId="781CB5E1">
      <w:pPr>
        <w:pStyle w:val="6"/>
        <w:keepNext w:val="0"/>
        <w:keepLines w:val="0"/>
        <w:pageBreakBefore w:val="0"/>
        <w:widowControl/>
        <w:kinsoku/>
        <w:wordWrap/>
        <w:overflowPunct/>
        <w:topLinePunct w:val="0"/>
        <w:autoSpaceDE w:val="0"/>
        <w:autoSpaceDN w:val="0"/>
        <w:bidi w:val="0"/>
        <w:adjustRightInd w:val="0"/>
        <w:snapToGrid w:val="0"/>
        <w:spacing w:before="0" w:after="0" w:line="240" w:lineRule="auto"/>
        <w:ind w:left="0" w:right="0" w:firstLine="554" w:firstLineChars="200"/>
        <w:jc w:val="left"/>
        <w:textAlignment w:val="auto"/>
        <w:outlineLvl w:val="2"/>
        <w:rPr>
          <w:rStyle w:val="5"/>
          <w:rFonts w:hint="eastAsia" w:ascii="黑体" w:hAnsi="黑体" w:eastAsia="黑体" w:cs="黑体"/>
          <w:b/>
          <w:bCs/>
          <w:color w:val="auto"/>
          <w:spacing w:val="-2"/>
          <w:kern w:val="0"/>
          <w:sz w:val="28"/>
          <w:szCs w:val="28"/>
          <w:lang w:val="zh-CN" w:bidi="zh-CN"/>
        </w:rPr>
      </w:pPr>
      <w:r>
        <w:rPr>
          <w:rStyle w:val="5"/>
          <w:rFonts w:hint="eastAsia" w:ascii="黑体" w:hAnsi="黑体" w:eastAsia="黑体" w:cs="黑体"/>
          <w:b/>
          <w:bCs/>
          <w:color w:val="auto"/>
          <w:spacing w:val="-2"/>
          <w:kern w:val="0"/>
          <w:sz w:val="28"/>
          <w:szCs w:val="28"/>
          <w:lang w:val="en-US" w:bidi="zh-CN"/>
        </w:rPr>
        <w:t>三、油菜耕种作业社会化服务</w:t>
      </w:r>
      <w:r>
        <w:rPr>
          <w:rStyle w:val="5"/>
          <w:rFonts w:hint="eastAsia" w:ascii="黑体" w:hAnsi="黑体" w:eastAsia="黑体" w:cs="黑体"/>
          <w:b/>
          <w:bCs/>
          <w:color w:val="auto"/>
          <w:spacing w:val="-2"/>
          <w:kern w:val="0"/>
          <w:sz w:val="28"/>
          <w:szCs w:val="28"/>
          <w:lang w:val="zh-CN" w:bidi="zh-CN"/>
        </w:rPr>
        <w:t>要求</w:t>
      </w:r>
    </w:p>
    <w:p w14:paraId="66CE9817">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default" w:ascii="宋体" w:hAnsi="宋体" w:eastAsia="宋体" w:cs="宋体"/>
          <w:b/>
          <w:bCs/>
          <w:color w:val="auto"/>
          <w:spacing w:val="0"/>
          <w:kern w:val="0"/>
          <w:sz w:val="24"/>
          <w:szCs w:val="24"/>
          <w:lang w:val="en-US" w:bidi="zh-CN"/>
        </w:rPr>
      </w:pPr>
      <w:r>
        <w:rPr>
          <w:rStyle w:val="5"/>
          <w:rFonts w:hint="eastAsia" w:ascii="宋体" w:hAnsi="宋体" w:eastAsia="宋体" w:cs="宋体"/>
          <w:b/>
          <w:bCs/>
          <w:color w:val="auto"/>
          <w:spacing w:val="0"/>
          <w:kern w:val="0"/>
          <w:sz w:val="24"/>
          <w:szCs w:val="24"/>
          <w:lang w:val="en-US" w:bidi="zh-CN"/>
        </w:rPr>
        <w:t>（1）任务分解表</w:t>
      </w:r>
    </w:p>
    <w:tbl>
      <w:tblPr>
        <w:tblStyle w:val="3"/>
        <w:tblW w:w="4998"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2129"/>
        <w:gridCol w:w="2129"/>
        <w:gridCol w:w="2129"/>
        <w:gridCol w:w="2132"/>
      </w:tblGrid>
      <w:tr w14:paraId="3D23EE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1249" w:type="pct"/>
            <w:tcBorders>
              <w:tl2br w:val="nil"/>
              <w:tr2bl w:val="nil"/>
            </w:tcBorders>
            <w:noWrap w:val="0"/>
            <w:vAlign w:val="center"/>
          </w:tcPr>
          <w:p w14:paraId="748F8C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包号</w:t>
            </w:r>
          </w:p>
        </w:tc>
        <w:tc>
          <w:tcPr>
            <w:tcW w:w="1249" w:type="pct"/>
            <w:tcBorders>
              <w:tl2br w:val="nil"/>
              <w:tr2bl w:val="nil"/>
            </w:tcBorders>
            <w:noWrap w:val="0"/>
            <w:vAlign w:val="center"/>
          </w:tcPr>
          <w:p w14:paraId="6EE3CB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乡镇（街道）</w:t>
            </w:r>
          </w:p>
        </w:tc>
        <w:tc>
          <w:tcPr>
            <w:tcW w:w="1249" w:type="pct"/>
            <w:tcBorders>
              <w:tl2br w:val="nil"/>
              <w:tr2bl w:val="nil"/>
            </w:tcBorders>
            <w:noWrap w:val="0"/>
            <w:vAlign w:val="center"/>
          </w:tcPr>
          <w:p w14:paraId="07DAD6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任务面积（亩）</w:t>
            </w:r>
          </w:p>
        </w:tc>
        <w:tc>
          <w:tcPr>
            <w:tcW w:w="1251" w:type="pct"/>
            <w:tcBorders>
              <w:tl2br w:val="nil"/>
              <w:tr2bl w:val="nil"/>
            </w:tcBorders>
            <w:noWrap w:val="0"/>
            <w:vAlign w:val="center"/>
          </w:tcPr>
          <w:p w14:paraId="2887B0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合计（亩）</w:t>
            </w:r>
          </w:p>
        </w:tc>
      </w:tr>
      <w:tr w14:paraId="574C341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1249" w:type="pct"/>
            <w:vMerge w:val="restart"/>
            <w:tcBorders>
              <w:tl2br w:val="nil"/>
              <w:tr2bl w:val="nil"/>
            </w:tcBorders>
            <w:noWrap w:val="0"/>
            <w:vAlign w:val="center"/>
          </w:tcPr>
          <w:p w14:paraId="3FEB59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包四（</w:t>
            </w:r>
            <w:r>
              <w:rPr>
                <w:rStyle w:val="7"/>
                <w:rFonts w:hint="eastAsia"/>
                <w:color w:val="auto"/>
                <w:lang w:val="en-US" w:eastAsia="zh-CN" w:bidi="ar"/>
              </w:rPr>
              <w:t>油菜耕种作业社会化服务</w:t>
            </w:r>
            <w:r>
              <w:rPr>
                <w:rStyle w:val="7"/>
                <w:color w:val="auto"/>
                <w:lang w:val="en-US" w:eastAsia="zh-CN" w:bidi="ar"/>
              </w:rPr>
              <w:t>）</w:t>
            </w:r>
          </w:p>
        </w:tc>
        <w:tc>
          <w:tcPr>
            <w:tcW w:w="1249" w:type="pct"/>
            <w:tcBorders>
              <w:tl2br w:val="nil"/>
              <w:tr2bl w:val="nil"/>
            </w:tcBorders>
            <w:noWrap w:val="0"/>
            <w:vAlign w:val="center"/>
          </w:tcPr>
          <w:p w14:paraId="60F6C3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罗桥镇</w:t>
            </w:r>
          </w:p>
        </w:tc>
        <w:tc>
          <w:tcPr>
            <w:tcW w:w="1249" w:type="pct"/>
            <w:tcBorders>
              <w:tl2br w:val="nil"/>
              <w:tr2bl w:val="nil"/>
            </w:tcBorders>
            <w:noWrap w:val="0"/>
            <w:vAlign w:val="center"/>
          </w:tcPr>
          <w:p w14:paraId="7A377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1800</w:t>
            </w:r>
          </w:p>
        </w:tc>
        <w:tc>
          <w:tcPr>
            <w:tcW w:w="1251" w:type="pct"/>
            <w:vMerge w:val="restart"/>
            <w:tcBorders>
              <w:tl2br w:val="nil"/>
              <w:tr2bl w:val="nil"/>
            </w:tcBorders>
            <w:noWrap w:val="0"/>
            <w:vAlign w:val="center"/>
          </w:tcPr>
          <w:p w14:paraId="4F87B2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6700</w:t>
            </w:r>
          </w:p>
        </w:tc>
      </w:tr>
      <w:tr w14:paraId="531EB1F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77A8A98">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0188F4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庙前镇</w:t>
            </w:r>
          </w:p>
        </w:tc>
        <w:tc>
          <w:tcPr>
            <w:tcW w:w="1249" w:type="pct"/>
            <w:tcBorders>
              <w:tl2br w:val="nil"/>
              <w:tr2bl w:val="nil"/>
            </w:tcBorders>
            <w:noWrap w:val="0"/>
            <w:vAlign w:val="center"/>
          </w:tcPr>
          <w:p w14:paraId="36AA94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1251" w:type="pct"/>
            <w:vMerge w:val="continue"/>
            <w:tcBorders>
              <w:tl2br w:val="nil"/>
              <w:tr2bl w:val="nil"/>
            </w:tcBorders>
            <w:noWrap w:val="0"/>
            <w:vAlign w:val="center"/>
          </w:tcPr>
          <w:p w14:paraId="3FB0EFBD">
            <w:pPr>
              <w:jc w:val="center"/>
              <w:rPr>
                <w:rFonts w:hint="eastAsia" w:ascii="宋体" w:hAnsi="宋体" w:eastAsia="宋体" w:cs="宋体"/>
                <w:i w:val="0"/>
                <w:iCs w:val="0"/>
                <w:color w:val="auto"/>
                <w:sz w:val="21"/>
                <w:szCs w:val="21"/>
                <w:u w:val="none"/>
              </w:rPr>
            </w:pPr>
          </w:p>
        </w:tc>
      </w:tr>
      <w:tr w14:paraId="3E27698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3849E243">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0348BA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板桥镇</w:t>
            </w:r>
          </w:p>
        </w:tc>
        <w:tc>
          <w:tcPr>
            <w:tcW w:w="1249" w:type="pct"/>
            <w:tcBorders>
              <w:tl2br w:val="nil"/>
              <w:tr2bl w:val="nil"/>
            </w:tcBorders>
            <w:noWrap w:val="0"/>
            <w:vAlign w:val="center"/>
          </w:tcPr>
          <w:p w14:paraId="35D193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w:t>
            </w:r>
          </w:p>
        </w:tc>
        <w:tc>
          <w:tcPr>
            <w:tcW w:w="1251" w:type="pct"/>
            <w:vMerge w:val="continue"/>
            <w:tcBorders>
              <w:tl2br w:val="nil"/>
              <w:tr2bl w:val="nil"/>
            </w:tcBorders>
            <w:noWrap w:val="0"/>
            <w:vAlign w:val="center"/>
          </w:tcPr>
          <w:p w14:paraId="38658897">
            <w:pPr>
              <w:jc w:val="center"/>
              <w:rPr>
                <w:rFonts w:hint="eastAsia" w:ascii="宋体" w:hAnsi="宋体" w:eastAsia="宋体" w:cs="宋体"/>
                <w:i w:val="0"/>
                <w:iCs w:val="0"/>
                <w:color w:val="auto"/>
                <w:sz w:val="21"/>
                <w:szCs w:val="21"/>
                <w:u w:val="none"/>
              </w:rPr>
            </w:pPr>
          </w:p>
        </w:tc>
      </w:tr>
      <w:tr w14:paraId="15280B0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62FD7F1">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24D4AE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胜桥镇</w:t>
            </w:r>
          </w:p>
        </w:tc>
        <w:tc>
          <w:tcPr>
            <w:tcW w:w="1249" w:type="pct"/>
            <w:tcBorders>
              <w:tl2br w:val="nil"/>
              <w:tr2bl w:val="nil"/>
            </w:tcBorders>
            <w:noWrap w:val="0"/>
            <w:vAlign w:val="center"/>
          </w:tcPr>
          <w:p w14:paraId="727836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1251" w:type="pct"/>
            <w:vMerge w:val="continue"/>
            <w:tcBorders>
              <w:tl2br w:val="nil"/>
              <w:tr2bl w:val="nil"/>
            </w:tcBorders>
            <w:noWrap w:val="0"/>
            <w:vAlign w:val="center"/>
          </w:tcPr>
          <w:p w14:paraId="17BF68DC">
            <w:pPr>
              <w:jc w:val="center"/>
              <w:rPr>
                <w:rFonts w:hint="eastAsia" w:ascii="宋体" w:hAnsi="宋体" w:eastAsia="宋体" w:cs="宋体"/>
                <w:i w:val="0"/>
                <w:iCs w:val="0"/>
                <w:color w:val="auto"/>
                <w:sz w:val="21"/>
                <w:szCs w:val="21"/>
                <w:u w:val="none"/>
              </w:rPr>
            </w:pPr>
          </w:p>
        </w:tc>
      </w:tr>
      <w:tr w14:paraId="7895A6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2FF9B4D0">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14F5E1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大堡乡</w:t>
            </w:r>
          </w:p>
        </w:tc>
        <w:tc>
          <w:tcPr>
            <w:tcW w:w="1249" w:type="pct"/>
            <w:tcBorders>
              <w:tl2br w:val="nil"/>
              <w:tr2bl w:val="nil"/>
            </w:tcBorders>
            <w:noWrap w:val="0"/>
            <w:vAlign w:val="center"/>
          </w:tcPr>
          <w:p w14:paraId="760629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continue"/>
            <w:tcBorders>
              <w:tl2br w:val="nil"/>
              <w:tr2bl w:val="nil"/>
            </w:tcBorders>
            <w:noWrap w:val="0"/>
            <w:vAlign w:val="center"/>
          </w:tcPr>
          <w:p w14:paraId="4450167F">
            <w:pPr>
              <w:jc w:val="center"/>
              <w:rPr>
                <w:rFonts w:hint="eastAsia" w:ascii="宋体" w:hAnsi="宋体" w:eastAsia="宋体" w:cs="宋体"/>
                <w:i w:val="0"/>
                <w:iCs w:val="0"/>
                <w:color w:val="auto"/>
                <w:sz w:val="21"/>
                <w:szCs w:val="21"/>
                <w:u w:val="none"/>
              </w:rPr>
            </w:pPr>
          </w:p>
        </w:tc>
      </w:tr>
      <w:tr w14:paraId="49BFF1C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47B1FF8">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30222C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新河镇</w:t>
            </w:r>
          </w:p>
        </w:tc>
        <w:tc>
          <w:tcPr>
            <w:tcW w:w="1249" w:type="pct"/>
            <w:tcBorders>
              <w:tl2br w:val="nil"/>
              <w:tr2bl w:val="nil"/>
            </w:tcBorders>
            <w:noWrap w:val="0"/>
            <w:vAlign w:val="center"/>
          </w:tcPr>
          <w:p w14:paraId="22FFB3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w:t>
            </w:r>
          </w:p>
        </w:tc>
        <w:tc>
          <w:tcPr>
            <w:tcW w:w="1251" w:type="pct"/>
            <w:vMerge w:val="continue"/>
            <w:tcBorders>
              <w:tl2br w:val="nil"/>
              <w:tr2bl w:val="nil"/>
            </w:tcBorders>
            <w:noWrap w:val="0"/>
            <w:vAlign w:val="center"/>
          </w:tcPr>
          <w:p w14:paraId="2908DF12">
            <w:pPr>
              <w:jc w:val="center"/>
              <w:rPr>
                <w:rFonts w:hint="eastAsia" w:ascii="宋体" w:hAnsi="宋体" w:eastAsia="宋体" w:cs="宋体"/>
                <w:i w:val="0"/>
                <w:iCs w:val="0"/>
                <w:color w:val="auto"/>
                <w:sz w:val="21"/>
                <w:szCs w:val="21"/>
                <w:u w:val="none"/>
              </w:rPr>
            </w:pPr>
          </w:p>
        </w:tc>
      </w:tr>
      <w:tr w14:paraId="000F8FE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1249" w:type="pct"/>
            <w:vMerge w:val="restart"/>
            <w:tcBorders>
              <w:tl2br w:val="nil"/>
              <w:tr2bl w:val="nil"/>
            </w:tcBorders>
            <w:noWrap w:val="0"/>
            <w:vAlign w:val="center"/>
          </w:tcPr>
          <w:p w14:paraId="17516F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包五（</w:t>
            </w:r>
            <w:r>
              <w:rPr>
                <w:rStyle w:val="7"/>
                <w:color w:val="auto"/>
                <w:lang w:val="en-US" w:eastAsia="zh-CN" w:bidi="ar"/>
              </w:rPr>
              <w:t>稻油轮作等类型区域油菜机械化耕种社会化服务）</w:t>
            </w:r>
          </w:p>
        </w:tc>
        <w:tc>
          <w:tcPr>
            <w:tcW w:w="1249" w:type="pct"/>
            <w:tcBorders>
              <w:tl2br w:val="nil"/>
              <w:tr2bl w:val="nil"/>
            </w:tcBorders>
            <w:noWrap w:val="0"/>
            <w:vAlign w:val="center"/>
          </w:tcPr>
          <w:p w14:paraId="6ED206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曲潭街道</w:t>
            </w:r>
          </w:p>
        </w:tc>
        <w:tc>
          <w:tcPr>
            <w:tcW w:w="1249" w:type="pct"/>
            <w:tcBorders>
              <w:tl2br w:val="nil"/>
              <w:tr2bl w:val="nil"/>
            </w:tcBorders>
            <w:noWrap w:val="0"/>
            <w:vAlign w:val="center"/>
          </w:tcPr>
          <w:p w14:paraId="7C14FC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1300</w:t>
            </w:r>
          </w:p>
        </w:tc>
        <w:tc>
          <w:tcPr>
            <w:tcW w:w="1251" w:type="pct"/>
            <w:vMerge w:val="restart"/>
            <w:tcBorders>
              <w:tl2br w:val="nil"/>
              <w:tr2bl w:val="nil"/>
            </w:tcBorders>
            <w:noWrap w:val="0"/>
            <w:vAlign w:val="center"/>
          </w:tcPr>
          <w:p w14:paraId="62CE56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6600</w:t>
            </w:r>
          </w:p>
        </w:tc>
      </w:tr>
      <w:tr w14:paraId="6B27D9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92B1AAC">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4BA35F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荫田镇</w:t>
            </w:r>
          </w:p>
        </w:tc>
        <w:tc>
          <w:tcPr>
            <w:tcW w:w="1249" w:type="pct"/>
            <w:tcBorders>
              <w:tl2br w:val="nil"/>
              <w:tr2bl w:val="nil"/>
            </w:tcBorders>
            <w:noWrap w:val="0"/>
            <w:vAlign w:val="center"/>
          </w:tcPr>
          <w:p w14:paraId="59D02E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c>
          <w:tcPr>
            <w:tcW w:w="1251" w:type="pct"/>
            <w:vMerge w:val="continue"/>
            <w:tcBorders>
              <w:tl2br w:val="nil"/>
              <w:tr2bl w:val="nil"/>
            </w:tcBorders>
            <w:noWrap w:val="0"/>
            <w:vAlign w:val="center"/>
          </w:tcPr>
          <w:p w14:paraId="756A8C8C">
            <w:pPr>
              <w:jc w:val="center"/>
              <w:rPr>
                <w:rFonts w:hint="eastAsia" w:ascii="宋体" w:hAnsi="宋体" w:eastAsia="宋体" w:cs="宋体"/>
                <w:i w:val="0"/>
                <w:iCs w:val="0"/>
                <w:color w:val="auto"/>
                <w:sz w:val="21"/>
                <w:szCs w:val="21"/>
                <w:u w:val="none"/>
              </w:rPr>
            </w:pPr>
          </w:p>
        </w:tc>
      </w:tr>
      <w:tr w14:paraId="6C81C22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5A38D2D">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585BC2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培元街道</w:t>
            </w:r>
          </w:p>
        </w:tc>
        <w:tc>
          <w:tcPr>
            <w:tcW w:w="1249" w:type="pct"/>
            <w:tcBorders>
              <w:tl2br w:val="nil"/>
              <w:tr2bl w:val="nil"/>
            </w:tcBorders>
            <w:noWrap w:val="0"/>
            <w:vAlign w:val="center"/>
          </w:tcPr>
          <w:p w14:paraId="37BDF5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c>
          <w:tcPr>
            <w:tcW w:w="1251" w:type="pct"/>
            <w:vMerge w:val="continue"/>
            <w:tcBorders>
              <w:tl2br w:val="nil"/>
              <w:tr2bl w:val="nil"/>
            </w:tcBorders>
            <w:noWrap w:val="0"/>
            <w:vAlign w:val="center"/>
          </w:tcPr>
          <w:p w14:paraId="3532C380">
            <w:pPr>
              <w:jc w:val="center"/>
              <w:rPr>
                <w:rFonts w:hint="eastAsia" w:ascii="宋体" w:hAnsi="宋体" w:eastAsia="宋体" w:cs="宋体"/>
                <w:i w:val="0"/>
                <w:iCs w:val="0"/>
                <w:color w:val="auto"/>
                <w:sz w:val="21"/>
                <w:szCs w:val="21"/>
                <w:u w:val="none"/>
              </w:rPr>
            </w:pPr>
          </w:p>
        </w:tc>
      </w:tr>
      <w:tr w14:paraId="646C59B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6B1B2EEF">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0F5C5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兰江乡</w:t>
            </w:r>
          </w:p>
        </w:tc>
        <w:tc>
          <w:tcPr>
            <w:tcW w:w="1249" w:type="pct"/>
            <w:tcBorders>
              <w:tl2br w:val="nil"/>
              <w:tr2bl w:val="nil"/>
            </w:tcBorders>
            <w:noWrap w:val="0"/>
            <w:vAlign w:val="center"/>
          </w:tcPr>
          <w:p w14:paraId="05EF87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w:t>
            </w:r>
          </w:p>
        </w:tc>
        <w:tc>
          <w:tcPr>
            <w:tcW w:w="1251" w:type="pct"/>
            <w:vMerge w:val="continue"/>
            <w:tcBorders>
              <w:tl2br w:val="nil"/>
              <w:tr2bl w:val="nil"/>
            </w:tcBorders>
            <w:noWrap w:val="0"/>
            <w:vAlign w:val="center"/>
          </w:tcPr>
          <w:p w14:paraId="07FB7A54">
            <w:pPr>
              <w:jc w:val="center"/>
              <w:rPr>
                <w:rFonts w:hint="eastAsia" w:ascii="宋体" w:hAnsi="宋体" w:eastAsia="宋体" w:cs="宋体"/>
                <w:i w:val="0"/>
                <w:iCs w:val="0"/>
                <w:color w:val="auto"/>
                <w:sz w:val="21"/>
                <w:szCs w:val="21"/>
                <w:u w:val="none"/>
              </w:rPr>
            </w:pPr>
          </w:p>
        </w:tc>
      </w:tr>
      <w:tr w14:paraId="33A152D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5C3BFB74">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747DE4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洋泉镇</w:t>
            </w:r>
          </w:p>
        </w:tc>
        <w:tc>
          <w:tcPr>
            <w:tcW w:w="1249" w:type="pct"/>
            <w:tcBorders>
              <w:tl2br w:val="nil"/>
              <w:tr2bl w:val="nil"/>
            </w:tcBorders>
            <w:noWrap w:val="0"/>
            <w:vAlign w:val="center"/>
          </w:tcPr>
          <w:p w14:paraId="380557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1700</w:t>
            </w:r>
          </w:p>
        </w:tc>
        <w:tc>
          <w:tcPr>
            <w:tcW w:w="1251" w:type="pct"/>
            <w:vMerge w:val="continue"/>
            <w:tcBorders>
              <w:tl2br w:val="nil"/>
              <w:tr2bl w:val="nil"/>
            </w:tcBorders>
            <w:noWrap w:val="0"/>
            <w:vAlign w:val="center"/>
          </w:tcPr>
          <w:p w14:paraId="58F605AD">
            <w:pPr>
              <w:jc w:val="center"/>
              <w:rPr>
                <w:rFonts w:hint="eastAsia" w:ascii="宋体" w:hAnsi="宋体" w:eastAsia="宋体" w:cs="宋体"/>
                <w:i w:val="0"/>
                <w:iCs w:val="0"/>
                <w:color w:val="auto"/>
                <w:sz w:val="21"/>
                <w:szCs w:val="21"/>
                <w:u w:val="none"/>
              </w:rPr>
            </w:pPr>
          </w:p>
        </w:tc>
      </w:tr>
      <w:tr w14:paraId="5FDC1D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128E07D">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347B90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官岭镇</w:t>
            </w:r>
          </w:p>
        </w:tc>
        <w:tc>
          <w:tcPr>
            <w:tcW w:w="1249" w:type="pct"/>
            <w:tcBorders>
              <w:tl2br w:val="nil"/>
              <w:tr2bl w:val="nil"/>
            </w:tcBorders>
            <w:noWrap w:val="0"/>
            <w:vAlign w:val="center"/>
          </w:tcPr>
          <w:p w14:paraId="7F5373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c>
          <w:tcPr>
            <w:tcW w:w="1251" w:type="pct"/>
            <w:vMerge w:val="continue"/>
            <w:tcBorders>
              <w:tl2br w:val="nil"/>
              <w:tr2bl w:val="nil"/>
            </w:tcBorders>
            <w:noWrap w:val="0"/>
            <w:vAlign w:val="center"/>
          </w:tcPr>
          <w:p w14:paraId="5AB6ADE4">
            <w:pPr>
              <w:jc w:val="center"/>
              <w:rPr>
                <w:rFonts w:hint="eastAsia" w:ascii="宋体" w:hAnsi="宋体" w:eastAsia="宋体" w:cs="宋体"/>
                <w:i w:val="0"/>
                <w:iCs w:val="0"/>
                <w:color w:val="auto"/>
                <w:sz w:val="21"/>
                <w:szCs w:val="21"/>
                <w:u w:val="none"/>
              </w:rPr>
            </w:pPr>
          </w:p>
        </w:tc>
      </w:tr>
      <w:tr w14:paraId="5CF1A6F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249" w:type="pct"/>
            <w:vMerge w:val="restart"/>
            <w:tcBorders>
              <w:tl2br w:val="nil"/>
              <w:tr2bl w:val="nil"/>
            </w:tcBorders>
            <w:noWrap w:val="0"/>
            <w:vAlign w:val="center"/>
          </w:tcPr>
          <w:p w14:paraId="28683B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包六（</w:t>
            </w:r>
            <w:r>
              <w:rPr>
                <w:rStyle w:val="7"/>
                <w:color w:val="auto"/>
                <w:lang w:val="en-US" w:eastAsia="zh-CN" w:bidi="ar"/>
              </w:rPr>
              <w:t>稻油轮作等类型区域油菜机械化耕种社会化服务）</w:t>
            </w:r>
          </w:p>
        </w:tc>
        <w:tc>
          <w:tcPr>
            <w:tcW w:w="1249" w:type="pct"/>
            <w:tcBorders>
              <w:tl2br w:val="nil"/>
              <w:tr2bl w:val="nil"/>
            </w:tcBorders>
            <w:noWrap w:val="0"/>
            <w:vAlign w:val="center"/>
          </w:tcPr>
          <w:p w14:paraId="27CC60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柏坊镇</w:t>
            </w:r>
          </w:p>
        </w:tc>
        <w:tc>
          <w:tcPr>
            <w:tcW w:w="1249" w:type="pct"/>
            <w:tcBorders>
              <w:tl2br w:val="nil"/>
              <w:tr2bl w:val="nil"/>
            </w:tcBorders>
            <w:noWrap w:val="0"/>
            <w:vAlign w:val="center"/>
          </w:tcPr>
          <w:p w14:paraId="22ACFE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w:t>
            </w:r>
          </w:p>
        </w:tc>
        <w:tc>
          <w:tcPr>
            <w:tcW w:w="1251" w:type="pct"/>
            <w:vMerge w:val="restart"/>
            <w:tcBorders>
              <w:tl2br w:val="nil"/>
              <w:tr2bl w:val="nil"/>
            </w:tcBorders>
            <w:noWrap w:val="0"/>
            <w:vAlign w:val="center"/>
          </w:tcPr>
          <w:p w14:paraId="66B5D9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6700</w:t>
            </w:r>
          </w:p>
        </w:tc>
      </w:tr>
      <w:tr w14:paraId="76FE60D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431B037">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57917F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水口山镇</w:t>
            </w:r>
          </w:p>
        </w:tc>
        <w:tc>
          <w:tcPr>
            <w:tcW w:w="1249" w:type="pct"/>
            <w:tcBorders>
              <w:tl2br w:val="nil"/>
              <w:tr2bl w:val="nil"/>
            </w:tcBorders>
            <w:noWrap w:val="0"/>
            <w:vAlign w:val="center"/>
          </w:tcPr>
          <w:p w14:paraId="74D1D3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c>
          <w:tcPr>
            <w:tcW w:w="1251" w:type="pct"/>
            <w:vMerge w:val="continue"/>
            <w:tcBorders>
              <w:tl2br w:val="nil"/>
              <w:tr2bl w:val="nil"/>
            </w:tcBorders>
            <w:noWrap w:val="0"/>
            <w:vAlign w:val="center"/>
          </w:tcPr>
          <w:p w14:paraId="364F0978">
            <w:pPr>
              <w:jc w:val="center"/>
              <w:rPr>
                <w:rFonts w:hint="eastAsia" w:ascii="宋体" w:hAnsi="宋体" w:eastAsia="宋体" w:cs="宋体"/>
                <w:i w:val="0"/>
                <w:iCs w:val="0"/>
                <w:color w:val="auto"/>
                <w:sz w:val="21"/>
                <w:szCs w:val="21"/>
                <w:u w:val="none"/>
              </w:rPr>
            </w:pPr>
          </w:p>
        </w:tc>
      </w:tr>
      <w:tr w14:paraId="114274B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694306CE">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5AC7CC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烟洲镇</w:t>
            </w:r>
          </w:p>
        </w:tc>
        <w:tc>
          <w:tcPr>
            <w:tcW w:w="1249" w:type="pct"/>
            <w:tcBorders>
              <w:tl2br w:val="nil"/>
              <w:tr2bl w:val="nil"/>
            </w:tcBorders>
            <w:noWrap w:val="0"/>
            <w:vAlign w:val="center"/>
          </w:tcPr>
          <w:p w14:paraId="5DF2BB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1300</w:t>
            </w:r>
          </w:p>
        </w:tc>
        <w:tc>
          <w:tcPr>
            <w:tcW w:w="1251" w:type="pct"/>
            <w:vMerge w:val="continue"/>
            <w:tcBorders>
              <w:tl2br w:val="nil"/>
              <w:tr2bl w:val="nil"/>
            </w:tcBorders>
            <w:noWrap w:val="0"/>
            <w:vAlign w:val="center"/>
          </w:tcPr>
          <w:p w14:paraId="183917F0">
            <w:pPr>
              <w:jc w:val="center"/>
              <w:rPr>
                <w:rFonts w:hint="eastAsia" w:ascii="宋体" w:hAnsi="宋体" w:eastAsia="宋体" w:cs="宋体"/>
                <w:i w:val="0"/>
                <w:iCs w:val="0"/>
                <w:color w:val="auto"/>
                <w:sz w:val="21"/>
                <w:szCs w:val="21"/>
                <w:u w:val="none"/>
              </w:rPr>
            </w:pPr>
          </w:p>
        </w:tc>
      </w:tr>
      <w:tr w14:paraId="11C04F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75B9A9A">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1906A0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蓬塘乡</w:t>
            </w:r>
          </w:p>
        </w:tc>
        <w:tc>
          <w:tcPr>
            <w:tcW w:w="1249" w:type="pct"/>
            <w:tcBorders>
              <w:tl2br w:val="nil"/>
              <w:tr2bl w:val="nil"/>
            </w:tcBorders>
            <w:noWrap w:val="0"/>
            <w:vAlign w:val="center"/>
          </w:tcPr>
          <w:p w14:paraId="764EF8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continue"/>
            <w:tcBorders>
              <w:tl2br w:val="nil"/>
              <w:tr2bl w:val="nil"/>
            </w:tcBorders>
            <w:noWrap w:val="0"/>
            <w:vAlign w:val="center"/>
          </w:tcPr>
          <w:p w14:paraId="10E86BA9">
            <w:pPr>
              <w:jc w:val="center"/>
              <w:rPr>
                <w:rFonts w:hint="eastAsia" w:ascii="宋体" w:hAnsi="宋体" w:eastAsia="宋体" w:cs="宋体"/>
                <w:i w:val="0"/>
                <w:iCs w:val="0"/>
                <w:color w:val="auto"/>
                <w:sz w:val="21"/>
                <w:szCs w:val="21"/>
                <w:u w:val="none"/>
              </w:rPr>
            </w:pPr>
          </w:p>
        </w:tc>
      </w:tr>
      <w:tr w14:paraId="64DB696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1FA321A7">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1B9620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西岭镇</w:t>
            </w:r>
          </w:p>
        </w:tc>
        <w:tc>
          <w:tcPr>
            <w:tcW w:w="1249" w:type="pct"/>
            <w:tcBorders>
              <w:tl2br w:val="nil"/>
              <w:tr2bl w:val="nil"/>
            </w:tcBorders>
            <w:noWrap w:val="0"/>
            <w:vAlign w:val="center"/>
          </w:tcPr>
          <w:p w14:paraId="649362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c>
          <w:tcPr>
            <w:tcW w:w="1251" w:type="pct"/>
            <w:vMerge w:val="continue"/>
            <w:tcBorders>
              <w:tl2br w:val="nil"/>
              <w:tr2bl w:val="nil"/>
            </w:tcBorders>
            <w:noWrap w:val="0"/>
            <w:vAlign w:val="center"/>
          </w:tcPr>
          <w:p w14:paraId="113D9C0C">
            <w:pPr>
              <w:jc w:val="center"/>
              <w:rPr>
                <w:rFonts w:hint="eastAsia" w:ascii="宋体" w:hAnsi="宋体" w:eastAsia="宋体" w:cs="宋体"/>
                <w:i w:val="0"/>
                <w:iCs w:val="0"/>
                <w:color w:val="auto"/>
                <w:sz w:val="21"/>
                <w:szCs w:val="21"/>
                <w:u w:val="none"/>
              </w:rPr>
            </w:pPr>
          </w:p>
        </w:tc>
      </w:tr>
      <w:tr w14:paraId="12E5453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95917FA">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0A5DB3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宜阳街道</w:t>
            </w:r>
          </w:p>
        </w:tc>
        <w:tc>
          <w:tcPr>
            <w:tcW w:w="1249" w:type="pct"/>
            <w:tcBorders>
              <w:tl2br w:val="nil"/>
              <w:tr2bl w:val="nil"/>
            </w:tcBorders>
            <w:noWrap w:val="0"/>
            <w:vAlign w:val="center"/>
          </w:tcPr>
          <w:p w14:paraId="0C0554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w:t>
            </w:r>
          </w:p>
        </w:tc>
        <w:tc>
          <w:tcPr>
            <w:tcW w:w="1251" w:type="pct"/>
            <w:vMerge w:val="continue"/>
            <w:tcBorders>
              <w:tl2br w:val="nil"/>
              <w:tr2bl w:val="nil"/>
            </w:tcBorders>
            <w:noWrap w:val="0"/>
            <w:vAlign w:val="center"/>
          </w:tcPr>
          <w:p w14:paraId="44CA6F71">
            <w:pPr>
              <w:jc w:val="center"/>
              <w:rPr>
                <w:rFonts w:hint="eastAsia" w:ascii="宋体" w:hAnsi="宋体" w:eastAsia="宋体" w:cs="宋体"/>
                <w:i w:val="0"/>
                <w:iCs w:val="0"/>
                <w:color w:val="auto"/>
                <w:sz w:val="21"/>
                <w:szCs w:val="21"/>
                <w:u w:val="none"/>
              </w:rPr>
            </w:pPr>
          </w:p>
        </w:tc>
      </w:tr>
      <w:tr w14:paraId="7F1EED8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249" w:type="pct"/>
            <w:vMerge w:val="continue"/>
            <w:tcBorders>
              <w:tl2br w:val="nil"/>
              <w:tr2bl w:val="nil"/>
            </w:tcBorders>
            <w:noWrap w:val="0"/>
            <w:vAlign w:val="center"/>
          </w:tcPr>
          <w:p w14:paraId="466AD7F7">
            <w:pPr>
              <w:jc w:val="center"/>
              <w:rPr>
                <w:rFonts w:hint="eastAsia" w:ascii="宋体" w:hAnsi="宋体" w:eastAsia="宋体" w:cs="宋体"/>
                <w:i w:val="0"/>
                <w:iCs w:val="0"/>
                <w:color w:val="auto"/>
                <w:sz w:val="21"/>
                <w:szCs w:val="21"/>
                <w:u w:val="none"/>
              </w:rPr>
            </w:pPr>
          </w:p>
        </w:tc>
        <w:tc>
          <w:tcPr>
            <w:tcW w:w="1249" w:type="pct"/>
            <w:tcBorders>
              <w:tl2br w:val="nil"/>
              <w:tr2bl w:val="nil"/>
            </w:tcBorders>
            <w:noWrap w:val="0"/>
            <w:vAlign w:val="center"/>
          </w:tcPr>
          <w:p w14:paraId="08E117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三角塘镇</w:t>
            </w:r>
          </w:p>
        </w:tc>
        <w:tc>
          <w:tcPr>
            <w:tcW w:w="1249" w:type="pct"/>
            <w:tcBorders>
              <w:tl2br w:val="nil"/>
              <w:tr2bl w:val="nil"/>
            </w:tcBorders>
            <w:noWrap w:val="0"/>
            <w:vAlign w:val="center"/>
          </w:tcPr>
          <w:p w14:paraId="0D9D6F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1251" w:type="pct"/>
            <w:vMerge w:val="continue"/>
            <w:tcBorders>
              <w:tl2br w:val="nil"/>
              <w:tr2bl w:val="nil"/>
            </w:tcBorders>
            <w:noWrap w:val="0"/>
            <w:vAlign w:val="center"/>
          </w:tcPr>
          <w:p w14:paraId="4A310208">
            <w:pPr>
              <w:jc w:val="center"/>
              <w:rPr>
                <w:rFonts w:hint="eastAsia" w:ascii="宋体" w:hAnsi="宋体" w:eastAsia="宋体" w:cs="宋体"/>
                <w:i w:val="0"/>
                <w:iCs w:val="0"/>
                <w:color w:val="auto"/>
                <w:sz w:val="21"/>
                <w:szCs w:val="21"/>
                <w:u w:val="none"/>
              </w:rPr>
            </w:pPr>
          </w:p>
        </w:tc>
      </w:tr>
    </w:tbl>
    <w:p w14:paraId="75512991">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default" w:ascii="宋体" w:hAnsi="宋体" w:eastAsia="宋体" w:cs="宋体"/>
          <w:b/>
          <w:bCs/>
          <w:color w:val="auto"/>
          <w:spacing w:val="0"/>
          <w:kern w:val="0"/>
          <w:sz w:val="24"/>
          <w:szCs w:val="24"/>
          <w:lang w:val="en-US"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2</w:t>
      </w: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服务要求</w:t>
      </w:r>
    </w:p>
    <w:p w14:paraId="63C31B16">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1、实施内容。对实施范围内的土地进行翻耕、起垄、整厢、开沟，进行油菜机械直播。</w:t>
      </w:r>
    </w:p>
    <w:p w14:paraId="14FAEB45">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2、工期及质量要求</w:t>
      </w:r>
    </w:p>
    <w:p w14:paraId="461B26B8">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2.1 质量标准：</w:t>
      </w:r>
    </w:p>
    <w:p w14:paraId="4D012B2F">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1）田块翻耕无死角、无间隔。</w:t>
      </w:r>
    </w:p>
    <w:p w14:paraId="637C868C">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2）翻耕后田埂应恢复成原状，不引起农户的纠纷。</w:t>
      </w:r>
    </w:p>
    <w:p w14:paraId="75E5BD5A">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3）田块翻耕深度10厘米以上，需按照要求起垄整厢、开沟。</w:t>
      </w:r>
    </w:p>
    <w:p w14:paraId="0349CE14">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4）需按要求进行油菜机械直播，无成片缺株现象。</w:t>
      </w:r>
    </w:p>
    <w:p w14:paraId="62AC83DA">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2.2 开沟服务及质量要求</w:t>
      </w:r>
    </w:p>
    <w:p w14:paraId="7FFE7097">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质量要求：厢宽2.0米，厢面无明显土堆。厢沟深10厘米、腰沟深15厘米，围沟20厘米、围沟宽度不低于20厘米，围沟、腰沟、厢沟，必须做到田间沟沟相通，排水通畅。机械直播行距30-35厘米，株距15-18厘米，每亩保苗12000-15000株。</w:t>
      </w:r>
    </w:p>
    <w:p w14:paraId="6BB01D5A">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2.3 实施要求：</w:t>
      </w:r>
    </w:p>
    <w:p w14:paraId="12DBF362">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（1）材料设备运输、保管及保险</w:t>
      </w:r>
    </w:p>
    <w:p w14:paraId="0209375C">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 xml:space="preserve">a、中标人负责材料设备到施工地点的全部运输，包括装卸及现场搬运等。 </w:t>
      </w:r>
    </w:p>
    <w:p w14:paraId="0C5D0BB7">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b、中标人负责材料设备在施工地点的保管，直至项目验收合格。</w:t>
      </w:r>
    </w:p>
    <w:p w14:paraId="369796F3">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c、中标人负责其派出的施工人员的人身意外保险。</w:t>
      </w:r>
    </w:p>
    <w:p w14:paraId="6AF11C6E">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（2）实施要求</w:t>
      </w:r>
    </w:p>
    <w:p w14:paraId="43D9817E">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a、中标人统一进行油菜耕种的施工作业，由各区域所在乡镇(街道)确定专人对项目实施区域进行监督管理；中标人须加强施工的组织管理，所有施工人员须遵守文明安全施工的有关规章制度，持证上岗。</w:t>
      </w:r>
    </w:p>
    <w:p w14:paraId="3C09A2F7">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b、作业完成后，机械损坏田埂、机耕道、排灌水沟需恢复成原状，不引起农户的纠纷。</w:t>
      </w:r>
    </w:p>
    <w:p w14:paraId="1C37382D">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1、中标人的服务面积按计税面积计算：中标人在区域内实际需要翻耕、起垄、整厢、播种等作业的实施面积必须百分之百实施到位，并按计税面积计算。</w:t>
      </w:r>
    </w:p>
    <w:p w14:paraId="1AC62000">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2、中标人在作业期间，应接受采购人、相关单位的监督管理，遵守有关规定。</w:t>
      </w:r>
    </w:p>
    <w:p w14:paraId="174D751E">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3、机械设备的投入情况</w:t>
      </w:r>
    </w:p>
    <w:p w14:paraId="0A36E650">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（1）投入使用机具（拖拉机）数量不少于15 台，并配备机械播种机，投标文件中列明的自主（或租赁）拥有的机具（拖拉机）数量能满足最低配置要求的，应全部使用投标文件中列明的自主（或租赁）拥有的机具（拖拉机），未经采购人同意不得更换。每少一台，采购人有权从合同金额内扣违约金5000元。</w:t>
      </w:r>
    </w:p>
    <w:p w14:paraId="372CE12E">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en-US" w:eastAsia="zh-CN" w:bidi="zh-CN"/>
        </w:rPr>
      </w:pPr>
      <w:r>
        <w:rPr>
          <w:rStyle w:val="5"/>
          <w:rFonts w:hint="eastAsia" w:ascii="宋体" w:hAnsi="宋体" w:cs="宋体"/>
          <w:color w:val="auto"/>
          <w:spacing w:val="-2"/>
          <w:kern w:val="0"/>
          <w:sz w:val="24"/>
          <w:szCs w:val="24"/>
          <w:lang w:val="zh-CN" w:bidi="zh-CN"/>
        </w:rPr>
        <w:t>★（</w:t>
      </w:r>
      <w:r>
        <w:rPr>
          <w:rStyle w:val="5"/>
          <w:rFonts w:hint="eastAsia" w:ascii="宋体" w:hAnsi="宋体" w:cs="宋体"/>
          <w:color w:val="auto"/>
          <w:spacing w:val="-2"/>
          <w:kern w:val="0"/>
          <w:sz w:val="24"/>
          <w:szCs w:val="24"/>
          <w:lang w:val="en-US" w:bidi="zh-CN"/>
        </w:rPr>
        <w:t>2</w:t>
      </w:r>
      <w:r>
        <w:rPr>
          <w:rStyle w:val="5"/>
          <w:rFonts w:hint="eastAsia" w:ascii="宋体" w:hAnsi="宋体" w:cs="宋体"/>
          <w:color w:val="auto"/>
          <w:spacing w:val="-2"/>
          <w:kern w:val="0"/>
          <w:sz w:val="24"/>
          <w:szCs w:val="24"/>
          <w:lang w:val="zh-CN" w:bidi="zh-CN"/>
        </w:rPr>
        <w:t>）</w:t>
      </w:r>
      <w:r>
        <w:rPr>
          <w:rStyle w:val="5"/>
          <w:rFonts w:hint="eastAsia" w:ascii="宋体" w:hAnsi="宋体" w:eastAsia="宋体" w:cs="宋体"/>
          <w:color w:val="auto"/>
          <w:spacing w:val="-2"/>
          <w:kern w:val="0"/>
          <w:sz w:val="24"/>
          <w:szCs w:val="24"/>
          <w:lang w:val="zh-CN" w:bidi="zh-CN"/>
        </w:rPr>
        <w:t>投入使用</w:t>
      </w:r>
      <w:r>
        <w:rPr>
          <w:rStyle w:val="5"/>
          <w:rFonts w:hint="eastAsia" w:ascii="宋体" w:hAnsi="宋体" w:cs="宋体"/>
          <w:color w:val="auto"/>
          <w:spacing w:val="-2"/>
          <w:kern w:val="0"/>
          <w:sz w:val="24"/>
          <w:szCs w:val="24"/>
          <w:lang w:val="en-US" w:bidi="zh-CN"/>
        </w:rPr>
        <w:t>的</w:t>
      </w:r>
      <w:r>
        <w:rPr>
          <w:rStyle w:val="5"/>
          <w:rFonts w:hint="eastAsia" w:ascii="宋体" w:hAnsi="宋体" w:eastAsia="宋体" w:cs="宋体"/>
          <w:color w:val="auto"/>
          <w:spacing w:val="-2"/>
          <w:kern w:val="0"/>
          <w:sz w:val="24"/>
          <w:szCs w:val="24"/>
          <w:lang w:val="zh-CN" w:bidi="zh-CN"/>
        </w:rPr>
        <w:t>机具（拖拉机）</w:t>
      </w:r>
      <w:r>
        <w:rPr>
          <w:rStyle w:val="5"/>
          <w:rFonts w:hint="eastAsia" w:ascii="宋体" w:hAnsi="宋体" w:cs="宋体"/>
          <w:color w:val="auto"/>
          <w:spacing w:val="-2"/>
          <w:kern w:val="0"/>
          <w:sz w:val="24"/>
          <w:szCs w:val="24"/>
          <w:lang w:val="en-US" w:bidi="zh-CN"/>
        </w:rPr>
        <w:t>必须安装</w:t>
      </w:r>
      <w:r>
        <w:rPr>
          <w:rFonts w:ascii="宋体" w:hAnsi="宋体" w:eastAsia="宋体" w:cs="宋体"/>
          <w:color w:val="auto"/>
          <w:sz w:val="24"/>
          <w:szCs w:val="24"/>
        </w:rPr>
        <w:t>智慧北斗终端</w:t>
      </w:r>
      <w:r>
        <w:rPr>
          <w:rFonts w:hint="eastAsia" w:ascii="宋体" w:hAnsi="宋体" w:eastAsia="宋体" w:cs="宋体"/>
          <w:color w:val="auto"/>
          <w:sz w:val="24"/>
          <w:szCs w:val="24"/>
          <w:lang w:val="en-US" w:eastAsia="zh-CN"/>
        </w:rPr>
        <w:t>或</w:t>
      </w:r>
      <w:r>
        <w:rPr>
          <w:rFonts w:ascii="宋体" w:hAnsi="宋体" w:eastAsia="宋体" w:cs="宋体"/>
          <w:color w:val="auto"/>
          <w:sz w:val="24"/>
          <w:szCs w:val="24"/>
        </w:rPr>
        <w:t>农机专用北斗定位器</w:t>
      </w:r>
      <w:r>
        <w:rPr>
          <w:rFonts w:hint="eastAsia" w:ascii="宋体" w:hAnsi="宋体" w:eastAsia="宋体" w:cs="宋体"/>
          <w:color w:val="auto"/>
          <w:sz w:val="24"/>
          <w:szCs w:val="24"/>
          <w:lang w:eastAsia="zh-CN"/>
        </w:rPr>
        <w:t>。具备作业状态实时监测、作业面积精准统计、作业轨迹全程记录等功能。</w:t>
      </w:r>
    </w:p>
    <w:p w14:paraId="6F44A444">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w:t>
      </w:r>
      <w:r>
        <w:rPr>
          <w:rStyle w:val="5"/>
          <w:rFonts w:hint="eastAsia" w:ascii="宋体" w:hAnsi="宋体" w:cs="宋体"/>
          <w:color w:val="auto"/>
          <w:spacing w:val="-2"/>
          <w:kern w:val="0"/>
          <w:sz w:val="24"/>
          <w:szCs w:val="24"/>
          <w:lang w:val="en-US" w:bidi="zh-CN"/>
        </w:rPr>
        <w:t>3</w:t>
      </w:r>
      <w:r>
        <w:rPr>
          <w:rStyle w:val="5"/>
          <w:rFonts w:hint="eastAsia" w:ascii="宋体" w:hAnsi="宋体" w:eastAsia="宋体" w:cs="宋体"/>
          <w:color w:val="auto"/>
          <w:spacing w:val="-2"/>
          <w:kern w:val="0"/>
          <w:sz w:val="24"/>
          <w:szCs w:val="24"/>
          <w:lang w:val="zh-CN" w:bidi="zh-CN"/>
        </w:rPr>
        <w:t>）必须配备不少于15名驾驶员，驾驶员驾龄须1年（含）及以上。</w:t>
      </w:r>
    </w:p>
    <w:p w14:paraId="14A630E8">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w:t>
      </w:r>
      <w:r>
        <w:rPr>
          <w:rStyle w:val="5"/>
          <w:rFonts w:hint="eastAsia" w:ascii="宋体" w:hAnsi="宋体" w:cs="宋体"/>
          <w:color w:val="auto"/>
          <w:spacing w:val="-2"/>
          <w:kern w:val="0"/>
          <w:sz w:val="24"/>
          <w:szCs w:val="24"/>
          <w:lang w:val="en-US" w:bidi="zh-CN"/>
        </w:rPr>
        <w:t>4</w:t>
      </w:r>
      <w:r>
        <w:rPr>
          <w:rStyle w:val="5"/>
          <w:rFonts w:hint="eastAsia" w:ascii="宋体" w:hAnsi="宋体" w:eastAsia="宋体" w:cs="宋体"/>
          <w:color w:val="auto"/>
          <w:spacing w:val="-2"/>
          <w:kern w:val="0"/>
          <w:sz w:val="24"/>
          <w:szCs w:val="24"/>
          <w:lang w:val="zh-CN" w:bidi="zh-CN"/>
        </w:rPr>
        <w:t>）中标人未在规定时完成项目作业，每推迟一天扣合同金额1000元，扣完为止，情节严重的，采购人有权单方面解除合同。</w:t>
      </w:r>
    </w:p>
    <w:p w14:paraId="2CE591CC">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4、安全保障：中标人在实施期间，必须设有一定的安全保障措施,要确保施用人员和现场、行人的人身财产安全。若发生安全生产事故，由中标人承担一切责任。</w:t>
      </w:r>
    </w:p>
    <w:p w14:paraId="6114A958">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5、质量保修：未通过验收合格的区域，中标人应及时在工期截止日期前无偿修整完好，达到验收要求；否则不予支付相应款项，造成相关损失由中标人承担。</w:t>
      </w:r>
    </w:p>
    <w:p w14:paraId="4C3DF5E1">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6、无论发生翻耕、起垄、整厢、播种面积的变更或是其他原因给中标人造成损失（如阻工、 自然灾害等），中标人的中标单价不作调整；采购人也不对未达到翻耕、起垄、整厢、开沟、播种等质量要求的面积进行任何补偿。</w:t>
      </w:r>
    </w:p>
    <w:p w14:paraId="69BF00CF">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7、投标人投标前可以自行踏勘现场，了解项目实际情况，踏勘现场所发生的费用自理，踏勘期间发生的意外自负。</w:t>
      </w:r>
    </w:p>
    <w:p w14:paraId="3045DD9C">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8、报价范围：投标单价包括翻耕、开沟、起垄、整厢、播种等服务及所有相关产品价格、运输费、保险费、技术服务和人工费、税金等费用的综合单价；投标人应根据项目要求和现场情况，详细考虑项目所需的所有费用，如投标人遗漏招标文件所列清单内容，均由中标人自负，采购人不再支付任何费用。</w:t>
      </w:r>
    </w:p>
    <w:p w14:paraId="6183C280">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9、中标人必须无条件的执行采购人指令，按合同要求完成中标区域范围内的翻耕、起垄、整厢、开沟、播种。否则，采购人对该区域不进行验收且不支付服务款项。</w:t>
      </w:r>
    </w:p>
    <w:p w14:paraId="234CD84F">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10、建立台账：由中标人或其委托组织实施单位按照省实施方案规定的制式台账模式组织制定；台账资料、图片交采购人审核，审核不合格退回重做，两次审核不合格按合同约定条款处罚；合格的台账资料作为支付项目款项的重要依据之一。</w:t>
      </w:r>
    </w:p>
    <w:p w14:paraId="57F2DE64">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3</w:t>
      </w:r>
      <w:r>
        <w:rPr>
          <w:rStyle w:val="5"/>
          <w:rFonts w:hint="eastAsia" w:ascii="宋体" w:hAnsi="宋体" w:eastAsia="宋体" w:cs="宋体"/>
          <w:b/>
          <w:bCs/>
          <w:color w:val="auto"/>
          <w:spacing w:val="0"/>
          <w:kern w:val="0"/>
          <w:sz w:val="24"/>
          <w:szCs w:val="24"/>
          <w:lang w:val="zh-CN" w:bidi="zh-CN"/>
        </w:rPr>
        <w:t>）报价要求</w:t>
      </w:r>
    </w:p>
    <w:p w14:paraId="7EA74388">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报价为完成项目所需的所有机具及人工等所有费用。</w:t>
      </w:r>
    </w:p>
    <w:p w14:paraId="022F9F06">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4</w:t>
      </w:r>
      <w:r>
        <w:rPr>
          <w:rStyle w:val="5"/>
          <w:rFonts w:hint="eastAsia" w:ascii="宋体" w:hAnsi="宋体" w:eastAsia="宋体" w:cs="宋体"/>
          <w:b/>
          <w:bCs/>
          <w:color w:val="auto"/>
          <w:spacing w:val="0"/>
          <w:kern w:val="0"/>
          <w:sz w:val="24"/>
          <w:szCs w:val="24"/>
          <w:lang w:val="zh-CN" w:bidi="zh-CN"/>
        </w:rPr>
        <w:t>）检验与验收</w:t>
      </w:r>
    </w:p>
    <w:p w14:paraId="2D37DDE5">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1、中标人在合同规定的时间将任务完成后，由中标人提出验收申请，采购人依照招标文件上的相关服务要求、有关指标和合同条款进行现场验收。</w:t>
      </w:r>
    </w:p>
    <w:p w14:paraId="7FBC0CFF">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2、履约验收标准和要求：符合国家和行业标准。</w:t>
      </w:r>
    </w:p>
    <w:p w14:paraId="138581FF">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5</w:t>
      </w:r>
      <w:r>
        <w:rPr>
          <w:rStyle w:val="5"/>
          <w:rFonts w:hint="eastAsia" w:ascii="宋体" w:hAnsi="宋体" w:eastAsia="宋体" w:cs="宋体"/>
          <w:b/>
          <w:bCs/>
          <w:color w:val="auto"/>
          <w:spacing w:val="0"/>
          <w:kern w:val="0"/>
          <w:sz w:val="24"/>
          <w:szCs w:val="24"/>
          <w:lang w:val="zh-CN" w:bidi="zh-CN"/>
        </w:rPr>
        <w:t>）售后服务</w:t>
      </w:r>
    </w:p>
    <w:p w14:paraId="47EA45DE">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1、项目实施期间提供24小时的技术咨询服务，紧急情况需4小时到达内现场处理。</w:t>
      </w:r>
    </w:p>
    <w:p w14:paraId="34F82834">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2、重要农业生产时期、节假日须提供技术人员值守服务。</w:t>
      </w:r>
    </w:p>
    <w:p w14:paraId="1E89A7A2">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leftChars="0" w:right="0" w:rightChars="0" w:firstLine="482" w:firstLineChars="200"/>
        <w:jc w:val="both"/>
        <w:textAlignment w:val="baseline"/>
        <w:rPr>
          <w:rStyle w:val="5"/>
          <w:rFonts w:hint="eastAsia" w:ascii="宋体" w:hAnsi="宋体" w:eastAsia="宋体" w:cs="宋体"/>
          <w:b/>
          <w:bCs/>
          <w:color w:val="auto"/>
          <w:spacing w:val="0"/>
          <w:kern w:val="0"/>
          <w:sz w:val="24"/>
          <w:szCs w:val="24"/>
          <w:lang w:val="zh-CN" w:bidi="zh-CN"/>
        </w:rPr>
      </w:pPr>
      <w:r>
        <w:rPr>
          <w:rStyle w:val="5"/>
          <w:rFonts w:hint="eastAsia" w:ascii="宋体" w:hAnsi="宋体" w:eastAsia="宋体" w:cs="宋体"/>
          <w:b/>
          <w:bCs/>
          <w:color w:val="auto"/>
          <w:spacing w:val="0"/>
          <w:kern w:val="0"/>
          <w:sz w:val="24"/>
          <w:szCs w:val="24"/>
          <w:lang w:val="zh-CN" w:bidi="zh-CN"/>
        </w:rPr>
        <w:t>（</w:t>
      </w:r>
      <w:r>
        <w:rPr>
          <w:rStyle w:val="5"/>
          <w:rFonts w:hint="eastAsia" w:ascii="宋体" w:hAnsi="宋体" w:eastAsia="宋体" w:cs="宋体"/>
          <w:b/>
          <w:bCs/>
          <w:color w:val="auto"/>
          <w:spacing w:val="0"/>
          <w:kern w:val="0"/>
          <w:sz w:val="24"/>
          <w:szCs w:val="24"/>
          <w:lang w:val="en-US" w:bidi="zh-CN"/>
        </w:rPr>
        <w:t>6</w:t>
      </w:r>
      <w:r>
        <w:rPr>
          <w:rStyle w:val="5"/>
          <w:rFonts w:hint="eastAsia" w:ascii="宋体" w:hAnsi="宋体" w:eastAsia="宋体" w:cs="宋体"/>
          <w:b/>
          <w:bCs/>
          <w:color w:val="auto"/>
          <w:spacing w:val="0"/>
          <w:kern w:val="0"/>
          <w:sz w:val="24"/>
          <w:szCs w:val="24"/>
          <w:lang w:val="zh-CN" w:bidi="zh-CN"/>
        </w:rPr>
        <w:t>）商务要求</w:t>
      </w:r>
    </w:p>
    <w:p w14:paraId="6ABB6B41">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1、服务期：采购合同签订之日起20天内完成并经采购人验收合格，具体以签订合同时约定为准。</w:t>
      </w:r>
    </w:p>
    <w:p w14:paraId="6AACA553">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2、服务地点及方式：采购人指定地点，具体签订合同时约定。</w:t>
      </w:r>
    </w:p>
    <w:p w14:paraId="00F28B4B">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hint="eastAsia" w:ascii="宋体" w:hAnsi="宋体" w:eastAsia="宋体" w:cs="宋体"/>
          <w:color w:val="auto"/>
          <w:spacing w:val="-2"/>
          <w:kern w:val="0"/>
          <w:sz w:val="24"/>
          <w:szCs w:val="24"/>
          <w:lang w:val="zh-CN" w:bidi="zh-CN"/>
        </w:rPr>
        <w:t>3、付款方式：付款按实际实施面积结算。验收合格后（无质量问题、售后服务纠纷、以及其他经济法律纠纷等）一次性付款。</w:t>
      </w:r>
    </w:p>
    <w:p w14:paraId="26279857">
      <w:pPr>
        <w:pStyle w:val="6"/>
        <w:keepNext w:val="0"/>
        <w:keepLines w:val="0"/>
        <w:pageBreakBefore w:val="0"/>
        <w:widowControl/>
        <w:kinsoku/>
        <w:wordWrap/>
        <w:overflowPunct/>
        <w:topLinePunct w:val="0"/>
        <w:autoSpaceDE w:val="0"/>
        <w:autoSpaceDN w:val="0"/>
        <w:bidi w:val="0"/>
        <w:adjustRightInd w:val="0"/>
        <w:snapToGrid w:val="0"/>
        <w:spacing w:before="0" w:after="0" w:line="240" w:lineRule="auto"/>
        <w:ind w:left="0" w:right="0" w:firstLine="554" w:firstLineChars="200"/>
        <w:jc w:val="left"/>
        <w:textAlignment w:val="auto"/>
        <w:outlineLvl w:val="2"/>
        <w:rPr>
          <w:rStyle w:val="5"/>
          <w:rFonts w:hint="eastAsia" w:ascii="黑体" w:hAnsi="黑体" w:eastAsia="黑体" w:cs="黑体"/>
          <w:b/>
          <w:bCs/>
          <w:color w:val="auto"/>
          <w:spacing w:val="-2"/>
          <w:kern w:val="0"/>
          <w:sz w:val="28"/>
          <w:szCs w:val="28"/>
          <w:lang w:val="zh-CN" w:bidi="zh-CN"/>
        </w:rPr>
      </w:pPr>
      <w:r>
        <w:rPr>
          <w:rStyle w:val="5"/>
          <w:rFonts w:hint="eastAsia" w:ascii="黑体" w:hAnsi="黑体" w:eastAsia="黑体" w:cs="黑体"/>
          <w:b/>
          <w:bCs/>
          <w:color w:val="auto"/>
          <w:spacing w:val="-2"/>
          <w:kern w:val="0"/>
          <w:sz w:val="28"/>
          <w:szCs w:val="28"/>
          <w:lang w:val="en-US" w:bidi="zh-CN"/>
        </w:rPr>
        <w:t>四</w:t>
      </w:r>
      <w:r>
        <w:rPr>
          <w:rStyle w:val="5"/>
          <w:rFonts w:hint="eastAsia" w:ascii="黑体" w:hAnsi="黑体" w:eastAsia="黑体" w:cs="黑体"/>
          <w:b/>
          <w:bCs/>
          <w:color w:val="auto"/>
          <w:spacing w:val="-2"/>
          <w:kern w:val="0"/>
          <w:sz w:val="28"/>
          <w:szCs w:val="28"/>
          <w:lang w:val="zh-CN" w:bidi="zh-CN"/>
        </w:rPr>
        <w:t>、项目</w:t>
      </w:r>
      <w:r>
        <w:rPr>
          <w:rStyle w:val="5"/>
          <w:rFonts w:hint="eastAsia" w:ascii="黑体" w:hAnsi="黑体" w:eastAsia="黑体" w:cs="黑体"/>
          <w:b/>
          <w:bCs/>
          <w:color w:val="auto"/>
          <w:spacing w:val="-2"/>
          <w:kern w:val="0"/>
          <w:sz w:val="28"/>
          <w:szCs w:val="28"/>
          <w:lang w:val="en-US" w:bidi="zh-CN"/>
        </w:rPr>
        <w:t>整体</w:t>
      </w:r>
      <w:r>
        <w:rPr>
          <w:rStyle w:val="5"/>
          <w:rFonts w:hint="eastAsia" w:ascii="黑体" w:hAnsi="黑体" w:eastAsia="黑体" w:cs="黑体"/>
          <w:b/>
          <w:bCs/>
          <w:color w:val="auto"/>
          <w:spacing w:val="-2"/>
          <w:kern w:val="0"/>
          <w:sz w:val="28"/>
          <w:szCs w:val="28"/>
          <w:lang w:val="zh-CN" w:bidi="zh-CN"/>
        </w:rPr>
        <w:t>要求</w:t>
      </w:r>
      <w:bookmarkEnd w:id="8"/>
      <w:bookmarkEnd w:id="9"/>
    </w:p>
    <w:p w14:paraId="66BA2B9A">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default" w:ascii="宋体" w:hAnsi="宋体" w:eastAsia="宋体" w:cs="宋体"/>
          <w:color w:val="auto"/>
          <w:spacing w:val="-2"/>
          <w:kern w:val="0"/>
          <w:sz w:val="24"/>
          <w:szCs w:val="24"/>
          <w:lang w:val="en-US" w:bidi="zh-CN"/>
        </w:rPr>
      </w:pPr>
      <w:r>
        <w:rPr>
          <w:rStyle w:val="5"/>
          <w:rFonts w:hint="eastAsia" w:ascii="宋体" w:hAnsi="宋体" w:eastAsia="宋体" w:cs="宋体"/>
          <w:color w:val="auto"/>
          <w:spacing w:val="-2"/>
          <w:kern w:val="0"/>
          <w:sz w:val="24"/>
          <w:szCs w:val="24"/>
          <w:lang w:val="zh-CN" w:bidi="zh-CN"/>
        </w:rPr>
        <w:t>（</w:t>
      </w:r>
      <w:r>
        <w:rPr>
          <w:rStyle w:val="5"/>
          <w:rFonts w:hint="eastAsia" w:ascii="宋体" w:hAnsi="宋体" w:eastAsia="宋体" w:cs="宋体"/>
          <w:color w:val="auto"/>
          <w:spacing w:val="-2"/>
          <w:kern w:val="0"/>
          <w:sz w:val="24"/>
          <w:szCs w:val="24"/>
          <w:lang w:val="en-US" w:bidi="zh-CN"/>
        </w:rPr>
        <w:t>1</w:t>
      </w:r>
      <w:r>
        <w:rPr>
          <w:rStyle w:val="5"/>
          <w:rFonts w:hint="eastAsia" w:ascii="宋体" w:hAnsi="宋体" w:eastAsia="宋体" w:cs="宋体"/>
          <w:color w:val="auto"/>
          <w:spacing w:val="-2"/>
          <w:kern w:val="0"/>
          <w:sz w:val="24"/>
          <w:szCs w:val="24"/>
          <w:lang w:val="zh-CN" w:bidi="zh-CN"/>
        </w:rPr>
        <w:t>）</w:t>
      </w:r>
      <w:r>
        <w:rPr>
          <w:rStyle w:val="5"/>
          <w:rFonts w:hint="eastAsia" w:ascii="宋体" w:hAnsi="宋体" w:eastAsia="宋体" w:cs="宋体"/>
          <w:color w:val="auto"/>
          <w:spacing w:val="-2"/>
          <w:kern w:val="0"/>
          <w:sz w:val="24"/>
          <w:szCs w:val="24"/>
          <w:lang w:val="en-US" w:bidi="zh-CN"/>
        </w:rPr>
        <w:t>其他要求</w:t>
      </w:r>
    </w:p>
    <w:p w14:paraId="3FB65CA6">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eastAsia" w:ascii="宋体" w:hAnsi="宋体" w:eastAsia="宋体" w:cs="宋体"/>
          <w:color w:val="auto"/>
          <w:spacing w:val="-2"/>
          <w:kern w:val="0"/>
          <w:sz w:val="24"/>
          <w:szCs w:val="24"/>
          <w:lang w:val="zh-CN" w:bidi="zh-CN"/>
        </w:rPr>
      </w:pPr>
      <w:r>
        <w:rPr>
          <w:rStyle w:val="5"/>
          <w:rFonts w:ascii="宋体" w:hAnsi="宋体" w:eastAsia="宋体" w:cs="宋体"/>
          <w:color w:val="auto"/>
          <w:spacing w:val="-2"/>
          <w:kern w:val="0"/>
          <w:sz w:val="24"/>
          <w:szCs w:val="24"/>
          <w:lang w:val="zh-CN" w:bidi="zh-CN"/>
        </w:rPr>
        <w:t>1、本项目</w:t>
      </w:r>
      <w:r>
        <w:rPr>
          <w:rStyle w:val="5"/>
          <w:rFonts w:hint="eastAsia" w:ascii="宋体" w:hAnsi="宋体" w:cs="宋体"/>
          <w:color w:val="auto"/>
          <w:spacing w:val="-2"/>
          <w:kern w:val="0"/>
          <w:sz w:val="24"/>
          <w:szCs w:val="24"/>
          <w:lang w:val="en-US" w:eastAsia="zh-CN" w:bidi="zh-CN"/>
        </w:rPr>
        <w:t>6</w:t>
      </w:r>
      <w:r>
        <w:rPr>
          <w:rStyle w:val="5"/>
          <w:rFonts w:ascii="宋体" w:hAnsi="宋体" w:eastAsia="宋体" w:cs="宋体"/>
          <w:color w:val="auto"/>
          <w:spacing w:val="-2"/>
          <w:kern w:val="0"/>
          <w:sz w:val="24"/>
          <w:szCs w:val="24"/>
          <w:lang w:val="zh-CN" w:bidi="zh-CN"/>
        </w:rPr>
        <w:t>个包，</w:t>
      </w:r>
      <w:r>
        <w:rPr>
          <w:rStyle w:val="5"/>
          <w:rFonts w:hint="eastAsia" w:ascii="宋体" w:hAnsi="宋体" w:eastAsia="宋体" w:cs="宋体"/>
          <w:color w:val="auto"/>
          <w:spacing w:val="-2"/>
          <w:kern w:val="0"/>
          <w:sz w:val="24"/>
          <w:szCs w:val="24"/>
          <w:lang w:val="zh-CN" w:bidi="zh-CN"/>
        </w:rPr>
        <w:t>各投标人仅可就</w:t>
      </w:r>
      <w:r>
        <w:rPr>
          <w:rStyle w:val="5"/>
          <w:rFonts w:hint="eastAsia" w:ascii="宋体" w:hAnsi="宋体" w:cs="宋体"/>
          <w:color w:val="auto"/>
          <w:spacing w:val="-2"/>
          <w:kern w:val="0"/>
          <w:sz w:val="24"/>
          <w:szCs w:val="24"/>
          <w:lang w:val="en-US" w:bidi="zh-CN"/>
        </w:rPr>
        <w:t>6</w:t>
      </w:r>
      <w:r>
        <w:rPr>
          <w:rStyle w:val="5"/>
          <w:rFonts w:hint="eastAsia" w:ascii="宋体" w:hAnsi="宋体" w:eastAsia="宋体" w:cs="宋体"/>
          <w:color w:val="auto"/>
          <w:spacing w:val="-2"/>
          <w:kern w:val="0"/>
          <w:sz w:val="24"/>
          <w:szCs w:val="24"/>
          <w:lang w:val="en-US" w:bidi="zh-CN"/>
        </w:rPr>
        <w:t>个</w:t>
      </w:r>
      <w:r>
        <w:rPr>
          <w:rStyle w:val="5"/>
          <w:rFonts w:hint="eastAsia" w:ascii="宋体" w:hAnsi="宋体" w:eastAsia="宋体" w:cs="宋体"/>
          <w:color w:val="auto"/>
          <w:spacing w:val="-2"/>
          <w:kern w:val="0"/>
          <w:sz w:val="24"/>
          <w:szCs w:val="24"/>
          <w:lang w:val="zh-CN" w:bidi="zh-CN"/>
        </w:rPr>
        <w:t>包段段中的1个包段投标，最多允许中标1个包段</w:t>
      </w:r>
      <w:r>
        <w:rPr>
          <w:rStyle w:val="5"/>
          <w:rFonts w:hint="eastAsia" w:ascii="宋体" w:hAnsi="宋体" w:cs="宋体"/>
          <w:color w:val="auto"/>
          <w:spacing w:val="-2"/>
          <w:kern w:val="0"/>
          <w:sz w:val="24"/>
          <w:szCs w:val="24"/>
          <w:lang w:val="zh-CN" w:bidi="zh-CN"/>
        </w:rPr>
        <w:t>。</w:t>
      </w:r>
      <w:r>
        <w:rPr>
          <w:rStyle w:val="5"/>
          <w:rFonts w:hint="eastAsia" w:ascii="宋体" w:hAnsi="宋体" w:eastAsia="宋体" w:cs="宋体"/>
          <w:b/>
          <w:bCs/>
          <w:color w:val="auto"/>
          <w:spacing w:val="-2"/>
          <w:kern w:val="0"/>
          <w:sz w:val="24"/>
          <w:szCs w:val="24"/>
          <w:lang w:val="zh-CN" w:bidi="zh-CN"/>
        </w:rPr>
        <w:t>否则</w:t>
      </w:r>
      <w:r>
        <w:rPr>
          <w:rStyle w:val="5"/>
          <w:rFonts w:hint="eastAsia" w:ascii="宋体" w:hAnsi="宋体" w:cs="宋体"/>
          <w:b/>
          <w:bCs/>
          <w:color w:val="auto"/>
          <w:spacing w:val="-2"/>
          <w:kern w:val="0"/>
          <w:sz w:val="24"/>
          <w:szCs w:val="24"/>
          <w:lang w:val="zh-CN" w:bidi="zh-CN"/>
        </w:rPr>
        <w:t>，</w:t>
      </w:r>
      <w:r>
        <w:rPr>
          <w:rStyle w:val="5"/>
          <w:rFonts w:hint="eastAsia" w:ascii="宋体" w:hAnsi="宋体" w:eastAsia="宋体" w:cs="宋体"/>
          <w:b/>
          <w:bCs/>
          <w:color w:val="auto"/>
          <w:spacing w:val="-2"/>
          <w:kern w:val="0"/>
          <w:sz w:val="24"/>
          <w:szCs w:val="24"/>
          <w:lang w:val="zh-CN" w:bidi="zh-CN"/>
        </w:rPr>
        <w:t>投标无效。</w:t>
      </w:r>
    </w:p>
    <w:p w14:paraId="08B1C488">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2" w:firstLineChars="200"/>
        <w:jc w:val="both"/>
        <w:textAlignment w:val="baseline"/>
        <w:rPr>
          <w:rStyle w:val="5"/>
          <w:rFonts w:hint="default" w:ascii="宋体" w:hAnsi="宋体" w:eastAsia="宋体" w:cs="宋体"/>
          <w:color w:val="auto"/>
          <w:spacing w:val="-2"/>
          <w:kern w:val="0"/>
          <w:sz w:val="24"/>
          <w:szCs w:val="24"/>
          <w:lang w:val="en-US" w:eastAsia="zh-CN" w:bidi="zh-CN"/>
        </w:rPr>
      </w:pPr>
      <w:r>
        <w:rPr>
          <w:rStyle w:val="5"/>
          <w:rFonts w:hint="eastAsia" w:ascii="宋体" w:hAnsi="宋体" w:eastAsia="宋体" w:cs="宋体"/>
          <w:color w:val="auto"/>
          <w:spacing w:val="-2"/>
          <w:kern w:val="0"/>
          <w:sz w:val="24"/>
          <w:szCs w:val="24"/>
          <w:lang w:val="en-US" w:bidi="zh-CN"/>
        </w:rPr>
        <w:t>2、</w:t>
      </w:r>
      <w:r>
        <w:rPr>
          <w:rStyle w:val="5"/>
          <w:rFonts w:ascii="宋体" w:hAnsi="宋体" w:eastAsia="宋体" w:cs="宋体"/>
          <w:color w:val="auto"/>
          <w:spacing w:val="-1"/>
          <w:kern w:val="0"/>
          <w:sz w:val="24"/>
          <w:szCs w:val="24"/>
          <w:highlight w:val="none"/>
          <w:lang w:val="zh-CN" w:bidi="zh-CN"/>
        </w:rPr>
        <w:t>所供货物必须是完整、原装、未过期的正版合格产品，并且符合国家检测标</w:t>
      </w:r>
      <w:r>
        <w:rPr>
          <w:rStyle w:val="5"/>
          <w:rFonts w:ascii="宋体" w:hAnsi="宋体" w:eastAsia="宋体" w:cs="宋体"/>
          <w:color w:val="auto"/>
          <w:spacing w:val="5"/>
          <w:kern w:val="0"/>
          <w:sz w:val="24"/>
          <w:szCs w:val="24"/>
          <w:highlight w:val="none"/>
          <w:lang w:val="zh-CN" w:bidi="zh-CN"/>
        </w:rPr>
        <w:t>准及货物出厂标准</w:t>
      </w:r>
      <w:r>
        <w:rPr>
          <w:rStyle w:val="5"/>
          <w:rFonts w:hint="eastAsia" w:ascii="宋体" w:hAnsi="宋体" w:eastAsia="宋体" w:cs="宋体"/>
          <w:color w:val="auto"/>
          <w:spacing w:val="5"/>
          <w:kern w:val="0"/>
          <w:sz w:val="24"/>
          <w:szCs w:val="24"/>
          <w:highlight w:val="none"/>
          <w:lang w:val="zh-CN" w:eastAsia="zh-CN" w:bidi="zh-CN"/>
        </w:rPr>
        <w:t>；</w:t>
      </w:r>
      <w:r>
        <w:rPr>
          <w:rStyle w:val="5"/>
          <w:rFonts w:ascii="宋体" w:hAnsi="宋体" w:eastAsia="宋体" w:cs="宋体"/>
          <w:color w:val="auto"/>
          <w:spacing w:val="5"/>
          <w:kern w:val="0"/>
          <w:sz w:val="24"/>
          <w:szCs w:val="24"/>
          <w:highlight w:val="none"/>
          <w:lang w:val="zh-CN" w:bidi="zh-CN"/>
        </w:rPr>
        <w:t>在规定的保质期内，供货方应对由于工艺或材料缺陷等质量问</w:t>
      </w:r>
      <w:r>
        <w:rPr>
          <w:rStyle w:val="5"/>
          <w:rFonts w:ascii="宋体" w:hAnsi="宋体" w:eastAsia="宋体" w:cs="宋体"/>
          <w:color w:val="auto"/>
          <w:spacing w:val="-1"/>
          <w:kern w:val="0"/>
          <w:sz w:val="24"/>
          <w:szCs w:val="24"/>
          <w:highlight w:val="none"/>
          <w:lang w:val="zh-CN" w:bidi="zh-CN"/>
        </w:rPr>
        <w:t>题导致作物受害承担责任。</w:t>
      </w:r>
      <w:r>
        <w:rPr>
          <w:rStyle w:val="5"/>
          <w:rFonts w:hint="eastAsia" w:ascii="宋体" w:hAnsi="宋体" w:eastAsia="宋体" w:cs="宋体"/>
          <w:snapToGrid w:val="0"/>
          <w:color w:val="auto"/>
          <w:spacing w:val="-4"/>
          <w:kern w:val="0"/>
          <w:sz w:val="24"/>
          <w:szCs w:val="24"/>
          <w:highlight w:val="none"/>
          <w:lang w:val="en-US" w:eastAsia="zh-CN" w:bidi="ar-SA"/>
        </w:rPr>
        <w:t>（投标人需出具承诺书）</w:t>
      </w:r>
    </w:p>
    <w:p w14:paraId="1298C2BC">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80" w:firstLineChars="200"/>
        <w:jc w:val="both"/>
        <w:textAlignment w:val="baseline"/>
        <w:rPr>
          <w:rStyle w:val="5"/>
          <w:rFonts w:ascii="宋体" w:hAnsi="宋体" w:eastAsia="宋体" w:cs="宋体"/>
          <w:color w:val="auto"/>
          <w:kern w:val="0"/>
          <w:sz w:val="24"/>
          <w:szCs w:val="24"/>
          <w:lang w:val="zh-CN" w:bidi="zh-CN"/>
        </w:rPr>
      </w:pPr>
      <w:r>
        <w:rPr>
          <w:rStyle w:val="5"/>
          <w:rFonts w:hint="eastAsia" w:ascii="宋体" w:hAnsi="宋体" w:cs="宋体"/>
          <w:color w:val="auto"/>
          <w:kern w:val="0"/>
          <w:sz w:val="24"/>
          <w:szCs w:val="24"/>
          <w:lang w:val="en-US" w:eastAsia="zh-CN" w:bidi="zh-CN"/>
        </w:rPr>
        <w:t>3</w:t>
      </w:r>
      <w:r>
        <w:rPr>
          <w:rStyle w:val="5"/>
          <w:rFonts w:ascii="宋体" w:hAnsi="宋体" w:eastAsia="宋体" w:cs="宋体"/>
          <w:color w:val="auto"/>
          <w:kern w:val="0"/>
          <w:sz w:val="24"/>
          <w:szCs w:val="24"/>
          <w:lang w:val="zh-CN" w:bidi="zh-CN"/>
        </w:rPr>
        <w:t>、本项目报价应包含产品配送到指定地点</w:t>
      </w:r>
      <w:r>
        <w:rPr>
          <w:rStyle w:val="5"/>
          <w:rFonts w:hint="eastAsia" w:ascii="宋体" w:hAnsi="宋体" w:eastAsia="宋体" w:cs="宋体"/>
          <w:color w:val="auto"/>
          <w:kern w:val="0"/>
          <w:sz w:val="24"/>
          <w:szCs w:val="24"/>
          <w:lang w:val="en-US" w:bidi="zh-CN"/>
        </w:rPr>
        <w:t>或完成约定服务</w:t>
      </w:r>
      <w:r>
        <w:rPr>
          <w:rStyle w:val="5"/>
          <w:rFonts w:hint="eastAsia" w:ascii="宋体" w:hAnsi="宋体" w:eastAsia="宋体" w:cs="宋体"/>
          <w:color w:val="auto"/>
          <w:spacing w:val="-1"/>
          <w:kern w:val="0"/>
          <w:sz w:val="24"/>
          <w:szCs w:val="24"/>
          <w:lang w:val="en-US" w:bidi="zh-CN"/>
        </w:rPr>
        <w:t>产生的</w:t>
      </w:r>
      <w:r>
        <w:rPr>
          <w:rStyle w:val="5"/>
          <w:rFonts w:ascii="宋体" w:hAnsi="宋体" w:eastAsia="宋体" w:cs="宋体"/>
          <w:color w:val="auto"/>
          <w:spacing w:val="-1"/>
          <w:kern w:val="0"/>
          <w:sz w:val="24"/>
          <w:szCs w:val="24"/>
          <w:lang w:val="zh-CN" w:bidi="zh-CN"/>
        </w:rPr>
        <w:t>运输费用和装卸费、包装费、检验</w:t>
      </w:r>
      <w:r>
        <w:rPr>
          <w:rStyle w:val="5"/>
          <w:rFonts w:ascii="宋体" w:hAnsi="宋体" w:eastAsia="宋体" w:cs="宋体"/>
          <w:color w:val="auto"/>
          <w:spacing w:val="5"/>
          <w:kern w:val="0"/>
          <w:sz w:val="24"/>
          <w:szCs w:val="24"/>
          <w:lang w:val="zh-CN" w:bidi="zh-CN"/>
        </w:rPr>
        <w:t>费、检疫费、种子消毒费、技术资料费、</w:t>
      </w:r>
      <w:r>
        <w:rPr>
          <w:rStyle w:val="5"/>
          <w:rFonts w:hint="eastAsia" w:ascii="宋体" w:hAnsi="宋体" w:eastAsia="宋体" w:cs="宋体"/>
          <w:color w:val="auto"/>
          <w:spacing w:val="5"/>
          <w:kern w:val="0"/>
          <w:sz w:val="24"/>
          <w:szCs w:val="24"/>
          <w:lang w:val="en-US" w:bidi="zh-CN"/>
        </w:rPr>
        <w:t>人工工资、</w:t>
      </w:r>
      <w:r>
        <w:rPr>
          <w:rStyle w:val="5"/>
          <w:rFonts w:ascii="宋体" w:hAnsi="宋体" w:eastAsia="宋体" w:cs="宋体"/>
          <w:color w:val="auto"/>
          <w:spacing w:val="5"/>
          <w:kern w:val="0"/>
          <w:sz w:val="24"/>
          <w:szCs w:val="24"/>
          <w:lang w:val="zh-CN" w:bidi="zh-CN"/>
        </w:rPr>
        <w:t>培训费用、税金等一切费</w:t>
      </w:r>
      <w:r>
        <w:rPr>
          <w:rStyle w:val="5"/>
          <w:rFonts w:ascii="宋体" w:hAnsi="宋体" w:eastAsia="宋体" w:cs="宋体"/>
          <w:color w:val="auto"/>
          <w:spacing w:val="4"/>
          <w:kern w:val="0"/>
          <w:sz w:val="24"/>
          <w:szCs w:val="24"/>
          <w:lang w:val="zh-CN" w:bidi="zh-CN"/>
        </w:rPr>
        <w:t>用，采购人将不</w:t>
      </w:r>
      <w:r>
        <w:rPr>
          <w:rStyle w:val="5"/>
          <w:rFonts w:ascii="宋体" w:hAnsi="宋体" w:eastAsia="宋体" w:cs="宋体"/>
          <w:color w:val="auto"/>
          <w:spacing w:val="5"/>
          <w:kern w:val="0"/>
          <w:sz w:val="24"/>
          <w:szCs w:val="24"/>
          <w:lang w:val="zh-CN" w:bidi="zh-CN"/>
        </w:rPr>
        <w:t>再支付除报价以外的任何费用。在</w:t>
      </w:r>
      <w:r>
        <w:rPr>
          <w:rStyle w:val="5"/>
          <w:rFonts w:hint="eastAsia" w:ascii="宋体" w:hAnsi="宋体" w:eastAsia="宋体" w:cs="宋体"/>
          <w:color w:val="auto"/>
          <w:spacing w:val="5"/>
          <w:kern w:val="0"/>
          <w:sz w:val="24"/>
          <w:szCs w:val="24"/>
          <w:lang w:val="en-US" w:bidi="zh-CN"/>
        </w:rPr>
        <w:t>履行合同</w:t>
      </w:r>
      <w:r>
        <w:rPr>
          <w:rStyle w:val="5"/>
          <w:rFonts w:ascii="宋体" w:hAnsi="宋体" w:eastAsia="宋体" w:cs="宋体"/>
          <w:color w:val="auto"/>
          <w:spacing w:val="5"/>
          <w:kern w:val="0"/>
          <w:sz w:val="24"/>
          <w:szCs w:val="24"/>
          <w:lang w:val="zh-CN" w:bidi="zh-CN"/>
        </w:rPr>
        <w:t>过程中中标人不得以任何理由向上调整</w:t>
      </w:r>
      <w:r>
        <w:rPr>
          <w:rStyle w:val="5"/>
          <w:rFonts w:ascii="宋体" w:hAnsi="宋体" w:eastAsia="宋体" w:cs="宋体"/>
          <w:color w:val="auto"/>
          <w:kern w:val="0"/>
          <w:sz w:val="24"/>
          <w:szCs w:val="24"/>
          <w:lang w:val="zh-CN" w:bidi="zh-CN"/>
        </w:rPr>
        <w:t>中标价格，投标人应充分考虑在采购期内由于</w:t>
      </w:r>
      <w:r>
        <w:rPr>
          <w:rStyle w:val="5"/>
          <w:rFonts w:ascii="宋体" w:hAnsi="宋体" w:eastAsia="宋体" w:cs="宋体"/>
          <w:color w:val="auto"/>
          <w:spacing w:val="-1"/>
          <w:kern w:val="0"/>
          <w:sz w:val="24"/>
          <w:szCs w:val="24"/>
          <w:lang w:val="zh-CN" w:bidi="zh-CN"/>
        </w:rPr>
        <w:t>市场物价变动而导致的风险。</w:t>
      </w:r>
    </w:p>
    <w:p w14:paraId="1828FFC6">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80" w:firstLineChars="200"/>
        <w:jc w:val="both"/>
        <w:textAlignment w:val="baseline"/>
        <w:rPr>
          <w:rStyle w:val="5"/>
          <w:rFonts w:ascii="宋体" w:hAnsi="宋体" w:eastAsia="宋体" w:cs="宋体"/>
          <w:b/>
          <w:bCs/>
          <w:color w:val="auto"/>
          <w:spacing w:val="-1"/>
          <w:kern w:val="0"/>
          <w:sz w:val="24"/>
          <w:szCs w:val="24"/>
          <w:lang w:val="zh-CN" w:bidi="zh-CN"/>
        </w:rPr>
      </w:pPr>
      <w:r>
        <w:rPr>
          <w:rStyle w:val="5"/>
          <w:rFonts w:hint="eastAsia" w:ascii="宋体" w:hAnsi="宋体" w:eastAsia="宋体" w:cs="宋体"/>
          <w:color w:val="auto"/>
          <w:spacing w:val="0"/>
          <w:kern w:val="0"/>
          <w:sz w:val="24"/>
          <w:szCs w:val="24"/>
          <w:highlight w:val="none"/>
          <w:lang w:val="en-US" w:eastAsia="zh-CN" w:bidi="zh-CN"/>
        </w:rPr>
        <w:t>★</w:t>
      </w:r>
      <w:r>
        <w:rPr>
          <w:rStyle w:val="5"/>
          <w:rFonts w:hint="eastAsia" w:ascii="宋体" w:hAnsi="宋体" w:cs="宋体"/>
          <w:color w:val="auto"/>
          <w:kern w:val="0"/>
          <w:sz w:val="24"/>
          <w:szCs w:val="24"/>
          <w:lang w:val="en-US" w:eastAsia="zh-CN" w:bidi="zh-CN"/>
        </w:rPr>
        <w:t>4</w:t>
      </w:r>
      <w:r>
        <w:rPr>
          <w:rStyle w:val="5"/>
          <w:rFonts w:ascii="宋体" w:hAnsi="宋体" w:eastAsia="宋体" w:cs="宋体"/>
          <w:color w:val="auto"/>
          <w:kern w:val="0"/>
          <w:sz w:val="24"/>
          <w:szCs w:val="24"/>
          <w:lang w:val="zh-CN" w:bidi="zh-CN"/>
        </w:rPr>
        <w:t>、投标人所投报价应体现单价和总价，其中投标</w:t>
      </w:r>
      <w:r>
        <w:rPr>
          <w:rStyle w:val="5"/>
          <w:rFonts w:ascii="宋体" w:hAnsi="宋体" w:eastAsia="宋体" w:cs="宋体"/>
          <w:color w:val="auto"/>
          <w:spacing w:val="-1"/>
          <w:kern w:val="0"/>
          <w:sz w:val="24"/>
          <w:szCs w:val="24"/>
          <w:lang w:val="zh-CN" w:bidi="zh-CN"/>
        </w:rPr>
        <w:t>单价不得高于上限单价；各包的总价亦不得高于各包的最高限价。</w:t>
      </w:r>
      <w:r>
        <w:rPr>
          <w:rStyle w:val="5"/>
          <w:rFonts w:ascii="宋体" w:hAnsi="宋体" w:eastAsia="宋体" w:cs="宋体"/>
          <w:b/>
          <w:bCs/>
          <w:color w:val="auto"/>
          <w:spacing w:val="-1"/>
          <w:kern w:val="0"/>
          <w:sz w:val="24"/>
          <w:szCs w:val="24"/>
          <w:lang w:val="zh-CN" w:bidi="zh-CN"/>
        </w:rPr>
        <w:t>否则，投标无效。</w:t>
      </w:r>
    </w:p>
    <w:p w14:paraId="621C49F5">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8" w:firstLineChars="200"/>
        <w:jc w:val="both"/>
        <w:textAlignment w:val="baseline"/>
        <w:rPr>
          <w:rStyle w:val="5"/>
          <w:rFonts w:hint="eastAsia" w:ascii="宋体" w:hAnsi="宋体" w:eastAsia="宋体" w:cs="宋体"/>
          <w:b/>
          <w:bCs/>
          <w:color w:val="auto"/>
          <w:spacing w:val="-1"/>
          <w:kern w:val="0"/>
          <w:sz w:val="24"/>
          <w:szCs w:val="24"/>
          <w:lang w:val="en-US" w:eastAsia="zh-CN" w:bidi="zh-CN"/>
        </w:rPr>
      </w:pPr>
      <w:r>
        <w:rPr>
          <w:rStyle w:val="5"/>
          <w:rFonts w:hint="eastAsia" w:ascii="宋体" w:hAnsi="宋体" w:eastAsia="宋体" w:cs="宋体"/>
          <w:b/>
          <w:bCs/>
          <w:color w:val="auto"/>
          <w:spacing w:val="-1"/>
          <w:kern w:val="0"/>
          <w:sz w:val="24"/>
          <w:szCs w:val="24"/>
          <w:lang w:val="zh-CN" w:bidi="zh-CN"/>
        </w:rPr>
        <w:t>（</w:t>
      </w:r>
      <w:r>
        <w:rPr>
          <w:rStyle w:val="5"/>
          <w:rFonts w:hint="eastAsia" w:ascii="宋体" w:hAnsi="宋体" w:eastAsia="宋体" w:cs="宋体"/>
          <w:b/>
          <w:bCs/>
          <w:color w:val="auto"/>
          <w:spacing w:val="-1"/>
          <w:kern w:val="0"/>
          <w:sz w:val="24"/>
          <w:szCs w:val="24"/>
          <w:lang w:val="en-US" w:bidi="zh-CN"/>
        </w:rPr>
        <w:t>2</w:t>
      </w:r>
      <w:r>
        <w:rPr>
          <w:rStyle w:val="5"/>
          <w:rFonts w:hint="eastAsia" w:ascii="宋体" w:hAnsi="宋体" w:eastAsia="宋体" w:cs="宋体"/>
          <w:b/>
          <w:bCs/>
          <w:color w:val="auto"/>
          <w:spacing w:val="-1"/>
          <w:kern w:val="0"/>
          <w:sz w:val="24"/>
          <w:szCs w:val="24"/>
          <w:lang w:val="zh-CN" w:bidi="zh-CN"/>
        </w:rPr>
        <w:t>）</w:t>
      </w:r>
      <w:r>
        <w:rPr>
          <w:rStyle w:val="5"/>
          <w:rFonts w:hint="eastAsia" w:ascii="宋体" w:hAnsi="宋体" w:eastAsia="宋体" w:cs="宋体"/>
          <w:b/>
          <w:bCs/>
          <w:color w:val="auto"/>
          <w:spacing w:val="-1"/>
          <w:kern w:val="0"/>
          <w:sz w:val="24"/>
          <w:szCs w:val="24"/>
          <w:lang w:val="zh-CN" w:eastAsia="zh-CN" w:bidi="zh-CN"/>
        </w:rPr>
        <w:t>项目验收</w:t>
      </w:r>
      <w:r>
        <w:rPr>
          <w:rStyle w:val="5"/>
          <w:rFonts w:hint="eastAsia" w:ascii="宋体" w:hAnsi="宋体" w:eastAsia="宋体" w:cs="宋体"/>
          <w:b/>
          <w:bCs/>
          <w:color w:val="auto"/>
          <w:spacing w:val="-1"/>
          <w:kern w:val="0"/>
          <w:sz w:val="24"/>
          <w:szCs w:val="24"/>
          <w:lang w:val="en-US" w:eastAsia="zh-CN" w:bidi="zh-CN"/>
        </w:rPr>
        <w:t>程序</w:t>
      </w:r>
    </w:p>
    <w:p w14:paraId="04746FAA">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8" w:firstLineChars="200"/>
        <w:jc w:val="both"/>
        <w:textAlignment w:val="baseline"/>
        <w:rPr>
          <w:rStyle w:val="5"/>
          <w:rFonts w:hint="default" w:ascii="宋体" w:hAnsi="宋体" w:eastAsia="宋体" w:cs="宋体"/>
          <w:color w:val="auto"/>
          <w:spacing w:val="-1"/>
          <w:kern w:val="0"/>
          <w:sz w:val="24"/>
          <w:szCs w:val="24"/>
          <w:lang w:val="en-US" w:eastAsia="zh-CN" w:bidi="zh-CN"/>
        </w:rPr>
      </w:pPr>
      <w:r>
        <w:rPr>
          <w:rStyle w:val="5"/>
          <w:rFonts w:hint="eastAsia" w:ascii="宋体" w:hAnsi="宋体" w:eastAsia="宋体" w:cs="宋体"/>
          <w:b/>
          <w:bCs/>
          <w:color w:val="auto"/>
          <w:spacing w:val="-1"/>
          <w:kern w:val="0"/>
          <w:sz w:val="24"/>
          <w:szCs w:val="24"/>
          <w:lang w:val="en-US" w:eastAsia="zh-CN" w:bidi="zh-CN"/>
        </w:rPr>
        <w:t>油菜种子、硼肥采购项目验收。</w:t>
      </w:r>
      <w:r>
        <w:rPr>
          <w:rStyle w:val="5"/>
          <w:rFonts w:hint="default" w:ascii="宋体" w:hAnsi="宋体" w:eastAsia="宋体" w:cs="宋体"/>
          <w:color w:val="auto"/>
          <w:spacing w:val="-1"/>
          <w:kern w:val="0"/>
          <w:sz w:val="24"/>
          <w:szCs w:val="24"/>
          <w:lang w:val="en-US" w:eastAsia="zh-CN" w:bidi="zh-CN"/>
        </w:rPr>
        <w:t>采取</w:t>
      </w:r>
      <w:r>
        <w:rPr>
          <w:rStyle w:val="5"/>
          <w:rFonts w:hint="eastAsia" w:ascii="宋体" w:hAnsi="宋体" w:eastAsia="宋体" w:cs="宋体"/>
          <w:color w:val="auto"/>
          <w:spacing w:val="-1"/>
          <w:kern w:val="0"/>
          <w:sz w:val="24"/>
          <w:szCs w:val="24"/>
          <w:lang w:val="en-US" w:eastAsia="zh-CN" w:bidi="zh-CN"/>
        </w:rPr>
        <w:t>项目</w:t>
      </w:r>
      <w:r>
        <w:rPr>
          <w:rStyle w:val="5"/>
          <w:rFonts w:hint="default" w:ascii="宋体" w:hAnsi="宋体" w:eastAsia="宋体" w:cs="宋体"/>
          <w:color w:val="auto"/>
          <w:spacing w:val="-1"/>
          <w:kern w:val="0"/>
          <w:sz w:val="24"/>
          <w:szCs w:val="24"/>
          <w:lang w:val="en-US" w:eastAsia="zh-CN" w:bidi="zh-CN"/>
        </w:rPr>
        <w:t>资料审核+现场抽查方式</w:t>
      </w:r>
      <w:r>
        <w:rPr>
          <w:rStyle w:val="5"/>
          <w:rFonts w:hint="eastAsia" w:ascii="宋体" w:hAnsi="宋体" w:eastAsia="宋体" w:cs="宋体"/>
          <w:color w:val="auto"/>
          <w:spacing w:val="-1"/>
          <w:kern w:val="0"/>
          <w:sz w:val="24"/>
          <w:szCs w:val="24"/>
          <w:lang w:val="en-US" w:eastAsia="zh-CN" w:bidi="zh-CN"/>
        </w:rPr>
        <w:t>，</w:t>
      </w:r>
      <w:r>
        <w:rPr>
          <w:rStyle w:val="5"/>
          <w:rFonts w:hint="default" w:ascii="宋体" w:hAnsi="宋体" w:eastAsia="宋体" w:cs="宋体"/>
          <w:color w:val="auto"/>
          <w:spacing w:val="-1"/>
          <w:kern w:val="0"/>
          <w:sz w:val="24"/>
          <w:szCs w:val="24"/>
          <w:lang w:val="en-US" w:eastAsia="zh-CN" w:bidi="zh-CN"/>
        </w:rPr>
        <w:t>核对市级分配</w:t>
      </w:r>
      <w:r>
        <w:rPr>
          <w:rStyle w:val="5"/>
          <w:rFonts w:hint="eastAsia" w:ascii="宋体" w:hAnsi="宋体" w:eastAsia="宋体" w:cs="宋体"/>
          <w:color w:val="auto"/>
          <w:spacing w:val="-1"/>
          <w:kern w:val="0"/>
          <w:sz w:val="24"/>
          <w:szCs w:val="24"/>
          <w:lang w:val="en-US" w:eastAsia="zh-CN" w:bidi="zh-CN"/>
        </w:rPr>
        <w:t>台账</w:t>
      </w:r>
      <w:r>
        <w:rPr>
          <w:rStyle w:val="5"/>
          <w:rFonts w:hint="default" w:ascii="宋体" w:hAnsi="宋体" w:eastAsia="宋体" w:cs="宋体"/>
          <w:color w:val="auto"/>
          <w:spacing w:val="-1"/>
          <w:kern w:val="0"/>
          <w:sz w:val="24"/>
          <w:szCs w:val="24"/>
          <w:lang w:val="en-US" w:eastAsia="zh-CN" w:bidi="zh-CN"/>
        </w:rPr>
        <w:t>、乡镇</w:t>
      </w:r>
      <w:r>
        <w:rPr>
          <w:rStyle w:val="5"/>
          <w:rFonts w:hint="eastAsia" w:ascii="宋体" w:hAnsi="宋体" w:eastAsia="宋体" w:cs="宋体"/>
          <w:color w:val="auto"/>
          <w:spacing w:val="-1"/>
          <w:kern w:val="0"/>
          <w:sz w:val="24"/>
          <w:szCs w:val="24"/>
          <w:lang w:val="en-US" w:eastAsia="zh-CN" w:bidi="zh-CN"/>
        </w:rPr>
        <w:t>签收</w:t>
      </w:r>
      <w:r>
        <w:rPr>
          <w:rStyle w:val="5"/>
          <w:rFonts w:hint="default" w:ascii="宋体" w:hAnsi="宋体" w:eastAsia="宋体" w:cs="宋体"/>
          <w:color w:val="auto"/>
          <w:spacing w:val="-1"/>
          <w:kern w:val="0"/>
          <w:sz w:val="24"/>
          <w:szCs w:val="24"/>
          <w:lang w:val="en-US" w:eastAsia="zh-CN" w:bidi="zh-CN"/>
        </w:rPr>
        <w:t>发放台账、农户签收</w:t>
      </w:r>
      <w:r>
        <w:rPr>
          <w:rStyle w:val="5"/>
          <w:rFonts w:hint="eastAsia" w:ascii="宋体" w:hAnsi="宋体" w:eastAsia="宋体" w:cs="宋体"/>
          <w:color w:val="auto"/>
          <w:spacing w:val="-1"/>
          <w:kern w:val="0"/>
          <w:sz w:val="24"/>
          <w:szCs w:val="24"/>
          <w:lang w:val="en-US" w:eastAsia="zh-CN" w:bidi="zh-CN"/>
        </w:rPr>
        <w:t>台账</w:t>
      </w:r>
      <w:r>
        <w:rPr>
          <w:rStyle w:val="5"/>
          <w:rFonts w:hint="default" w:ascii="宋体" w:hAnsi="宋体" w:eastAsia="宋体" w:cs="宋体"/>
          <w:color w:val="auto"/>
          <w:spacing w:val="-1"/>
          <w:kern w:val="0"/>
          <w:sz w:val="24"/>
          <w:szCs w:val="24"/>
          <w:lang w:val="en-US" w:eastAsia="zh-CN" w:bidi="zh-CN"/>
        </w:rPr>
        <w:t>，随机抽查乡镇、村、农户种子</w:t>
      </w:r>
      <w:r>
        <w:rPr>
          <w:rStyle w:val="5"/>
          <w:rFonts w:hint="eastAsia" w:ascii="宋体" w:hAnsi="宋体" w:eastAsia="宋体" w:cs="宋体"/>
          <w:color w:val="auto"/>
          <w:spacing w:val="-1"/>
          <w:kern w:val="0"/>
          <w:sz w:val="24"/>
          <w:szCs w:val="24"/>
          <w:lang w:val="en-US" w:eastAsia="zh-CN" w:bidi="zh-CN"/>
        </w:rPr>
        <w:t>、硼肥</w:t>
      </w:r>
      <w:r>
        <w:rPr>
          <w:rStyle w:val="5"/>
          <w:rFonts w:hint="default" w:ascii="宋体" w:hAnsi="宋体" w:eastAsia="宋体" w:cs="宋体"/>
          <w:color w:val="auto"/>
          <w:spacing w:val="-1"/>
          <w:kern w:val="0"/>
          <w:sz w:val="24"/>
          <w:szCs w:val="24"/>
          <w:lang w:val="en-US" w:eastAsia="zh-CN" w:bidi="zh-CN"/>
        </w:rPr>
        <w:t>发放</w:t>
      </w:r>
      <w:r>
        <w:rPr>
          <w:rStyle w:val="5"/>
          <w:rFonts w:hint="eastAsia" w:ascii="宋体" w:hAnsi="宋体" w:eastAsia="宋体" w:cs="宋体"/>
          <w:color w:val="auto"/>
          <w:spacing w:val="-1"/>
          <w:kern w:val="0"/>
          <w:sz w:val="24"/>
          <w:szCs w:val="24"/>
          <w:lang w:val="en-US" w:eastAsia="zh-CN" w:bidi="zh-CN"/>
        </w:rPr>
        <w:t>到位</w:t>
      </w:r>
      <w:r>
        <w:rPr>
          <w:rStyle w:val="5"/>
          <w:rFonts w:hint="default" w:ascii="宋体" w:hAnsi="宋体" w:eastAsia="宋体" w:cs="宋体"/>
          <w:color w:val="auto"/>
          <w:spacing w:val="-1"/>
          <w:kern w:val="0"/>
          <w:sz w:val="24"/>
          <w:szCs w:val="24"/>
          <w:lang w:val="en-US" w:eastAsia="zh-CN" w:bidi="zh-CN"/>
        </w:rPr>
        <w:t>情况</w:t>
      </w:r>
      <w:r>
        <w:rPr>
          <w:rStyle w:val="5"/>
          <w:rFonts w:hint="eastAsia" w:ascii="宋体" w:hAnsi="宋体" w:eastAsia="宋体" w:cs="宋体"/>
          <w:color w:val="auto"/>
          <w:spacing w:val="-1"/>
          <w:kern w:val="0"/>
          <w:sz w:val="24"/>
          <w:szCs w:val="24"/>
          <w:lang w:val="en-US" w:eastAsia="zh-CN" w:bidi="zh-CN"/>
        </w:rPr>
        <w:t>。</w:t>
      </w:r>
    </w:p>
    <w:p w14:paraId="3FA824D6">
      <w:pPr>
        <w:pStyle w:val="6"/>
        <w:keepNext w:val="0"/>
        <w:keepLines w:val="0"/>
        <w:pageBreakBefore w:val="0"/>
        <w:widowControl w:val="0"/>
        <w:kinsoku/>
        <w:wordWrap/>
        <w:overflowPunct/>
        <w:topLinePunct w:val="0"/>
        <w:autoSpaceDE w:val="0"/>
        <w:autoSpaceDN w:val="0"/>
        <w:bidi w:val="0"/>
        <w:adjustRightInd w:val="0"/>
        <w:snapToGrid w:val="0"/>
        <w:spacing w:before="0" w:after="0" w:line="312" w:lineRule="auto"/>
        <w:ind w:left="0" w:right="0" w:firstLine="478" w:firstLineChars="200"/>
        <w:jc w:val="both"/>
        <w:textAlignment w:val="baseline"/>
        <w:rPr>
          <w:rStyle w:val="5"/>
          <w:rFonts w:hint="default" w:ascii="宋体" w:hAnsi="宋体" w:eastAsia="宋体" w:cs="宋体"/>
          <w:b/>
          <w:bCs/>
          <w:color w:val="auto"/>
          <w:spacing w:val="-1"/>
          <w:kern w:val="0"/>
          <w:sz w:val="24"/>
          <w:szCs w:val="24"/>
          <w:lang w:val="en-US" w:eastAsia="zh-CN" w:bidi="zh-CN"/>
        </w:rPr>
      </w:pPr>
      <w:r>
        <w:rPr>
          <w:rStyle w:val="5"/>
          <w:rFonts w:hint="default" w:ascii="宋体" w:hAnsi="宋体" w:eastAsia="宋体" w:cs="宋体"/>
          <w:b/>
          <w:bCs/>
          <w:color w:val="auto"/>
          <w:spacing w:val="-1"/>
          <w:kern w:val="0"/>
          <w:sz w:val="24"/>
          <w:szCs w:val="24"/>
          <w:lang w:val="en-US" w:eastAsia="zh-CN" w:bidi="zh-CN"/>
        </w:rPr>
        <w:t>油菜机械化耕种社会化服务</w:t>
      </w:r>
      <w:r>
        <w:rPr>
          <w:rStyle w:val="5"/>
          <w:rFonts w:hint="eastAsia" w:ascii="宋体" w:hAnsi="宋体" w:eastAsia="宋体" w:cs="宋体"/>
          <w:b/>
          <w:bCs/>
          <w:color w:val="auto"/>
          <w:spacing w:val="-1"/>
          <w:kern w:val="0"/>
          <w:sz w:val="24"/>
          <w:szCs w:val="24"/>
          <w:lang w:val="en-US" w:eastAsia="zh-CN" w:bidi="zh-CN"/>
        </w:rPr>
        <w:t>项目验收。</w:t>
      </w:r>
      <w:r>
        <w:rPr>
          <w:rStyle w:val="5"/>
          <w:rFonts w:hint="default" w:ascii="宋体" w:hAnsi="宋体" w:eastAsia="宋体" w:cs="宋体"/>
          <w:color w:val="auto"/>
          <w:spacing w:val="-1"/>
          <w:kern w:val="0"/>
          <w:sz w:val="24"/>
          <w:szCs w:val="24"/>
          <w:lang w:val="en-US" w:eastAsia="zh-CN" w:bidi="zh-CN"/>
        </w:rPr>
        <w:t>采取轨迹核查+影像核验+实地抽查综合</w:t>
      </w:r>
      <w:r>
        <w:rPr>
          <w:rStyle w:val="5"/>
          <w:rFonts w:hint="eastAsia" w:ascii="宋体" w:hAnsi="宋体" w:eastAsia="宋体" w:cs="宋体"/>
          <w:color w:val="auto"/>
          <w:spacing w:val="-1"/>
          <w:kern w:val="0"/>
          <w:sz w:val="24"/>
          <w:szCs w:val="24"/>
          <w:lang w:val="en-US" w:eastAsia="zh-CN" w:bidi="zh-CN"/>
        </w:rPr>
        <w:t>方式，</w:t>
      </w:r>
      <w:r>
        <w:rPr>
          <w:rStyle w:val="5"/>
          <w:rFonts w:hint="default" w:ascii="宋体" w:hAnsi="宋体" w:eastAsia="宋体" w:cs="宋体"/>
          <w:color w:val="auto"/>
          <w:spacing w:val="-1"/>
          <w:kern w:val="0"/>
          <w:sz w:val="24"/>
          <w:szCs w:val="24"/>
          <w:lang w:val="en-US" w:eastAsia="zh-CN" w:bidi="zh-CN"/>
        </w:rPr>
        <w:t>核查作业地块、北斗作业轨迹、作业影像、乡镇核实记录</w:t>
      </w:r>
      <w:r>
        <w:rPr>
          <w:rStyle w:val="5"/>
          <w:rFonts w:hint="eastAsia" w:ascii="宋体" w:hAnsi="宋体" w:eastAsia="宋体" w:cs="宋体"/>
          <w:color w:val="auto"/>
          <w:spacing w:val="-1"/>
          <w:kern w:val="0"/>
          <w:sz w:val="24"/>
          <w:szCs w:val="24"/>
          <w:lang w:val="en-US" w:eastAsia="zh-CN" w:bidi="zh-CN"/>
        </w:rPr>
        <w:t>，</w:t>
      </w:r>
      <w:r>
        <w:rPr>
          <w:rStyle w:val="5"/>
          <w:rFonts w:hint="default" w:ascii="宋体" w:hAnsi="宋体" w:eastAsia="宋体" w:cs="宋体"/>
          <w:color w:val="auto"/>
          <w:spacing w:val="-1"/>
          <w:kern w:val="0"/>
          <w:sz w:val="24"/>
          <w:szCs w:val="24"/>
          <w:lang w:val="en-US" w:eastAsia="zh-CN" w:bidi="zh-CN"/>
        </w:rPr>
        <w:t>现场</w:t>
      </w:r>
      <w:r>
        <w:rPr>
          <w:rStyle w:val="5"/>
          <w:rFonts w:hint="eastAsia" w:ascii="宋体" w:hAnsi="宋体" w:eastAsia="宋体" w:cs="宋体"/>
          <w:color w:val="auto"/>
          <w:spacing w:val="-1"/>
          <w:kern w:val="0"/>
          <w:sz w:val="24"/>
          <w:szCs w:val="24"/>
          <w:lang w:val="en-US" w:eastAsia="zh-CN" w:bidi="zh-CN"/>
        </w:rPr>
        <w:t>抽查</w:t>
      </w:r>
      <w:r>
        <w:rPr>
          <w:rStyle w:val="5"/>
          <w:rFonts w:hint="default" w:ascii="宋体" w:hAnsi="宋体" w:eastAsia="宋体" w:cs="宋体"/>
          <w:color w:val="auto"/>
          <w:spacing w:val="-1"/>
          <w:kern w:val="0"/>
          <w:sz w:val="24"/>
          <w:szCs w:val="24"/>
          <w:lang w:val="en-US" w:eastAsia="zh-CN" w:bidi="zh-CN"/>
        </w:rPr>
        <w:t>比对作业轨迹、作业时间、作业地块，</w:t>
      </w:r>
      <w:r>
        <w:rPr>
          <w:rStyle w:val="5"/>
          <w:rFonts w:hint="eastAsia" w:ascii="宋体" w:hAnsi="宋体" w:eastAsia="宋体" w:cs="宋体"/>
          <w:color w:val="auto"/>
          <w:spacing w:val="-1"/>
          <w:kern w:val="0"/>
          <w:sz w:val="24"/>
          <w:szCs w:val="24"/>
          <w:lang w:val="en-US" w:eastAsia="zh-CN" w:bidi="zh-CN"/>
        </w:rPr>
        <w:t>核验作业</w:t>
      </w:r>
      <w:r>
        <w:rPr>
          <w:rStyle w:val="5"/>
          <w:rFonts w:hint="default" w:ascii="宋体" w:hAnsi="宋体" w:eastAsia="宋体" w:cs="宋体"/>
          <w:color w:val="auto"/>
          <w:spacing w:val="-1"/>
          <w:kern w:val="0"/>
          <w:sz w:val="24"/>
          <w:szCs w:val="24"/>
          <w:lang w:val="en-US" w:eastAsia="zh-CN" w:bidi="zh-CN"/>
        </w:rPr>
        <w:t>质量</w:t>
      </w:r>
      <w:r>
        <w:rPr>
          <w:rStyle w:val="5"/>
          <w:rFonts w:hint="eastAsia" w:ascii="宋体" w:hAnsi="宋体" w:eastAsia="宋体" w:cs="宋体"/>
          <w:color w:val="auto"/>
          <w:spacing w:val="-1"/>
          <w:kern w:val="0"/>
          <w:sz w:val="24"/>
          <w:szCs w:val="24"/>
          <w:lang w:val="en-US" w:eastAsia="zh-CN" w:bidi="zh-CN"/>
        </w:rPr>
        <w:t>。</w:t>
      </w:r>
    </w:p>
    <w:p w14:paraId="4798FB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8B20C7"/>
    <w:multiLevelType w:val="multilevel"/>
    <w:tmpl w:val="7D8B20C7"/>
    <w:lvl w:ilvl="0" w:tentative="0">
      <w:start w:val="1"/>
      <w:numFmt w:val="chineseCountingThousand"/>
      <w:pStyle w:val="2"/>
      <w:suff w:val="space"/>
      <w:lvlText w:val="第%1章"/>
      <w:lvlJc w:val="center"/>
      <w:pPr>
        <w:ind w:left="2127" w:firstLine="0"/>
      </w:pPr>
      <w:rPr>
        <w:rFonts w:hint="eastAsia" w:ascii="黑体" w:eastAsia="黑体"/>
        <w:b/>
        <w:i w:val="0"/>
        <w:sz w:val="44"/>
        <w:szCs w:val="44"/>
      </w:rPr>
    </w:lvl>
    <w:lvl w:ilvl="1" w:tentative="0">
      <w:start w:val="1"/>
      <w:numFmt w:val="chineseCountingThousand"/>
      <w:suff w:val="space"/>
      <w:lvlText w:val="%2."/>
      <w:lvlJc w:val="left"/>
      <w:pPr>
        <w:ind w:left="5529" w:firstLine="0"/>
      </w:pPr>
      <w:rPr>
        <w:rFonts w:hint="default" w:ascii="Arial" w:hAnsi="Arial" w:eastAsia="黑体"/>
        <w:b/>
        <w:i w:val="0"/>
        <w:sz w:val="30"/>
        <w:szCs w:val="28"/>
      </w:rPr>
    </w:lvl>
    <w:lvl w:ilvl="2" w:tentative="0">
      <w:start w:val="1"/>
      <w:numFmt w:val="decimal"/>
      <w:isLgl/>
      <w:suff w:val="space"/>
      <w:lvlText w:val="%2.%3"/>
      <w:lvlJc w:val="left"/>
      <w:pPr>
        <w:ind w:left="426" w:firstLine="0"/>
      </w:pPr>
      <w:rPr>
        <w:rFonts w:hint="default" w:ascii="宋体" w:hAnsi="宋体" w:eastAsia="宋体"/>
        <w:b w:val="0"/>
        <w:i w:val="0"/>
        <w:color w:val="auto"/>
        <w:sz w:val="21"/>
        <w:szCs w:val="21"/>
      </w:rPr>
    </w:lvl>
    <w:lvl w:ilvl="3" w:tentative="0">
      <w:start w:val="1"/>
      <w:numFmt w:val="decimal"/>
      <w:isLgl/>
      <w:suff w:val="space"/>
      <w:lvlText w:val="%2.%3.%4"/>
      <w:lvlJc w:val="left"/>
      <w:pPr>
        <w:ind w:left="284" w:firstLine="0"/>
      </w:pPr>
      <w:rPr>
        <w:rFonts w:hint="default" w:ascii="宋体" w:hAnsi="宋体" w:eastAsia="宋体"/>
        <w:b w:val="0"/>
        <w:i w:val="0"/>
        <w:color w:val="auto"/>
        <w:sz w:val="21"/>
        <w:szCs w:val="21"/>
      </w:rPr>
    </w:lvl>
    <w:lvl w:ilvl="4" w:tentative="0">
      <w:start w:val="1"/>
      <w:numFmt w:val="japaneseCounting"/>
      <w:lvlText w:val="第%5章"/>
      <w:lvlJc w:val="left"/>
      <w:pPr>
        <w:tabs>
          <w:tab w:val="left" w:pos="0"/>
        </w:tabs>
        <w:ind w:left="403" w:firstLine="448"/>
      </w:pPr>
      <w:rPr>
        <w:rFonts w:ascii="新宋体" w:hAnsi="新宋体" w:eastAsia="新宋体" w:cs="Times New Roman"/>
        <w:b w:val="0"/>
        <w:i w:val="0"/>
        <w:sz w:val="21"/>
        <w:szCs w:val="21"/>
      </w:rPr>
    </w:lvl>
    <w:lvl w:ilvl="5" w:tentative="0">
      <w:start w:val="1"/>
      <w:numFmt w:val="decimal"/>
      <w:lvlText w:val="%1.%2.%3.%4.%5.%6"/>
      <w:lvlJc w:val="left"/>
      <w:pPr>
        <w:tabs>
          <w:tab w:val="left" w:pos="0"/>
        </w:tabs>
        <w:ind w:left="0" w:firstLine="0"/>
      </w:pPr>
      <w:rPr>
        <w:rFonts w:hint="eastAsia" w:ascii="黑体" w:eastAsia="黑体"/>
        <w:b w:val="0"/>
        <w:i w:val="0"/>
        <w:sz w:val="24"/>
      </w:rPr>
    </w:lvl>
    <w:lvl w:ilvl="6" w:tentative="0">
      <w:start w:val="1"/>
      <w:numFmt w:val="decimal"/>
      <w:lvlText w:val="    （%7）"/>
      <w:lvlJc w:val="left"/>
      <w:pPr>
        <w:tabs>
          <w:tab w:val="left" w:pos="0"/>
        </w:tabs>
        <w:ind w:left="1196" w:hanging="1196"/>
      </w:pPr>
      <w:rPr>
        <w:rFonts w:hint="eastAsia" w:ascii="黑体" w:eastAsia="黑体"/>
        <w:b w:val="0"/>
        <w:i w:val="0"/>
        <w:sz w:val="24"/>
      </w:rPr>
    </w:lvl>
    <w:lvl w:ilvl="7" w:tentative="0">
      <w:start w:val="1"/>
      <w:numFmt w:val="lowerLetter"/>
      <w:lvlText w:val="（%8）"/>
      <w:lvlJc w:val="left"/>
      <w:pPr>
        <w:tabs>
          <w:tab w:val="left" w:pos="0"/>
        </w:tabs>
        <w:ind w:left="1933" w:hanging="737"/>
      </w:pPr>
      <w:rPr>
        <w:rFonts w:hint="eastAsia" w:ascii="黑体" w:eastAsia="黑体"/>
        <w:b w:val="0"/>
        <w:i w:val="0"/>
        <w:sz w:val="24"/>
      </w:rPr>
    </w:lvl>
    <w:lvl w:ilvl="8" w:tentative="0">
      <w:start w:val="1"/>
      <w:numFmt w:val="lowerRoman"/>
      <w:lvlText w:val="（%9）"/>
      <w:lvlJc w:val="left"/>
      <w:pPr>
        <w:tabs>
          <w:tab w:val="left" w:pos="0"/>
        </w:tabs>
        <w:ind w:left="2670" w:hanging="737"/>
      </w:pPr>
      <w:rPr>
        <w:rFonts w:hint="eastAsia" w:ascii="黑体" w:eastAsia="黑体"/>
        <w:b w:val="0"/>
        <w:i w:val="0"/>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7F43E7"/>
    <w:rsid w:val="457F4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paragraph" w:styleId="2">
    <w:name w:val="heading 1"/>
    <w:basedOn w:val="1"/>
    <w:next w:val="1"/>
    <w:qFormat/>
    <w:uiPriority w:val="0"/>
    <w:pPr>
      <w:keepNext/>
      <w:keepLines/>
      <w:numPr>
        <w:ilvl w:val="0"/>
        <w:numId w:val="1"/>
      </w:numPr>
      <w:spacing w:before="340" w:after="330" w:line="578" w:lineRule="auto"/>
      <w:jc w:val="center"/>
      <w:outlineLvl w:val="0"/>
    </w:pPr>
    <w:rPr>
      <w:b/>
      <w:bCs/>
      <w:kern w:val="44"/>
      <w:sz w:val="44"/>
      <w:szCs w:val="44"/>
      <w:lang w:val="zh-CN"/>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正文_21"/>
    <w:qFormat/>
    <w:uiPriority w:val="0"/>
    <w:pPr>
      <w:widowControl w:val="0"/>
      <w:jc w:val="both"/>
    </w:pPr>
    <w:rPr>
      <w:rFonts w:ascii="Calibri" w:hAnsi="Calibri" w:eastAsia="宋体" w:cs="Times New Roman"/>
      <w:kern w:val="2"/>
      <w:sz w:val="21"/>
      <w:szCs w:val="22"/>
      <w:lang w:val="en-US" w:eastAsia="zh-CN" w:bidi="ar-SA"/>
    </w:rPr>
  </w:style>
  <w:style w:type="character" w:customStyle="1" w:styleId="7">
    <w:name w:val="font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2026-09-24T08:45:00Z</dcterms:created>
  <dc:creator>甜心贼6</dc:creator>
  <cp:lastModifiedBy>甜心贼6</cp:lastModifiedBy>
  <dcterms:modified xsi:type="dcterms:W3CDTF">2026-09-24T08:46:00Z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8DCB4EAAB42F41F7A9661F9C88368D6F_11</vt:lpwstr>
  </property>
  <property fmtid="{D5CDD505-2E9C-101B-9397-08002B2CF9AE}" pid="4" name="KSOTemplateDocerSaveRecord">
    <vt:lpwstr>eyJoZGlkIjoiNDdiZjQwZjIwNmI0ZTM1ZThhMWU2NWRlZDBkNTQ5MDkiLCJ1c2VySWQiOiIyMzM5MzI3MTIifQ==</vt:lpwstr>
  </property>
</Properties>
</file>