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EF95A">
      <w:pPr>
        <w:pStyle w:val="2"/>
        <w:keepNext w:val="0"/>
        <w:keepLines w:val="0"/>
        <w:pageBreakBefore w:val="0"/>
        <w:widowControl w:val="0"/>
        <w:kinsoku/>
        <w:wordWrap/>
        <w:overflowPunct/>
        <w:topLinePunct w:val="0"/>
        <w:bidi w:val="0"/>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 xml:space="preserve">第四章 </w:t>
      </w:r>
      <w:r>
        <w:rPr>
          <w:rFonts w:hint="eastAsia" w:ascii="宋体" w:hAnsi="宋体" w:eastAsia="宋体" w:cs="宋体"/>
          <w:color w:val="auto"/>
          <w:sz w:val="32"/>
          <w:szCs w:val="32"/>
          <w:highlight w:val="none"/>
        </w:rPr>
        <w:t>采购需求</w:t>
      </w:r>
    </w:p>
    <w:p w14:paraId="1AD8DDEB">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b w:val="0"/>
          <w:bCs w:val="0"/>
          <w:color w:val="auto"/>
          <w:kern w:val="32"/>
          <w:sz w:val="24"/>
          <w:szCs w:val="24"/>
          <w:highlight w:val="none"/>
          <w:lang w:val="en-US" w:eastAsia="zh-CN"/>
        </w:rPr>
      </w:pPr>
      <w:bookmarkStart w:id="0" w:name="_Toc27569"/>
      <w:bookmarkStart w:id="1" w:name="_Toc7929"/>
      <w:bookmarkStart w:id="2" w:name="_Toc13756"/>
      <w:bookmarkStart w:id="3" w:name="_Toc3032"/>
      <w:bookmarkStart w:id="4" w:name="_Toc4725"/>
      <w:bookmarkStart w:id="5" w:name="_Toc6212"/>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项目</w:t>
      </w:r>
      <w:bookmarkEnd w:id="0"/>
      <w:bookmarkEnd w:id="1"/>
      <w:bookmarkEnd w:id="2"/>
      <w:bookmarkEnd w:id="3"/>
      <w:bookmarkEnd w:id="4"/>
      <w:bookmarkEnd w:id="5"/>
      <w:r>
        <w:rPr>
          <w:rFonts w:hint="eastAsia" w:ascii="宋体" w:hAnsi="宋体" w:eastAsia="宋体" w:cs="宋体"/>
          <w:b/>
          <w:bCs/>
          <w:color w:val="auto"/>
          <w:sz w:val="24"/>
          <w:szCs w:val="24"/>
          <w:highlight w:val="none"/>
          <w:lang w:eastAsia="zh-CN"/>
        </w:rPr>
        <w:t>名称：</w:t>
      </w:r>
      <w:r>
        <w:rPr>
          <w:rFonts w:hint="eastAsia" w:ascii="宋体" w:hAnsi="宋体" w:eastAsia="宋体" w:cs="宋体"/>
          <w:b w:val="0"/>
          <w:bCs w:val="0"/>
          <w:color w:val="auto"/>
          <w:kern w:val="32"/>
          <w:sz w:val="24"/>
          <w:szCs w:val="24"/>
          <w:highlight w:val="none"/>
          <w:lang w:eastAsia="zh-CN"/>
        </w:rPr>
        <w:t>2026年度龙山县城区路灯、农村太阳能路灯配件计划采购项目</w:t>
      </w:r>
    </w:p>
    <w:p w14:paraId="7E577499">
      <w:pPr>
        <w:pStyle w:val="3"/>
        <w:keepNext w:val="0"/>
        <w:keepLines w:val="0"/>
        <w:pageBreakBefore w:val="0"/>
        <w:widowControl w:val="0"/>
        <w:kinsoku/>
        <w:wordWrap/>
        <w:overflowPunct/>
        <w:topLinePunct w:val="0"/>
        <w:bidi w:val="0"/>
        <w:textAlignment w:val="auto"/>
        <w:rPr>
          <w:rFonts w:hint="default" w:ascii="宋体" w:hAnsi="宋体" w:eastAsia="宋体" w:cs="宋体"/>
          <w:b/>
          <w:bCs/>
          <w:color w:val="auto"/>
          <w:kern w:val="32"/>
          <w:sz w:val="24"/>
          <w:szCs w:val="24"/>
          <w:highlight w:val="none"/>
          <w:lang w:val="en-US" w:eastAsia="zh-CN"/>
        </w:rPr>
      </w:pPr>
      <w:r>
        <w:rPr>
          <w:rFonts w:hint="eastAsia" w:ascii="宋体" w:hAnsi="宋体" w:eastAsia="宋体" w:cs="宋体"/>
          <w:b/>
          <w:bCs/>
          <w:color w:val="auto"/>
          <w:kern w:val="32"/>
          <w:sz w:val="24"/>
          <w:szCs w:val="24"/>
          <w:highlight w:val="none"/>
          <w:lang w:eastAsia="zh-CN"/>
        </w:rPr>
        <w:t>二、</w:t>
      </w:r>
      <w:r>
        <w:rPr>
          <w:rFonts w:hint="eastAsia" w:asciiTheme="majorEastAsia" w:hAnsiTheme="majorEastAsia" w:eastAsiaTheme="majorEastAsia" w:cstheme="majorEastAsia"/>
          <w:b/>
          <w:color w:val="auto"/>
          <w:sz w:val="24"/>
          <w:szCs w:val="24"/>
          <w:lang w:eastAsia="zh-CN"/>
        </w:rPr>
        <w:t>参数要求</w:t>
      </w:r>
      <w:r>
        <w:rPr>
          <w:rFonts w:hint="eastAsia" w:ascii="宋体" w:hAnsi="宋体" w:eastAsia="宋体" w:cs="宋体"/>
          <w:b/>
          <w:bCs/>
          <w:color w:val="auto"/>
          <w:kern w:val="32"/>
          <w:sz w:val="24"/>
          <w:szCs w:val="24"/>
          <w:highlight w:val="none"/>
          <w:lang w:eastAsia="zh-CN"/>
        </w:rPr>
        <w:t>：</w:t>
      </w:r>
    </w:p>
    <w:p w14:paraId="302F0FCB">
      <w:pPr>
        <w:keepNext w:val="0"/>
        <w:keepLines w:val="0"/>
        <w:widowControl/>
        <w:suppressLineNumbers w:val="0"/>
        <w:jc w:val="center"/>
        <w:textAlignment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龙山县城区路</w:t>
      </w:r>
      <w:bookmarkStart w:id="24" w:name="_GoBack"/>
      <w:bookmarkEnd w:id="24"/>
      <w:r>
        <w:rPr>
          <w:rFonts w:hint="eastAsia" w:ascii="宋体" w:hAnsi="宋体" w:eastAsia="宋体" w:cs="宋体"/>
          <w:b/>
          <w:bCs/>
          <w:i w:val="0"/>
          <w:iCs w:val="0"/>
          <w:color w:val="000000"/>
          <w:kern w:val="0"/>
          <w:sz w:val="28"/>
          <w:szCs w:val="28"/>
          <w:u w:val="none"/>
          <w:lang w:val="en-US" w:eastAsia="zh-CN" w:bidi="ar"/>
        </w:rPr>
        <w:t>灯配件计划采购表</w:t>
      </w:r>
    </w:p>
    <w:tbl>
      <w:tblPr>
        <w:tblStyle w:val="7"/>
        <w:tblW w:w="498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656"/>
        <w:gridCol w:w="936"/>
        <w:gridCol w:w="3816"/>
        <w:gridCol w:w="646"/>
        <w:gridCol w:w="739"/>
      </w:tblGrid>
      <w:tr w14:paraId="7E9E2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33" w:type="pct"/>
            <w:vMerge w:val="restart"/>
            <w:tcBorders>
              <w:top w:val="single" w:color="auto" w:sz="4" w:space="0"/>
              <w:left w:val="single" w:color="auto" w:sz="4" w:space="0"/>
              <w:bottom w:val="single" w:color="auto" w:sz="4" w:space="0"/>
              <w:right w:val="single" w:color="000000" w:sz="4" w:space="0"/>
            </w:tcBorders>
            <w:shd w:val="clear" w:color="auto" w:fill="auto"/>
            <w:noWrap/>
            <w:vAlign w:val="center"/>
          </w:tcPr>
          <w:p w14:paraId="72E3B7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518" w:type="pct"/>
            <w:gridSpan w:val="2"/>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5B5F96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2142"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8D0B5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440"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64A305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463" w:type="pct"/>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4894B9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0648C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33"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1E7FE727">
            <w:pPr>
              <w:jc w:val="center"/>
              <w:rPr>
                <w:rFonts w:hint="eastAsia" w:ascii="宋体" w:hAnsi="宋体" w:eastAsia="宋体" w:cs="宋体"/>
                <w:b w:val="0"/>
                <w:bCs w:val="0"/>
                <w:i w:val="0"/>
                <w:iCs w:val="0"/>
                <w:color w:val="000000"/>
                <w:sz w:val="24"/>
                <w:szCs w:val="24"/>
                <w:u w:val="none"/>
              </w:rPr>
            </w:pPr>
          </w:p>
        </w:tc>
        <w:tc>
          <w:tcPr>
            <w:tcW w:w="1518" w:type="pct"/>
            <w:gridSpan w:val="2"/>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292EE53F">
            <w:pPr>
              <w:jc w:val="center"/>
              <w:rPr>
                <w:rFonts w:hint="eastAsia" w:ascii="宋体" w:hAnsi="宋体" w:eastAsia="宋体" w:cs="宋体"/>
                <w:b w:val="0"/>
                <w:bCs w:val="0"/>
                <w:i w:val="0"/>
                <w:iCs w:val="0"/>
                <w:color w:val="000000"/>
                <w:sz w:val="24"/>
                <w:szCs w:val="24"/>
                <w:u w:val="none"/>
              </w:rPr>
            </w:pPr>
          </w:p>
        </w:tc>
        <w:tc>
          <w:tcPr>
            <w:tcW w:w="2142"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4A1153A">
            <w:pPr>
              <w:jc w:val="center"/>
              <w:rPr>
                <w:rFonts w:hint="eastAsia" w:ascii="宋体" w:hAnsi="宋体" w:eastAsia="宋体" w:cs="宋体"/>
                <w:b w:val="0"/>
                <w:bCs w:val="0"/>
                <w:i w:val="0"/>
                <w:iCs w:val="0"/>
                <w:color w:val="000000"/>
                <w:sz w:val="24"/>
                <w:szCs w:val="24"/>
                <w:u w:val="none"/>
              </w:rPr>
            </w:pPr>
          </w:p>
        </w:tc>
        <w:tc>
          <w:tcPr>
            <w:tcW w:w="440"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C077CA4">
            <w:pPr>
              <w:jc w:val="center"/>
              <w:rPr>
                <w:rFonts w:hint="eastAsia" w:ascii="宋体" w:hAnsi="宋体" w:eastAsia="宋体" w:cs="宋体"/>
                <w:b w:val="0"/>
                <w:bCs w:val="0"/>
                <w:i w:val="0"/>
                <w:iCs w:val="0"/>
                <w:color w:val="000000"/>
                <w:sz w:val="24"/>
                <w:szCs w:val="24"/>
                <w:u w:val="none"/>
              </w:rPr>
            </w:pPr>
          </w:p>
        </w:tc>
        <w:tc>
          <w:tcPr>
            <w:tcW w:w="463" w:type="pct"/>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3E94FB63">
            <w:pPr>
              <w:jc w:val="center"/>
              <w:rPr>
                <w:rFonts w:hint="eastAsia" w:ascii="宋体" w:hAnsi="宋体" w:eastAsia="宋体" w:cs="宋体"/>
                <w:b w:val="0"/>
                <w:bCs w:val="0"/>
                <w:i w:val="0"/>
                <w:iCs w:val="0"/>
                <w:color w:val="000000"/>
                <w:sz w:val="24"/>
                <w:szCs w:val="24"/>
                <w:u w:val="none"/>
              </w:rPr>
            </w:pPr>
          </w:p>
        </w:tc>
      </w:tr>
      <w:tr w14:paraId="4F8BF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2F68489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966" w:type="pct"/>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14:paraId="33B66E1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灯具系列</w:t>
            </w:r>
          </w:p>
        </w:tc>
        <w:tc>
          <w:tcPr>
            <w:tcW w:w="551" w:type="pct"/>
            <w:tcBorders>
              <w:top w:val="single" w:color="auto" w:sz="4" w:space="0"/>
              <w:left w:val="single" w:color="000000" w:sz="4" w:space="0"/>
              <w:bottom w:val="single" w:color="000000" w:sz="4" w:space="0"/>
              <w:right w:val="single" w:color="000000" w:sz="4" w:space="0"/>
            </w:tcBorders>
            <w:shd w:val="clear" w:color="auto" w:fill="auto"/>
            <w:vAlign w:val="center"/>
          </w:tcPr>
          <w:p w14:paraId="15329A8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LED光源模组</w:t>
            </w:r>
          </w:p>
        </w:tc>
        <w:tc>
          <w:tcPr>
            <w:tcW w:w="2142" w:type="pct"/>
            <w:tcBorders>
              <w:top w:val="single" w:color="auto" w:sz="4" w:space="0"/>
              <w:left w:val="single" w:color="000000" w:sz="4" w:space="0"/>
              <w:bottom w:val="single" w:color="000000" w:sz="4" w:space="0"/>
              <w:right w:val="single" w:color="000000" w:sz="4" w:space="0"/>
            </w:tcBorders>
            <w:shd w:val="clear" w:color="auto" w:fill="auto"/>
            <w:vAlign w:val="center"/>
          </w:tcPr>
          <w:p w14:paraId="06C417EB">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7×29.7㎝×2片基板定制（中基板）150W 带电源</w:t>
            </w:r>
          </w:p>
        </w:tc>
        <w:tc>
          <w:tcPr>
            <w:tcW w:w="440"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3D5D733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63" w:type="pct"/>
            <w:tcBorders>
              <w:top w:val="single" w:color="auto" w:sz="4" w:space="0"/>
              <w:left w:val="single" w:color="000000" w:sz="4" w:space="0"/>
              <w:bottom w:val="single" w:color="000000" w:sz="4" w:space="0"/>
              <w:right w:val="single" w:color="000000" w:sz="4" w:space="0"/>
            </w:tcBorders>
            <w:shd w:val="clear" w:color="auto" w:fill="auto"/>
            <w:vAlign w:val="center"/>
          </w:tcPr>
          <w:p w14:paraId="372767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w:t>
            </w:r>
          </w:p>
        </w:tc>
      </w:tr>
      <w:tr w14:paraId="2BF4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6B6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966" w:type="pct"/>
            <w:vMerge w:val="continue"/>
            <w:tcBorders>
              <w:top w:val="nil"/>
              <w:left w:val="single" w:color="000000" w:sz="4" w:space="0"/>
              <w:bottom w:val="single" w:color="000000" w:sz="4" w:space="0"/>
              <w:right w:val="single" w:color="000000" w:sz="4" w:space="0"/>
            </w:tcBorders>
            <w:shd w:val="clear" w:color="auto" w:fill="auto"/>
            <w:textDirection w:val="tbRlV"/>
            <w:vAlign w:val="center"/>
          </w:tcPr>
          <w:p w14:paraId="6B4B76F0">
            <w:pPr>
              <w:jc w:val="center"/>
              <w:rPr>
                <w:rFonts w:hint="eastAsia" w:ascii="宋体" w:hAnsi="宋体" w:eastAsia="宋体" w:cs="宋体"/>
                <w:b w:val="0"/>
                <w:bCs w:val="0"/>
                <w:i w:val="0"/>
                <w:iCs w:val="0"/>
                <w:color w:val="000000"/>
                <w:sz w:val="24"/>
                <w:szCs w:val="24"/>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8A94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LED光源模组</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BA0D">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 7×29.7㎝×2片 基板定制（小基板）120W 带电源</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5D5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5EC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w:t>
            </w:r>
          </w:p>
        </w:tc>
      </w:tr>
      <w:tr w14:paraId="10272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D4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E0E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接触器系列</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D021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highlight w:val="none"/>
                <w:u w:val="none"/>
                <w:lang w:val="en-US" w:eastAsia="zh-CN" w:bidi="ar"/>
              </w:rPr>
              <w:t>交流接触器</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B491B">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highlight w:val="none"/>
                <w:u w:val="none"/>
              </w:rPr>
            </w:pPr>
            <w:r>
              <w:rPr>
                <w:rFonts w:hint="eastAsia" w:ascii="宋体" w:hAnsi="宋体" w:eastAsia="宋体" w:cs="宋体"/>
                <w:b w:val="0"/>
                <w:bCs w:val="0"/>
                <w:i w:val="0"/>
                <w:iCs w:val="0"/>
                <w:color w:val="000000"/>
                <w:kern w:val="0"/>
                <w:sz w:val="24"/>
                <w:szCs w:val="24"/>
                <w:u w:val="none"/>
                <w:lang w:val="en-US" w:eastAsia="zh-CN" w:bidi="ar"/>
              </w:rPr>
              <w:t xml:space="preserve">CJ20-63 </w:t>
            </w:r>
            <w:r>
              <w:rPr>
                <w:rFonts w:hint="eastAsia" w:ascii="宋体" w:hAnsi="宋体" w:eastAsia="宋体" w:cs="宋体"/>
                <w:b w:val="0"/>
                <w:bCs w:val="0"/>
                <w:i w:val="0"/>
                <w:iCs w:val="0"/>
                <w:color w:val="000000"/>
                <w:kern w:val="0"/>
                <w:sz w:val="24"/>
                <w:szCs w:val="24"/>
                <w:highlight w:val="none"/>
                <w:u w:val="none"/>
                <w:lang w:val="en-US" w:eastAsia="zh-CN" w:bidi="ar"/>
              </w:rPr>
              <w:t xml:space="preserve">      220V</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2775">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台</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A6551">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6C7F1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C9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29C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驱动电源系列</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0B6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电源</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BBEC">
            <w:pPr>
              <w:keepNext w:val="0"/>
              <w:keepLines w:val="0"/>
              <w:widowControl/>
              <w:suppressLineNumbers w:val="0"/>
              <w:jc w:val="both"/>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输入100--240V-50HZ 输出24-60V</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AC3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3A06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4582D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855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966" w:type="pct"/>
            <w:vMerge w:val="restart"/>
            <w:tcBorders>
              <w:top w:val="single" w:color="000000" w:sz="4" w:space="0"/>
              <w:left w:val="single" w:color="000000" w:sz="4" w:space="0"/>
              <w:bottom w:val="nil"/>
              <w:right w:val="single" w:color="000000" w:sz="4" w:space="0"/>
            </w:tcBorders>
            <w:shd w:val="clear" w:color="auto" w:fill="auto"/>
            <w:noWrap/>
            <w:textDirection w:val="tbRlV"/>
            <w:vAlign w:val="center"/>
          </w:tcPr>
          <w:p w14:paraId="409D4E7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线材系列</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9A86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灯头</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10217">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E27</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5DF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7729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500</w:t>
            </w:r>
          </w:p>
        </w:tc>
      </w:tr>
      <w:tr w14:paraId="13FE5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33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966" w:type="pct"/>
            <w:vMerge w:val="continue"/>
            <w:tcBorders>
              <w:top w:val="single" w:color="000000" w:sz="4" w:space="0"/>
              <w:left w:val="single" w:color="000000" w:sz="4" w:space="0"/>
              <w:bottom w:val="nil"/>
              <w:right w:val="single" w:color="000000" w:sz="4" w:space="0"/>
            </w:tcBorders>
            <w:shd w:val="clear" w:color="auto" w:fill="auto"/>
            <w:noWrap/>
            <w:textDirection w:val="tbRlV"/>
            <w:vAlign w:val="center"/>
          </w:tcPr>
          <w:p w14:paraId="3A2B244C">
            <w:pPr>
              <w:jc w:val="center"/>
              <w:rPr>
                <w:rFonts w:hint="eastAsia" w:ascii="宋体" w:hAnsi="宋体" w:eastAsia="宋体" w:cs="宋体"/>
                <w:b w:val="0"/>
                <w:bCs w:val="0"/>
                <w:i w:val="0"/>
                <w:iCs w:val="0"/>
                <w:color w:val="000000"/>
                <w:sz w:val="24"/>
                <w:szCs w:val="24"/>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9E142">
            <w:pPr>
              <w:keepNext w:val="0"/>
              <w:keepLines w:val="0"/>
              <w:widowControl/>
              <w:suppressLineNumbers w:val="0"/>
              <w:jc w:val="center"/>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时控开关</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D4F64">
            <w:pPr>
              <w:keepNext w:val="0"/>
              <w:keepLines w:val="0"/>
              <w:widowControl/>
              <w:suppressLineNumbers w:val="0"/>
              <w:jc w:val="left"/>
              <w:textAlignment w:val="center"/>
              <w:rPr>
                <w:rFonts w:hint="eastAsia" w:ascii="宋体" w:hAnsi="宋体" w:eastAsia="宋体" w:cs="宋体"/>
                <w:b w:val="0"/>
                <w:bCs w:val="0"/>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KG316T</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0FD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87E9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r w14:paraId="31632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91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966" w:type="pct"/>
            <w:vMerge w:val="continue"/>
            <w:tcBorders>
              <w:top w:val="single" w:color="000000" w:sz="4" w:space="0"/>
              <w:left w:val="single" w:color="000000" w:sz="4" w:space="0"/>
              <w:bottom w:val="nil"/>
              <w:right w:val="single" w:color="000000" w:sz="4" w:space="0"/>
            </w:tcBorders>
            <w:shd w:val="clear" w:color="auto" w:fill="auto"/>
            <w:noWrap/>
            <w:textDirection w:val="tbRlV"/>
            <w:vAlign w:val="center"/>
          </w:tcPr>
          <w:p w14:paraId="11EF9DF7">
            <w:pPr>
              <w:jc w:val="center"/>
              <w:rPr>
                <w:rFonts w:hint="eastAsia" w:ascii="宋体" w:hAnsi="宋体" w:eastAsia="宋体" w:cs="宋体"/>
                <w:b w:val="0"/>
                <w:bCs w:val="0"/>
                <w:i w:val="0"/>
                <w:iCs w:val="0"/>
                <w:color w:val="000000"/>
                <w:sz w:val="24"/>
                <w:szCs w:val="24"/>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0B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橡套软电缆</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786E">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Style w:val="9"/>
                <w:rFonts w:hint="eastAsia" w:ascii="宋体" w:hAnsi="宋体" w:eastAsia="宋体" w:cs="宋体"/>
                <w:b w:val="0"/>
                <w:bCs w:val="0"/>
                <w:sz w:val="24"/>
                <w:szCs w:val="24"/>
                <w:lang w:val="en-US" w:eastAsia="zh-CN" w:bidi="ar"/>
              </w:rPr>
              <w:t>YZ2</w:t>
            </w:r>
            <w:r>
              <w:rPr>
                <w:rStyle w:val="10"/>
                <w:rFonts w:hint="eastAsia" w:ascii="宋体" w:hAnsi="宋体" w:eastAsia="宋体" w:cs="宋体"/>
                <w:b w:val="0"/>
                <w:bCs w:val="0"/>
                <w:sz w:val="24"/>
                <w:szCs w:val="24"/>
                <w:lang w:val="en-US" w:eastAsia="zh-CN" w:bidi="ar"/>
              </w:rPr>
              <w:t>×</w:t>
            </w:r>
            <w:r>
              <w:rPr>
                <w:rStyle w:val="9"/>
                <w:rFonts w:hint="eastAsia" w:ascii="宋体" w:hAnsi="宋体" w:eastAsia="宋体" w:cs="宋体"/>
                <w:b w:val="0"/>
                <w:bCs w:val="0"/>
                <w:sz w:val="24"/>
                <w:szCs w:val="24"/>
                <w:lang w:val="en-US" w:eastAsia="zh-CN" w:bidi="ar"/>
              </w:rPr>
              <w:t>2.5mm</w:t>
            </w:r>
            <w:r>
              <w:rPr>
                <w:rStyle w:val="11"/>
                <w:rFonts w:hint="eastAsia" w:ascii="宋体" w:hAnsi="宋体" w:eastAsia="宋体" w:cs="宋体"/>
                <w:b w:val="0"/>
                <w:bCs w:val="0"/>
                <w:sz w:val="24"/>
                <w:szCs w:val="24"/>
                <w:lang w:val="en-US" w:eastAsia="zh-CN" w:bidi="ar"/>
              </w:rPr>
              <w:t>2</w:t>
            </w:r>
            <w:r>
              <w:rPr>
                <w:rStyle w:val="9"/>
                <w:rFonts w:hint="eastAsia" w:ascii="宋体" w:hAnsi="宋体" w:eastAsia="宋体" w:cs="宋体"/>
                <w:b w:val="0"/>
                <w:bCs w:val="0"/>
                <w:sz w:val="24"/>
                <w:szCs w:val="24"/>
                <w:lang w:val="en-US" w:eastAsia="zh-CN" w:bidi="ar"/>
              </w:rPr>
              <w:t xml:space="preserve">    100m</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ECD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CD4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24081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F60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966" w:type="pct"/>
            <w:vMerge w:val="continue"/>
            <w:tcBorders>
              <w:top w:val="single" w:color="000000" w:sz="4" w:space="0"/>
              <w:left w:val="single" w:color="000000" w:sz="4" w:space="0"/>
              <w:bottom w:val="nil"/>
              <w:right w:val="single" w:color="000000" w:sz="4" w:space="0"/>
            </w:tcBorders>
            <w:shd w:val="clear" w:color="auto" w:fill="auto"/>
            <w:noWrap/>
            <w:textDirection w:val="tbRlV"/>
            <w:vAlign w:val="center"/>
          </w:tcPr>
          <w:p w14:paraId="18724C5F">
            <w:pPr>
              <w:jc w:val="center"/>
              <w:rPr>
                <w:rFonts w:hint="eastAsia" w:ascii="宋体" w:hAnsi="宋体" w:eastAsia="宋体" w:cs="宋体"/>
                <w:b w:val="0"/>
                <w:bCs w:val="0"/>
                <w:i w:val="0"/>
                <w:iCs w:val="0"/>
                <w:color w:val="000000"/>
                <w:sz w:val="24"/>
                <w:szCs w:val="24"/>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551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护套线（铝）</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36EA8">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Style w:val="9"/>
                <w:rFonts w:hint="eastAsia" w:ascii="宋体" w:hAnsi="宋体" w:eastAsia="宋体" w:cs="宋体"/>
                <w:b w:val="0"/>
                <w:bCs w:val="0"/>
                <w:sz w:val="24"/>
                <w:szCs w:val="24"/>
                <w:lang w:val="en-US" w:eastAsia="zh-CN" w:bidi="ar"/>
              </w:rPr>
              <w:t>YZ2</w:t>
            </w:r>
            <w:r>
              <w:rPr>
                <w:rStyle w:val="10"/>
                <w:rFonts w:hint="eastAsia" w:ascii="宋体" w:hAnsi="宋体" w:eastAsia="宋体" w:cs="宋体"/>
                <w:b w:val="0"/>
                <w:bCs w:val="0"/>
                <w:sz w:val="24"/>
                <w:szCs w:val="24"/>
                <w:lang w:val="en-US" w:eastAsia="zh-CN" w:bidi="ar"/>
              </w:rPr>
              <w:t>×</w:t>
            </w:r>
            <w:r>
              <w:rPr>
                <w:rStyle w:val="9"/>
                <w:rFonts w:hint="eastAsia" w:ascii="宋体" w:hAnsi="宋体" w:eastAsia="宋体" w:cs="宋体"/>
                <w:b w:val="0"/>
                <w:bCs w:val="0"/>
                <w:sz w:val="24"/>
                <w:szCs w:val="24"/>
                <w:lang w:val="en-US" w:eastAsia="zh-CN" w:bidi="ar"/>
              </w:rPr>
              <w:t>2.5mm</w:t>
            </w:r>
            <w:r>
              <w:rPr>
                <w:rStyle w:val="11"/>
                <w:rFonts w:hint="eastAsia" w:ascii="宋体" w:hAnsi="宋体" w:eastAsia="宋体" w:cs="宋体"/>
                <w:b w:val="0"/>
                <w:bCs w:val="0"/>
                <w:sz w:val="24"/>
                <w:szCs w:val="24"/>
                <w:lang w:val="en-US" w:eastAsia="zh-CN" w:bidi="ar"/>
              </w:rPr>
              <w:t>2</w:t>
            </w:r>
            <w:r>
              <w:rPr>
                <w:rStyle w:val="9"/>
                <w:rFonts w:hint="eastAsia" w:ascii="宋体" w:hAnsi="宋体" w:eastAsia="宋体" w:cs="宋体"/>
                <w:b w:val="0"/>
                <w:bCs w:val="0"/>
                <w:sz w:val="24"/>
                <w:szCs w:val="24"/>
                <w:lang w:val="en-US" w:eastAsia="zh-CN" w:bidi="ar"/>
              </w:rPr>
              <w:t xml:space="preserve">    100m</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556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BE59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67B7C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84C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966" w:type="pct"/>
            <w:vMerge w:val="continue"/>
            <w:tcBorders>
              <w:top w:val="single" w:color="000000" w:sz="4" w:space="0"/>
              <w:left w:val="single" w:color="000000" w:sz="4" w:space="0"/>
              <w:bottom w:val="nil"/>
              <w:right w:val="single" w:color="000000" w:sz="4" w:space="0"/>
            </w:tcBorders>
            <w:shd w:val="clear" w:color="auto" w:fill="auto"/>
            <w:noWrap/>
            <w:textDirection w:val="tbRlV"/>
            <w:vAlign w:val="center"/>
          </w:tcPr>
          <w:p w14:paraId="5FD8B008">
            <w:pPr>
              <w:jc w:val="center"/>
              <w:rPr>
                <w:rFonts w:hint="eastAsia" w:ascii="宋体" w:hAnsi="宋体" w:eastAsia="宋体" w:cs="宋体"/>
                <w:b w:val="0"/>
                <w:bCs w:val="0"/>
                <w:i w:val="0"/>
                <w:iCs w:val="0"/>
                <w:color w:val="000000"/>
                <w:sz w:val="24"/>
                <w:szCs w:val="24"/>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1E13B">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防水胶带</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4178">
            <w:pPr>
              <w:jc w:val="left"/>
              <w:rPr>
                <w:rFonts w:hint="eastAsia" w:ascii="宋体" w:hAnsi="宋体" w:eastAsia="宋体" w:cs="宋体"/>
                <w:b w:val="0"/>
                <w:bCs w:val="0"/>
                <w:i w:val="0"/>
                <w:iCs w:val="0"/>
                <w:color w:val="000000"/>
                <w:sz w:val="24"/>
                <w:szCs w:val="24"/>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5B46">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760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00A6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DB5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966" w:type="pct"/>
            <w:vMerge w:val="continue"/>
            <w:tcBorders>
              <w:top w:val="single" w:color="000000" w:sz="4" w:space="0"/>
              <w:left w:val="single" w:color="000000" w:sz="4" w:space="0"/>
              <w:bottom w:val="nil"/>
              <w:right w:val="single" w:color="000000" w:sz="4" w:space="0"/>
            </w:tcBorders>
            <w:shd w:val="clear" w:color="auto" w:fill="auto"/>
            <w:noWrap/>
            <w:textDirection w:val="tbRlV"/>
            <w:vAlign w:val="center"/>
          </w:tcPr>
          <w:p w14:paraId="4986CF37">
            <w:pPr>
              <w:jc w:val="center"/>
              <w:rPr>
                <w:rFonts w:hint="eastAsia" w:ascii="宋体" w:hAnsi="宋体" w:eastAsia="宋体" w:cs="宋体"/>
                <w:b w:val="0"/>
                <w:bCs w:val="0"/>
                <w:i w:val="0"/>
                <w:iCs w:val="0"/>
                <w:color w:val="000000"/>
                <w:sz w:val="24"/>
                <w:szCs w:val="24"/>
                <w:u w:val="none"/>
              </w:rPr>
            </w:pP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9B99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绝缘胶带</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B0CB8">
            <w:pPr>
              <w:jc w:val="left"/>
              <w:rPr>
                <w:rFonts w:hint="eastAsia" w:ascii="宋体" w:hAnsi="宋体" w:eastAsia="宋体" w:cs="宋体"/>
                <w:b w:val="0"/>
                <w:bCs w:val="0"/>
                <w:i w:val="0"/>
                <w:iCs w:val="0"/>
                <w:color w:val="000000"/>
                <w:sz w:val="24"/>
                <w:szCs w:val="24"/>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EFA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3EFD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500</w:t>
            </w:r>
          </w:p>
        </w:tc>
      </w:tr>
      <w:tr w14:paraId="6E6B6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64A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w:t>
            </w:r>
          </w:p>
        </w:tc>
        <w:tc>
          <w:tcPr>
            <w:tcW w:w="9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FF0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LED整灯</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F5D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LED整灯60W（中金豆）</w:t>
            </w: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6AE73">
            <w:pPr>
              <w:keepNext w:val="0"/>
              <w:keepLines w:val="0"/>
              <w:widowControl/>
              <w:numPr>
                <w:ilvl w:val="0"/>
                <w:numId w:val="1"/>
              </w:numPr>
              <w:suppressLineNumbers w:val="0"/>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光源60W 60个3030灯珠，显指70.6串10并，电压36V。发光角度65*135度; </w:t>
            </w:r>
          </w:p>
          <w:p w14:paraId="7FE18CC9">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2、驱动电源，60WLDP-060M045;</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C8A1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7801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300</w:t>
            </w:r>
          </w:p>
        </w:tc>
      </w:tr>
      <w:tr w14:paraId="0500A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CC6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9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4601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耗</w:t>
            </w:r>
            <w:r>
              <w:rPr>
                <w:rFonts w:hint="eastAsia" w:ascii="宋体" w:hAnsi="宋体" w:eastAsia="宋体" w:cs="宋体"/>
                <w:b w:val="0"/>
                <w:bCs w:val="0"/>
                <w:i w:val="0"/>
                <w:iCs w:val="0"/>
                <w:color w:val="000000"/>
                <w:kern w:val="0"/>
                <w:sz w:val="24"/>
                <w:szCs w:val="24"/>
                <w:u w:val="none"/>
                <w:lang w:val="en-US" w:eastAsia="zh-CN" w:bidi="ar"/>
              </w:rPr>
              <w:br w:type="textWrapping"/>
            </w:r>
            <w:r>
              <w:rPr>
                <w:rFonts w:hint="eastAsia" w:ascii="宋体" w:hAnsi="宋体" w:eastAsia="宋体" w:cs="宋体"/>
                <w:b w:val="0"/>
                <w:bCs w:val="0"/>
                <w:i w:val="0"/>
                <w:iCs w:val="0"/>
                <w:color w:val="000000"/>
                <w:kern w:val="0"/>
                <w:sz w:val="24"/>
                <w:szCs w:val="24"/>
                <w:u w:val="none"/>
                <w:lang w:val="en-US" w:eastAsia="zh-CN" w:bidi="ar"/>
              </w:rPr>
              <w:t>材</w:t>
            </w:r>
          </w:p>
        </w:tc>
        <w:tc>
          <w:tcPr>
            <w:tcW w:w="5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B1E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固定螺栓</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31FA">
            <w:pPr>
              <w:keepNext w:val="0"/>
              <w:keepLines w:val="0"/>
              <w:widowControl/>
              <w:suppressLineNumbers w:val="0"/>
              <w:jc w:val="both"/>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全螺纹10mm*20cm带弹环垫片</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7C4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E6D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500</w:t>
            </w:r>
          </w:p>
        </w:tc>
      </w:tr>
      <w:tr w14:paraId="60C3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655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13</w:t>
            </w:r>
          </w:p>
        </w:tc>
        <w:tc>
          <w:tcPr>
            <w:tcW w:w="9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5F9AF">
            <w:pPr>
              <w:jc w:val="center"/>
              <w:rPr>
                <w:rFonts w:hint="eastAsia" w:ascii="宋体" w:hAnsi="宋体" w:eastAsia="宋体" w:cs="宋体"/>
                <w:b w:val="0"/>
                <w:bCs w:val="0"/>
                <w:i w:val="0"/>
                <w:iCs w:val="0"/>
                <w:color w:val="000000"/>
                <w:sz w:val="24"/>
                <w:szCs w:val="24"/>
                <w:u w:val="none"/>
              </w:rPr>
            </w:pPr>
          </w:p>
        </w:tc>
        <w:tc>
          <w:tcPr>
            <w:tcW w:w="5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19EE3">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膨胀螺丝</w:t>
            </w: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ED33">
            <w:pPr>
              <w:keepNext w:val="0"/>
              <w:keepLines w:val="0"/>
              <w:widowControl/>
              <w:suppressLineNumbers w:val="0"/>
              <w:jc w:val="both"/>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16mm*15cm</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B5A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FB3F">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r w14:paraId="5CBCE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69C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14</w:t>
            </w:r>
          </w:p>
        </w:tc>
        <w:tc>
          <w:tcPr>
            <w:tcW w:w="9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41A0F">
            <w:pPr>
              <w:jc w:val="center"/>
              <w:rPr>
                <w:rFonts w:hint="eastAsia" w:ascii="宋体" w:hAnsi="宋体" w:eastAsia="宋体" w:cs="宋体"/>
                <w:b w:val="0"/>
                <w:bCs w:val="0"/>
                <w:i w:val="0"/>
                <w:iCs w:val="0"/>
                <w:color w:val="000000"/>
                <w:sz w:val="24"/>
                <w:szCs w:val="24"/>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388A8">
            <w:pPr>
              <w:jc w:val="center"/>
              <w:rPr>
                <w:rFonts w:hint="eastAsia" w:ascii="宋体" w:hAnsi="宋体" w:eastAsia="宋体" w:cs="宋体"/>
                <w:b w:val="0"/>
                <w:bCs w:val="0"/>
                <w:i w:val="0"/>
                <w:iCs w:val="0"/>
                <w:color w:val="000000"/>
                <w:sz w:val="24"/>
                <w:szCs w:val="24"/>
                <w:u w:val="none"/>
              </w:rPr>
            </w:pPr>
          </w:p>
        </w:tc>
        <w:tc>
          <w:tcPr>
            <w:tcW w:w="21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C434">
            <w:pPr>
              <w:keepNext w:val="0"/>
              <w:keepLines w:val="0"/>
              <w:widowControl/>
              <w:suppressLineNumbers w:val="0"/>
              <w:jc w:val="both"/>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16mm*10cm</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D72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C74A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2C148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8F5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c>
          <w:tcPr>
            <w:tcW w:w="9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367C3">
            <w:pPr>
              <w:jc w:val="center"/>
              <w:rPr>
                <w:rFonts w:hint="eastAsia" w:ascii="宋体" w:hAnsi="宋体" w:eastAsia="宋体" w:cs="宋体"/>
                <w:b w:val="0"/>
                <w:bCs w:val="0"/>
                <w:i w:val="0"/>
                <w:iCs w:val="0"/>
                <w:color w:val="000000"/>
                <w:sz w:val="24"/>
                <w:szCs w:val="24"/>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F517C">
            <w:pPr>
              <w:jc w:val="center"/>
              <w:rPr>
                <w:rFonts w:hint="eastAsia" w:ascii="宋体" w:hAnsi="宋体" w:eastAsia="宋体" w:cs="宋体"/>
                <w:b w:val="0"/>
                <w:bCs w:val="0"/>
                <w:i w:val="0"/>
                <w:iCs w:val="0"/>
                <w:color w:val="000000"/>
                <w:sz w:val="24"/>
                <w:szCs w:val="24"/>
                <w:u w:val="none"/>
              </w:rPr>
            </w:pPr>
          </w:p>
        </w:tc>
        <w:tc>
          <w:tcPr>
            <w:tcW w:w="21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BF148">
            <w:pPr>
              <w:keepNext w:val="0"/>
              <w:keepLines w:val="0"/>
              <w:widowControl/>
              <w:suppressLineNumbers w:val="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10mm*10cm</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BD49">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38880">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bl>
    <w:p w14:paraId="20569612">
      <w:pPr>
        <w:pStyle w:val="6"/>
        <w:ind w:left="0" w:leftChars="0" w:firstLine="0" w:firstLineChars="0"/>
        <w:rPr>
          <w:rFonts w:hint="eastAsia"/>
          <w:lang w:val="en-US" w:eastAsia="zh-CN"/>
        </w:rPr>
      </w:pPr>
    </w:p>
    <w:p w14:paraId="730C35A2">
      <w:pPr>
        <w:pStyle w:val="6"/>
        <w:ind w:left="0" w:leftChars="0" w:firstLine="0" w:firstLineChars="0"/>
        <w:jc w:val="center"/>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龙山县城区路灯配件计划采购表</w:t>
      </w:r>
    </w:p>
    <w:tbl>
      <w:tblPr>
        <w:tblStyle w:val="7"/>
        <w:tblW w:w="492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656"/>
        <w:gridCol w:w="889"/>
        <w:gridCol w:w="4116"/>
        <w:gridCol w:w="457"/>
        <w:gridCol w:w="576"/>
      </w:tblGrid>
      <w:tr w14:paraId="532F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3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8570">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3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D77B">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20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2168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3EE8C">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43218">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r>
      <w:tr w14:paraId="39788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3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CA0D">
            <w:pPr>
              <w:spacing w:line="360" w:lineRule="auto"/>
              <w:jc w:val="center"/>
              <w:rPr>
                <w:rFonts w:hint="eastAsia" w:ascii="宋体" w:hAnsi="宋体" w:eastAsia="宋体" w:cs="宋体"/>
                <w:b w:val="0"/>
                <w:bCs w:val="0"/>
                <w:i w:val="0"/>
                <w:iCs w:val="0"/>
                <w:color w:val="000000"/>
                <w:sz w:val="24"/>
                <w:szCs w:val="24"/>
                <w:u w:val="none"/>
              </w:rPr>
            </w:pPr>
          </w:p>
        </w:tc>
        <w:tc>
          <w:tcPr>
            <w:tcW w:w="163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F691">
            <w:pPr>
              <w:spacing w:line="360" w:lineRule="auto"/>
              <w:jc w:val="center"/>
              <w:rPr>
                <w:rFonts w:hint="eastAsia" w:ascii="宋体" w:hAnsi="宋体" w:eastAsia="宋体" w:cs="宋体"/>
                <w:b w:val="0"/>
                <w:bCs w:val="0"/>
                <w:i w:val="0"/>
                <w:iCs w:val="0"/>
                <w:color w:val="000000"/>
                <w:sz w:val="24"/>
                <w:szCs w:val="24"/>
                <w:u w:val="none"/>
              </w:rPr>
            </w:pPr>
          </w:p>
        </w:tc>
        <w:tc>
          <w:tcPr>
            <w:tcW w:w="20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0C954">
            <w:pPr>
              <w:spacing w:line="360" w:lineRule="auto"/>
              <w:jc w:val="center"/>
              <w:rPr>
                <w:rFonts w:hint="eastAsia" w:ascii="宋体" w:hAnsi="宋体" w:eastAsia="宋体" w:cs="宋体"/>
                <w:b w:val="0"/>
                <w:bCs w:val="0"/>
                <w:i w:val="0"/>
                <w:iCs w:val="0"/>
                <w:color w:val="000000"/>
                <w:sz w:val="24"/>
                <w:szCs w:val="24"/>
                <w:u w:val="none"/>
              </w:rPr>
            </w:pPr>
          </w:p>
        </w:tc>
        <w:tc>
          <w:tcPr>
            <w:tcW w:w="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5B742">
            <w:pPr>
              <w:spacing w:line="360" w:lineRule="auto"/>
              <w:jc w:val="center"/>
              <w:rPr>
                <w:rFonts w:hint="eastAsia" w:ascii="宋体" w:hAnsi="宋体" w:eastAsia="宋体" w:cs="宋体"/>
                <w:b w:val="0"/>
                <w:bCs w:val="0"/>
                <w:i w:val="0"/>
                <w:iCs w:val="0"/>
                <w:color w:val="000000"/>
                <w:sz w:val="24"/>
                <w:szCs w:val="24"/>
                <w:u w:val="none"/>
              </w:rPr>
            </w:pP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BA4D2">
            <w:pPr>
              <w:spacing w:line="360" w:lineRule="auto"/>
              <w:jc w:val="center"/>
              <w:rPr>
                <w:rFonts w:hint="eastAsia" w:ascii="宋体" w:hAnsi="宋体" w:eastAsia="宋体" w:cs="宋体"/>
                <w:b w:val="0"/>
                <w:bCs w:val="0"/>
                <w:i w:val="0"/>
                <w:iCs w:val="0"/>
                <w:color w:val="000000"/>
                <w:sz w:val="24"/>
                <w:szCs w:val="24"/>
                <w:u w:val="none"/>
              </w:rPr>
            </w:pPr>
          </w:p>
        </w:tc>
      </w:tr>
      <w:tr w14:paraId="1790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03C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68ABE1">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灯具系列</w:t>
            </w: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7ADB4">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高压钠灯</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6ABA1">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NG150T(38)E27     150W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7A28">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059B">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r w14:paraId="24691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D7B1">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AA88D45">
            <w:pPr>
              <w:spacing w:line="360" w:lineRule="auto"/>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ED5FD">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D285C">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NG400T(46)E40     400W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D93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4F31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5D95C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9B37">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0031C31">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BEEEB">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金属卤化物灯</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049EF">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JLZ400KN          400W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3BE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948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4374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DA54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EC3EF1">
            <w:pPr>
              <w:spacing w:line="360" w:lineRule="auto"/>
              <w:rPr>
                <w:rFonts w:hint="eastAsia" w:ascii="宋体" w:hAnsi="宋体" w:eastAsia="宋体" w:cs="宋体"/>
                <w:b w:val="0"/>
                <w:bCs w:val="0"/>
                <w:i w:val="0"/>
                <w:iCs w:val="0"/>
                <w:color w:val="000000"/>
                <w:sz w:val="24"/>
                <w:szCs w:val="24"/>
                <w:u w:val="none"/>
              </w:rPr>
            </w:pP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13455">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LED球泡</w:t>
            </w:r>
          </w:p>
        </w:tc>
        <w:tc>
          <w:tcPr>
            <w:tcW w:w="2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DB81">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LED球泡（暖白光）E27  13W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B29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7E95A">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75F5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7B0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EB590F0">
            <w:pPr>
              <w:spacing w:line="360" w:lineRule="auto"/>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65DF2">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75FF">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LED-BPZ200/12-E27-04  (白光）12W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5C77">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74B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500</w:t>
            </w:r>
          </w:p>
        </w:tc>
      </w:tr>
      <w:tr w14:paraId="2755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F6A0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5884D13">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B3C96">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LED光源模组</w:t>
            </w:r>
          </w:p>
        </w:tc>
        <w:tc>
          <w:tcPr>
            <w:tcW w:w="2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AC4B">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  M-VL3050A-L757       7×29.7㎝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188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片</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823F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7CE3F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B9B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1C3C6A">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03FD">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LED光源模组</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9880F">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M-VL3050A-L757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E49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套</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289C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0A285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6318">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CCBD6E">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D73C">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LED整灯</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EC4B9">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 xml:space="preserve"> 高杆灯光源      80W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39C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320D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50040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EF8F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8987764">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502ED">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LED珠光板</w:t>
            </w:r>
          </w:p>
        </w:tc>
        <w:tc>
          <w:tcPr>
            <w:tcW w:w="2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1E9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BJS50(6000-6500K)J3</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0155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片</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6EE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500</w:t>
            </w:r>
          </w:p>
        </w:tc>
      </w:tr>
      <w:tr w14:paraId="1ACA1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F39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78BEA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镇流器系列</w:t>
            </w: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3D135">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高压钠灯、金属卤化物灯镇流器</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B001">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NG150ZNTJ(150W)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C94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85DA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150</w:t>
            </w:r>
          </w:p>
        </w:tc>
      </w:tr>
      <w:tr w14:paraId="1804D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FC4E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11</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00C4BAB">
            <w:pPr>
              <w:spacing w:line="360" w:lineRule="auto"/>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3C79C">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8A83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NG250ZNTJ(250W)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99FB">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C1D8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65B5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60C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B44ED1">
            <w:pPr>
              <w:spacing w:line="360" w:lineRule="auto"/>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112ED">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AE24">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NG400ZNTJ(400W)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275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3AD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39D0F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B1D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13</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2D0733">
            <w:pPr>
              <w:spacing w:line="360" w:lineRule="auto"/>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C6218">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6229">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GM400Z(400W)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086B">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2A2B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72583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419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14</w:t>
            </w:r>
          </w:p>
        </w:tc>
        <w:tc>
          <w:tcPr>
            <w:tcW w:w="8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C18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触化器</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3830B">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电子触化器</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01C3">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CD-2a</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310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374C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w:t>
            </w:r>
          </w:p>
        </w:tc>
      </w:tr>
      <w:tr w14:paraId="61028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E9F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w:t>
            </w:r>
          </w:p>
        </w:tc>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53E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断路器系列</w:t>
            </w: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F082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小型断路器（空开）</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94F7C">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NXB-63C63   1P</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413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B33B">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6907D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D0C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16</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BE36">
            <w:pPr>
              <w:spacing w:line="360" w:lineRule="auto"/>
              <w:jc w:val="center"/>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B7906">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4A5B">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NXB-63C63   2P</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D3E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EFE2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5485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D5C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17</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FC7A">
            <w:pPr>
              <w:spacing w:line="360" w:lineRule="auto"/>
              <w:jc w:val="center"/>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E1ABE">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时控开关</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48DE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KG316T</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C7F1">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69A3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150</w:t>
            </w:r>
          </w:p>
        </w:tc>
      </w:tr>
      <w:tr w14:paraId="78AF6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135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18</w:t>
            </w:r>
          </w:p>
        </w:tc>
        <w:tc>
          <w:tcPr>
            <w:tcW w:w="8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6D7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驱动电源系列</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0A80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景光灯源</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84AB8">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LED防雨电源  5V350W</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2B4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447B7">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120</w:t>
            </w:r>
          </w:p>
        </w:tc>
      </w:tr>
      <w:tr w14:paraId="50792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261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19</w:t>
            </w:r>
          </w:p>
        </w:tc>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D11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驱动电源系列</w:t>
            </w: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A7504">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高杆灯、中国节驱动电源</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3F3D">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DL85W1AB-MPA    IP67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02A8">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F75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4A2FE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F2D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2D2B">
            <w:pPr>
              <w:spacing w:line="360" w:lineRule="auto"/>
              <w:jc w:val="center"/>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52F21">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E44D0">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12V120W IP67(防水）</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EFE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6ECA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120</w:t>
            </w:r>
          </w:p>
        </w:tc>
      </w:tr>
      <w:tr w14:paraId="21F83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6E2A">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21</w:t>
            </w:r>
          </w:p>
        </w:tc>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186B6E8">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灯头  线材  耗材系列</w:t>
            </w: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F754">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灯头</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F14B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E27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714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33351">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2E585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455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22</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17E5B99">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C936">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转换头</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90C4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 xml:space="preserve">   E40转E27</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BBAE">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EF3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200</w:t>
            </w:r>
          </w:p>
        </w:tc>
      </w:tr>
      <w:tr w14:paraId="6F67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5B27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23</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51DF6B">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BB7F6">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护套线</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EC51">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铝芯BLVVB2×2.5mm</w:t>
            </w:r>
            <w:r>
              <w:rPr>
                <w:rStyle w:val="12"/>
                <w:rFonts w:hint="eastAsia" w:ascii="宋体" w:hAnsi="宋体" w:eastAsia="宋体" w:cs="宋体"/>
                <w:b w:val="0"/>
                <w:bCs w:val="0"/>
                <w:sz w:val="24"/>
                <w:szCs w:val="24"/>
                <w:lang w:val="en-US" w:eastAsia="zh-CN" w:bidi="ar"/>
              </w:rPr>
              <w:t xml:space="preserve">2   </w:t>
            </w:r>
            <w:r>
              <w:rPr>
                <w:rFonts w:hint="eastAsia" w:ascii="宋体" w:hAnsi="宋体" w:eastAsia="宋体" w:cs="宋体"/>
                <w:b w:val="0"/>
                <w:bCs w:val="0"/>
                <w:i w:val="0"/>
                <w:iCs w:val="0"/>
                <w:color w:val="000000"/>
                <w:kern w:val="0"/>
                <w:sz w:val="24"/>
                <w:szCs w:val="24"/>
                <w:u w:val="none"/>
                <w:lang w:val="en-US" w:eastAsia="zh-CN" w:bidi="ar"/>
              </w:rPr>
              <w:t xml:space="preserve">100m  </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3AA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EAC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51079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868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24</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B1D5E0B">
            <w:pPr>
              <w:spacing w:line="360" w:lineRule="auto"/>
              <w:rPr>
                <w:rFonts w:hint="eastAsia" w:ascii="宋体" w:hAnsi="宋体" w:eastAsia="宋体" w:cs="宋体"/>
                <w:b w:val="0"/>
                <w:bCs w:val="0"/>
                <w:i w:val="0"/>
                <w:iCs w:val="0"/>
                <w:color w:val="000000"/>
                <w:sz w:val="24"/>
                <w:szCs w:val="24"/>
                <w:u w:val="none"/>
              </w:rPr>
            </w:pPr>
          </w:p>
        </w:tc>
        <w:tc>
          <w:tcPr>
            <w:tcW w:w="7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F967F">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橡套软电缆</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7B1C">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YZ2×2.5mm</w:t>
            </w:r>
            <w:r>
              <w:rPr>
                <w:rStyle w:val="12"/>
                <w:rFonts w:hint="eastAsia" w:ascii="宋体" w:hAnsi="宋体" w:eastAsia="宋体" w:cs="宋体"/>
                <w:b w:val="0"/>
                <w:bCs w:val="0"/>
                <w:sz w:val="24"/>
                <w:szCs w:val="24"/>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 xml:space="preserve">    100m</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54236">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69E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42C9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399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25</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4551990">
            <w:pPr>
              <w:spacing w:line="360" w:lineRule="auto"/>
              <w:rPr>
                <w:rFonts w:hint="eastAsia" w:ascii="宋体" w:hAnsi="宋体" w:eastAsia="宋体" w:cs="宋体"/>
                <w:b w:val="0"/>
                <w:bCs w:val="0"/>
                <w:i w:val="0"/>
                <w:iCs w:val="0"/>
                <w:color w:val="000000"/>
                <w:sz w:val="24"/>
                <w:szCs w:val="24"/>
                <w:u w:val="none"/>
              </w:rPr>
            </w:pPr>
          </w:p>
        </w:tc>
        <w:tc>
          <w:tcPr>
            <w:tcW w:w="7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E67CB">
            <w:pPr>
              <w:spacing w:line="360" w:lineRule="auto"/>
              <w:rPr>
                <w:rFonts w:hint="eastAsia" w:ascii="宋体" w:hAnsi="宋体" w:eastAsia="宋体" w:cs="宋体"/>
                <w:b w:val="0"/>
                <w:bCs w:val="0"/>
                <w:i w:val="0"/>
                <w:iCs w:val="0"/>
                <w:color w:val="000000"/>
                <w:sz w:val="24"/>
                <w:szCs w:val="24"/>
                <w:u w:val="none"/>
              </w:rPr>
            </w:pP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E83D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YZ2×6mm</w:t>
            </w:r>
            <w:r>
              <w:rPr>
                <w:rStyle w:val="12"/>
                <w:rFonts w:hint="eastAsia" w:ascii="宋体" w:hAnsi="宋体" w:eastAsia="宋体" w:cs="宋体"/>
                <w:b w:val="0"/>
                <w:bCs w:val="0"/>
                <w:sz w:val="24"/>
                <w:szCs w:val="24"/>
                <w:lang w:val="en-US" w:eastAsia="zh-CN" w:bidi="ar"/>
              </w:rPr>
              <w:t>2</w:t>
            </w:r>
            <w:r>
              <w:rPr>
                <w:rFonts w:hint="eastAsia" w:ascii="宋体" w:hAnsi="宋体" w:eastAsia="宋体" w:cs="宋体"/>
                <w:b w:val="0"/>
                <w:bCs w:val="0"/>
                <w:i w:val="0"/>
                <w:iCs w:val="0"/>
                <w:color w:val="000000"/>
                <w:kern w:val="0"/>
                <w:sz w:val="24"/>
                <w:szCs w:val="24"/>
                <w:u w:val="none"/>
                <w:lang w:val="en-US" w:eastAsia="zh-CN" w:bidi="ar"/>
              </w:rPr>
              <w:t xml:space="preserve">      100m</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C47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A570E">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20</w:t>
            </w:r>
          </w:p>
        </w:tc>
      </w:tr>
      <w:tr w14:paraId="6D17E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A3E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26</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3263760">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A01F8">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绝缘胶带</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CC8E3">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防水</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DC0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圈</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D491">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197D6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46E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27</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BA21E0">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946E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电池</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1AF48">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7号电池</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D60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对</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EE0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80</w:t>
            </w:r>
          </w:p>
        </w:tc>
      </w:tr>
      <w:tr w14:paraId="4D2D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490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28</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2BBD63F">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BA0C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导热硅胶</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A9279">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120g</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B38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支</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F306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0AFD7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679F">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29</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1218B9B">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A385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AB胶</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DA2C">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i w:val="0"/>
                <w:iCs w:val="0"/>
                <w:color w:val="000000"/>
                <w:kern w:val="0"/>
                <w:sz w:val="24"/>
                <w:szCs w:val="24"/>
                <w:u w:val="none"/>
                <w:lang w:val="en-US" w:eastAsia="zh-CN" w:bidi="ar"/>
              </w:rPr>
              <w:t>KSD-603</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2C00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支</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6E8F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50</w:t>
            </w:r>
          </w:p>
        </w:tc>
      </w:tr>
      <w:tr w14:paraId="19FB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CC2C">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30</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F9DCECB">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67FE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配电箱</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4331">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杆上装控制箱</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BE6B3">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个</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B4E5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100</w:t>
            </w:r>
          </w:p>
        </w:tc>
      </w:tr>
      <w:tr w14:paraId="07465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6DFA">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31</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5EF7461">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90B4">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电缆</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00DDD">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YJV3×16+1×10mm</w:t>
            </w:r>
            <w:r>
              <w:rPr>
                <w:rStyle w:val="12"/>
                <w:rFonts w:hint="eastAsia" w:ascii="宋体" w:hAnsi="宋体" w:eastAsia="宋体" w:cs="宋体"/>
                <w:b w:val="0"/>
                <w:bCs w:val="0"/>
                <w:sz w:val="24"/>
                <w:szCs w:val="24"/>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51250">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米</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46344">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w:t>
            </w:r>
          </w:p>
        </w:tc>
      </w:tr>
      <w:tr w14:paraId="0C74A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A3D9">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32</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D08E5BD">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8AB6B">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电缆</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9450">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YJV4×25+1×16mm</w:t>
            </w:r>
            <w:r>
              <w:rPr>
                <w:rStyle w:val="12"/>
                <w:rFonts w:hint="eastAsia" w:ascii="宋体" w:hAnsi="宋体" w:eastAsia="宋体" w:cs="宋体"/>
                <w:b w:val="0"/>
                <w:bCs w:val="0"/>
                <w:sz w:val="24"/>
                <w:szCs w:val="24"/>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66E91">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米</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73CBB">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w:t>
            </w:r>
          </w:p>
        </w:tc>
      </w:tr>
      <w:tr w14:paraId="6904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76E5">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33</w:t>
            </w:r>
          </w:p>
        </w:tc>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BEE4DBC">
            <w:pPr>
              <w:spacing w:line="360" w:lineRule="auto"/>
              <w:rPr>
                <w:rFonts w:hint="eastAsia" w:ascii="宋体" w:hAnsi="宋体" w:eastAsia="宋体" w:cs="宋体"/>
                <w:b w:val="0"/>
                <w:bCs w:val="0"/>
                <w:i w:val="0"/>
                <w:iCs w:val="0"/>
                <w:color w:val="000000"/>
                <w:sz w:val="24"/>
                <w:szCs w:val="24"/>
                <w:u w:val="none"/>
              </w:rPr>
            </w:pPr>
          </w:p>
        </w:tc>
        <w:tc>
          <w:tcPr>
            <w:tcW w:w="7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BBC0E">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电缆</w:t>
            </w:r>
          </w:p>
        </w:tc>
        <w:tc>
          <w:tcPr>
            <w:tcW w:w="20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E14FA">
            <w:pPr>
              <w:keepNext w:val="0"/>
              <w:keepLines w:val="0"/>
              <w:widowControl/>
              <w:suppressLineNumbers w:val="0"/>
              <w:spacing w:line="360" w:lineRule="auto"/>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YJV4×16+1×10mm</w:t>
            </w:r>
            <w:r>
              <w:rPr>
                <w:rStyle w:val="12"/>
                <w:rFonts w:hint="eastAsia" w:ascii="宋体" w:hAnsi="宋体" w:eastAsia="宋体" w:cs="宋体"/>
                <w:b w:val="0"/>
                <w:bCs w:val="0"/>
                <w:sz w:val="24"/>
                <w:szCs w:val="24"/>
                <w:lang w:val="en-US" w:eastAsia="zh-CN" w:bidi="ar"/>
              </w:rPr>
              <w:t>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FAE42">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米</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63AFD">
            <w:pPr>
              <w:keepNext w:val="0"/>
              <w:keepLines w:val="0"/>
              <w:widowControl/>
              <w:suppressLineNumbers w:val="0"/>
              <w:spacing w:line="360" w:lineRule="auto"/>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400</w:t>
            </w:r>
          </w:p>
        </w:tc>
      </w:tr>
    </w:tbl>
    <w:p w14:paraId="18E2B43B">
      <w:pPr>
        <w:keepNext w:val="0"/>
        <w:keepLines w:val="0"/>
        <w:pageBreakBefore w:val="0"/>
        <w:widowControl w:val="0"/>
        <w:numPr>
          <w:ilvl w:val="0"/>
          <w:numId w:val="0"/>
        </w:numPr>
        <w:kinsoku/>
        <w:wordWrap/>
        <w:overflowPunct/>
        <w:topLinePunct w:val="0"/>
        <w:autoSpaceDE/>
        <w:autoSpaceDN/>
        <w:bidi w:val="0"/>
        <w:spacing w:line="360" w:lineRule="auto"/>
        <w:ind w:leftChars="0"/>
        <w:textAlignment w:val="auto"/>
        <w:outlineLvl w:val="1"/>
        <w:rPr>
          <w:rFonts w:hint="eastAsia" w:ascii="宋体" w:hAnsi="宋体" w:eastAsia="宋体" w:cs="宋体"/>
          <w:b/>
          <w:color w:val="auto"/>
          <w:sz w:val="24"/>
          <w:highlight w:val="none"/>
          <w:lang w:val="en-US" w:eastAsia="zh-CN"/>
        </w:rPr>
      </w:pPr>
    </w:p>
    <w:p w14:paraId="202B7863">
      <w:pPr>
        <w:keepNext w:val="0"/>
        <w:keepLines w:val="0"/>
        <w:pageBreakBefore w:val="0"/>
        <w:widowControl w:val="0"/>
        <w:numPr>
          <w:ilvl w:val="0"/>
          <w:numId w:val="0"/>
        </w:numPr>
        <w:kinsoku/>
        <w:wordWrap/>
        <w:overflowPunct/>
        <w:topLinePunct w:val="0"/>
        <w:autoSpaceDE/>
        <w:autoSpaceDN/>
        <w:bidi w:val="0"/>
        <w:spacing w:line="360" w:lineRule="auto"/>
        <w:ind w:leftChars="0"/>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、报价要求：</w:t>
      </w:r>
    </w:p>
    <w:p w14:paraId="27FA73B2">
      <w:pPr>
        <w:pStyle w:val="13"/>
        <w:numPr>
          <w:ilvl w:val="0"/>
          <w:numId w:val="0"/>
        </w:numPr>
        <w:spacing w:line="360" w:lineRule="auto"/>
        <w:ind w:firstLine="480" w:firstLineChars="200"/>
        <w:rPr>
          <w:rFonts w:hint="eastAsia" w:ascii="宋体" w:hAnsi="宋体" w:eastAsia="宋体" w:cs="宋体"/>
          <w:color w:val="auto"/>
          <w:sz w:val="24"/>
          <w:szCs w:val="24"/>
        </w:rPr>
      </w:pPr>
      <w:bookmarkStart w:id="6" w:name="_Toc22290"/>
      <w:bookmarkStart w:id="7" w:name="_Toc32554"/>
      <w:bookmarkStart w:id="8" w:name="_Toc17381"/>
      <w:bookmarkStart w:id="9" w:name="_Toc14546"/>
      <w:bookmarkStart w:id="10" w:name="_Toc6613"/>
      <w:bookmarkStart w:id="11" w:name="_Toc31234"/>
      <w:bookmarkStart w:id="12" w:name="_Toc5193"/>
      <w:bookmarkStart w:id="13" w:name="_Toc439"/>
      <w:bookmarkStart w:id="14" w:name="_Toc26583"/>
      <w:r>
        <w:rPr>
          <w:rFonts w:hint="eastAsia" w:ascii="宋体" w:hAnsi="宋体" w:eastAsia="宋体" w:cs="宋体"/>
          <w:color w:val="auto"/>
          <w:sz w:val="24"/>
          <w:szCs w:val="24"/>
        </w:rPr>
        <w:t>1、报价方式：采用单价固定合同方式，即</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的投标报价金额必须按照招标文件规定进行报价，并且在合同实施期间不因任何因素变化而变动。因此，</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在确认报价时，应考虑一定的风险系数。</w:t>
      </w:r>
    </w:p>
    <w:p w14:paraId="166A6246">
      <w:pPr>
        <w:pStyle w:val="13"/>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2、投标</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应以招标文件规定的供货及服务要求、责任范围和合同条件为基础进行报价</w:t>
      </w:r>
      <w:r>
        <w:rPr>
          <w:rFonts w:hint="eastAsia" w:ascii="宋体" w:hAnsi="宋体" w:eastAsia="宋体" w:cs="宋体"/>
          <w:color w:val="auto"/>
          <w:sz w:val="24"/>
          <w:szCs w:val="24"/>
          <w:lang w:eastAsia="zh-CN"/>
        </w:rPr>
        <w:t>。</w:t>
      </w:r>
    </w:p>
    <w:p w14:paraId="4897152B">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val="en-US" w:eastAsia="zh-CN"/>
        </w:rPr>
        <w:t>3、</w:t>
      </w:r>
      <w:r>
        <w:rPr>
          <w:rFonts w:hint="eastAsia" w:ascii="宋体" w:hAnsi="宋体" w:eastAsia="宋体" w:cs="宋体"/>
          <w:color w:val="auto"/>
          <w:sz w:val="24"/>
          <w:szCs w:val="24"/>
        </w:rPr>
        <w:t>投标</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rPr>
        <w:t>的报价应包括为完成本项目所要求的全部内容可能发生的全部费用和</w:t>
      </w:r>
      <w:r>
        <w:rPr>
          <w:rFonts w:hint="eastAsia" w:ascii="宋体" w:hAnsi="宋体" w:eastAsia="宋体" w:cs="宋体"/>
          <w:color w:val="auto"/>
          <w:sz w:val="24"/>
          <w:szCs w:val="24"/>
        </w:rPr>
        <w:t>货物购置费、税费、</w:t>
      </w:r>
      <w:r>
        <w:rPr>
          <w:rFonts w:hint="eastAsia" w:ascii="宋体" w:hAnsi="宋体" w:eastAsia="宋体" w:cs="宋体"/>
          <w:color w:val="auto"/>
          <w:sz w:val="24"/>
          <w:szCs w:val="24"/>
          <w:lang w:val="en-US" w:eastAsia="zh-CN"/>
        </w:rPr>
        <w:t>规费、</w:t>
      </w:r>
      <w:r>
        <w:rPr>
          <w:rFonts w:hint="eastAsia" w:ascii="宋体" w:hAnsi="宋体" w:eastAsia="宋体" w:cs="宋体"/>
          <w:color w:val="auto"/>
          <w:sz w:val="24"/>
          <w:szCs w:val="24"/>
        </w:rPr>
        <w:t>运输费、仓储费、人员工资费、装卸费、保险费、安装费、付款方式导致的资金占用利息费、货物质量验收检测所需的一切费用、其它相关服务及售后服务费等，且所报总价为唯一报价</w:t>
      </w:r>
      <w:r>
        <w:rPr>
          <w:rFonts w:hint="eastAsia" w:ascii="宋体" w:hAnsi="宋体" w:eastAsia="宋体" w:cs="宋体"/>
          <w:color w:val="auto"/>
          <w:sz w:val="24"/>
          <w:szCs w:val="24"/>
          <w:lang w:eastAsia="zh-CN"/>
        </w:rPr>
        <w:t>，</w:t>
      </w:r>
      <w:r>
        <w:rPr>
          <w:rFonts w:hint="eastAsia" w:ascii="宋体" w:hAnsi="宋体" w:eastAsia="宋体" w:cs="宋体"/>
          <w:color w:val="auto"/>
          <w:sz w:val="24"/>
        </w:rPr>
        <w:t>采购人将不再支付报价以外的任何费用。</w:t>
      </w:r>
    </w:p>
    <w:p w14:paraId="03FEAFBD">
      <w:pPr>
        <w:adjustRightInd w:val="0"/>
        <w:snapToGrid w:val="0"/>
        <w:spacing w:beforeLines="50" w:line="360" w:lineRule="auto"/>
        <w:ind w:firstLine="480" w:firstLineChars="200"/>
        <w:jc w:val="left"/>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4、本项目投标报价不得超过总预算和最高限价（如有设定），否则将视为</w:t>
      </w:r>
      <w:r>
        <w:rPr>
          <w:rFonts w:hint="eastAsia" w:ascii="宋体" w:hAnsi="宋体" w:eastAsia="宋体" w:cs="宋体"/>
          <w:b/>
          <w:bCs/>
          <w:color w:val="auto"/>
          <w:sz w:val="24"/>
          <w:lang w:val="en-US" w:eastAsia="zh-CN"/>
        </w:rPr>
        <w:t>无效投标</w:t>
      </w:r>
      <w:r>
        <w:rPr>
          <w:rFonts w:hint="eastAsia" w:ascii="宋体" w:hAnsi="宋体" w:eastAsia="宋体" w:cs="宋体"/>
          <w:color w:val="auto"/>
          <w:sz w:val="24"/>
          <w:lang w:val="en-US" w:eastAsia="zh-CN"/>
        </w:rPr>
        <w:t xml:space="preserve">。 </w:t>
      </w:r>
    </w:p>
    <w:p w14:paraId="447C8218">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投标供应商</w:t>
      </w:r>
      <w:r>
        <w:rPr>
          <w:rFonts w:hint="eastAsia" w:ascii="宋体" w:hAnsi="宋体" w:eastAsia="宋体" w:cs="宋体"/>
          <w:color w:val="auto"/>
          <w:sz w:val="24"/>
        </w:rPr>
        <w:t>应在分项报价明细表中对每项内容给予详细分项报价。</w:t>
      </w:r>
    </w:p>
    <w:p w14:paraId="3853FC5F">
      <w:pPr>
        <w:adjustRightInd w:val="0"/>
        <w:snapToGrid w:val="0"/>
        <w:spacing w:beforeLines="50" w:line="360" w:lineRule="auto"/>
        <w:ind w:firstLine="480" w:firstLineChars="200"/>
        <w:jc w:val="left"/>
        <w:rPr>
          <w:rFonts w:hint="eastAsia" w:ascii="宋体" w:hAnsi="宋体" w:eastAsia="宋体" w:cs="宋体"/>
          <w:b/>
          <w:bCs/>
          <w:color w:val="auto"/>
          <w:sz w:val="24"/>
        </w:rPr>
      </w:pPr>
      <w:r>
        <w:rPr>
          <w:rFonts w:hint="eastAsia" w:ascii="宋体" w:hAnsi="宋体" w:eastAsia="宋体" w:cs="宋体"/>
          <w:color w:val="auto"/>
          <w:sz w:val="24"/>
          <w:lang w:val="en-US" w:eastAsia="zh-CN"/>
        </w:rPr>
        <w:t>6、</w:t>
      </w:r>
      <w:r>
        <w:rPr>
          <w:rFonts w:hint="eastAsia" w:ascii="宋体" w:hAnsi="宋体" w:eastAsia="宋体" w:cs="宋体"/>
          <w:b w:val="0"/>
          <w:bCs w:val="0"/>
          <w:color w:val="auto"/>
          <w:sz w:val="24"/>
          <w:lang w:eastAsia="zh-CN"/>
        </w:rPr>
        <w:t>投标供应商</w:t>
      </w:r>
      <w:r>
        <w:rPr>
          <w:rFonts w:hint="eastAsia" w:ascii="宋体" w:hAnsi="宋体" w:eastAsia="宋体" w:cs="宋体"/>
          <w:b w:val="0"/>
          <w:bCs w:val="0"/>
          <w:color w:val="auto"/>
          <w:sz w:val="24"/>
        </w:rPr>
        <w:t>对采购项目内容只允许有一个投标报价，</w:t>
      </w:r>
      <w:r>
        <w:rPr>
          <w:rFonts w:hint="eastAsia" w:ascii="宋体" w:hAnsi="宋体" w:eastAsia="宋体" w:cs="宋体"/>
          <w:b w:val="0"/>
          <w:bCs w:val="0"/>
          <w:color w:val="auto"/>
          <w:sz w:val="24"/>
          <w:lang w:val="en-US" w:eastAsia="zh-CN"/>
        </w:rPr>
        <w:t>否则</w:t>
      </w:r>
      <w:r>
        <w:rPr>
          <w:rFonts w:hint="eastAsia" w:ascii="宋体" w:hAnsi="宋体" w:eastAsia="宋体" w:cs="宋体"/>
          <w:b w:val="0"/>
          <w:bCs w:val="0"/>
          <w:color w:val="auto"/>
          <w:sz w:val="24"/>
        </w:rPr>
        <w:t>其</w:t>
      </w:r>
      <w:r>
        <w:rPr>
          <w:rFonts w:hint="eastAsia" w:ascii="宋体" w:hAnsi="宋体" w:eastAsia="宋体" w:cs="宋体"/>
          <w:b/>
          <w:bCs/>
          <w:color w:val="auto"/>
          <w:sz w:val="24"/>
        </w:rPr>
        <w:t>投标无效。</w:t>
      </w:r>
    </w:p>
    <w:p w14:paraId="04278CCF">
      <w:pPr>
        <w:pStyle w:val="14"/>
        <w:spacing w:line="360" w:lineRule="auto"/>
        <w:rPr>
          <w:rFonts w:hint="eastAsia" w:ascii="宋体" w:hAnsi="宋体" w:eastAsia="宋体" w:cs="宋体"/>
          <w:color w:val="auto"/>
          <w:lang w:val="en-US" w:eastAsia="zh-CN"/>
        </w:rPr>
      </w:pPr>
      <w:r>
        <w:rPr>
          <w:rFonts w:hint="eastAsia" w:ascii="宋体" w:hAnsi="宋体" w:eastAsia="宋体" w:cs="宋体"/>
          <w:b w:val="0"/>
          <w:bCs w:val="0"/>
          <w:color w:val="auto"/>
          <w:sz w:val="24"/>
          <w:lang w:val="en-US" w:eastAsia="zh-CN"/>
        </w:rPr>
        <w:t>7、采购人不接受投标人给予的赠品、回扣或者与采购无关的其他商品、服务。如有赠与行为，其</w:t>
      </w:r>
      <w:r>
        <w:rPr>
          <w:rFonts w:hint="eastAsia" w:ascii="宋体" w:hAnsi="宋体" w:eastAsia="宋体" w:cs="宋体"/>
          <w:b/>
          <w:bCs/>
          <w:color w:val="auto"/>
          <w:sz w:val="24"/>
          <w:lang w:val="en-US" w:eastAsia="zh-CN"/>
        </w:rPr>
        <w:t>投标无效。</w:t>
      </w:r>
    </w:p>
    <w:p w14:paraId="400D76D4">
      <w:pPr>
        <w:adjustRightInd w:val="0"/>
        <w:snapToGrid w:val="0"/>
        <w:spacing w:beforeLines="50"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lang w:val="en-US" w:eastAsia="zh-CN"/>
        </w:rPr>
        <w:t>8、</w:t>
      </w:r>
      <w:r>
        <w:rPr>
          <w:rFonts w:hint="eastAsia" w:ascii="宋体" w:hAnsi="宋体" w:eastAsia="宋体" w:cs="宋体"/>
          <w:b w:val="0"/>
          <w:bCs w:val="0"/>
          <w:color w:val="auto"/>
          <w:sz w:val="24"/>
          <w:lang w:val="en-US" w:eastAsia="zh-CN"/>
        </w:rPr>
        <w:t>响应</w:t>
      </w:r>
      <w:r>
        <w:rPr>
          <w:rFonts w:hint="eastAsia" w:ascii="宋体" w:hAnsi="宋体" w:eastAsia="宋体" w:cs="宋体"/>
          <w:b w:val="0"/>
          <w:bCs w:val="0"/>
          <w:color w:val="auto"/>
          <w:sz w:val="24"/>
        </w:rPr>
        <w:t>文件中标明的价格在合同执行过程中是固定不变的，不得以任何理由予以变更。任何包含价格调整要求和条件的投标，其</w:t>
      </w:r>
      <w:r>
        <w:rPr>
          <w:rFonts w:hint="eastAsia" w:ascii="宋体" w:hAnsi="宋体" w:eastAsia="宋体" w:cs="宋体"/>
          <w:b/>
          <w:bCs/>
          <w:color w:val="auto"/>
          <w:sz w:val="24"/>
        </w:rPr>
        <w:t>投标无效。</w:t>
      </w:r>
    </w:p>
    <w:p w14:paraId="7889C388">
      <w:pPr>
        <w:adjustRightInd w:val="0"/>
        <w:snapToGrid w:val="0"/>
        <w:spacing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lang w:val="en-US" w:eastAsia="zh-CN"/>
        </w:rPr>
        <w:t>9、</w:t>
      </w:r>
      <w:r>
        <w:rPr>
          <w:rFonts w:hint="eastAsia" w:ascii="宋体" w:hAnsi="宋体" w:eastAsia="宋体" w:cs="宋体"/>
          <w:color w:val="auto"/>
          <w:sz w:val="24"/>
          <w:lang w:eastAsia="zh-CN"/>
        </w:rPr>
        <w:t>投标供应商</w:t>
      </w:r>
      <w:r>
        <w:rPr>
          <w:rFonts w:hint="eastAsia" w:ascii="宋体" w:hAnsi="宋体" w:eastAsia="宋体" w:cs="宋体"/>
          <w:color w:val="auto"/>
          <w:sz w:val="24"/>
        </w:rPr>
        <w:t>在提交</w:t>
      </w:r>
      <w:r>
        <w:rPr>
          <w:rFonts w:hint="eastAsia" w:ascii="宋体" w:hAnsi="宋体" w:eastAsia="宋体" w:cs="宋体"/>
          <w:color w:val="auto"/>
          <w:sz w:val="24"/>
          <w:lang w:val="en-US" w:eastAsia="zh-CN"/>
        </w:rPr>
        <w:t>响应</w:t>
      </w:r>
      <w:r>
        <w:rPr>
          <w:rFonts w:hint="eastAsia" w:ascii="宋体" w:hAnsi="宋体" w:eastAsia="宋体" w:cs="宋体"/>
          <w:color w:val="auto"/>
          <w:sz w:val="24"/>
        </w:rPr>
        <w:t>文件的截止时间前修改“</w:t>
      </w:r>
      <w:r>
        <w:rPr>
          <w:rFonts w:hint="eastAsia" w:ascii="宋体" w:hAnsi="宋体" w:eastAsia="宋体" w:cs="宋体"/>
          <w:color w:val="auto"/>
          <w:sz w:val="24"/>
          <w:lang w:val="en-US" w:eastAsia="zh-CN"/>
        </w:rPr>
        <w:t>电子报价</w:t>
      </w:r>
      <w:r>
        <w:rPr>
          <w:rFonts w:hint="eastAsia" w:ascii="宋体" w:hAnsi="宋体" w:eastAsia="宋体" w:cs="宋体"/>
          <w:color w:val="auto"/>
          <w:sz w:val="24"/>
        </w:rPr>
        <w:t>一览表”中的投标总价的，应同时修改</w:t>
      </w:r>
      <w:r>
        <w:rPr>
          <w:rFonts w:hint="eastAsia" w:ascii="宋体" w:hAnsi="宋体" w:eastAsia="宋体" w:cs="宋体"/>
          <w:color w:val="auto"/>
          <w:sz w:val="24"/>
          <w:lang w:val="en-US" w:eastAsia="zh-CN"/>
        </w:rPr>
        <w:t>响应</w:t>
      </w:r>
      <w:r>
        <w:rPr>
          <w:rFonts w:hint="eastAsia" w:ascii="宋体" w:hAnsi="宋体" w:eastAsia="宋体" w:cs="宋体"/>
          <w:color w:val="auto"/>
          <w:sz w:val="24"/>
        </w:rPr>
        <w:t>文件中“分项报价明细表”“政府采购价格评审优惠清单报价表”“政府采购优先采购清单报价表”以及“联合体协议书”（如果影响）等相关内容。若</w:t>
      </w:r>
      <w:r>
        <w:rPr>
          <w:rFonts w:hint="eastAsia" w:ascii="宋体" w:hAnsi="宋体" w:eastAsia="宋体" w:cs="宋体"/>
          <w:color w:val="auto"/>
          <w:sz w:val="24"/>
          <w:lang w:eastAsia="zh-CN"/>
        </w:rPr>
        <w:t>投标供应商</w:t>
      </w:r>
      <w:r>
        <w:rPr>
          <w:rFonts w:hint="eastAsia" w:ascii="宋体" w:hAnsi="宋体" w:eastAsia="宋体" w:cs="宋体"/>
          <w:color w:val="auto"/>
          <w:sz w:val="24"/>
        </w:rPr>
        <w:t>未按此要求修改，影响投标报价评审，其风险和责任由</w:t>
      </w:r>
      <w:r>
        <w:rPr>
          <w:rFonts w:hint="eastAsia" w:ascii="宋体" w:hAnsi="宋体" w:eastAsia="宋体" w:cs="宋体"/>
          <w:color w:val="auto"/>
          <w:sz w:val="24"/>
          <w:lang w:eastAsia="zh-CN"/>
        </w:rPr>
        <w:t>投标供应商</w:t>
      </w:r>
      <w:r>
        <w:rPr>
          <w:rFonts w:hint="eastAsia" w:ascii="宋体" w:hAnsi="宋体" w:eastAsia="宋体" w:cs="宋体"/>
          <w:color w:val="auto"/>
          <w:sz w:val="24"/>
        </w:rPr>
        <w:t>自已承担。</w:t>
      </w:r>
    </w:p>
    <w:p w14:paraId="08BD2836">
      <w:pPr>
        <w:outlineLvl w:val="1"/>
        <w:rPr>
          <w:rFonts w:ascii="宋体" w:hAnsi="宋体" w:eastAsia="宋体" w:cs="宋体"/>
          <w:b/>
          <w:bCs/>
          <w:color w:val="auto"/>
          <w:sz w:val="24"/>
        </w:rPr>
      </w:pPr>
      <w:r>
        <w:rPr>
          <w:rFonts w:hint="eastAsia" w:ascii="宋体" w:hAnsi="宋体" w:eastAsia="宋体" w:cs="宋体"/>
          <w:b/>
          <w:bCs/>
          <w:color w:val="auto"/>
          <w:sz w:val="24"/>
        </w:rPr>
        <w:t>四、供应商应向用户提供以下技术文件：</w:t>
      </w:r>
      <w:bookmarkEnd w:id="6"/>
      <w:bookmarkEnd w:id="7"/>
      <w:bookmarkEnd w:id="8"/>
      <w:bookmarkEnd w:id="9"/>
      <w:bookmarkEnd w:id="10"/>
      <w:bookmarkEnd w:id="11"/>
      <w:bookmarkEnd w:id="12"/>
      <w:bookmarkEnd w:id="13"/>
      <w:bookmarkEnd w:id="14"/>
    </w:p>
    <w:p w14:paraId="5AE33EF4">
      <w:pPr>
        <w:widowControl/>
        <w:spacing w:line="360" w:lineRule="auto"/>
        <w:ind w:firstLine="420"/>
        <w:jc w:val="left"/>
        <w:rPr>
          <w:rFonts w:ascii="宋体" w:hAnsi="宋体" w:cs="宋体"/>
          <w:bCs/>
          <w:color w:val="auto"/>
          <w:kern w:val="32"/>
          <w:sz w:val="24"/>
        </w:rPr>
      </w:pPr>
      <w:r>
        <w:rPr>
          <w:rFonts w:hint="eastAsia" w:ascii="宋体" w:hAnsi="宋体" w:cs="宋体"/>
          <w:bCs/>
          <w:color w:val="auto"/>
          <w:kern w:val="32"/>
          <w:sz w:val="24"/>
        </w:rPr>
        <w:t>1、备使用手册、安装使用指南、维护维修说明书或服务手册；</w:t>
      </w:r>
      <w:r>
        <w:rPr>
          <w:rFonts w:hint="eastAsia" w:ascii="宋体" w:hAnsi="宋体" w:cs="宋体"/>
          <w:bCs/>
          <w:color w:val="auto"/>
          <w:kern w:val="32"/>
          <w:sz w:val="24"/>
        </w:rPr>
        <w:tab/>
      </w:r>
    </w:p>
    <w:p w14:paraId="677B496B">
      <w:pPr>
        <w:widowControl/>
        <w:spacing w:line="360" w:lineRule="auto"/>
        <w:ind w:firstLine="420"/>
        <w:jc w:val="left"/>
        <w:rPr>
          <w:rFonts w:ascii="宋体" w:hAnsi="宋体" w:cs="宋体"/>
          <w:bCs/>
          <w:color w:val="auto"/>
          <w:kern w:val="32"/>
          <w:sz w:val="24"/>
        </w:rPr>
      </w:pPr>
      <w:r>
        <w:rPr>
          <w:rFonts w:hint="eastAsia" w:ascii="宋体" w:hAnsi="宋体" w:cs="宋体"/>
          <w:bCs/>
          <w:color w:val="auto"/>
          <w:kern w:val="32"/>
          <w:sz w:val="24"/>
        </w:rPr>
        <w:t>2、中文操作手册、安装及使用说明书；</w:t>
      </w:r>
    </w:p>
    <w:p w14:paraId="4207A5E8">
      <w:pPr>
        <w:outlineLvl w:val="1"/>
        <w:rPr>
          <w:rFonts w:ascii="宋体" w:hAnsi="宋体" w:eastAsia="宋体" w:cs="宋体"/>
          <w:b/>
          <w:bCs/>
          <w:color w:val="auto"/>
          <w:sz w:val="24"/>
        </w:rPr>
      </w:pPr>
      <w:bookmarkStart w:id="15" w:name="_Toc11544"/>
      <w:bookmarkStart w:id="16" w:name="_Toc4775"/>
      <w:bookmarkStart w:id="17" w:name="_Toc11929"/>
      <w:bookmarkStart w:id="18" w:name="_Toc28558"/>
      <w:bookmarkStart w:id="19" w:name="_Toc2666"/>
      <w:bookmarkStart w:id="20" w:name="_Toc11907"/>
      <w:bookmarkStart w:id="21" w:name="_Toc29524"/>
      <w:bookmarkStart w:id="22" w:name="_Toc8332"/>
      <w:bookmarkStart w:id="23" w:name="_Toc21051"/>
      <w:r>
        <w:rPr>
          <w:rFonts w:hint="eastAsia" w:ascii="宋体" w:hAnsi="宋体" w:eastAsia="宋体" w:cs="宋体"/>
          <w:b/>
          <w:bCs/>
          <w:color w:val="auto"/>
          <w:sz w:val="24"/>
        </w:rPr>
        <w:t>五、其他要求及说明：</w:t>
      </w:r>
      <w:bookmarkEnd w:id="15"/>
      <w:bookmarkEnd w:id="16"/>
      <w:bookmarkEnd w:id="17"/>
      <w:bookmarkEnd w:id="18"/>
      <w:bookmarkEnd w:id="19"/>
      <w:bookmarkEnd w:id="20"/>
      <w:bookmarkEnd w:id="21"/>
      <w:bookmarkEnd w:id="22"/>
      <w:bookmarkEnd w:id="23"/>
    </w:p>
    <w:p w14:paraId="4026EF46">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1、产品运输、保险及保管：</w:t>
      </w:r>
    </w:p>
    <w:p w14:paraId="0792411F">
      <w:pPr>
        <w:spacing w:line="360" w:lineRule="auto"/>
        <w:ind w:firstLine="480" w:firstLineChars="200"/>
        <w:contextualSpacing/>
        <w:rPr>
          <w:rFonts w:hint="eastAsia" w:ascii="宋体" w:hAnsi="宋体" w:eastAsia="宋体" w:cs="宋体"/>
          <w:bCs/>
          <w:sz w:val="24"/>
        </w:rPr>
      </w:pPr>
      <w:r>
        <w:rPr>
          <w:rFonts w:hint="eastAsia" w:ascii="宋体" w:hAnsi="宋体" w:eastAsia="宋体" w:cs="宋体"/>
          <w:sz w:val="24"/>
        </w:rPr>
        <w:t>1.1</w:t>
      </w:r>
      <w:r>
        <w:rPr>
          <w:rFonts w:hint="eastAsia" w:ascii="宋体" w:hAnsi="宋体" w:eastAsia="宋体" w:cs="宋体"/>
          <w:bCs/>
          <w:sz w:val="24"/>
        </w:rPr>
        <w:t>中标人负责</w:t>
      </w:r>
      <w:r>
        <w:rPr>
          <w:rFonts w:hint="eastAsia" w:ascii="宋体" w:hAnsi="宋体" w:eastAsia="宋体" w:cs="宋体"/>
          <w:sz w:val="24"/>
        </w:rPr>
        <w:t>货物</w:t>
      </w:r>
      <w:r>
        <w:rPr>
          <w:rFonts w:hint="eastAsia" w:ascii="宋体" w:hAnsi="宋体" w:eastAsia="宋体" w:cs="宋体"/>
          <w:bCs/>
          <w:sz w:val="24"/>
        </w:rPr>
        <w:t>到交货地点的全部运输，包括装卸及现场搬运。</w:t>
      </w:r>
      <w:r>
        <w:rPr>
          <w:rFonts w:hint="eastAsia" w:ascii="宋体" w:hAnsi="宋体" w:eastAsia="宋体" w:cs="宋体"/>
          <w:sz w:val="24"/>
        </w:rPr>
        <w:t>包装和运输按《关于印发〈商品包装政府采购需求标准（试行）〉、〈快递包装政府采购需求标准（试行）〉的通知》（财办库﹝2020﹞123号）标准执行。</w:t>
      </w:r>
    </w:p>
    <w:p w14:paraId="40EE8233">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1.2中标人负责</w:t>
      </w:r>
      <w:r>
        <w:rPr>
          <w:rFonts w:hint="eastAsia" w:ascii="宋体" w:hAnsi="宋体" w:eastAsia="宋体" w:cs="宋体"/>
          <w:sz w:val="24"/>
        </w:rPr>
        <w:t>货物</w:t>
      </w:r>
      <w:r>
        <w:rPr>
          <w:rFonts w:hint="eastAsia" w:ascii="宋体" w:hAnsi="宋体" w:eastAsia="宋体" w:cs="宋体"/>
          <w:bCs/>
          <w:sz w:val="24"/>
        </w:rPr>
        <w:t>在交货地点的保管，直至项目验收合格。</w:t>
      </w:r>
    </w:p>
    <w:p w14:paraId="125C7F99">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1.3中标人负责其派出的工作人员的人身意外保险。</w:t>
      </w:r>
    </w:p>
    <w:p w14:paraId="621FA2AC">
      <w:pPr>
        <w:spacing w:line="360" w:lineRule="auto"/>
        <w:ind w:firstLine="482" w:firstLineChars="200"/>
        <w:rPr>
          <w:rFonts w:hint="eastAsia" w:ascii="宋体" w:hAnsi="宋体" w:eastAsia="宋体" w:cs="宋体"/>
          <w:b/>
          <w:sz w:val="24"/>
        </w:rPr>
      </w:pPr>
      <w:r>
        <w:rPr>
          <w:rFonts w:hint="eastAsia" w:ascii="宋体" w:hAnsi="宋体" w:eastAsia="宋体" w:cs="宋体"/>
          <w:b/>
          <w:sz w:val="24"/>
        </w:rPr>
        <w:t>2</w:t>
      </w:r>
      <w:r>
        <w:rPr>
          <w:rFonts w:hint="eastAsia" w:ascii="宋体" w:hAnsi="宋体" w:cs="宋体"/>
          <w:b/>
          <w:sz w:val="24"/>
          <w:lang w:eastAsia="zh-CN"/>
        </w:rPr>
        <w:t>、</w:t>
      </w:r>
      <w:r>
        <w:rPr>
          <w:rFonts w:hint="eastAsia" w:ascii="宋体" w:hAnsi="宋体" w:eastAsia="宋体" w:cs="宋体"/>
          <w:b/>
          <w:sz w:val="24"/>
        </w:rPr>
        <w:t>安装调试：</w:t>
      </w:r>
    </w:p>
    <w:p w14:paraId="6FDC37EA">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2.1中标人须加强安装调试的组织管理，所有工作人员须遵守文明安全施工的有关规章制度，持证上岗。</w:t>
      </w:r>
    </w:p>
    <w:p w14:paraId="4C3D2DD8">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2.2项目完成后，成交人应将项目有关的全部资料移交采购人。</w:t>
      </w:r>
    </w:p>
    <w:p w14:paraId="79F9DA23">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2.3中标</w:t>
      </w:r>
      <w:r>
        <w:rPr>
          <w:rFonts w:hint="eastAsia" w:ascii="宋体" w:hAnsi="宋体" w:eastAsia="宋体" w:cs="宋体"/>
          <w:sz w:val="24"/>
          <w:szCs w:val="24"/>
        </w:rPr>
        <w:t>供应商负责免费现场安装、调试；</w:t>
      </w:r>
    </w:p>
    <w:p w14:paraId="4379EAAE">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3、验收要求：</w:t>
      </w:r>
    </w:p>
    <w:p w14:paraId="34772258">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3.1依法加强项目需求和履约验收管理,杜绝货物不等价劣质产品的出现，提高产品质量，采购人、用户单位、第三方监理公司等相关的部门根据出厂检验、到货检验、安装调试检验、配套服务检验等对中标供应商货物进行多重验收环节，如在验收环节中出现不合格产品，由中标供应商返工直至合格，有关返工、再行验收，以及给采购人造成的损失等费用由中标供应商承担。连续两次项目验收不合格的，采购人可终止合同，另行按规定选择其他投标供应商采购，由此带来的一切损失由中标供应商承担。</w:t>
      </w:r>
    </w:p>
    <w:p w14:paraId="475724D5">
      <w:pPr>
        <w:spacing w:line="360" w:lineRule="auto"/>
        <w:ind w:firstLine="480" w:firstLineChars="200"/>
        <w:rPr>
          <w:rFonts w:hint="eastAsia" w:ascii="宋体" w:hAnsi="宋体" w:eastAsia="宋体" w:cs="宋体"/>
          <w:sz w:val="24"/>
        </w:rPr>
      </w:pPr>
      <w:r>
        <w:rPr>
          <w:rFonts w:hint="eastAsia" w:ascii="宋体" w:hAnsi="宋体" w:eastAsia="宋体" w:cs="宋体"/>
          <w:bCs/>
          <w:sz w:val="24"/>
        </w:rPr>
        <w:t>3.2项目验收</w:t>
      </w:r>
      <w:r>
        <w:rPr>
          <w:rFonts w:hint="eastAsia" w:ascii="宋体" w:hAnsi="宋体" w:eastAsia="宋体" w:cs="宋体"/>
          <w:sz w:val="24"/>
        </w:rPr>
        <w:t>国家有强制性规定的，按国家规定执行，由采购人组织有关人员进行验收，验收报告作为申请付款的凭证之一。</w:t>
      </w:r>
    </w:p>
    <w:p w14:paraId="655BF219">
      <w:pPr>
        <w:spacing w:line="360" w:lineRule="auto"/>
        <w:ind w:firstLine="480" w:firstLineChars="200"/>
        <w:rPr>
          <w:rFonts w:hint="eastAsia" w:ascii="宋体" w:hAnsi="宋体" w:eastAsia="宋体" w:cs="宋体"/>
          <w:sz w:val="24"/>
        </w:rPr>
      </w:pPr>
      <w:r>
        <w:rPr>
          <w:rFonts w:hint="eastAsia" w:ascii="宋体" w:hAnsi="宋体" w:eastAsia="宋体" w:cs="宋体"/>
          <w:sz w:val="24"/>
        </w:rPr>
        <w:t>3.3验收过程中产生纠纷的，由质量技术监督部门认定的检测机构检测，如为中标供应商原因造成的，由中标供应商承担检测费用。</w:t>
      </w:r>
    </w:p>
    <w:p w14:paraId="2F959000">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3.4项目验收不合格，由中标人返工直至合格，有关返工、再行验收，以及给采购人造成的损失等费用由中标人承担。连续两次项目验收不合格的，采购人可终止合同，另行按规定选择其他投标人采购，由此带来的一切损失由中标人承担。</w:t>
      </w:r>
    </w:p>
    <w:p w14:paraId="75EF4B9E">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3.5验收地点：采购人指定地点。</w:t>
      </w:r>
    </w:p>
    <w:p w14:paraId="431E4634">
      <w:pPr>
        <w:spacing w:line="360" w:lineRule="auto"/>
        <w:ind w:firstLine="480" w:firstLineChars="200"/>
        <w:rPr>
          <w:rFonts w:hint="default" w:ascii="宋体" w:hAnsi="宋体" w:eastAsia="宋体" w:cs="宋体"/>
          <w:bCs/>
          <w:sz w:val="24"/>
          <w:lang w:val="en-US" w:eastAsia="zh-CN"/>
        </w:rPr>
      </w:pPr>
      <w:r>
        <w:rPr>
          <w:rFonts w:hint="eastAsia" w:ascii="宋体" w:hAnsi="宋体" w:eastAsia="宋体" w:cs="宋体"/>
          <w:bCs/>
          <w:sz w:val="24"/>
          <w:lang w:val="en-US" w:eastAsia="zh-CN"/>
        </w:rPr>
        <w:t>3.6设备安装后，采购人按国际和国家标准及厂方标准进行质量验收。中标人应向采购人提供详细的验收标准、验收手册。</w:t>
      </w:r>
    </w:p>
    <w:p w14:paraId="4F0B28A5">
      <w:pPr>
        <w:spacing w:line="360" w:lineRule="auto"/>
        <w:ind w:firstLine="482" w:firstLineChars="200"/>
        <w:rPr>
          <w:rFonts w:ascii="宋体" w:hAnsi="宋体" w:cs="宋体"/>
          <w:b/>
          <w:bCs/>
          <w:color w:val="auto"/>
          <w:sz w:val="24"/>
        </w:rPr>
      </w:pPr>
      <w:r>
        <w:rPr>
          <w:rFonts w:hint="eastAsia" w:ascii="宋体" w:hAnsi="宋体" w:cs="宋体"/>
          <w:b/>
          <w:bCs/>
          <w:color w:val="auto"/>
          <w:sz w:val="24"/>
          <w:lang w:val="en-US" w:eastAsia="zh-CN"/>
        </w:rPr>
        <w:t>4</w:t>
      </w:r>
      <w:r>
        <w:rPr>
          <w:rFonts w:hint="eastAsia" w:ascii="宋体" w:hAnsi="宋体" w:cs="宋体"/>
          <w:b/>
          <w:bCs/>
          <w:color w:val="auto"/>
          <w:sz w:val="24"/>
          <w:lang w:eastAsia="zh-CN"/>
        </w:rPr>
        <w:t>、</w:t>
      </w:r>
      <w:r>
        <w:rPr>
          <w:rFonts w:hint="eastAsia" w:ascii="宋体" w:hAnsi="宋体" w:cs="宋体"/>
          <w:b/>
          <w:bCs/>
          <w:color w:val="auto"/>
          <w:sz w:val="24"/>
        </w:rPr>
        <w:t>质量保证及要求：</w:t>
      </w:r>
    </w:p>
    <w:p w14:paraId="6E23E2AB">
      <w:pPr>
        <w:spacing w:line="360" w:lineRule="auto"/>
        <w:ind w:firstLine="480" w:firstLineChars="200"/>
        <w:rPr>
          <w:rFonts w:ascii="宋体" w:hAnsi="宋体" w:cs="宋体"/>
          <w:bCs/>
          <w:color w:val="auto"/>
          <w:sz w:val="24"/>
        </w:rPr>
      </w:pPr>
      <w:r>
        <w:rPr>
          <w:rFonts w:hint="eastAsia" w:ascii="宋体" w:hAnsi="宋体" w:cs="宋体"/>
          <w:color w:val="auto"/>
          <w:sz w:val="24"/>
          <w:lang w:val="en-US" w:eastAsia="zh-CN"/>
        </w:rPr>
        <w:t>4</w:t>
      </w:r>
      <w:r>
        <w:rPr>
          <w:rFonts w:hint="eastAsia" w:ascii="宋体" w:hAnsi="宋体" w:cs="宋体"/>
          <w:color w:val="auto"/>
          <w:sz w:val="24"/>
        </w:rPr>
        <w:t>.1</w:t>
      </w:r>
      <w:r>
        <w:rPr>
          <w:rFonts w:hint="eastAsia" w:ascii="宋体" w:hAnsi="宋体" w:cs="宋体"/>
          <w:bCs/>
          <w:color w:val="auto"/>
          <w:sz w:val="24"/>
        </w:rPr>
        <w:t>供货范围：</w:t>
      </w:r>
      <w:r>
        <w:rPr>
          <w:rFonts w:hint="eastAsia" w:ascii="宋体" w:hAnsi="宋体" w:cs="宋体"/>
          <w:bCs/>
          <w:color w:val="auto"/>
          <w:sz w:val="24"/>
          <w:lang w:eastAsia="zh-CN"/>
        </w:rPr>
        <w:t>投标供应商</w:t>
      </w:r>
      <w:r>
        <w:rPr>
          <w:rFonts w:hint="eastAsia" w:ascii="宋体" w:hAnsi="宋体" w:cs="宋体"/>
          <w:bCs/>
          <w:color w:val="auto"/>
          <w:sz w:val="24"/>
        </w:rPr>
        <w:t>必须提供保证上述参数及配置的全新产品；</w:t>
      </w:r>
    </w:p>
    <w:p w14:paraId="54A1133A">
      <w:pPr>
        <w:spacing w:line="360" w:lineRule="auto"/>
        <w:ind w:firstLine="480" w:firstLineChars="200"/>
        <w:rPr>
          <w:rFonts w:ascii="宋体" w:hAnsi="宋体" w:cs="宋体"/>
          <w:bCs/>
          <w:color w:val="auto"/>
          <w:sz w:val="24"/>
        </w:rPr>
      </w:pPr>
      <w:r>
        <w:rPr>
          <w:rFonts w:hint="eastAsia" w:ascii="宋体" w:hAnsi="宋体" w:cs="宋体"/>
          <w:bCs/>
          <w:color w:val="auto"/>
          <w:sz w:val="24"/>
          <w:lang w:val="en-US" w:eastAsia="zh-CN"/>
        </w:rPr>
        <w:t>4</w:t>
      </w:r>
      <w:r>
        <w:rPr>
          <w:rFonts w:hint="eastAsia" w:ascii="宋体" w:hAnsi="宋体" w:cs="宋体"/>
          <w:bCs/>
          <w:color w:val="auto"/>
          <w:sz w:val="24"/>
        </w:rPr>
        <w:t>.2</w:t>
      </w:r>
      <w:r>
        <w:rPr>
          <w:rFonts w:hint="eastAsia" w:ascii="宋体" w:hAnsi="宋体" w:cs="宋体"/>
          <w:bCs/>
          <w:color w:val="auto"/>
          <w:sz w:val="24"/>
          <w:lang w:eastAsia="zh-CN"/>
        </w:rPr>
        <w:t>投标供应商</w:t>
      </w:r>
      <w:r>
        <w:rPr>
          <w:rFonts w:hint="eastAsia" w:ascii="宋体" w:hAnsi="宋体" w:cs="宋体"/>
          <w:bCs/>
          <w:color w:val="auto"/>
          <w:sz w:val="24"/>
          <w:lang w:val="en-US" w:eastAsia="zh-CN"/>
        </w:rPr>
        <w:t>响应</w:t>
      </w:r>
      <w:r>
        <w:rPr>
          <w:rFonts w:hint="eastAsia" w:ascii="宋体" w:hAnsi="宋体" w:cs="宋体"/>
          <w:bCs/>
          <w:color w:val="auto"/>
          <w:sz w:val="24"/>
        </w:rPr>
        <w:t>文件中各种参数必须真实可靠；</w:t>
      </w:r>
    </w:p>
    <w:p w14:paraId="0A841F03">
      <w:pPr>
        <w:spacing w:line="360" w:lineRule="auto"/>
        <w:ind w:firstLine="480" w:firstLineChars="200"/>
        <w:rPr>
          <w:rFonts w:ascii="宋体" w:hAnsi="宋体" w:cs="宋体"/>
          <w:bCs/>
          <w:color w:val="auto"/>
          <w:sz w:val="24"/>
        </w:rPr>
      </w:pPr>
      <w:r>
        <w:rPr>
          <w:rFonts w:hint="eastAsia" w:ascii="宋体" w:hAnsi="宋体" w:cs="宋体"/>
          <w:color w:val="auto"/>
          <w:sz w:val="24"/>
          <w:lang w:val="en-US" w:eastAsia="zh-CN"/>
        </w:rPr>
        <w:t>4</w:t>
      </w:r>
      <w:r>
        <w:rPr>
          <w:rFonts w:hint="eastAsia" w:ascii="宋体" w:hAnsi="宋体" w:cs="宋体"/>
          <w:color w:val="auto"/>
          <w:sz w:val="24"/>
        </w:rPr>
        <w:t>.3</w:t>
      </w:r>
      <w:r>
        <w:rPr>
          <w:rFonts w:hint="eastAsia" w:ascii="宋体" w:hAnsi="宋体" w:cs="宋体"/>
          <w:bCs/>
          <w:color w:val="auto"/>
          <w:sz w:val="24"/>
        </w:rPr>
        <w:t>中标人提供的产品应严格按照</w:t>
      </w:r>
      <w:r>
        <w:rPr>
          <w:rFonts w:hint="eastAsia" w:ascii="宋体" w:hAnsi="宋体" w:cs="宋体"/>
          <w:bCs/>
          <w:color w:val="auto"/>
          <w:sz w:val="24"/>
          <w:lang w:val="en-US" w:eastAsia="zh-CN"/>
        </w:rPr>
        <w:t>询价</w:t>
      </w:r>
      <w:r>
        <w:rPr>
          <w:rFonts w:hint="eastAsia" w:ascii="宋体" w:hAnsi="宋体" w:cs="宋体"/>
          <w:bCs/>
          <w:color w:val="auto"/>
          <w:sz w:val="24"/>
        </w:rPr>
        <w:t>文件要求提供符合国家技术标准的产品，必须保证货物是全新的原装正品，符合国家质量检测标准以及该产品的出厂标准，具有出厂合格证或国家鉴定合格证。</w:t>
      </w:r>
    </w:p>
    <w:p w14:paraId="2162FB81">
      <w:pPr>
        <w:spacing w:line="360" w:lineRule="auto"/>
        <w:ind w:firstLine="480" w:firstLineChars="200"/>
        <w:rPr>
          <w:rFonts w:ascii="宋体" w:hAnsi="宋体" w:cs="宋体"/>
          <w:bCs/>
          <w:color w:val="auto"/>
          <w:sz w:val="24"/>
        </w:rPr>
      </w:pPr>
      <w:r>
        <w:rPr>
          <w:rFonts w:hint="eastAsia" w:ascii="宋体" w:hAnsi="宋体" w:cs="宋体"/>
          <w:bCs/>
          <w:color w:val="auto"/>
          <w:sz w:val="24"/>
          <w:lang w:val="en-US" w:eastAsia="zh-CN"/>
        </w:rPr>
        <w:t>4</w:t>
      </w:r>
      <w:r>
        <w:rPr>
          <w:rFonts w:hint="eastAsia" w:ascii="宋体" w:hAnsi="宋体" w:cs="宋体"/>
          <w:bCs/>
          <w:color w:val="auto"/>
          <w:sz w:val="24"/>
        </w:rPr>
        <w:t>.4质保期内，</w:t>
      </w:r>
      <w:r>
        <w:rPr>
          <w:rFonts w:hint="eastAsia" w:ascii="宋体" w:hAnsi="宋体" w:cs="宋体"/>
          <w:bCs/>
          <w:color w:val="auto"/>
          <w:sz w:val="24"/>
          <w:u w:val="single"/>
        </w:rPr>
        <w:t>如有制造质量的问题或质量缺陷，中标人应免费予以及时更换，保证用户工作正常运行。在用户使用的</w:t>
      </w:r>
      <w:r>
        <w:rPr>
          <w:rFonts w:hint="eastAsia" w:ascii="宋体" w:hAnsi="宋体" w:cs="宋体"/>
          <w:bCs/>
          <w:color w:val="auto"/>
          <w:sz w:val="24"/>
          <w:u w:val="single"/>
          <w:lang w:val="en-US" w:eastAsia="zh-CN"/>
        </w:rPr>
        <w:t>前</w:t>
      </w:r>
      <w:r>
        <w:rPr>
          <w:rFonts w:hint="eastAsia" w:ascii="宋体" w:hAnsi="宋体" w:cs="宋体"/>
          <w:bCs/>
          <w:color w:val="auto"/>
          <w:sz w:val="24"/>
          <w:u w:val="single"/>
        </w:rPr>
        <w:t>三个月内，同一产品出现第二次质量问题，中标人应免费整体更换。中标人须在质保期内免费提供上门维修服务及相关备件并终身维修</w:t>
      </w:r>
      <w:r>
        <w:rPr>
          <w:rFonts w:hint="eastAsia" w:ascii="宋体" w:hAnsi="宋体" w:cs="宋体"/>
          <w:bCs/>
          <w:color w:val="auto"/>
          <w:sz w:val="24"/>
        </w:rPr>
        <w:t>。</w:t>
      </w:r>
    </w:p>
    <w:p w14:paraId="4F40EA14">
      <w:pPr>
        <w:spacing w:line="360" w:lineRule="auto"/>
        <w:ind w:firstLine="480" w:firstLineChars="200"/>
        <w:rPr>
          <w:rFonts w:ascii="宋体" w:hAnsi="宋体" w:cs="宋体"/>
          <w:bCs/>
          <w:color w:val="auto"/>
          <w:sz w:val="24"/>
        </w:rPr>
      </w:pPr>
      <w:r>
        <w:rPr>
          <w:rFonts w:hint="eastAsia" w:ascii="宋体" w:hAnsi="宋体" w:cs="宋体"/>
          <w:bCs/>
          <w:color w:val="auto"/>
          <w:sz w:val="24"/>
          <w:lang w:val="en-US" w:eastAsia="zh-CN"/>
        </w:rPr>
        <w:t>4</w:t>
      </w:r>
      <w:r>
        <w:rPr>
          <w:rFonts w:hint="eastAsia" w:ascii="宋体" w:hAnsi="宋体" w:cs="宋体"/>
          <w:bCs/>
          <w:color w:val="auto"/>
          <w:sz w:val="24"/>
        </w:rPr>
        <w:t>.5质保期内因产品质量原因引起的全部维修费用（包括更换零配件的费用及特殊专用工具和清单，其费用也应包括在合同价格之内）均由成交</w:t>
      </w:r>
      <w:r>
        <w:rPr>
          <w:rFonts w:hint="eastAsia" w:ascii="宋体" w:hAnsi="宋体" w:cs="宋体"/>
          <w:bCs/>
          <w:color w:val="auto"/>
          <w:sz w:val="24"/>
          <w:lang w:eastAsia="zh-CN"/>
        </w:rPr>
        <w:t>投标供应商</w:t>
      </w:r>
      <w:r>
        <w:rPr>
          <w:rFonts w:hint="eastAsia" w:ascii="宋体" w:hAnsi="宋体" w:cs="宋体"/>
          <w:bCs/>
          <w:color w:val="auto"/>
          <w:sz w:val="24"/>
        </w:rPr>
        <w:t>承担。如有质量问题，卖方应免费更换。</w:t>
      </w:r>
    </w:p>
    <w:p w14:paraId="44BE058E">
      <w:pPr>
        <w:spacing w:line="360" w:lineRule="auto"/>
        <w:ind w:firstLine="480" w:firstLineChars="200"/>
        <w:rPr>
          <w:rFonts w:ascii="宋体" w:hAnsi="宋体" w:cs="宋体"/>
          <w:bCs/>
          <w:color w:val="auto"/>
          <w:sz w:val="24"/>
        </w:rPr>
      </w:pPr>
      <w:r>
        <w:rPr>
          <w:rFonts w:hint="eastAsia" w:ascii="宋体" w:hAnsi="宋体" w:cs="宋体"/>
          <w:bCs/>
          <w:color w:val="auto"/>
          <w:sz w:val="24"/>
          <w:lang w:val="en-US" w:eastAsia="zh-CN"/>
        </w:rPr>
        <w:t>4</w:t>
      </w:r>
      <w:r>
        <w:rPr>
          <w:rFonts w:hint="eastAsia" w:ascii="宋体" w:hAnsi="宋体" w:cs="宋体"/>
          <w:bCs/>
          <w:color w:val="auto"/>
          <w:sz w:val="24"/>
        </w:rPr>
        <w:t>.6、</w:t>
      </w:r>
      <w:r>
        <w:rPr>
          <w:rFonts w:hint="eastAsia" w:ascii="宋体" w:hAnsi="宋体" w:cs="宋体"/>
          <w:b w:val="0"/>
          <w:bCs/>
          <w:color w:val="auto"/>
          <w:sz w:val="24"/>
          <w:u w:val="none"/>
        </w:rPr>
        <w:t>整体项目质保期为</w:t>
      </w:r>
      <w:r>
        <w:rPr>
          <w:rFonts w:hint="eastAsia" w:ascii="宋体" w:hAnsi="宋体" w:cs="宋体"/>
          <w:b w:val="0"/>
          <w:bCs/>
          <w:color w:val="auto"/>
          <w:sz w:val="24"/>
          <w:u w:val="single"/>
          <w:lang w:val="en-US" w:eastAsia="zh-CN"/>
        </w:rPr>
        <w:t xml:space="preserve"> </w:t>
      </w:r>
      <w:r>
        <w:rPr>
          <w:rFonts w:hint="eastAsia" w:ascii="宋体" w:hAnsi="宋体" w:cs="宋体"/>
          <w:b/>
          <w:bCs w:val="0"/>
          <w:color w:val="auto"/>
          <w:sz w:val="24"/>
          <w:u w:val="single"/>
          <w:lang w:val="en-US" w:eastAsia="zh-CN"/>
        </w:rPr>
        <w:t>一</w:t>
      </w:r>
      <w:r>
        <w:rPr>
          <w:rFonts w:hint="eastAsia" w:ascii="宋体" w:hAnsi="宋体" w:cs="宋体"/>
          <w:b/>
          <w:bCs w:val="0"/>
          <w:color w:val="auto"/>
          <w:sz w:val="24"/>
          <w:u w:val="single"/>
        </w:rPr>
        <w:t>年</w:t>
      </w:r>
      <w:r>
        <w:rPr>
          <w:rFonts w:hint="eastAsia" w:ascii="宋体" w:hAnsi="宋体" w:cs="宋体"/>
          <w:b/>
          <w:bCs w:val="0"/>
          <w:color w:val="auto"/>
          <w:sz w:val="24"/>
          <w:u w:val="single"/>
          <w:lang w:val="en-US" w:eastAsia="zh-CN"/>
        </w:rPr>
        <w:t xml:space="preserve"> </w:t>
      </w:r>
      <w:r>
        <w:rPr>
          <w:rFonts w:hint="eastAsia" w:ascii="宋体" w:hAnsi="宋体" w:cs="宋体"/>
          <w:b w:val="0"/>
          <w:bCs/>
          <w:color w:val="auto"/>
          <w:sz w:val="24"/>
          <w:u w:val="none"/>
        </w:rPr>
        <w:t>，具体产品有详细质保年限要求的按具体年限要求为准</w:t>
      </w:r>
      <w:r>
        <w:rPr>
          <w:rFonts w:hint="eastAsia" w:ascii="宋体" w:hAnsi="宋体" w:cs="宋体"/>
          <w:b w:val="0"/>
          <w:bCs/>
          <w:color w:val="auto"/>
          <w:sz w:val="24"/>
          <w:u w:val="none"/>
          <w:lang w:eastAsia="zh-CN"/>
        </w:rPr>
        <w:t>，</w:t>
      </w:r>
      <w:r>
        <w:rPr>
          <w:rFonts w:hint="eastAsia" w:ascii="宋体" w:hAnsi="宋体" w:cs="宋体"/>
          <w:b w:val="0"/>
          <w:bCs/>
          <w:color w:val="auto"/>
          <w:sz w:val="24"/>
          <w:u w:val="none"/>
        </w:rPr>
        <w:t>质保期从验收合格后开始计算，质保期内所有产品维护要求免费上门服务。</w:t>
      </w:r>
    </w:p>
    <w:p w14:paraId="3B1A17A7">
      <w:pPr>
        <w:spacing w:line="360" w:lineRule="auto"/>
        <w:ind w:firstLine="482" w:firstLineChars="200"/>
        <w:rPr>
          <w:rFonts w:ascii="宋体" w:hAnsi="宋体" w:cs="宋体"/>
          <w:b/>
          <w:bCs/>
          <w:color w:val="auto"/>
          <w:sz w:val="24"/>
        </w:rPr>
      </w:pPr>
      <w:r>
        <w:rPr>
          <w:rFonts w:hint="eastAsia" w:ascii="宋体" w:hAnsi="宋体" w:cs="宋体"/>
          <w:b/>
          <w:bCs/>
          <w:color w:val="auto"/>
          <w:sz w:val="24"/>
          <w:lang w:val="en-US" w:eastAsia="zh-CN"/>
        </w:rPr>
        <w:t>5</w:t>
      </w:r>
      <w:r>
        <w:rPr>
          <w:rFonts w:hint="eastAsia" w:ascii="宋体" w:hAnsi="宋体" w:cs="宋体"/>
          <w:b/>
          <w:bCs/>
          <w:color w:val="auto"/>
          <w:sz w:val="24"/>
        </w:rPr>
        <w:t>.售后服务：</w:t>
      </w:r>
    </w:p>
    <w:p w14:paraId="49124E92">
      <w:pPr>
        <w:spacing w:line="360" w:lineRule="auto"/>
        <w:ind w:firstLine="480" w:firstLineChars="200"/>
        <w:rPr>
          <w:rFonts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.1、中标人需在质保期</w:t>
      </w:r>
      <w:r>
        <w:rPr>
          <w:rFonts w:hint="eastAsia" w:ascii="宋体" w:hAnsi="宋体" w:cs="宋体"/>
          <w:color w:val="auto"/>
          <w:sz w:val="24"/>
          <w:u w:val="single"/>
          <w:lang w:val="en-US" w:eastAsia="zh-CN"/>
        </w:rPr>
        <w:t xml:space="preserve"> 一</w:t>
      </w:r>
      <w:r>
        <w:rPr>
          <w:rFonts w:hint="eastAsia" w:ascii="宋体" w:hAnsi="宋体" w:cs="宋体"/>
          <w:b/>
          <w:bCs/>
          <w:color w:val="auto"/>
          <w:sz w:val="24"/>
          <w:u w:val="single"/>
        </w:rPr>
        <w:t xml:space="preserve">年 </w:t>
      </w:r>
      <w:r>
        <w:rPr>
          <w:rFonts w:hint="eastAsia" w:ascii="宋体" w:hAnsi="宋体" w:cs="宋体"/>
          <w:color w:val="auto"/>
          <w:sz w:val="24"/>
        </w:rPr>
        <w:t>内提供免费上门维修服务，并进行终身维护</w:t>
      </w:r>
      <w:r>
        <w:rPr>
          <w:rFonts w:hint="eastAsia" w:ascii="宋体" w:hAnsi="宋体" w:cs="宋体"/>
          <w:color w:val="auto"/>
          <w:sz w:val="24"/>
        </w:rPr>
        <w:t>。</w:t>
      </w:r>
    </w:p>
    <w:p w14:paraId="06F3548A">
      <w:pPr>
        <w:spacing w:line="360" w:lineRule="auto"/>
        <w:ind w:firstLine="480" w:firstLineChars="200"/>
        <w:rPr>
          <w:rFonts w:hint="default" w:ascii="宋体" w:hAnsi="宋体" w:eastAsia="宋体" w:cs="宋体"/>
          <w:b w:val="0"/>
          <w:bCs/>
          <w:color w:val="FF0000"/>
          <w:sz w:val="24"/>
          <w:u w:val="none"/>
          <w:lang w:val="en-US" w:eastAsia="zh-CN"/>
        </w:rPr>
      </w:pPr>
      <w:r>
        <w:rPr>
          <w:rFonts w:hint="eastAsia" w:ascii="宋体" w:hAnsi="宋体" w:cs="宋体"/>
          <w:color w:val="auto"/>
          <w:sz w:val="24"/>
          <w:lang w:val="en-US" w:eastAsia="zh-CN"/>
        </w:rPr>
        <w:t>5.2、故障响应：</w:t>
      </w:r>
      <w:r>
        <w:rPr>
          <w:rFonts w:hint="eastAsia" w:ascii="宋体" w:hAnsi="宋体" w:eastAsia="宋体" w:cs="宋体"/>
          <w:color w:val="auto"/>
          <w:sz w:val="24"/>
        </w:rPr>
        <w:t>中标人应提供线上24小时技术支持</w:t>
      </w:r>
      <w:r>
        <w:rPr>
          <w:rFonts w:hint="eastAsia" w:ascii="宋体" w:hAnsi="宋体" w:eastAsia="宋体" w:cs="宋体"/>
          <w:sz w:val="24"/>
        </w:rPr>
        <w:t>，在服务过程中采购人遇到相关问题时，应在1小时内电话响应</w:t>
      </w:r>
      <w:r>
        <w:rPr>
          <w:rFonts w:hint="eastAsia" w:ascii="宋体" w:hAnsi="宋体" w:eastAsia="宋体" w:cs="宋体"/>
          <w:color w:val="auto"/>
          <w:sz w:val="24"/>
        </w:rPr>
        <w:t>；如需现场服务的，</w:t>
      </w:r>
      <w:r>
        <w:rPr>
          <w:rFonts w:hint="eastAsia" w:ascii="宋体" w:hAnsi="宋体" w:eastAsia="宋体" w:cs="宋体"/>
          <w:color w:val="auto"/>
          <w:sz w:val="24"/>
          <w:lang w:val="en-US" w:eastAsia="zh-CN"/>
        </w:rPr>
        <w:t>须保证</w:t>
      </w:r>
      <w:r>
        <w:rPr>
          <w:rFonts w:hint="eastAsia" w:ascii="宋体" w:hAnsi="宋体" w:cs="宋体"/>
          <w:color w:val="auto"/>
          <w:sz w:val="24"/>
          <w:lang w:val="en-US" w:eastAsia="zh-CN"/>
        </w:rPr>
        <w:t>2</w:t>
      </w:r>
      <w:r>
        <w:rPr>
          <w:rFonts w:hint="eastAsia" w:ascii="宋体" w:hAnsi="宋体" w:eastAsia="宋体" w:cs="宋体"/>
          <w:color w:val="auto"/>
          <w:sz w:val="24"/>
        </w:rPr>
        <w:t>小时</w:t>
      </w:r>
      <w:r>
        <w:rPr>
          <w:rFonts w:hint="eastAsia" w:ascii="宋体" w:hAnsi="宋体" w:eastAsia="宋体" w:cs="宋体"/>
          <w:color w:val="auto"/>
          <w:sz w:val="24"/>
          <w:lang w:val="en-US" w:eastAsia="zh-CN"/>
        </w:rPr>
        <w:t>内</w:t>
      </w:r>
      <w:r>
        <w:rPr>
          <w:rFonts w:hint="eastAsia" w:ascii="宋体" w:hAnsi="宋体" w:eastAsia="宋体" w:cs="宋体"/>
          <w:b w:val="0"/>
          <w:bCs/>
          <w:color w:val="auto"/>
          <w:sz w:val="24"/>
          <w:u w:val="none"/>
          <w:lang w:val="en-US" w:eastAsia="zh-CN"/>
        </w:rPr>
        <w:t>赶到现场排除故障</w:t>
      </w:r>
      <w:r>
        <w:rPr>
          <w:rFonts w:hint="eastAsia" w:ascii="宋体" w:hAnsi="宋体" w:eastAsia="宋体" w:cs="宋体"/>
          <w:color w:val="auto"/>
          <w:sz w:val="24"/>
        </w:rPr>
        <w:t>。如果</w:t>
      </w:r>
      <w:r>
        <w:rPr>
          <w:rFonts w:hint="eastAsia" w:ascii="宋体" w:hAnsi="宋体" w:eastAsia="宋体" w:cs="宋体"/>
          <w:color w:val="000000" w:themeColor="text1"/>
          <w:sz w:val="24"/>
          <w14:textFill>
            <w14:solidFill>
              <w14:schemeClr w14:val="tx1"/>
            </w14:solidFill>
          </w14:textFill>
        </w:rPr>
        <w:t>投</w:t>
      </w:r>
      <w:r>
        <w:rPr>
          <w:rFonts w:hint="eastAsia" w:ascii="宋体" w:hAnsi="宋体" w:eastAsia="宋体" w:cs="宋体"/>
          <w:sz w:val="24"/>
        </w:rPr>
        <w:t>标供应商收到采购人通知后，未在规定的响应时间内赶到现场弥补缺陷，采购人可采取必要的补救措施，但风险和费用全部由卖方承担。</w:t>
      </w:r>
    </w:p>
    <w:p w14:paraId="5037993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宋体" w:hAnsi="宋体" w:eastAsia="宋体" w:cs="宋体"/>
          <w:color w:val="auto"/>
          <w:kern w:val="2"/>
          <w:sz w:val="21"/>
          <w:szCs w:val="21"/>
          <w:lang w:val="en-US" w:eastAsia="zh-CN" w:bidi="ar-SA"/>
        </w:rPr>
      </w:pPr>
      <w:r>
        <w:rPr>
          <w:rFonts w:hint="eastAsia" w:ascii="宋体" w:hAnsi="宋体" w:cs="宋体"/>
          <w:color w:val="auto"/>
          <w:sz w:val="24"/>
          <w:lang w:val="en-US" w:eastAsia="zh-CN"/>
        </w:rPr>
        <w:t>5.3、</w:t>
      </w:r>
      <w:r>
        <w:rPr>
          <w:rFonts w:hint="eastAsia" w:ascii="宋体" w:hAnsi="宋体" w:eastAsia="宋体" w:cs="宋体"/>
          <w:b w:val="0"/>
          <w:bCs/>
          <w:color w:val="auto"/>
          <w:sz w:val="24"/>
          <w:u w:val="none"/>
          <w:lang w:val="en-US" w:eastAsia="zh-CN"/>
        </w:rPr>
        <w:t>质保期内出现任何质量问题（人为破坏或自然灾害等不可抗力除外），由中标人负责全免费（免全部工时费、材料费、管理费、财务费等等）更换或维修。质保期满后，无论采购人是否另行选择维保供应商，中标人应及时优惠提供所需的配件。</w:t>
      </w:r>
    </w:p>
    <w:p w14:paraId="4FFAF480">
      <w:pP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五、交货时间、结算方法：</w:t>
      </w:r>
    </w:p>
    <w:p w14:paraId="342BF0A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2" w:firstLineChars="200"/>
        <w:jc w:val="left"/>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1．交货时间及方式:</w:t>
      </w:r>
    </w:p>
    <w:p w14:paraId="43806D9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1.1、交货时间：</w:t>
      </w:r>
      <w:r>
        <w:rPr>
          <w:rFonts w:hint="eastAsia" w:ascii="宋体" w:hAnsi="宋体" w:eastAsia="宋体" w:cs="宋体"/>
          <w:bCs/>
          <w:color w:val="auto"/>
          <w:sz w:val="24"/>
          <w:szCs w:val="24"/>
          <w:u w:val="single"/>
          <w:lang w:val="en-US" w:eastAsia="zh-CN"/>
        </w:rPr>
        <w:t xml:space="preserve">采购合同签订后30天内交货验收完成 </w:t>
      </w:r>
      <w:r>
        <w:rPr>
          <w:rFonts w:hint="eastAsia" w:ascii="宋体" w:hAnsi="宋体" w:eastAsia="宋体" w:cs="宋体"/>
          <w:bCs/>
          <w:color w:val="auto"/>
          <w:sz w:val="24"/>
          <w:szCs w:val="24"/>
          <w:u w:val="none"/>
          <w:lang w:val="en-US" w:eastAsia="zh-CN"/>
        </w:rPr>
        <w:t>。</w:t>
      </w:r>
    </w:p>
    <w:p w14:paraId="2ED3536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1.2、交货地点：</w:t>
      </w:r>
      <w:r>
        <w:rPr>
          <w:rFonts w:hint="eastAsia" w:ascii="宋体" w:hAnsi="宋体" w:eastAsia="宋体" w:cs="宋体"/>
          <w:bCs/>
          <w:color w:val="auto"/>
          <w:sz w:val="24"/>
          <w:szCs w:val="24"/>
          <w:u w:val="single"/>
          <w:lang w:val="en-US" w:eastAsia="zh-CN"/>
        </w:rPr>
        <w:t>采购人指定地点。</w:t>
      </w:r>
    </w:p>
    <w:p w14:paraId="11D127E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1.3、合同的签订：</w:t>
      </w:r>
      <w:r>
        <w:rPr>
          <w:rFonts w:hint="eastAsia" w:ascii="宋体" w:hAnsi="宋体" w:eastAsia="宋体" w:cs="宋体"/>
          <w:bCs/>
          <w:color w:val="auto"/>
          <w:sz w:val="24"/>
          <w:szCs w:val="24"/>
          <w:u w:val="none"/>
          <w:lang w:val="en-US" w:eastAsia="zh-CN"/>
        </w:rPr>
        <w:t>成交人应在接到招标代理公司成交通知后2个工作日内领取成交通知书缴纳招标代理费；并在收到成交通知书2个工作日内与业主签订正式合同。否则视为其放弃中标。并承担一切损失的赔偿责任。</w:t>
      </w:r>
    </w:p>
    <w:p w14:paraId="6056509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2" w:firstLineChars="200"/>
        <w:jc w:val="left"/>
        <w:textAlignment w:val="auto"/>
        <w:outlineLvl w:val="9"/>
        <w:rPr>
          <w:rFonts w:hint="default"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2.</w:t>
      </w:r>
      <w:r>
        <w:rPr>
          <w:rFonts w:hint="eastAsia" w:ascii="宋体" w:hAnsi="宋体" w:eastAsia="宋体" w:cs="宋体"/>
          <w:b/>
          <w:bCs w:val="0"/>
          <w:color w:val="auto"/>
          <w:sz w:val="24"/>
          <w:szCs w:val="24"/>
        </w:rPr>
        <w:t>结算方法</w:t>
      </w:r>
      <w:r>
        <w:rPr>
          <w:rFonts w:hint="eastAsia" w:ascii="宋体" w:hAnsi="宋体" w:eastAsia="宋体" w:cs="宋体"/>
          <w:b/>
          <w:bCs w:val="0"/>
          <w:color w:val="auto"/>
          <w:sz w:val="24"/>
          <w:szCs w:val="24"/>
          <w:lang w:eastAsia="zh-CN"/>
        </w:rPr>
        <w:t>：</w:t>
      </w:r>
      <w:r>
        <w:rPr>
          <w:rFonts w:hint="eastAsia" w:ascii="宋体" w:hAnsi="宋体" w:eastAsia="宋体" w:cs="宋体"/>
          <w:b/>
          <w:bCs w:val="0"/>
          <w:color w:val="auto"/>
          <w:sz w:val="24"/>
          <w:szCs w:val="24"/>
          <w:lang w:val="en-US" w:eastAsia="zh-CN"/>
        </w:rPr>
        <w:t xml:space="preserve"> </w:t>
      </w:r>
    </w:p>
    <w:p w14:paraId="075FCC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outlineLvl w:val="9"/>
        <w:rPr>
          <w:rFonts w:hint="default" w:ascii="宋体" w:hAnsi="宋体" w:eastAsia="宋体" w:cs="宋体"/>
          <w:bCs/>
          <w:color w:val="auto"/>
          <w:sz w:val="24"/>
          <w:szCs w:val="24"/>
          <w:u w:val="single"/>
          <w:lang w:val="en-US" w:eastAsia="zh-CN"/>
        </w:rPr>
      </w:pPr>
      <w:r>
        <w:rPr>
          <w:rFonts w:hint="eastAsia" w:ascii="宋体" w:hAnsi="宋体" w:eastAsia="宋体" w:cs="宋体"/>
          <w:bCs/>
          <w:color w:val="auto"/>
          <w:sz w:val="24"/>
          <w:szCs w:val="24"/>
          <w:lang w:val="en-US" w:eastAsia="zh-CN"/>
        </w:rPr>
        <w:t>2.1</w:t>
      </w:r>
      <w:r>
        <w:rPr>
          <w:rFonts w:hint="eastAsia" w:ascii="宋体" w:hAnsi="宋体" w:eastAsia="宋体" w:cs="宋体"/>
          <w:bCs/>
          <w:color w:val="auto"/>
          <w:sz w:val="24"/>
          <w:szCs w:val="24"/>
        </w:rPr>
        <w:t>付款</w:t>
      </w:r>
      <w:r>
        <w:rPr>
          <w:rFonts w:hint="eastAsia" w:ascii="宋体" w:hAnsi="宋体" w:eastAsia="宋体" w:cs="宋体"/>
          <w:bCs/>
          <w:color w:val="auto"/>
          <w:sz w:val="24"/>
          <w:szCs w:val="24"/>
          <w:lang w:val="en-US" w:eastAsia="zh-CN"/>
        </w:rPr>
        <w:t>单位</w:t>
      </w:r>
      <w:r>
        <w:rPr>
          <w:rFonts w:hint="eastAsia" w:ascii="宋体" w:hAnsi="宋体" w:eastAsia="宋体" w:cs="宋体"/>
          <w:bCs/>
          <w:color w:val="auto"/>
          <w:sz w:val="24"/>
          <w:szCs w:val="24"/>
        </w:rPr>
        <w:t>：</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color w:val="auto"/>
          <w:sz w:val="24"/>
          <w:highlight w:val="none"/>
          <w:u w:val="single"/>
          <w:lang w:eastAsia="zh-CN"/>
        </w:rPr>
        <w:t>龙山县城市管理和综合执法局</w:t>
      </w:r>
      <w:r>
        <w:rPr>
          <w:rFonts w:hint="eastAsia" w:ascii="宋体" w:hAnsi="宋体" w:eastAsia="宋体" w:cs="宋体"/>
          <w:color w:val="auto"/>
          <w:sz w:val="24"/>
          <w:highlight w:val="none"/>
          <w:u w:val="single"/>
          <w:lang w:val="en-US" w:eastAsia="zh-CN"/>
        </w:rPr>
        <w:t xml:space="preserve">  </w:t>
      </w:r>
    </w:p>
    <w:p w14:paraId="0EAFFBE7">
      <w:pPr>
        <w:pStyle w:val="3"/>
        <w:spacing w:line="360" w:lineRule="auto"/>
        <w:ind w:firstLine="480" w:firstLineChars="200"/>
        <w:rPr>
          <w:rFonts w:hint="eastAsia" w:ascii="宋体" w:hAnsi="宋体" w:eastAsia="宋体" w:cs="宋体"/>
          <w:b w:val="0"/>
          <w:bCs w:val="0"/>
          <w:color w:val="auto"/>
          <w:sz w:val="24"/>
          <w:u w:val="single"/>
          <w:lang w:eastAsia="zh-CN"/>
        </w:rPr>
      </w:pPr>
      <w:r>
        <w:rPr>
          <w:rFonts w:hint="eastAsia" w:ascii="宋体" w:hAnsi="宋体" w:eastAsia="宋体" w:cs="宋体"/>
          <w:bCs/>
          <w:color w:val="auto"/>
          <w:kern w:val="2"/>
          <w:sz w:val="24"/>
          <w:szCs w:val="24"/>
          <w:lang w:val="en-US" w:eastAsia="zh-CN" w:bidi="ar-SA"/>
        </w:rPr>
        <w:t>2.2</w:t>
      </w:r>
      <w:r>
        <w:rPr>
          <w:rFonts w:hint="eastAsia" w:ascii="宋体" w:hAnsi="宋体" w:eastAsia="宋体" w:cs="宋体"/>
          <w:bCs/>
          <w:color w:val="auto"/>
          <w:sz w:val="24"/>
          <w:szCs w:val="24"/>
          <w:lang w:val="en-US" w:eastAsia="zh-CN"/>
        </w:rPr>
        <w:t>付款方式</w:t>
      </w:r>
      <w:r>
        <w:rPr>
          <w:rFonts w:hint="eastAsia" w:ascii="宋体" w:hAnsi="宋体" w:eastAsia="宋体" w:cs="宋体"/>
          <w:bCs/>
          <w:color w:val="auto"/>
          <w:sz w:val="24"/>
          <w:szCs w:val="24"/>
          <w:lang w:val="en-US" w:eastAsia="zh-CN"/>
        </w:rPr>
        <w:t>：</w:t>
      </w:r>
      <w:r>
        <w:rPr>
          <w:rFonts w:hint="eastAsia" w:ascii="宋体" w:hAnsi="宋体" w:eastAsia="宋体" w:cs="宋体"/>
          <w:bCs/>
          <w:color w:val="auto"/>
          <w:sz w:val="24"/>
          <w:szCs w:val="24"/>
          <w:u w:val="single"/>
          <w:lang w:val="en-US" w:eastAsia="zh-CN"/>
        </w:rPr>
        <w:t xml:space="preserve"> 货物交付完毕并经采购人或委托专业机构验收合格，待财政资金到位后，支付合同款项总金额的97%，另3%作为质量保证金，在售后服务期满后(无质量问题、售后服务纠纷,以及其他经济法律纠纷等)一次性无息付清所有合同款项 </w:t>
      </w:r>
      <w:r>
        <w:rPr>
          <w:rFonts w:hint="eastAsia" w:ascii="宋体" w:hAnsi="宋体" w:eastAsia="宋体" w:cs="宋体"/>
          <w:b w:val="0"/>
          <w:bCs w:val="0"/>
          <w:color w:val="auto"/>
          <w:sz w:val="24"/>
          <w:u w:val="none"/>
          <w:lang w:eastAsia="zh-CN"/>
        </w:rPr>
        <w:t>。</w:t>
      </w:r>
    </w:p>
    <w:p w14:paraId="3B5435E6">
      <w:pPr>
        <w:keepNext w:val="0"/>
        <w:keepLines w:val="0"/>
        <w:pageBreakBefore w:val="0"/>
        <w:widowControl/>
        <w:numPr>
          <w:ilvl w:val="0"/>
          <w:numId w:val="0"/>
        </w:numPr>
        <w:suppressLineNumbers w:val="0"/>
        <w:tabs>
          <w:tab w:val="left" w:pos="6412"/>
        </w:tabs>
        <w:kinsoku/>
        <w:wordWrap/>
        <w:overflowPunct/>
        <w:topLinePunct w:val="0"/>
        <w:autoSpaceDE/>
        <w:autoSpaceDN/>
        <w:bidi w:val="0"/>
        <w:adjustRightInd/>
        <w:snapToGrid/>
        <w:spacing w:beforeAutospacing="0" w:afterAutospacing="0" w:line="360" w:lineRule="auto"/>
        <w:ind w:leftChars="0" w:right="0" w:rightChars="0"/>
        <w:jc w:val="left"/>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六、其他：</w:t>
      </w:r>
      <w:r>
        <w:rPr>
          <w:rFonts w:hint="eastAsia" w:ascii="宋体" w:hAnsi="宋体" w:eastAsia="宋体" w:cs="宋体"/>
          <w:b/>
          <w:bCs/>
          <w:color w:val="auto"/>
          <w:sz w:val="24"/>
          <w:szCs w:val="24"/>
          <w:highlight w:val="none"/>
          <w:lang w:val="en-US" w:eastAsia="zh-CN"/>
        </w:rPr>
        <w:tab/>
      </w:r>
    </w:p>
    <w:p w14:paraId="20FF759F">
      <w:pPr>
        <w:spacing w:line="360" w:lineRule="auto"/>
        <w:ind w:firstLine="480" w:firstLineChars="200"/>
        <w:rPr>
          <w:rFonts w:ascii="宋体" w:hAnsi="宋体" w:cs="宋体"/>
          <w:bCs/>
          <w:color w:val="auto"/>
          <w:sz w:val="24"/>
        </w:rPr>
      </w:pPr>
      <w:r>
        <w:rPr>
          <w:rFonts w:hint="eastAsia" w:ascii="宋体" w:hAnsi="宋体" w:cs="宋体"/>
          <w:bCs/>
          <w:color w:val="auto"/>
          <w:sz w:val="24"/>
        </w:rPr>
        <w:t>1、标志、包装、说明书、运输、贮存等都应执行国家的有关规定。</w:t>
      </w:r>
    </w:p>
    <w:p w14:paraId="103F9745">
      <w:pPr>
        <w:spacing w:line="360" w:lineRule="auto"/>
        <w:ind w:firstLine="480" w:firstLineChars="200"/>
        <w:rPr>
          <w:rFonts w:ascii="宋体" w:hAnsi="宋体" w:cs="宋体"/>
          <w:bCs/>
          <w:color w:val="auto"/>
          <w:sz w:val="24"/>
        </w:rPr>
      </w:pPr>
      <w:r>
        <w:rPr>
          <w:rFonts w:hint="eastAsia" w:ascii="宋体" w:hAnsi="宋体" w:cs="宋体"/>
          <w:bCs/>
          <w:color w:val="auto"/>
          <w:sz w:val="24"/>
        </w:rPr>
        <w:t>2、本项目合同经双方签字盖章生效。合同一式三份，采购单位一份、中标单位一份、采购代理公司一份备档。</w:t>
      </w:r>
    </w:p>
    <w:p w14:paraId="7E7CC0A6">
      <w:pPr>
        <w:spacing w:line="360" w:lineRule="auto"/>
        <w:ind w:firstLine="480" w:firstLineChars="200"/>
        <w:rPr>
          <w:rFonts w:ascii="宋体" w:hAnsi="宋体" w:cs="宋体"/>
          <w:bCs/>
          <w:color w:val="auto"/>
          <w:sz w:val="24"/>
        </w:rPr>
      </w:pPr>
      <w:r>
        <w:rPr>
          <w:rFonts w:hint="eastAsia" w:ascii="宋体" w:hAnsi="宋体" w:cs="宋体"/>
          <w:bCs/>
          <w:color w:val="auto"/>
          <w:sz w:val="24"/>
        </w:rPr>
        <w:t>3、本项目合同未尽事宜，双方协商解决，协商结果以“纪要”形式作为合同的附件，与合同具有同等的法律效力。</w:t>
      </w:r>
    </w:p>
    <w:p w14:paraId="7455799A">
      <w:pPr>
        <w:spacing w:line="360" w:lineRule="auto"/>
        <w:ind w:firstLine="480" w:firstLineChars="200"/>
        <w:rPr>
          <w:rFonts w:ascii="宋体" w:hAnsi="宋体" w:cs="宋体"/>
          <w:bCs/>
          <w:color w:val="auto"/>
          <w:sz w:val="24"/>
        </w:rPr>
      </w:pPr>
      <w:r>
        <w:rPr>
          <w:rFonts w:hint="eastAsia" w:ascii="宋体" w:hAnsi="宋体" w:cs="宋体"/>
          <w:bCs/>
          <w:color w:val="auto"/>
          <w:sz w:val="24"/>
        </w:rPr>
        <w:t>4、下列文件属合同的依据和附件：</w:t>
      </w:r>
    </w:p>
    <w:p w14:paraId="09AED389">
      <w:pPr>
        <w:spacing w:line="360" w:lineRule="auto"/>
        <w:ind w:firstLine="420"/>
        <w:rPr>
          <w:rFonts w:ascii="宋体" w:hAnsi="宋体" w:cs="宋体"/>
          <w:bCs/>
          <w:color w:val="auto"/>
          <w:sz w:val="24"/>
        </w:rPr>
      </w:pPr>
      <w:r>
        <w:rPr>
          <w:rFonts w:hint="eastAsia" w:ascii="宋体" w:hAnsi="宋体" w:cs="宋体"/>
          <w:bCs/>
          <w:color w:val="auto"/>
          <w:sz w:val="24"/>
        </w:rPr>
        <w:t>4.1、文件、补充说明及中标通知书；</w:t>
      </w:r>
    </w:p>
    <w:p w14:paraId="4CEEA8D8">
      <w:pPr>
        <w:spacing w:line="360" w:lineRule="auto"/>
        <w:ind w:firstLine="420"/>
        <w:rPr>
          <w:rFonts w:ascii="宋体" w:hAnsi="宋体" w:cs="宋体"/>
          <w:bCs/>
          <w:color w:val="auto"/>
          <w:sz w:val="24"/>
        </w:rPr>
      </w:pPr>
      <w:r>
        <w:rPr>
          <w:rFonts w:hint="eastAsia" w:ascii="宋体" w:hAnsi="宋体" w:cs="宋体"/>
          <w:bCs/>
          <w:color w:val="auto"/>
          <w:sz w:val="24"/>
        </w:rPr>
        <w:t>4.2、</w:t>
      </w:r>
      <w:r>
        <w:rPr>
          <w:rFonts w:hint="eastAsia" w:ascii="宋体" w:hAnsi="宋体" w:cs="宋体"/>
          <w:bCs/>
          <w:color w:val="auto"/>
          <w:sz w:val="24"/>
          <w:lang w:val="en-US" w:eastAsia="zh-CN"/>
        </w:rPr>
        <w:t>响应文件</w:t>
      </w:r>
      <w:r>
        <w:rPr>
          <w:rFonts w:hint="eastAsia" w:ascii="宋体" w:hAnsi="宋体" w:cs="宋体"/>
          <w:bCs/>
          <w:color w:val="auto"/>
          <w:sz w:val="24"/>
        </w:rPr>
        <w:t>、投标补充说明、服务承诺；</w:t>
      </w:r>
    </w:p>
    <w:p w14:paraId="72CEEE55">
      <w:pPr>
        <w:spacing w:line="360" w:lineRule="auto"/>
        <w:ind w:firstLine="420"/>
        <w:rPr>
          <w:rFonts w:hint="eastAsia" w:ascii="宋体" w:hAnsi="宋体" w:cs="宋体"/>
          <w:bCs/>
          <w:color w:val="auto"/>
          <w:sz w:val="24"/>
        </w:rPr>
      </w:pPr>
      <w:r>
        <w:rPr>
          <w:rFonts w:hint="eastAsia" w:ascii="宋体" w:hAnsi="宋体" w:cs="宋体"/>
          <w:bCs/>
          <w:color w:val="auto"/>
          <w:sz w:val="24"/>
          <w:lang w:val="en-US" w:eastAsia="zh-CN"/>
        </w:rPr>
        <w:t>5</w:t>
      </w:r>
      <w:r>
        <w:rPr>
          <w:rFonts w:hint="eastAsia" w:ascii="宋体" w:hAnsi="宋体" w:cs="宋体"/>
          <w:bCs/>
          <w:color w:val="auto"/>
          <w:sz w:val="24"/>
        </w:rPr>
        <w:t>、现场踏勘：采购人不另行组织现场踏勘，有关踏勘事宜由</w:t>
      </w:r>
      <w:r>
        <w:rPr>
          <w:rFonts w:hint="eastAsia" w:ascii="宋体" w:hAnsi="宋体" w:cs="宋体"/>
          <w:bCs/>
          <w:color w:val="auto"/>
          <w:sz w:val="24"/>
          <w:lang w:eastAsia="zh-CN"/>
        </w:rPr>
        <w:t>投标供应商</w:t>
      </w:r>
      <w:r>
        <w:rPr>
          <w:rFonts w:hint="eastAsia" w:ascii="宋体" w:hAnsi="宋体" w:cs="宋体"/>
          <w:bCs/>
          <w:color w:val="auto"/>
          <w:sz w:val="24"/>
        </w:rPr>
        <w:t>与采购人联系，自行处理。</w:t>
      </w:r>
    </w:p>
    <w:p w14:paraId="170644EC">
      <w:r>
        <w:rPr>
          <w:rFonts w:hint="eastAsia" w:ascii="宋体" w:hAnsi="宋体" w:eastAsia="宋体" w:cs="宋体"/>
          <w:b/>
          <w:bCs w:val="0"/>
          <w:color w:val="auto"/>
          <w:sz w:val="24"/>
          <w:szCs w:val="24"/>
          <w:highlight w:val="none"/>
          <w:lang w:val="en-US" w:eastAsia="zh-CN"/>
        </w:rPr>
        <w:t>6、</w:t>
      </w:r>
      <w:r>
        <w:rPr>
          <w:rFonts w:hint="eastAsia" w:ascii="宋体" w:hAnsi="宋体" w:eastAsia="宋体" w:cs="宋体"/>
          <w:b/>
          <w:color w:val="auto"/>
          <w:sz w:val="24"/>
          <w:szCs w:val="24"/>
          <w:highlight w:val="none"/>
        </w:rPr>
        <w:t>对于上述项目要求，投标</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应在</w:t>
      </w:r>
      <w:r>
        <w:rPr>
          <w:rFonts w:hint="eastAsia" w:ascii="宋体" w:hAnsi="宋体" w:eastAsia="宋体" w:cs="宋体"/>
          <w:b/>
          <w:color w:val="auto"/>
          <w:sz w:val="24"/>
          <w:szCs w:val="24"/>
          <w:highlight w:val="none"/>
          <w:lang w:eastAsia="zh-CN"/>
        </w:rPr>
        <w:t>响应</w:t>
      </w:r>
      <w:r>
        <w:rPr>
          <w:rFonts w:hint="eastAsia" w:ascii="宋体" w:hAnsi="宋体" w:eastAsia="宋体" w:cs="宋体"/>
          <w:b/>
          <w:color w:val="auto"/>
          <w:sz w:val="24"/>
          <w:szCs w:val="24"/>
          <w:highlight w:val="none"/>
        </w:rPr>
        <w:t>文件中进行回应，作出承诺及说明。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B9078"/>
    <w:multiLevelType w:val="singleLevel"/>
    <w:tmpl w:val="052B90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F92E71"/>
    <w:rsid w:val="6CF92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eastAsia="黑体"/>
      <w:b/>
      <w:bCs/>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spacing w:after="120"/>
    </w:pPr>
  </w:style>
  <w:style w:type="paragraph" w:styleId="4">
    <w:name w:val="Body Text Indent"/>
    <w:basedOn w:val="1"/>
    <w:qFormat/>
    <w:uiPriority w:val="0"/>
    <w:pPr>
      <w:spacing w:after="120"/>
      <w:ind w:left="420" w:leftChars="200"/>
    </w:pPr>
  </w:style>
  <w:style w:type="paragraph" w:styleId="5">
    <w:name w:val="index 7"/>
    <w:basedOn w:val="1"/>
    <w:next w:val="1"/>
    <w:unhideWhenUsed/>
    <w:qFormat/>
    <w:uiPriority w:val="99"/>
    <w:pPr>
      <w:ind w:left="2520"/>
    </w:pPr>
    <w:rPr>
      <w:rFonts w:ascii="Calibri" w:hAnsi="Calibri"/>
      <w:szCs w:val="22"/>
    </w:rPr>
  </w:style>
  <w:style w:type="paragraph" w:styleId="6">
    <w:name w:val="Body Text First Indent 2"/>
    <w:basedOn w:val="4"/>
    <w:unhideWhenUsed/>
    <w:qFormat/>
    <w:uiPriority w:val="0"/>
    <w:pPr>
      <w:ind w:firstLine="420"/>
    </w:pPr>
  </w:style>
  <w:style w:type="character" w:customStyle="1" w:styleId="9">
    <w:name w:val="font01"/>
    <w:basedOn w:val="8"/>
    <w:autoRedefine/>
    <w:qFormat/>
    <w:uiPriority w:val="0"/>
    <w:rPr>
      <w:rFonts w:ascii="宋体" w:hAnsi="宋体" w:eastAsia="宋体" w:cs="宋体"/>
      <w:color w:val="000000"/>
      <w:sz w:val="24"/>
      <w:szCs w:val="24"/>
      <w:u w:val="none"/>
    </w:rPr>
  </w:style>
  <w:style w:type="character" w:customStyle="1" w:styleId="10">
    <w:name w:val="font101"/>
    <w:basedOn w:val="8"/>
    <w:qFormat/>
    <w:uiPriority w:val="0"/>
    <w:rPr>
      <w:rFonts w:ascii="Arial" w:hAnsi="Arial" w:cs="Arial"/>
      <w:color w:val="000000"/>
      <w:sz w:val="22"/>
      <w:szCs w:val="22"/>
      <w:u w:val="none"/>
    </w:rPr>
  </w:style>
  <w:style w:type="character" w:customStyle="1" w:styleId="11">
    <w:name w:val="font111"/>
    <w:basedOn w:val="8"/>
    <w:qFormat/>
    <w:uiPriority w:val="0"/>
    <w:rPr>
      <w:rFonts w:hint="eastAsia" w:ascii="宋体" w:hAnsi="宋体" w:eastAsia="宋体" w:cs="宋体"/>
      <w:color w:val="000000"/>
      <w:sz w:val="22"/>
      <w:szCs w:val="22"/>
      <w:u w:val="none"/>
      <w:vertAlign w:val="superscript"/>
    </w:rPr>
  </w:style>
  <w:style w:type="character" w:customStyle="1" w:styleId="12">
    <w:name w:val="font121"/>
    <w:basedOn w:val="8"/>
    <w:qFormat/>
    <w:uiPriority w:val="0"/>
    <w:rPr>
      <w:rFonts w:hint="eastAsia" w:ascii="宋体" w:hAnsi="宋体" w:eastAsia="宋体" w:cs="宋体"/>
      <w:color w:val="000000"/>
      <w:sz w:val="22"/>
      <w:szCs w:val="22"/>
      <w:u w:val="none"/>
      <w:vertAlign w:val="superscript"/>
    </w:rPr>
  </w:style>
  <w:style w:type="paragraph" w:customStyle="1" w:styleId="13">
    <w:name w:val="Default"/>
    <w:next w:val="5"/>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4">
    <w:name w:val="列出段落1"/>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2026-06-18T01:42:00Z</dcterms:created>
  <dc:creator>李丫头</dc:creator>
  <cp:lastModifiedBy>李丫头</cp:lastModifiedBy>
  <dcterms:modified xsi:type="dcterms:W3CDTF">2026-06-18T01:43:15Z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20E93619DFFB45C3AA501382C520EB61_11</vt:lpwstr>
  </property>
  <property fmtid="{D5CDD505-2E9C-101B-9397-08002B2CF9AE}" pid="4" name="KSOTemplateDocerSaveRecord">
    <vt:lpwstr>eyJoZGlkIjoiZTQxNmJmZWJkOTU3MjJmZDFjNGRmYTgyNzk2NTQzMDkiLCJ1c2VySWQiOiIzODIwMjgxNDMifQ==</vt:lpwstr>
  </property>
</Properties>
</file>