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65AB91">
      <w:pPr>
        <w:pStyle w:val="3"/>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采购需求</w:t>
      </w:r>
    </w:p>
    <w:p w14:paraId="5CC94AFD">
      <w:pPr>
        <w:pStyle w:val="9"/>
        <w:spacing w:before="312"/>
        <w:ind w:firstLine="0" w:firstLineChars="0"/>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前注：</w:t>
      </w:r>
    </w:p>
    <w:p w14:paraId="71CF1EBD">
      <w:pPr>
        <w:pStyle w:val="9"/>
        <w:numPr>
          <w:ilvl w:val="0"/>
          <w:numId w:val="2"/>
        </w:numPr>
        <w:spacing w:before="0" w:beforeLines="0"/>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本采购需求中提出的服务方案仅为参考，如无明确限制，投标人可以进行优化，提供满足采购人实际需要的更优（或者性能实质上不低于的）服务方案，且此方案须经评标委员会评审认可。 </w:t>
      </w:r>
    </w:p>
    <w:p w14:paraId="24559C5C">
      <w:pPr>
        <w:pStyle w:val="9"/>
        <w:numPr>
          <w:ilvl w:val="0"/>
          <w:numId w:val="2"/>
        </w:numPr>
        <w:spacing w:before="0" w:beforeLines="0"/>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下列采购需求</w:t>
      </w:r>
      <w:r>
        <w:rPr>
          <w:rFonts w:hint="eastAsia"/>
          <w:color w:val="000000" w:themeColor="text1"/>
          <w:highlight w:val="none"/>
          <w:lang w:val="en-US" w:eastAsia="zh-CN"/>
          <w14:textFill>
            <w14:solidFill>
              <w14:schemeClr w14:val="tx1"/>
            </w14:solidFill>
          </w14:textFill>
        </w:rPr>
        <w:t>条款均为</w:t>
      </w:r>
      <w:r>
        <w:rPr>
          <w:rFonts w:hint="eastAsia"/>
          <w:color w:val="000000" w:themeColor="text1"/>
          <w:highlight w:val="none"/>
          <w14:textFill>
            <w14:solidFill>
              <w14:schemeClr w14:val="tx1"/>
            </w14:solidFill>
          </w14:textFill>
        </w:rPr>
        <w:t>实质性要求和条件</w:t>
      </w:r>
      <w:r>
        <w:rPr>
          <w:rFonts w:hint="eastAsia"/>
          <w:color w:val="0000FF"/>
          <w:highlight w:val="none"/>
        </w:rPr>
        <w:t>，</w:t>
      </w:r>
      <w:r>
        <w:rPr>
          <w:rFonts w:hint="eastAsia"/>
          <w:color w:val="000000" w:themeColor="text1"/>
          <w:highlight w:val="none"/>
          <w14:textFill>
            <w14:solidFill>
              <w14:schemeClr w14:val="tx1"/>
            </w14:solidFill>
          </w14:textFill>
        </w:rPr>
        <w:t>投标人必须完全响应，未按要求响应，视为实质性偏离，其</w:t>
      </w:r>
      <w:r>
        <w:rPr>
          <w:rFonts w:hint="eastAsia"/>
          <w:b/>
          <w:bCs/>
          <w:color w:val="000000" w:themeColor="text1"/>
          <w:highlight w:val="none"/>
          <w14:textFill>
            <w14:solidFill>
              <w14:schemeClr w14:val="tx1"/>
            </w14:solidFill>
          </w14:textFill>
        </w:rPr>
        <w:t>投标无效</w:t>
      </w:r>
      <w:r>
        <w:rPr>
          <w:rFonts w:hint="eastAsia"/>
          <w:color w:val="000000" w:themeColor="text1"/>
          <w:highlight w:val="none"/>
          <w14:textFill>
            <w14:solidFill>
              <w14:schemeClr w14:val="tx1"/>
            </w14:solidFill>
          </w14:textFill>
        </w:rPr>
        <w:t>。</w:t>
      </w:r>
    </w:p>
    <w:p w14:paraId="6060F038">
      <w:pPr>
        <w:rPr>
          <w:color w:val="000000" w:themeColor="text1"/>
          <w14:textFill>
            <w14:solidFill>
              <w14:schemeClr w14:val="tx1"/>
            </w14:solidFill>
          </w14:textFill>
        </w:rPr>
      </w:pPr>
    </w:p>
    <w:p w14:paraId="21A2E9F1">
      <w:pPr>
        <w:pStyle w:val="4"/>
        <w:pageBreakBefore w:val="0"/>
        <w:numPr>
          <w:ilvl w:val="0"/>
          <w:numId w:val="3"/>
        </w:numPr>
        <w:kinsoku/>
        <w:wordWrap/>
        <w:overflowPunct/>
        <w:topLinePunct w:val="0"/>
        <w:autoSpaceDE/>
        <w:autoSpaceDN/>
        <w:bidi w:val="0"/>
        <w:adjustRightInd/>
        <w:snapToGrid/>
        <w:spacing w:line="440" w:lineRule="exact"/>
        <w:ind w:firstLine="480" w:firstLineChars="200"/>
        <w:textAlignment w:val="auto"/>
        <w:outlineLvl w:val="1"/>
        <w:rPr>
          <w:rFonts w:hint="eastAsia"/>
          <w:color w:val="auto"/>
          <w:lang w:eastAsia="zh-CN"/>
        </w:rPr>
      </w:pPr>
      <w:bookmarkStart w:id="0" w:name="_Toc23176"/>
      <w:r>
        <w:rPr>
          <w:rFonts w:hint="eastAsia"/>
          <w:color w:val="auto"/>
          <w:lang w:eastAsia="zh-CN"/>
        </w:rPr>
        <w:t>项目概况</w:t>
      </w:r>
      <w:bookmarkEnd w:id="0"/>
    </w:p>
    <w:p w14:paraId="1901C06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8"/>
          <w:lang w:val="en-US" w:eastAsia="zh-CN"/>
        </w:rPr>
      </w:pPr>
      <w:r>
        <w:rPr>
          <w:rFonts w:hint="eastAsia"/>
          <w:color w:val="auto"/>
          <w:sz w:val="24"/>
          <w:szCs w:val="28"/>
          <w:lang w:val="en-US" w:eastAsia="zh-CN"/>
        </w:rPr>
        <w:t>张家界市生态环境保护委员会办公室下达《关于2026年生活垃圾焚烧产生飞灰资源化利用量目标任务的通知》，明确要求我市2026年生活垃圾焚烧螯合后的飞灰填埋处置量控制在2900吨以下，确保全年完成飞灰（原灰）资源化利用量2000吨以上的目标任务。截至目前，我市垃圾焚烧综合处理项目螯合后的飞灰填埋处置量已临近2900吨管控上限，填埋空间已基本饱和。为圆满完成2026年度飞灰资源化利用硬性目标，后续产生的飞灰(原灰)需全部实施资源化利用处置，亟需启动2026年飞灰(原灰)资源化利用政府购买服务相关工作。</w:t>
      </w:r>
    </w:p>
    <w:p w14:paraId="7E6DE14A">
      <w:pPr>
        <w:pStyle w:val="4"/>
        <w:pageBreakBefore w:val="0"/>
        <w:numPr>
          <w:ilvl w:val="0"/>
          <w:numId w:val="3"/>
        </w:numPr>
        <w:kinsoku/>
        <w:wordWrap/>
        <w:overflowPunct/>
        <w:topLinePunct w:val="0"/>
        <w:autoSpaceDE/>
        <w:autoSpaceDN/>
        <w:bidi w:val="0"/>
        <w:adjustRightInd/>
        <w:snapToGrid/>
        <w:spacing w:line="440" w:lineRule="exact"/>
        <w:ind w:firstLine="480" w:firstLineChars="200"/>
        <w:textAlignment w:val="auto"/>
        <w:outlineLvl w:val="1"/>
        <w:rPr>
          <w:rFonts w:hint="eastAsia"/>
          <w:color w:val="auto"/>
          <w:lang w:eastAsia="zh-CN"/>
        </w:rPr>
      </w:pPr>
      <w:bookmarkStart w:id="1" w:name="_Toc31491"/>
      <w:bookmarkStart w:id="2" w:name="_Toc23714"/>
      <w:r>
        <w:rPr>
          <w:rFonts w:hint="eastAsia"/>
          <w:color w:val="auto"/>
          <w:lang w:eastAsia="zh-CN"/>
        </w:rPr>
        <w:t>采购项目预（概）算</w:t>
      </w:r>
      <w:bookmarkEnd w:id="1"/>
      <w:bookmarkEnd w:id="2"/>
    </w:p>
    <w:p w14:paraId="09508728">
      <w:pPr>
        <w:pStyle w:val="10"/>
        <w:pageBreakBefore w:val="0"/>
        <w:kinsoku/>
        <w:wordWrap/>
        <w:overflowPunct/>
        <w:topLinePunct w:val="0"/>
        <w:autoSpaceDE/>
        <w:autoSpaceDN/>
        <w:bidi w:val="0"/>
        <w:adjustRightInd/>
        <w:snapToGrid/>
        <w:spacing w:line="440" w:lineRule="exact"/>
        <w:ind w:firstLine="480" w:firstLineChars="200"/>
        <w:textAlignment w:val="auto"/>
        <w:rPr>
          <w:rFonts w:hint="default"/>
          <w:color w:val="auto"/>
          <w:u w:val="single"/>
          <w:lang w:val="en-US" w:eastAsia="zh-CN"/>
        </w:rPr>
      </w:pPr>
      <w:r>
        <w:rPr>
          <w:rFonts w:hint="eastAsia"/>
          <w:color w:val="auto"/>
          <w:lang w:eastAsia="zh-CN"/>
        </w:rPr>
        <w:t>总</w:t>
      </w:r>
      <w:r>
        <w:rPr>
          <w:rFonts w:hint="eastAsia"/>
          <w:color w:val="auto"/>
          <w:lang w:val="en-US" w:eastAsia="zh-CN"/>
        </w:rPr>
        <w:t xml:space="preserve"> </w:t>
      </w:r>
      <w:r>
        <w:rPr>
          <w:rFonts w:hint="eastAsia"/>
          <w:color w:val="auto"/>
          <w:lang w:eastAsia="zh-CN"/>
        </w:rPr>
        <w:t>预 算∶</w:t>
      </w:r>
      <w:r>
        <w:rPr>
          <w:rFonts w:hint="eastAsia"/>
          <w:color w:val="auto"/>
          <w:u w:val="single"/>
          <w:lang w:val="en-US" w:eastAsia="zh-CN"/>
        </w:rPr>
        <w:t xml:space="preserve"> </w:t>
      </w:r>
      <w:r>
        <w:rPr>
          <w:rFonts w:hint="eastAsia" w:ascii="宋体" w:hAnsi="宋体" w:eastAsia="宋体" w:cs="宋体"/>
          <w:color w:val="auto"/>
          <w:u w:val="single"/>
          <w:lang w:val="en-US" w:eastAsia="zh-CN"/>
        </w:rPr>
        <w:t>2400000</w:t>
      </w:r>
      <w:r>
        <w:rPr>
          <w:rFonts w:hint="eastAsia"/>
          <w:color w:val="auto"/>
          <w:u w:val="single"/>
          <w:lang w:val="en-US" w:eastAsia="zh-CN"/>
        </w:rPr>
        <w:t>元</w:t>
      </w:r>
      <w:r>
        <w:rPr>
          <w:rFonts w:hint="eastAsia" w:ascii="Times New Roman"/>
          <w:color w:val="auto"/>
          <w:u w:val="single"/>
          <w:lang w:val="en-US" w:eastAsia="zh-CN"/>
        </w:rPr>
        <w:t>（1200元/吨）</w:t>
      </w:r>
    </w:p>
    <w:p w14:paraId="6A631F76">
      <w:pPr>
        <w:pStyle w:val="10"/>
        <w:pageBreakBefore w:val="0"/>
        <w:kinsoku/>
        <w:wordWrap/>
        <w:overflowPunct/>
        <w:topLinePunct w:val="0"/>
        <w:autoSpaceDE/>
        <w:autoSpaceDN/>
        <w:bidi w:val="0"/>
        <w:adjustRightInd/>
        <w:snapToGrid/>
        <w:spacing w:line="440" w:lineRule="exact"/>
        <w:ind w:firstLine="480" w:firstLineChars="200"/>
        <w:textAlignment w:val="auto"/>
        <w:rPr>
          <w:rFonts w:hint="default"/>
          <w:color w:val="auto"/>
          <w:u w:val="single"/>
          <w:lang w:val="en-US" w:eastAsia="zh-CN"/>
        </w:rPr>
      </w:pPr>
      <w:r>
        <w:rPr>
          <w:rFonts w:hint="eastAsia"/>
          <w:color w:val="auto"/>
          <w:lang w:eastAsia="zh-CN"/>
        </w:rPr>
        <w:t>包1预算∶</w:t>
      </w:r>
      <w:r>
        <w:rPr>
          <w:rFonts w:hint="eastAsia"/>
          <w:color w:val="auto"/>
          <w:u w:val="single"/>
          <w:lang w:val="en-US" w:eastAsia="zh-CN"/>
        </w:rPr>
        <w:t xml:space="preserve"> </w:t>
      </w:r>
      <w:r>
        <w:rPr>
          <w:rFonts w:hint="eastAsia" w:ascii="宋体" w:hAnsi="宋体" w:eastAsia="宋体" w:cs="宋体"/>
          <w:color w:val="auto"/>
          <w:u w:val="single"/>
          <w:lang w:val="en-US" w:eastAsia="zh-CN"/>
        </w:rPr>
        <w:t>2400000</w:t>
      </w:r>
      <w:r>
        <w:rPr>
          <w:rFonts w:hint="eastAsia"/>
          <w:color w:val="auto"/>
          <w:u w:val="single"/>
          <w:lang w:val="en-US" w:eastAsia="zh-CN"/>
        </w:rPr>
        <w:t xml:space="preserve">元 </w:t>
      </w:r>
      <w:r>
        <w:rPr>
          <w:rFonts w:hint="eastAsia" w:ascii="Times New Roman"/>
          <w:color w:val="auto"/>
          <w:u w:val="single"/>
          <w:lang w:val="en-US" w:eastAsia="zh-CN"/>
        </w:rPr>
        <w:t>（1200元/吨）</w:t>
      </w:r>
      <w:r>
        <w:rPr>
          <w:rFonts w:hint="eastAsia"/>
          <w:color w:val="auto"/>
          <w:u w:val="single"/>
          <w:lang w:val="en-US" w:eastAsia="zh-CN"/>
        </w:rPr>
        <w:t xml:space="preserve">  </w:t>
      </w:r>
    </w:p>
    <w:p w14:paraId="31F7762F">
      <w:pPr>
        <w:pStyle w:val="4"/>
        <w:numPr>
          <w:ilvl w:val="0"/>
          <w:numId w:val="3"/>
        </w:numPr>
        <w:bidi w:val="0"/>
        <w:ind w:firstLine="480" w:firstLineChars="200"/>
        <w:outlineLvl w:val="1"/>
        <w:rPr>
          <w:rFonts w:hint="eastAsia"/>
          <w:color w:val="auto"/>
          <w:lang w:eastAsia="zh-CN"/>
        </w:rPr>
      </w:pPr>
      <w:bookmarkStart w:id="3" w:name="_Toc4938"/>
      <w:bookmarkStart w:id="4" w:name="_Toc8794"/>
      <w:r>
        <w:rPr>
          <w:rFonts w:hint="eastAsia"/>
          <w:color w:val="auto"/>
          <w:lang w:eastAsia="zh-CN"/>
        </w:rPr>
        <w:t>采购标的汇总表</w:t>
      </w:r>
      <w:bookmarkEnd w:id="3"/>
      <w:bookmarkEnd w:id="4"/>
    </w:p>
    <w:tbl>
      <w:tblPr>
        <w:tblStyle w:val="6"/>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3"/>
        <w:gridCol w:w="681"/>
        <w:gridCol w:w="2191"/>
        <w:gridCol w:w="2130"/>
        <w:gridCol w:w="679"/>
        <w:gridCol w:w="848"/>
        <w:gridCol w:w="1140"/>
      </w:tblGrid>
      <w:tr w14:paraId="5F0B1E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022" w:type="dxa"/>
            <w:tcBorders>
              <w:tl2br w:val="nil"/>
              <w:tr2bl w:val="nil"/>
            </w:tcBorders>
            <w:vAlign w:val="center"/>
          </w:tcPr>
          <w:p w14:paraId="5D72003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lang w:eastAsia="zh-CN"/>
              </w:rPr>
            </w:pPr>
            <w:r>
              <w:rPr>
                <w:rFonts w:hint="eastAsia" w:ascii="微软雅黑" w:hAnsi="微软雅黑" w:eastAsia="微软雅黑" w:cs="微软雅黑"/>
                <w:b/>
                <w:bCs/>
                <w:color w:val="auto"/>
                <w:sz w:val="22"/>
                <w:szCs w:val="22"/>
                <w:lang w:eastAsia="zh-CN"/>
              </w:rPr>
              <w:t>包号</w:t>
            </w:r>
          </w:p>
        </w:tc>
        <w:tc>
          <w:tcPr>
            <w:tcW w:w="780" w:type="dxa"/>
            <w:tcBorders>
              <w:tl2br w:val="nil"/>
              <w:tr2bl w:val="nil"/>
            </w:tcBorders>
            <w:vAlign w:val="center"/>
          </w:tcPr>
          <w:p w14:paraId="6B15030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lang w:eastAsia="zh-CN"/>
              </w:rPr>
            </w:pPr>
            <w:r>
              <w:rPr>
                <w:rFonts w:hint="eastAsia" w:ascii="微软雅黑" w:hAnsi="微软雅黑" w:eastAsia="微软雅黑" w:cs="微软雅黑"/>
                <w:b/>
                <w:bCs/>
                <w:color w:val="auto"/>
                <w:sz w:val="22"/>
                <w:szCs w:val="22"/>
                <w:lang w:eastAsia="zh-CN"/>
              </w:rPr>
              <w:t>序号</w:t>
            </w:r>
          </w:p>
        </w:tc>
        <w:tc>
          <w:tcPr>
            <w:tcW w:w="2820" w:type="dxa"/>
            <w:tcBorders>
              <w:tl2br w:val="nil"/>
              <w:tr2bl w:val="nil"/>
            </w:tcBorders>
            <w:vAlign w:val="center"/>
          </w:tcPr>
          <w:p w14:paraId="5C5AB2E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lang w:eastAsia="zh-CN"/>
              </w:rPr>
            </w:pPr>
            <w:r>
              <w:rPr>
                <w:rFonts w:hint="eastAsia" w:ascii="微软雅黑" w:hAnsi="微软雅黑" w:eastAsia="微软雅黑" w:cs="微软雅黑"/>
                <w:b/>
                <w:bCs/>
                <w:color w:val="auto"/>
                <w:sz w:val="22"/>
                <w:szCs w:val="22"/>
                <w:lang w:eastAsia="zh-CN"/>
              </w:rPr>
              <w:t>标的名称</w:t>
            </w:r>
          </w:p>
        </w:tc>
        <w:tc>
          <w:tcPr>
            <w:tcW w:w="2370" w:type="dxa"/>
            <w:tcBorders>
              <w:tl2br w:val="nil"/>
              <w:tr2bl w:val="nil"/>
            </w:tcBorders>
            <w:vAlign w:val="center"/>
          </w:tcPr>
          <w:p w14:paraId="76813EF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lang w:eastAsia="zh-CN"/>
              </w:rPr>
            </w:pPr>
            <w:r>
              <w:rPr>
                <w:rFonts w:hint="eastAsia" w:ascii="微软雅黑" w:hAnsi="微软雅黑" w:eastAsia="微软雅黑" w:cs="微软雅黑"/>
                <w:b/>
                <w:bCs/>
                <w:color w:val="auto"/>
                <w:sz w:val="22"/>
                <w:szCs w:val="22"/>
                <w:lang w:eastAsia="zh-CN"/>
              </w:rPr>
              <w:t>品目分类编码</w:t>
            </w:r>
          </w:p>
        </w:tc>
        <w:tc>
          <w:tcPr>
            <w:tcW w:w="720" w:type="dxa"/>
            <w:tcBorders>
              <w:tl2br w:val="nil"/>
              <w:tr2bl w:val="nil"/>
            </w:tcBorders>
            <w:vAlign w:val="center"/>
          </w:tcPr>
          <w:p w14:paraId="5DBA499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lang w:eastAsia="zh-CN"/>
              </w:rPr>
            </w:pPr>
            <w:r>
              <w:rPr>
                <w:rFonts w:hint="eastAsia" w:ascii="微软雅黑" w:hAnsi="微软雅黑" w:eastAsia="微软雅黑" w:cs="微软雅黑"/>
                <w:b/>
                <w:bCs/>
                <w:color w:val="auto"/>
                <w:sz w:val="22"/>
                <w:szCs w:val="22"/>
                <w:lang w:eastAsia="zh-CN"/>
              </w:rPr>
              <w:t>计量单位</w:t>
            </w:r>
          </w:p>
        </w:tc>
        <w:tc>
          <w:tcPr>
            <w:tcW w:w="826" w:type="dxa"/>
            <w:tcBorders>
              <w:tl2br w:val="nil"/>
              <w:tr2bl w:val="nil"/>
            </w:tcBorders>
            <w:vAlign w:val="center"/>
          </w:tcPr>
          <w:p w14:paraId="58CB2A7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lang w:eastAsia="zh-CN"/>
              </w:rPr>
            </w:pPr>
            <w:r>
              <w:rPr>
                <w:rFonts w:hint="eastAsia" w:ascii="微软雅黑" w:hAnsi="微软雅黑" w:eastAsia="微软雅黑" w:cs="微软雅黑"/>
                <w:b/>
                <w:bCs/>
                <w:color w:val="auto"/>
                <w:sz w:val="22"/>
                <w:szCs w:val="22"/>
                <w:lang w:eastAsia="zh-CN"/>
              </w:rPr>
              <w:t>数量</w:t>
            </w:r>
          </w:p>
        </w:tc>
        <w:tc>
          <w:tcPr>
            <w:tcW w:w="1424" w:type="dxa"/>
            <w:tcBorders>
              <w:tl2br w:val="nil"/>
              <w:tr2bl w:val="nil"/>
            </w:tcBorders>
            <w:vAlign w:val="center"/>
          </w:tcPr>
          <w:p w14:paraId="4B74B46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lang w:eastAsia="zh-CN"/>
              </w:rPr>
            </w:pPr>
            <w:r>
              <w:rPr>
                <w:rFonts w:hint="eastAsia" w:ascii="微软雅黑" w:hAnsi="微软雅黑" w:eastAsia="微软雅黑" w:cs="微软雅黑"/>
                <w:b/>
                <w:bCs/>
                <w:color w:val="auto"/>
                <w:sz w:val="22"/>
                <w:szCs w:val="22"/>
                <w:lang w:eastAsia="zh-CN"/>
              </w:rPr>
              <w:t>是否进口</w:t>
            </w:r>
          </w:p>
        </w:tc>
      </w:tr>
      <w:tr w14:paraId="44FDD1C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trPr>
        <w:tc>
          <w:tcPr>
            <w:tcW w:w="1022" w:type="dxa"/>
            <w:tcBorders>
              <w:tl2br w:val="nil"/>
              <w:tr2bl w:val="nil"/>
            </w:tcBorders>
            <w:vAlign w:val="center"/>
          </w:tcPr>
          <w:p w14:paraId="5C6AAC2D">
            <w:pPr>
              <w:pStyle w:val="10"/>
              <w:numPr>
                <w:ilvl w:val="0"/>
                <w:numId w:val="0"/>
              </w:numPr>
              <w:bidi w:val="0"/>
              <w:spacing w:line="480" w:lineRule="auto"/>
              <w:jc w:val="center"/>
              <w:rPr>
                <w:rFonts w:hint="default" w:ascii="微软雅黑" w:hAnsi="微软雅黑" w:eastAsia="微软雅黑" w:cs="微软雅黑"/>
                <w:b w:val="0"/>
                <w:bCs w:val="0"/>
                <w:color w:val="auto"/>
                <w:sz w:val="22"/>
                <w:szCs w:val="21"/>
                <w:vertAlign w:val="baseline"/>
                <w:lang w:val="en-US" w:eastAsia="zh-CN"/>
              </w:rPr>
            </w:pPr>
            <w:r>
              <w:rPr>
                <w:rFonts w:hint="eastAsia" w:ascii="微软雅黑" w:hAnsi="微软雅黑" w:eastAsia="微软雅黑" w:cs="微软雅黑"/>
                <w:b w:val="0"/>
                <w:bCs w:val="0"/>
                <w:color w:val="auto"/>
                <w:sz w:val="22"/>
                <w:szCs w:val="21"/>
                <w:vertAlign w:val="baseline"/>
                <w:lang w:val="en-US" w:eastAsia="zh-CN"/>
              </w:rPr>
              <w:t>1</w:t>
            </w:r>
          </w:p>
        </w:tc>
        <w:tc>
          <w:tcPr>
            <w:tcW w:w="780" w:type="dxa"/>
            <w:tcBorders>
              <w:tl2br w:val="nil"/>
              <w:tr2bl w:val="nil"/>
            </w:tcBorders>
            <w:vAlign w:val="center"/>
          </w:tcPr>
          <w:p w14:paraId="59B2B9BB">
            <w:pPr>
              <w:pStyle w:val="10"/>
              <w:numPr>
                <w:ilvl w:val="0"/>
                <w:numId w:val="4"/>
              </w:numPr>
              <w:bidi w:val="0"/>
              <w:spacing w:line="480" w:lineRule="auto"/>
              <w:ind w:left="0" w:leftChars="0" w:firstLine="0" w:firstLineChars="0"/>
              <w:jc w:val="center"/>
              <w:rPr>
                <w:rFonts w:hint="eastAsia" w:ascii="微软雅黑" w:hAnsi="微软雅黑" w:eastAsia="微软雅黑" w:cs="微软雅黑"/>
                <w:b w:val="0"/>
                <w:bCs w:val="0"/>
                <w:color w:val="auto"/>
                <w:sz w:val="22"/>
                <w:szCs w:val="21"/>
                <w:vertAlign w:val="baseline"/>
                <w:lang w:eastAsia="zh-CN"/>
              </w:rPr>
            </w:pPr>
          </w:p>
        </w:tc>
        <w:tc>
          <w:tcPr>
            <w:tcW w:w="2820" w:type="dxa"/>
            <w:tcBorders>
              <w:tl2br w:val="nil"/>
              <w:tr2bl w:val="nil"/>
            </w:tcBorders>
            <w:vAlign w:val="center"/>
          </w:tcPr>
          <w:p w14:paraId="3B323447">
            <w:pPr>
              <w:pStyle w:val="11"/>
              <w:keepNext w:val="0"/>
              <w:keepLines w:val="0"/>
              <w:pageBreakBefore w:val="0"/>
              <w:widowControl/>
              <w:numPr>
                <w:ilvl w:val="0"/>
                <w:numId w:val="0"/>
              </w:numPr>
              <w:kinsoku/>
              <w:wordWrap/>
              <w:overflowPunct/>
              <w:topLinePunct w:val="0"/>
              <w:autoSpaceDE/>
              <w:autoSpaceDN/>
              <w:bidi w:val="0"/>
              <w:adjustRightInd/>
              <w:snapToGrid/>
              <w:spacing w:line="300" w:lineRule="exact"/>
              <w:ind w:right="-48" w:rightChars="-23"/>
              <w:jc w:val="both"/>
              <w:textAlignment w:val="auto"/>
              <w:rPr>
                <w:rFonts w:hint="eastAsia" w:ascii="微软雅黑" w:hAnsi="微软雅黑" w:eastAsia="微软雅黑" w:cs="微软雅黑"/>
                <w:i/>
                <w:iCs/>
                <w:color w:val="auto"/>
                <w:u w:val="none"/>
                <w:lang w:eastAsia="zh-CN"/>
              </w:rPr>
            </w:pPr>
            <w:r>
              <w:rPr>
                <w:rFonts w:hint="eastAsia" w:ascii="微软雅黑" w:hAnsi="微软雅黑" w:cs="微软雅黑"/>
                <w:i w:val="0"/>
                <w:iCs w:val="0"/>
                <w:color w:val="auto"/>
                <w:u w:val="single"/>
                <w:lang w:eastAsia="zh-CN"/>
              </w:rPr>
              <w:t>2026年张家界市生活垃圾焚烧飞灰(原灰)资源化利用处置服务采购项目</w:t>
            </w:r>
          </w:p>
        </w:tc>
        <w:tc>
          <w:tcPr>
            <w:tcW w:w="2370" w:type="dxa"/>
            <w:tcBorders>
              <w:tl2br w:val="nil"/>
              <w:tr2bl w:val="nil"/>
            </w:tcBorders>
            <w:vAlign w:val="center"/>
          </w:tcPr>
          <w:p w14:paraId="0BEA848A">
            <w:pPr>
              <w:pStyle w:val="11"/>
              <w:numPr>
                <w:ilvl w:val="0"/>
                <w:numId w:val="0"/>
              </w:numPr>
              <w:bidi w:val="0"/>
              <w:ind w:leftChars="100" w:right="-48" w:rightChars="-23"/>
              <w:rPr>
                <w:rFonts w:hint="default" w:ascii="微软雅黑" w:hAnsi="微软雅黑" w:eastAsia="微软雅黑" w:cs="微软雅黑"/>
                <w:i w:val="0"/>
                <w:iCs w:val="0"/>
                <w:color w:val="auto"/>
                <w:u w:val="none"/>
                <w:lang w:val="en-US" w:eastAsia="zh-CN"/>
              </w:rPr>
            </w:pPr>
            <w:r>
              <w:rPr>
                <w:rFonts w:hint="eastAsia" w:ascii="微软雅黑" w:hAnsi="微软雅黑" w:cs="微软雅黑"/>
                <w:i w:val="0"/>
                <w:iCs w:val="0"/>
                <w:color w:val="auto"/>
                <w:u w:val="none"/>
                <w:lang w:val="en-US" w:eastAsia="zh-CN"/>
              </w:rPr>
              <w:t xml:space="preserve"> </w:t>
            </w:r>
            <w:r>
              <w:rPr>
                <w:rFonts w:hint="default" w:ascii="微软雅黑" w:hAnsi="微软雅黑" w:eastAsia="微软雅黑" w:cs="微软雅黑"/>
                <w:i w:val="0"/>
                <w:iCs w:val="0"/>
                <w:color w:val="auto"/>
                <w:u w:val="none"/>
                <w:lang w:val="en-US" w:eastAsia="zh-CN"/>
              </w:rPr>
              <w:t>C070204</w:t>
            </w:r>
            <w:r>
              <w:rPr>
                <w:rFonts w:hint="eastAsia" w:ascii="微软雅黑" w:hAnsi="微软雅黑" w:cs="微软雅黑"/>
                <w:i w:val="0"/>
                <w:iCs w:val="0"/>
                <w:color w:val="auto"/>
                <w:u w:val="none"/>
                <w:lang w:val="en-US" w:eastAsia="zh-CN"/>
              </w:rPr>
              <w:t>99</w:t>
            </w:r>
            <w:r>
              <w:rPr>
                <w:rFonts w:hint="default" w:ascii="微软雅黑" w:hAnsi="微软雅黑" w:eastAsia="微软雅黑" w:cs="微软雅黑"/>
                <w:i w:val="0"/>
                <w:iCs w:val="0"/>
                <w:color w:val="auto"/>
                <w:u w:val="none"/>
                <w:lang w:val="en-US" w:eastAsia="zh-CN"/>
              </w:rPr>
              <w:t>-</w:t>
            </w:r>
            <w:r>
              <w:rPr>
                <w:rFonts w:hint="eastAsia" w:ascii="微软雅黑" w:hAnsi="微软雅黑" w:cs="微软雅黑"/>
                <w:i w:val="0"/>
                <w:iCs w:val="0"/>
                <w:color w:val="auto"/>
                <w:u w:val="none"/>
                <w:lang w:val="en-US" w:eastAsia="zh-CN"/>
              </w:rPr>
              <w:t>其他危险废弃物治理服务</w:t>
            </w:r>
          </w:p>
        </w:tc>
        <w:tc>
          <w:tcPr>
            <w:tcW w:w="720" w:type="dxa"/>
            <w:tcBorders>
              <w:tl2br w:val="nil"/>
              <w:tr2bl w:val="nil"/>
            </w:tcBorders>
            <w:vAlign w:val="center"/>
          </w:tcPr>
          <w:p w14:paraId="6384CFC9">
            <w:pPr>
              <w:pStyle w:val="11"/>
              <w:numPr>
                <w:ilvl w:val="0"/>
                <w:numId w:val="0"/>
              </w:numPr>
              <w:bidi w:val="0"/>
              <w:ind w:leftChars="100" w:right="-48" w:rightChars="-23"/>
              <w:rPr>
                <w:rFonts w:hint="default" w:ascii="微软雅黑" w:hAnsi="微软雅黑" w:eastAsia="微软雅黑" w:cs="微软雅黑"/>
                <w:i w:val="0"/>
                <w:iCs w:val="0"/>
                <w:color w:val="auto"/>
                <w:u w:val="none"/>
                <w:lang w:val="en-US" w:eastAsia="zh-CN"/>
              </w:rPr>
            </w:pPr>
            <w:r>
              <w:rPr>
                <w:rFonts w:hint="eastAsia" w:ascii="微软雅黑" w:hAnsi="微软雅黑" w:cs="微软雅黑"/>
                <w:i w:val="0"/>
                <w:iCs w:val="0"/>
                <w:color w:val="auto"/>
                <w:u w:val="none"/>
                <w:lang w:val="en-US" w:eastAsia="zh-CN"/>
              </w:rPr>
              <w:t>吨</w:t>
            </w:r>
          </w:p>
        </w:tc>
        <w:tc>
          <w:tcPr>
            <w:tcW w:w="826" w:type="dxa"/>
            <w:tcBorders>
              <w:tl2br w:val="nil"/>
              <w:tr2bl w:val="nil"/>
            </w:tcBorders>
            <w:vAlign w:val="center"/>
          </w:tcPr>
          <w:p w14:paraId="4317A24B">
            <w:pPr>
              <w:pStyle w:val="11"/>
              <w:numPr>
                <w:ilvl w:val="0"/>
                <w:numId w:val="0"/>
              </w:numPr>
              <w:bidi w:val="0"/>
              <w:ind w:leftChars="100" w:right="-48" w:rightChars="-23"/>
              <w:rPr>
                <w:rFonts w:hint="default" w:ascii="微软雅黑" w:hAnsi="微软雅黑" w:eastAsia="微软雅黑" w:cs="微软雅黑"/>
                <w:i w:val="0"/>
                <w:iCs w:val="0"/>
                <w:color w:val="auto"/>
                <w:u w:val="none"/>
                <w:lang w:val="en-US" w:eastAsia="zh-CN"/>
              </w:rPr>
            </w:pPr>
            <w:r>
              <w:rPr>
                <w:rFonts w:hint="eastAsia" w:ascii="微软雅黑" w:hAnsi="微软雅黑" w:cs="微软雅黑"/>
                <w:i w:val="0"/>
                <w:iCs w:val="0"/>
                <w:color w:val="auto"/>
                <w:u w:val="none"/>
                <w:lang w:val="en-US" w:eastAsia="zh-CN"/>
              </w:rPr>
              <w:t>2000</w:t>
            </w:r>
          </w:p>
        </w:tc>
        <w:tc>
          <w:tcPr>
            <w:tcW w:w="1424" w:type="dxa"/>
            <w:tcBorders>
              <w:tl2br w:val="nil"/>
              <w:tr2bl w:val="nil"/>
            </w:tcBorders>
            <w:vAlign w:val="center"/>
          </w:tcPr>
          <w:p w14:paraId="0B8A83DB">
            <w:pPr>
              <w:pStyle w:val="11"/>
              <w:numPr>
                <w:ilvl w:val="0"/>
                <w:numId w:val="0"/>
              </w:numPr>
              <w:bidi w:val="0"/>
              <w:ind w:right="-48" w:rightChars="-23"/>
              <w:jc w:val="center"/>
              <w:rPr>
                <w:rFonts w:hint="eastAsia" w:ascii="微软雅黑" w:hAnsi="微软雅黑" w:eastAsia="微软雅黑" w:cs="微软雅黑"/>
                <w:i w:val="0"/>
                <w:iCs w:val="0"/>
                <w:color w:val="auto"/>
                <w:u w:val="none"/>
                <w:lang w:eastAsia="zh-CN"/>
              </w:rPr>
            </w:pPr>
            <w:r>
              <w:rPr>
                <w:rFonts w:hint="eastAsia" w:ascii="微软雅黑" w:hAnsi="微软雅黑" w:eastAsia="微软雅黑" w:cs="微软雅黑"/>
                <w:i w:val="0"/>
                <w:iCs w:val="0"/>
                <w:color w:val="auto"/>
                <w:u w:val="none"/>
                <w:lang w:val="en-US" w:eastAsia="zh-CN"/>
              </w:rPr>
              <w:t>否</w:t>
            </w:r>
          </w:p>
        </w:tc>
      </w:tr>
    </w:tbl>
    <w:p w14:paraId="46474775">
      <w:pPr>
        <w:pStyle w:val="4"/>
        <w:numPr>
          <w:ilvl w:val="0"/>
          <w:numId w:val="3"/>
        </w:numPr>
        <w:bidi w:val="0"/>
        <w:ind w:firstLine="480" w:firstLineChars="200"/>
        <w:outlineLvl w:val="1"/>
        <w:rPr>
          <w:rFonts w:hint="eastAsia"/>
          <w:color w:val="auto"/>
          <w:lang w:eastAsia="zh-CN"/>
        </w:rPr>
      </w:pPr>
      <w:bookmarkStart w:id="5" w:name="_Toc27503"/>
      <w:r>
        <w:rPr>
          <w:rFonts w:hint="eastAsia"/>
          <w:color w:val="auto"/>
          <w:lang w:eastAsia="zh-CN"/>
        </w:rPr>
        <w:t>项目需遵循的有关标准和规范（包括但不限于）</w:t>
      </w:r>
      <w:bookmarkEnd w:id="5"/>
    </w:p>
    <w:p w14:paraId="2BEB1DA4">
      <w:pPr>
        <w:numPr>
          <w:ilvl w:val="0"/>
          <w:numId w:val="5"/>
        </w:numPr>
        <w:rPr>
          <w:rFonts w:hint="eastAsia"/>
          <w:color w:val="auto"/>
          <w:lang w:eastAsia="zh-CN"/>
        </w:rPr>
      </w:pPr>
      <w:r>
        <w:rPr>
          <w:rFonts w:hint="eastAsia"/>
          <w:color w:val="auto"/>
          <w:lang w:eastAsia="zh-CN"/>
        </w:rPr>
        <w:t>《水泥工业大气污染物排放标准》(GB4915-2013)</w:t>
      </w:r>
    </w:p>
    <w:p w14:paraId="3BF19763">
      <w:pPr>
        <w:numPr>
          <w:ilvl w:val="0"/>
          <w:numId w:val="5"/>
        </w:numPr>
        <w:rPr>
          <w:rFonts w:hint="eastAsia"/>
          <w:color w:val="auto"/>
          <w:lang w:eastAsia="zh-CN"/>
        </w:rPr>
      </w:pPr>
      <w:r>
        <w:rPr>
          <w:rFonts w:hint="eastAsia"/>
          <w:color w:val="auto"/>
          <w:lang w:eastAsia="zh-CN"/>
        </w:rPr>
        <w:t>《水泥窑协同处置固体废物污染控制标准》(GB30485-2013)</w:t>
      </w:r>
    </w:p>
    <w:p w14:paraId="4CB57B3E">
      <w:pPr>
        <w:numPr>
          <w:ilvl w:val="0"/>
          <w:numId w:val="5"/>
        </w:numPr>
        <w:rPr>
          <w:rFonts w:hint="eastAsia"/>
          <w:color w:val="auto"/>
          <w:lang w:eastAsia="zh-CN"/>
        </w:rPr>
      </w:pPr>
      <w:r>
        <w:rPr>
          <w:rFonts w:hint="eastAsia"/>
          <w:color w:val="auto"/>
          <w:lang w:eastAsia="zh-CN"/>
        </w:rPr>
        <w:t>《水泥窑协同处置固体废物技术规范》（GB/T30760-2024）</w:t>
      </w:r>
    </w:p>
    <w:p w14:paraId="021CF1E9">
      <w:pPr>
        <w:numPr>
          <w:ilvl w:val="0"/>
          <w:numId w:val="5"/>
        </w:numPr>
        <w:rPr>
          <w:rFonts w:hint="eastAsia"/>
          <w:color w:val="auto"/>
          <w:lang w:eastAsia="zh-CN"/>
        </w:rPr>
      </w:pPr>
      <w:r>
        <w:rPr>
          <w:rFonts w:hint="eastAsia"/>
          <w:color w:val="auto"/>
          <w:lang w:eastAsia="zh-CN"/>
        </w:rPr>
        <w:t>《水泥窑协同处置固体废物环境保护技术规范》 (HJ662-2013)</w:t>
      </w:r>
    </w:p>
    <w:p w14:paraId="12F48A40">
      <w:pPr>
        <w:numPr>
          <w:ilvl w:val="0"/>
          <w:numId w:val="5"/>
        </w:numPr>
        <w:rPr>
          <w:rFonts w:hint="eastAsia"/>
          <w:color w:val="auto"/>
          <w:lang w:eastAsia="zh-CN"/>
        </w:rPr>
      </w:pPr>
      <w:r>
        <w:rPr>
          <w:rFonts w:hint="eastAsia"/>
          <w:color w:val="auto"/>
          <w:lang w:eastAsia="zh-CN"/>
        </w:rPr>
        <w:t>《水泥窑协同处置生活垃圾焚烧飞灰水洗除盐工艺技术要求》(T/CAEPI70-2023)</w:t>
      </w:r>
    </w:p>
    <w:p w14:paraId="3FD73885">
      <w:pPr>
        <w:numPr>
          <w:ilvl w:val="0"/>
          <w:numId w:val="5"/>
        </w:numPr>
        <w:rPr>
          <w:rFonts w:hint="eastAsia"/>
          <w:color w:val="auto"/>
          <w:lang w:eastAsia="zh-CN"/>
        </w:rPr>
      </w:pPr>
      <w:r>
        <w:rPr>
          <w:rFonts w:hint="eastAsia"/>
          <w:color w:val="auto"/>
          <w:lang w:eastAsia="zh-CN"/>
        </w:rPr>
        <w:t>《水泥窑协同处置飞灰成套装备技术要求》 (JC/T2591-2021)</w:t>
      </w:r>
    </w:p>
    <w:p w14:paraId="4C7B2310">
      <w:pPr>
        <w:numPr>
          <w:ilvl w:val="0"/>
          <w:numId w:val="5"/>
        </w:numPr>
        <w:rPr>
          <w:rFonts w:hint="eastAsia"/>
          <w:color w:val="auto"/>
          <w:lang w:eastAsia="zh-CN"/>
        </w:rPr>
      </w:pPr>
      <w:r>
        <w:rPr>
          <w:rFonts w:hint="eastAsia"/>
          <w:color w:val="auto"/>
          <w:lang w:eastAsia="zh-CN"/>
        </w:rPr>
        <w:t>《一般工业固体废物贮存和填埋污染控制标准》(GB18599-2020)</w:t>
      </w:r>
    </w:p>
    <w:p w14:paraId="4D7D2326">
      <w:pPr>
        <w:numPr>
          <w:ilvl w:val="0"/>
          <w:numId w:val="5"/>
        </w:numPr>
        <w:rPr>
          <w:rFonts w:hint="eastAsia"/>
          <w:color w:val="auto"/>
          <w:lang w:eastAsia="zh-CN"/>
        </w:rPr>
      </w:pPr>
      <w:r>
        <w:rPr>
          <w:rFonts w:hint="eastAsia"/>
          <w:color w:val="auto"/>
          <w:lang w:eastAsia="zh-CN"/>
        </w:rPr>
        <w:t>《恶臭污染物排放标准》(GB14554-93)</w:t>
      </w:r>
    </w:p>
    <w:p w14:paraId="3BE548F5">
      <w:pPr>
        <w:numPr>
          <w:ilvl w:val="0"/>
          <w:numId w:val="5"/>
        </w:numPr>
        <w:rPr>
          <w:rFonts w:hint="eastAsia"/>
          <w:color w:val="auto"/>
          <w:lang w:eastAsia="zh-CN"/>
        </w:rPr>
      </w:pPr>
      <w:r>
        <w:rPr>
          <w:rFonts w:hint="eastAsia"/>
          <w:color w:val="auto"/>
          <w:lang w:eastAsia="zh-CN"/>
        </w:rPr>
        <w:t>《国家危险废物名录》(2025年版)</w:t>
      </w:r>
    </w:p>
    <w:p w14:paraId="74A5E37F">
      <w:pPr>
        <w:numPr>
          <w:ilvl w:val="0"/>
          <w:numId w:val="5"/>
        </w:numPr>
        <w:rPr>
          <w:rFonts w:hint="eastAsia"/>
          <w:color w:val="auto"/>
          <w:lang w:eastAsia="zh-CN"/>
        </w:rPr>
      </w:pPr>
      <w:r>
        <w:rPr>
          <w:rFonts w:hint="eastAsia"/>
          <w:color w:val="auto"/>
          <w:lang w:eastAsia="zh-CN"/>
        </w:rPr>
        <w:t>《危险化学品安全管理条例》(2013修订)</w:t>
      </w:r>
    </w:p>
    <w:p w14:paraId="351EB657">
      <w:pPr>
        <w:numPr>
          <w:ilvl w:val="0"/>
          <w:numId w:val="5"/>
        </w:numPr>
        <w:rPr>
          <w:rFonts w:hint="eastAsia"/>
          <w:color w:val="auto"/>
          <w:lang w:eastAsia="zh-CN"/>
        </w:rPr>
      </w:pPr>
      <w:r>
        <w:rPr>
          <w:rFonts w:hint="eastAsia"/>
          <w:color w:val="auto"/>
          <w:lang w:eastAsia="zh-CN"/>
        </w:rPr>
        <w:t>《生活垃圾焚烧飞灰污染控制技术规范(试行)》 (HJ1134-2020)</w:t>
      </w:r>
    </w:p>
    <w:p w14:paraId="7B292F45">
      <w:pPr>
        <w:numPr>
          <w:ilvl w:val="0"/>
          <w:numId w:val="5"/>
        </w:numPr>
        <w:rPr>
          <w:rFonts w:hint="eastAsia"/>
          <w:color w:val="auto"/>
          <w:lang w:eastAsia="zh-CN"/>
        </w:rPr>
      </w:pPr>
      <w:r>
        <w:rPr>
          <w:rFonts w:hint="eastAsia"/>
          <w:color w:val="auto"/>
          <w:lang w:eastAsia="zh-CN"/>
        </w:rPr>
        <w:t>《工业氯化钾》 (GB/T7118-2008)</w:t>
      </w:r>
    </w:p>
    <w:p w14:paraId="3FF36F1E">
      <w:pPr>
        <w:numPr>
          <w:ilvl w:val="0"/>
          <w:numId w:val="5"/>
        </w:numPr>
        <w:rPr>
          <w:rFonts w:hint="eastAsia"/>
          <w:color w:val="auto"/>
          <w:lang w:eastAsia="zh-CN"/>
        </w:rPr>
      </w:pPr>
      <w:r>
        <w:rPr>
          <w:rFonts w:hint="eastAsia"/>
          <w:color w:val="auto"/>
          <w:lang w:eastAsia="zh-CN"/>
        </w:rPr>
        <w:t>《危险废物贮存污染控制标准》(GB18597-2023)</w:t>
      </w:r>
    </w:p>
    <w:p w14:paraId="22317ED8">
      <w:pPr>
        <w:numPr>
          <w:ilvl w:val="0"/>
          <w:numId w:val="5"/>
        </w:numPr>
        <w:rPr>
          <w:rFonts w:hint="eastAsia"/>
          <w:color w:val="auto"/>
          <w:lang w:eastAsia="zh-CN"/>
        </w:rPr>
      </w:pPr>
      <w:r>
        <w:rPr>
          <w:rFonts w:hint="eastAsia"/>
          <w:color w:val="auto"/>
          <w:lang w:eastAsia="zh-CN"/>
        </w:rPr>
        <w:t>《危险废物收集贮存、运输技术规范》(HJ2025-2012)</w:t>
      </w:r>
    </w:p>
    <w:p w14:paraId="3E219FB1">
      <w:pPr>
        <w:numPr>
          <w:ilvl w:val="0"/>
          <w:numId w:val="5"/>
        </w:numPr>
        <w:rPr>
          <w:rFonts w:hint="default"/>
          <w:lang w:val="en-US" w:eastAsia="zh-CN"/>
        </w:rPr>
      </w:pPr>
      <w:r>
        <w:rPr>
          <w:rFonts w:hint="eastAsia"/>
          <w:color w:val="auto"/>
          <w:lang w:eastAsia="zh-CN"/>
        </w:rPr>
        <w:t>《危险废物转移管理办法》</w:t>
      </w:r>
      <w:r>
        <w:rPr>
          <w:rFonts w:hint="eastAsia" w:eastAsia="等线"/>
          <w:color w:val="auto"/>
          <w:lang w:eastAsia="zh-CN"/>
        </w:rPr>
        <w:t>(202</w:t>
      </w:r>
      <w:r>
        <w:rPr>
          <w:rFonts w:hint="eastAsia"/>
          <w:color w:val="auto"/>
          <w:lang w:val="en-US" w:eastAsia="zh-CN"/>
        </w:rPr>
        <w:t>1</w:t>
      </w:r>
      <w:r>
        <w:rPr>
          <w:rFonts w:hint="eastAsia" w:eastAsia="等线"/>
          <w:color w:val="auto"/>
          <w:lang w:eastAsia="zh-CN"/>
        </w:rPr>
        <w:t>年版)</w:t>
      </w:r>
    </w:p>
    <w:p w14:paraId="2D95A767">
      <w:pPr>
        <w:numPr>
          <w:ilvl w:val="0"/>
          <w:numId w:val="5"/>
        </w:numPr>
        <w:rPr>
          <w:rFonts w:hint="default"/>
          <w:lang w:val="en-US" w:eastAsia="zh-CN"/>
        </w:rPr>
      </w:pPr>
      <w:r>
        <w:rPr>
          <w:rFonts w:hint="eastAsia"/>
          <w:color w:val="auto"/>
          <w:lang w:val="en-US" w:eastAsia="zh-CN"/>
        </w:rPr>
        <w:t>《中华人民共和国生态环境法典》</w:t>
      </w:r>
    </w:p>
    <w:p w14:paraId="3879E198">
      <w:pPr>
        <w:pStyle w:val="2"/>
        <w:rPr>
          <w:rFonts w:hint="eastAsia"/>
          <w:color w:val="auto"/>
          <w:lang w:eastAsia="zh-CN"/>
        </w:rPr>
      </w:pPr>
      <w:r>
        <w:rPr>
          <w:rFonts w:hint="eastAsia"/>
          <w:color w:val="auto"/>
          <w:lang w:eastAsia="zh-CN"/>
        </w:rPr>
        <w:t>若在本技术服务签订时及在本技术服务履行过程中，相关法律、法规、规范、标准和技术要求颁发施行、废止、修正、修订或更新的，应以届时最新的法律、法规、规范、标准和技术要求为准。</w:t>
      </w:r>
    </w:p>
    <w:p w14:paraId="133A0D47">
      <w:pPr>
        <w:pStyle w:val="4"/>
        <w:numPr>
          <w:ilvl w:val="0"/>
          <w:numId w:val="3"/>
        </w:numPr>
        <w:bidi w:val="0"/>
        <w:ind w:firstLine="480" w:firstLineChars="200"/>
        <w:outlineLvl w:val="1"/>
        <w:rPr>
          <w:rFonts w:hint="eastAsia"/>
          <w:color w:val="auto"/>
          <w:lang w:eastAsia="zh-CN"/>
        </w:rPr>
      </w:pPr>
      <w:bookmarkStart w:id="6" w:name="_Toc5867"/>
      <w:bookmarkStart w:id="7" w:name="_Toc1684"/>
      <w:r>
        <w:rPr>
          <w:rFonts w:hint="eastAsia"/>
          <w:color w:val="auto"/>
          <w:lang w:eastAsia="zh-CN"/>
        </w:rPr>
        <w:t>技术商务要求</w:t>
      </w:r>
      <w:bookmarkEnd w:id="6"/>
      <w:bookmarkEnd w:id="7"/>
    </w:p>
    <w:p w14:paraId="27014045">
      <w:pPr>
        <w:pStyle w:val="10"/>
        <w:keepNext w:val="0"/>
        <w:keepLines w:val="0"/>
        <w:pageBreakBefore w:val="0"/>
        <w:widowControl/>
        <w:kinsoku/>
        <w:wordWrap/>
        <w:overflowPunct/>
        <w:topLinePunct w:val="0"/>
        <w:autoSpaceDE/>
        <w:autoSpaceDN/>
        <w:bidi w:val="0"/>
        <w:adjustRightInd/>
        <w:snapToGrid/>
        <w:spacing w:line="480" w:lineRule="auto"/>
        <w:ind w:left="0" w:leftChars="0" w:firstLine="0" w:firstLineChars="0"/>
        <w:textAlignment w:val="auto"/>
        <w:rPr>
          <w:rFonts w:hint="default" w:ascii="宋体" w:hAnsi="宋体" w:eastAsia="宋体" w:cs="宋体"/>
          <w:b/>
          <w:bCs/>
          <w:i w:val="0"/>
          <w:iCs w:val="0"/>
          <w:color w:val="auto"/>
          <w:sz w:val="24"/>
          <w:szCs w:val="24"/>
          <w:u w:val="none"/>
          <w:lang w:val="en-US" w:eastAsia="zh-CN"/>
        </w:rPr>
      </w:pPr>
      <w:r>
        <w:rPr>
          <w:rFonts w:hint="eastAsia" w:ascii="宋体" w:hAnsi="宋体" w:cs="宋体"/>
          <w:b/>
          <w:bCs/>
          <w:i w:val="0"/>
          <w:iCs w:val="0"/>
          <w:color w:val="auto"/>
          <w:sz w:val="24"/>
          <w:szCs w:val="24"/>
          <w:u w:val="none"/>
          <w:lang w:val="en-US" w:eastAsia="zh-CN"/>
        </w:rPr>
        <w:t>（1）技术要求</w:t>
      </w:r>
    </w:p>
    <w:p w14:paraId="583FA189">
      <w:pPr>
        <w:keepNext w:val="0"/>
        <w:keepLines w:val="0"/>
        <w:pageBreakBefore w:val="0"/>
        <w:widowControl/>
        <w:kinsoku/>
        <w:wordWrap w:val="0"/>
        <w:overflowPunct/>
        <w:topLinePunct w:val="0"/>
        <w:autoSpaceDE w:val="0"/>
        <w:autoSpaceDN w:val="0"/>
        <w:bidi w:val="0"/>
        <w:adjustRightInd w:val="0"/>
        <w:snapToGrid w:val="0"/>
        <w:spacing w:before="0" w:line="360" w:lineRule="auto"/>
        <w:ind w:right="0"/>
        <w:jc w:val="left"/>
        <w:textAlignment w:val="baseline"/>
        <w:rPr>
          <w:rFonts w:hint="default" w:ascii="宋体" w:hAnsi="宋体" w:eastAsia="宋体" w:cs="宋体"/>
          <w:b w:val="0"/>
          <w:bCs w:val="0"/>
          <w:snapToGrid w:val="0"/>
          <w:color w:val="auto"/>
          <w:spacing w:val="0"/>
          <w:w w:val="100"/>
          <w:kern w:val="0"/>
          <w:sz w:val="24"/>
          <w:szCs w:val="24"/>
          <w:lang w:val="en-US" w:eastAsia="zh-CN" w:bidi="ar-SA"/>
        </w:rPr>
      </w:pPr>
      <w:r>
        <w:rPr>
          <w:rFonts w:hint="eastAsia" w:ascii="宋体" w:hAnsi="宋体" w:eastAsia="宋体" w:cs="宋体"/>
          <w:b w:val="0"/>
          <w:bCs w:val="0"/>
          <w:snapToGrid w:val="0"/>
          <w:color w:val="auto"/>
          <w:spacing w:val="0"/>
          <w:w w:val="100"/>
          <w:kern w:val="0"/>
          <w:sz w:val="24"/>
          <w:szCs w:val="24"/>
          <w:lang w:val="en-US" w:eastAsia="zh-CN" w:bidi="ar-SA"/>
        </w:rPr>
        <w:t>1、总则</w:t>
      </w:r>
    </w:p>
    <w:p w14:paraId="5538FC9C">
      <w:pPr>
        <w:keepNext w:val="0"/>
        <w:keepLines w:val="0"/>
        <w:pageBreakBefore w:val="0"/>
        <w:widowControl/>
        <w:kinsoku/>
        <w:wordWrap w:val="0"/>
        <w:overflowPunct/>
        <w:topLinePunct w:val="0"/>
        <w:autoSpaceDE w:val="0"/>
        <w:autoSpaceDN w:val="0"/>
        <w:bidi w:val="0"/>
        <w:adjustRightInd w:val="0"/>
        <w:snapToGrid w:val="0"/>
        <w:spacing w:before="0" w:line="360" w:lineRule="auto"/>
        <w:ind w:left="0" w:right="0" w:firstLine="480" w:firstLineChars="200"/>
        <w:jc w:val="left"/>
        <w:textAlignment w:val="baseline"/>
        <w:rPr>
          <w:rFonts w:hint="eastAsia" w:ascii="宋体" w:hAnsi="宋体" w:eastAsia="宋体" w:cs="宋体"/>
          <w:b w:val="0"/>
          <w:bCs w:val="0"/>
          <w:snapToGrid w:val="0"/>
          <w:color w:val="auto"/>
          <w:spacing w:val="0"/>
          <w:w w:val="100"/>
          <w:kern w:val="0"/>
          <w:sz w:val="24"/>
          <w:szCs w:val="24"/>
          <w:lang w:val="en-US" w:eastAsia="en-US" w:bidi="ar-SA"/>
        </w:rPr>
      </w:pPr>
      <w:r>
        <w:rPr>
          <w:rFonts w:hint="eastAsia" w:ascii="宋体" w:hAnsi="宋体" w:eastAsia="宋体" w:cs="宋体"/>
          <w:b w:val="0"/>
          <w:bCs w:val="0"/>
          <w:snapToGrid w:val="0"/>
          <w:color w:val="auto"/>
          <w:spacing w:val="0"/>
          <w:w w:val="100"/>
          <w:kern w:val="0"/>
          <w:sz w:val="24"/>
          <w:szCs w:val="24"/>
          <w:lang w:val="en-US" w:eastAsia="en-US" w:bidi="ar-SA"/>
        </w:rPr>
        <w:t>1.1张家界市生态环境保护委员会办公室下达《关于2026年生活垃圾焚烧产生飞灰资源化利用量目标任务的通知》，明确要求我市2026年生活垃圾焚烧</w:t>
      </w:r>
      <w:r>
        <w:rPr>
          <w:rFonts w:hint="eastAsia" w:ascii="宋体" w:hAnsi="宋体" w:eastAsia="宋体" w:cs="宋体"/>
          <w:b w:val="0"/>
          <w:bCs w:val="0"/>
          <w:snapToGrid w:val="0"/>
          <w:color w:val="auto"/>
          <w:spacing w:val="0"/>
          <w:w w:val="100"/>
          <w:kern w:val="0"/>
          <w:sz w:val="24"/>
          <w:szCs w:val="24"/>
          <w:lang w:val="en-US" w:eastAsia="zh-CN" w:bidi="ar-SA"/>
        </w:rPr>
        <w:t>螯合后的</w:t>
      </w:r>
      <w:r>
        <w:rPr>
          <w:rFonts w:hint="eastAsia" w:ascii="宋体" w:hAnsi="宋体" w:eastAsia="宋体" w:cs="宋体"/>
          <w:b w:val="0"/>
          <w:bCs w:val="0"/>
          <w:snapToGrid w:val="0"/>
          <w:color w:val="auto"/>
          <w:spacing w:val="0"/>
          <w:w w:val="100"/>
          <w:kern w:val="0"/>
          <w:sz w:val="24"/>
          <w:szCs w:val="24"/>
          <w:lang w:val="en-US" w:eastAsia="en-US" w:bidi="ar-SA"/>
        </w:rPr>
        <w:t>飞灰填埋处置量控制在2900吨以下，确保全年完成飞灰</w:t>
      </w:r>
      <w:r>
        <w:rPr>
          <w:rFonts w:hint="eastAsia" w:ascii="宋体" w:hAnsi="宋体" w:eastAsia="宋体" w:cs="宋体"/>
          <w:b w:val="0"/>
          <w:bCs w:val="0"/>
          <w:snapToGrid w:val="0"/>
          <w:color w:val="auto"/>
          <w:spacing w:val="0"/>
          <w:w w:val="100"/>
          <w:kern w:val="0"/>
          <w:sz w:val="24"/>
          <w:szCs w:val="24"/>
          <w:lang w:val="en-US" w:eastAsia="zh-CN" w:bidi="ar-SA"/>
        </w:rPr>
        <w:t>（原灰）</w:t>
      </w:r>
      <w:r>
        <w:rPr>
          <w:rFonts w:hint="eastAsia" w:ascii="宋体" w:hAnsi="宋体" w:eastAsia="宋体" w:cs="宋体"/>
          <w:b w:val="0"/>
          <w:bCs w:val="0"/>
          <w:snapToGrid w:val="0"/>
          <w:color w:val="auto"/>
          <w:spacing w:val="0"/>
          <w:w w:val="100"/>
          <w:kern w:val="0"/>
          <w:sz w:val="24"/>
          <w:szCs w:val="24"/>
          <w:lang w:val="en-US" w:eastAsia="en-US" w:bidi="ar-SA"/>
        </w:rPr>
        <w:t>资源化利用量2000吨以上的目标任务。截至目前，我市垃圾焚烧综合处理项目</w:t>
      </w:r>
      <w:r>
        <w:rPr>
          <w:rFonts w:hint="eastAsia" w:ascii="宋体" w:hAnsi="宋体" w:eastAsia="宋体" w:cs="宋体"/>
          <w:b w:val="0"/>
          <w:bCs w:val="0"/>
          <w:snapToGrid w:val="0"/>
          <w:color w:val="auto"/>
          <w:spacing w:val="0"/>
          <w:w w:val="100"/>
          <w:kern w:val="0"/>
          <w:sz w:val="24"/>
          <w:szCs w:val="24"/>
          <w:lang w:val="en-US" w:eastAsia="zh-CN" w:bidi="ar-SA"/>
        </w:rPr>
        <w:t>螯合后的</w:t>
      </w:r>
      <w:r>
        <w:rPr>
          <w:rFonts w:hint="eastAsia" w:ascii="宋体" w:hAnsi="宋体" w:eastAsia="宋体" w:cs="宋体"/>
          <w:b w:val="0"/>
          <w:bCs w:val="0"/>
          <w:snapToGrid w:val="0"/>
          <w:color w:val="auto"/>
          <w:spacing w:val="0"/>
          <w:w w:val="100"/>
          <w:kern w:val="0"/>
          <w:sz w:val="24"/>
          <w:szCs w:val="24"/>
          <w:lang w:val="en-US" w:eastAsia="en-US" w:bidi="ar-SA"/>
        </w:rPr>
        <w:t>飞灰填埋处置量已临近2900吨管控上限，填埋空间已基本饱和。为圆满完成2026年度飞灰</w:t>
      </w:r>
      <w:r>
        <w:rPr>
          <w:rFonts w:hint="eastAsia" w:ascii="宋体" w:hAnsi="宋体" w:eastAsia="宋体" w:cs="宋体"/>
          <w:b w:val="0"/>
          <w:bCs w:val="0"/>
          <w:snapToGrid w:val="0"/>
          <w:color w:val="auto"/>
          <w:spacing w:val="0"/>
          <w:w w:val="100"/>
          <w:kern w:val="0"/>
          <w:sz w:val="24"/>
          <w:szCs w:val="24"/>
          <w:lang w:val="en-US" w:eastAsia="zh-CN" w:bidi="ar-SA"/>
        </w:rPr>
        <w:t>（原灰）</w:t>
      </w:r>
      <w:r>
        <w:rPr>
          <w:rFonts w:hint="eastAsia" w:ascii="宋体" w:hAnsi="宋体" w:eastAsia="宋体" w:cs="宋体"/>
          <w:b w:val="0"/>
          <w:bCs w:val="0"/>
          <w:snapToGrid w:val="0"/>
          <w:color w:val="auto"/>
          <w:spacing w:val="0"/>
          <w:w w:val="100"/>
          <w:kern w:val="0"/>
          <w:sz w:val="24"/>
          <w:szCs w:val="24"/>
          <w:lang w:val="en-US" w:eastAsia="en-US" w:bidi="ar-SA"/>
        </w:rPr>
        <w:t>资源化利用硬性目标，后续产生的飞灰(原灰)需全部实施资源化利用处置，亟需启动2026年飞灰(原灰)资源化利用政府购买服务相关工作，</w:t>
      </w:r>
      <w:r>
        <w:rPr>
          <w:rFonts w:hint="eastAsia" w:ascii="宋体" w:hAnsi="宋体" w:eastAsia="宋体" w:cs="宋体"/>
          <w:b w:val="0"/>
          <w:bCs w:val="0"/>
          <w:snapToGrid w:val="0"/>
          <w:color w:val="auto"/>
          <w:spacing w:val="0"/>
          <w:w w:val="100"/>
          <w:kern w:val="0"/>
          <w:sz w:val="24"/>
          <w:szCs w:val="24"/>
          <w:highlight w:val="none"/>
          <w:lang w:val="en-US" w:eastAsia="en-US" w:bidi="ar-SA"/>
        </w:rPr>
        <w:t>初步测算处置量约</w:t>
      </w:r>
      <w:r>
        <w:rPr>
          <w:rFonts w:hint="eastAsia" w:ascii="宋体" w:hAnsi="宋体" w:eastAsia="宋体" w:cs="宋体"/>
          <w:b w:val="0"/>
          <w:bCs w:val="0"/>
          <w:snapToGrid w:val="0"/>
          <w:color w:val="auto"/>
          <w:spacing w:val="0"/>
          <w:w w:val="100"/>
          <w:kern w:val="0"/>
          <w:sz w:val="24"/>
          <w:szCs w:val="24"/>
          <w:highlight w:val="none"/>
          <w:lang w:val="en-US" w:eastAsia="zh-CN" w:bidi="ar-SA"/>
        </w:rPr>
        <w:t>2000</w:t>
      </w:r>
      <w:r>
        <w:rPr>
          <w:rFonts w:hint="eastAsia" w:ascii="宋体" w:hAnsi="宋体" w:eastAsia="宋体" w:cs="宋体"/>
          <w:b w:val="0"/>
          <w:bCs w:val="0"/>
          <w:snapToGrid w:val="0"/>
          <w:color w:val="auto"/>
          <w:spacing w:val="0"/>
          <w:w w:val="100"/>
          <w:kern w:val="0"/>
          <w:sz w:val="24"/>
          <w:szCs w:val="24"/>
          <w:highlight w:val="none"/>
          <w:lang w:val="en-US" w:eastAsia="en-US" w:bidi="ar-SA"/>
        </w:rPr>
        <w:t>吨，</w:t>
      </w:r>
      <w:r>
        <w:rPr>
          <w:rFonts w:hint="eastAsia" w:ascii="宋体" w:hAnsi="宋体" w:eastAsia="宋体" w:cs="宋体"/>
          <w:b w:val="0"/>
          <w:bCs w:val="0"/>
          <w:snapToGrid w:val="0"/>
          <w:color w:val="auto"/>
          <w:spacing w:val="0"/>
          <w:w w:val="100"/>
          <w:kern w:val="0"/>
          <w:sz w:val="24"/>
          <w:szCs w:val="24"/>
          <w:lang w:val="en-US" w:eastAsia="en-US" w:bidi="ar-SA"/>
        </w:rPr>
        <w:t>本项目全年连续生产，除特定的检修维护和不可预见故障排除期间外，不具备停工期，供应商需在服务期限内连续性地提供服务。</w:t>
      </w:r>
    </w:p>
    <w:p w14:paraId="2F73D2D4">
      <w:pPr>
        <w:keepNext w:val="0"/>
        <w:keepLines w:val="0"/>
        <w:pageBreakBefore w:val="0"/>
        <w:widowControl/>
        <w:kinsoku/>
        <w:wordWrap w:val="0"/>
        <w:overflowPunct/>
        <w:topLinePunct w:val="0"/>
        <w:autoSpaceDE w:val="0"/>
        <w:autoSpaceDN w:val="0"/>
        <w:bidi w:val="0"/>
        <w:adjustRightInd w:val="0"/>
        <w:snapToGrid w:val="0"/>
        <w:spacing w:before="0" w:line="360" w:lineRule="auto"/>
        <w:ind w:left="0" w:right="0" w:firstLine="480" w:firstLineChars="200"/>
        <w:jc w:val="left"/>
        <w:textAlignment w:val="baseline"/>
        <w:rPr>
          <w:rFonts w:hint="eastAsia" w:ascii="宋体" w:hAnsi="宋体" w:eastAsia="宋体" w:cs="宋体"/>
          <w:b w:val="0"/>
          <w:bCs w:val="0"/>
          <w:snapToGrid w:val="0"/>
          <w:color w:val="auto"/>
          <w:spacing w:val="0"/>
          <w:w w:val="100"/>
          <w:kern w:val="0"/>
          <w:sz w:val="24"/>
          <w:szCs w:val="24"/>
          <w:lang w:val="en-US" w:eastAsia="en-US" w:bidi="ar-SA"/>
        </w:rPr>
      </w:pPr>
      <w:r>
        <w:rPr>
          <w:rFonts w:hint="eastAsia" w:ascii="宋体" w:hAnsi="宋体" w:eastAsia="宋体" w:cs="宋体"/>
          <w:b w:val="0"/>
          <w:bCs w:val="0"/>
          <w:snapToGrid w:val="0"/>
          <w:color w:val="auto"/>
          <w:spacing w:val="0"/>
          <w:w w:val="100"/>
          <w:kern w:val="0"/>
          <w:sz w:val="24"/>
          <w:szCs w:val="24"/>
          <w:lang w:val="en-US" w:eastAsia="en-US" w:bidi="ar-SA"/>
        </w:rPr>
        <w:t>1.2本技术要求是供应商必须满足的最低限度技术要求，供应商保证提供满足本技术服务及其所列标准和规范要求的高质量产品和相应服务，符合中国国家的有关安全、环保领域的强制性法规、规范和标准的要求。</w:t>
      </w:r>
    </w:p>
    <w:p w14:paraId="7E122873">
      <w:pPr>
        <w:keepNext w:val="0"/>
        <w:keepLines w:val="0"/>
        <w:pageBreakBefore w:val="0"/>
        <w:widowControl/>
        <w:kinsoku/>
        <w:wordWrap w:val="0"/>
        <w:overflowPunct/>
        <w:topLinePunct w:val="0"/>
        <w:autoSpaceDE w:val="0"/>
        <w:autoSpaceDN w:val="0"/>
        <w:bidi w:val="0"/>
        <w:adjustRightInd w:val="0"/>
        <w:snapToGrid w:val="0"/>
        <w:spacing w:before="0" w:line="360" w:lineRule="auto"/>
        <w:ind w:left="0" w:right="0" w:firstLine="480" w:firstLineChars="200"/>
        <w:jc w:val="left"/>
        <w:textAlignment w:val="baseline"/>
        <w:rPr>
          <w:rFonts w:hint="eastAsia" w:ascii="宋体" w:hAnsi="宋体" w:eastAsia="宋体" w:cs="宋体"/>
          <w:b w:val="0"/>
          <w:bCs w:val="0"/>
          <w:snapToGrid w:val="0"/>
          <w:color w:val="auto"/>
          <w:spacing w:val="0"/>
          <w:w w:val="100"/>
          <w:kern w:val="0"/>
          <w:sz w:val="24"/>
          <w:szCs w:val="24"/>
          <w:lang w:val="en-US" w:eastAsia="en-US" w:bidi="ar-SA"/>
        </w:rPr>
      </w:pPr>
      <w:r>
        <w:rPr>
          <w:rFonts w:hint="eastAsia" w:ascii="宋体" w:hAnsi="宋体" w:eastAsia="宋体" w:cs="宋体"/>
          <w:b w:val="0"/>
          <w:bCs w:val="0"/>
          <w:snapToGrid w:val="0"/>
          <w:color w:val="auto"/>
          <w:spacing w:val="0"/>
          <w:w w:val="100"/>
          <w:kern w:val="0"/>
          <w:sz w:val="24"/>
          <w:szCs w:val="24"/>
          <w:lang w:val="en-US" w:eastAsia="en-US" w:bidi="ar-SA"/>
        </w:rPr>
        <w:t>1.3若供应商对本技术服务中的条款有异议的，应以书面形式向甲方提出，在征得采购方同意后，方可对有关条款进行修改，并按照修改后的条款执行。若供应商未以书面形式对本技术服务的条款提出异议的，则视为供应商提供的产品和服务完全符合本技术服务的要求。</w:t>
      </w:r>
    </w:p>
    <w:p w14:paraId="723B7457">
      <w:pPr>
        <w:keepNext w:val="0"/>
        <w:keepLines w:val="0"/>
        <w:pageBreakBefore w:val="0"/>
        <w:widowControl/>
        <w:kinsoku/>
        <w:wordWrap w:val="0"/>
        <w:overflowPunct/>
        <w:topLinePunct w:val="0"/>
        <w:autoSpaceDE w:val="0"/>
        <w:autoSpaceDN w:val="0"/>
        <w:bidi w:val="0"/>
        <w:adjustRightInd w:val="0"/>
        <w:snapToGrid w:val="0"/>
        <w:spacing w:before="0" w:line="360" w:lineRule="auto"/>
        <w:ind w:left="0" w:right="0"/>
        <w:jc w:val="left"/>
        <w:textAlignment w:val="baseline"/>
        <w:rPr>
          <w:rFonts w:hint="eastAsia" w:ascii="宋体" w:hAnsi="宋体" w:eastAsia="宋体" w:cs="宋体"/>
          <w:b w:val="0"/>
          <w:bCs w:val="0"/>
          <w:snapToGrid w:val="0"/>
          <w:color w:val="auto"/>
          <w:spacing w:val="0"/>
          <w:w w:val="100"/>
          <w:kern w:val="0"/>
          <w:sz w:val="24"/>
          <w:szCs w:val="24"/>
          <w:lang w:val="en-US" w:eastAsia="en-US" w:bidi="ar-SA"/>
        </w:rPr>
      </w:pPr>
      <w:r>
        <w:rPr>
          <w:rFonts w:hint="eastAsia" w:ascii="宋体" w:hAnsi="宋体" w:eastAsia="宋体" w:cs="宋体"/>
          <w:b w:val="0"/>
          <w:bCs w:val="0"/>
          <w:snapToGrid w:val="0"/>
          <w:color w:val="auto"/>
          <w:spacing w:val="0"/>
          <w:w w:val="100"/>
          <w:kern w:val="0"/>
          <w:sz w:val="24"/>
          <w:szCs w:val="24"/>
          <w:lang w:val="en-US" w:eastAsia="zh-CN" w:bidi="ar-SA"/>
        </w:rPr>
        <w:t>2</w:t>
      </w:r>
      <w:r>
        <w:rPr>
          <w:rFonts w:hint="eastAsia" w:ascii="宋体" w:hAnsi="宋体" w:eastAsia="宋体" w:cs="宋体"/>
          <w:b w:val="0"/>
          <w:bCs w:val="0"/>
          <w:snapToGrid w:val="0"/>
          <w:color w:val="auto"/>
          <w:spacing w:val="0"/>
          <w:w w:val="100"/>
          <w:kern w:val="0"/>
          <w:sz w:val="24"/>
          <w:szCs w:val="24"/>
          <w:lang w:val="en-US" w:eastAsia="en-US" w:bidi="ar-SA"/>
        </w:rPr>
        <w:t>、飞灰处置服务范围</w:t>
      </w:r>
    </w:p>
    <w:p w14:paraId="0E370C58">
      <w:pPr>
        <w:keepNext w:val="0"/>
        <w:keepLines w:val="0"/>
        <w:pageBreakBefore w:val="0"/>
        <w:widowControl/>
        <w:kinsoku/>
        <w:wordWrap w:val="0"/>
        <w:overflowPunct/>
        <w:topLinePunct w:val="0"/>
        <w:autoSpaceDE w:val="0"/>
        <w:autoSpaceDN w:val="0"/>
        <w:bidi w:val="0"/>
        <w:adjustRightInd w:val="0"/>
        <w:snapToGrid w:val="0"/>
        <w:spacing w:before="0" w:line="360" w:lineRule="auto"/>
        <w:ind w:left="0" w:right="0" w:firstLine="480" w:firstLineChars="200"/>
        <w:jc w:val="left"/>
        <w:textAlignment w:val="baseline"/>
        <w:rPr>
          <w:rFonts w:hint="default" w:ascii="宋体" w:hAnsi="宋体" w:eastAsia="宋体" w:cs="宋体"/>
          <w:b w:val="0"/>
          <w:bCs w:val="0"/>
          <w:snapToGrid w:val="0"/>
          <w:color w:val="auto"/>
          <w:spacing w:val="0"/>
          <w:w w:val="100"/>
          <w:kern w:val="0"/>
          <w:sz w:val="24"/>
          <w:szCs w:val="24"/>
          <w:lang w:val="en-US" w:eastAsia="en-US" w:bidi="ar-SA"/>
        </w:rPr>
      </w:pPr>
      <w:r>
        <w:rPr>
          <w:rFonts w:hint="eastAsia" w:ascii="宋体" w:hAnsi="宋体" w:eastAsia="宋体" w:cs="宋体"/>
          <w:b w:val="0"/>
          <w:bCs w:val="0"/>
          <w:snapToGrid w:val="0"/>
          <w:color w:val="auto"/>
          <w:spacing w:val="0"/>
          <w:w w:val="100"/>
          <w:kern w:val="0"/>
          <w:sz w:val="24"/>
          <w:szCs w:val="24"/>
          <w:lang w:val="en-US" w:eastAsia="zh-CN" w:bidi="ar-SA"/>
        </w:rPr>
        <w:t>2</w:t>
      </w:r>
      <w:r>
        <w:rPr>
          <w:rFonts w:hint="eastAsia" w:ascii="宋体" w:hAnsi="宋体" w:eastAsia="宋体" w:cs="宋体"/>
          <w:b w:val="0"/>
          <w:bCs w:val="0"/>
          <w:snapToGrid w:val="0"/>
          <w:color w:val="auto"/>
          <w:spacing w:val="0"/>
          <w:w w:val="100"/>
          <w:kern w:val="0"/>
          <w:sz w:val="24"/>
          <w:szCs w:val="24"/>
          <w:lang w:val="en-US" w:eastAsia="en-US" w:bidi="ar-SA"/>
        </w:rPr>
        <w:t>.1本次采购项目为垃圾焚烧飞灰资源化利用，</w:t>
      </w:r>
      <w:r>
        <w:rPr>
          <w:rFonts w:hint="eastAsia" w:ascii="宋体" w:hAnsi="宋体" w:eastAsia="宋体" w:cs="宋体"/>
          <w:b w:val="0"/>
          <w:bCs w:val="0"/>
          <w:snapToGrid w:val="0"/>
          <w:color w:val="auto"/>
          <w:spacing w:val="0"/>
          <w:w w:val="100"/>
          <w:kern w:val="0"/>
          <w:sz w:val="24"/>
          <w:szCs w:val="24"/>
          <w:lang w:val="en-US" w:eastAsia="zh-CN" w:bidi="ar-SA"/>
        </w:rPr>
        <w:t>运输成本由中标供应商自行承担，采购人根据运输距离最高补贴240元/吨。</w:t>
      </w:r>
    </w:p>
    <w:p w14:paraId="56424ED6">
      <w:pPr>
        <w:keepNext w:val="0"/>
        <w:keepLines w:val="0"/>
        <w:pageBreakBefore w:val="0"/>
        <w:widowControl/>
        <w:kinsoku/>
        <w:wordWrap w:val="0"/>
        <w:overflowPunct/>
        <w:topLinePunct w:val="0"/>
        <w:autoSpaceDE w:val="0"/>
        <w:autoSpaceDN w:val="0"/>
        <w:bidi w:val="0"/>
        <w:adjustRightInd w:val="0"/>
        <w:snapToGrid w:val="0"/>
        <w:spacing w:before="0" w:line="360" w:lineRule="auto"/>
        <w:ind w:left="0" w:right="0" w:firstLine="480" w:firstLineChars="200"/>
        <w:jc w:val="left"/>
        <w:textAlignment w:val="baseline"/>
        <w:rPr>
          <w:rFonts w:hint="eastAsia" w:ascii="宋体" w:hAnsi="宋体" w:eastAsia="宋体" w:cs="宋体"/>
          <w:b w:val="0"/>
          <w:bCs w:val="0"/>
          <w:snapToGrid w:val="0"/>
          <w:color w:val="auto"/>
          <w:spacing w:val="0"/>
          <w:w w:val="100"/>
          <w:kern w:val="0"/>
          <w:sz w:val="24"/>
          <w:szCs w:val="24"/>
          <w:lang w:val="en-US" w:eastAsia="en-US" w:bidi="ar-SA"/>
        </w:rPr>
      </w:pPr>
      <w:r>
        <w:rPr>
          <w:rFonts w:hint="eastAsia" w:ascii="宋体" w:hAnsi="宋体" w:eastAsia="宋体" w:cs="宋体"/>
          <w:b w:val="0"/>
          <w:bCs w:val="0"/>
          <w:snapToGrid w:val="0"/>
          <w:color w:val="auto"/>
          <w:spacing w:val="0"/>
          <w:w w:val="100"/>
          <w:kern w:val="0"/>
          <w:sz w:val="24"/>
          <w:szCs w:val="24"/>
          <w:lang w:val="en-US" w:eastAsia="zh-CN" w:bidi="ar-SA"/>
        </w:rPr>
        <w:t>2</w:t>
      </w:r>
      <w:r>
        <w:rPr>
          <w:rFonts w:hint="eastAsia" w:ascii="宋体" w:hAnsi="宋体" w:eastAsia="宋体" w:cs="宋体"/>
          <w:b w:val="0"/>
          <w:bCs w:val="0"/>
          <w:snapToGrid w:val="0"/>
          <w:color w:val="auto"/>
          <w:spacing w:val="0"/>
          <w:w w:val="100"/>
          <w:kern w:val="0"/>
          <w:sz w:val="24"/>
          <w:szCs w:val="24"/>
          <w:lang w:val="en-US" w:eastAsia="en-US" w:bidi="ar-SA"/>
        </w:rPr>
        <w:t>.2处置方式：飞灰水洗工艺及水泥窑协同处置。</w:t>
      </w:r>
    </w:p>
    <w:p w14:paraId="5DC53D24">
      <w:pPr>
        <w:keepNext w:val="0"/>
        <w:keepLines w:val="0"/>
        <w:pageBreakBefore w:val="0"/>
        <w:widowControl/>
        <w:kinsoku/>
        <w:wordWrap w:val="0"/>
        <w:overflowPunct/>
        <w:topLinePunct w:val="0"/>
        <w:autoSpaceDE w:val="0"/>
        <w:autoSpaceDN w:val="0"/>
        <w:bidi w:val="0"/>
        <w:adjustRightInd w:val="0"/>
        <w:snapToGrid w:val="0"/>
        <w:spacing w:before="0" w:line="360" w:lineRule="auto"/>
        <w:ind w:left="0" w:right="0" w:firstLine="480" w:firstLineChars="200"/>
        <w:jc w:val="left"/>
        <w:textAlignment w:val="baseline"/>
        <w:rPr>
          <w:rFonts w:hint="default" w:ascii="宋体" w:hAnsi="宋体" w:eastAsia="宋体" w:cs="宋体"/>
          <w:b w:val="0"/>
          <w:bCs w:val="0"/>
          <w:snapToGrid w:val="0"/>
          <w:color w:val="auto"/>
          <w:spacing w:val="0"/>
          <w:w w:val="100"/>
          <w:kern w:val="0"/>
          <w:sz w:val="24"/>
          <w:szCs w:val="24"/>
          <w:lang w:val="en-US" w:eastAsia="zh-CN" w:bidi="ar-SA"/>
        </w:rPr>
      </w:pPr>
      <w:r>
        <w:rPr>
          <w:rFonts w:hint="eastAsia" w:ascii="宋体" w:hAnsi="宋体" w:eastAsia="宋体" w:cs="宋体"/>
          <w:b w:val="0"/>
          <w:bCs w:val="0"/>
          <w:snapToGrid w:val="0"/>
          <w:color w:val="auto"/>
          <w:spacing w:val="0"/>
          <w:w w:val="100"/>
          <w:kern w:val="0"/>
          <w:sz w:val="24"/>
          <w:szCs w:val="24"/>
          <w:lang w:val="en-US" w:eastAsia="zh-CN" w:bidi="ar-SA"/>
        </w:rPr>
        <w:t>2</w:t>
      </w:r>
      <w:r>
        <w:rPr>
          <w:rFonts w:hint="eastAsia" w:ascii="宋体" w:hAnsi="宋体" w:eastAsia="宋体" w:cs="宋体"/>
          <w:b w:val="0"/>
          <w:bCs w:val="0"/>
          <w:snapToGrid w:val="0"/>
          <w:color w:val="auto"/>
          <w:spacing w:val="0"/>
          <w:w w:val="100"/>
          <w:kern w:val="0"/>
          <w:sz w:val="24"/>
          <w:szCs w:val="24"/>
          <w:lang w:val="en-US" w:eastAsia="en-US" w:bidi="ar-SA"/>
        </w:rPr>
        <w:t>.3服务期限：资</w:t>
      </w:r>
      <w:r>
        <w:rPr>
          <w:rFonts w:hint="eastAsia" w:ascii="宋体" w:hAnsi="宋体" w:eastAsia="宋体" w:cs="宋体"/>
          <w:b w:val="0"/>
          <w:bCs w:val="0"/>
          <w:snapToGrid w:val="0"/>
          <w:color w:val="auto"/>
          <w:spacing w:val="0"/>
          <w:w w:val="100"/>
          <w:kern w:val="0"/>
          <w:sz w:val="24"/>
          <w:szCs w:val="24"/>
          <w:highlight w:val="none"/>
          <w:lang w:val="en-US" w:eastAsia="en-US" w:bidi="ar-SA"/>
        </w:rPr>
        <w:t>源化处置</w:t>
      </w:r>
      <w:r>
        <w:rPr>
          <w:rFonts w:hint="eastAsia" w:ascii="宋体" w:hAnsi="宋体" w:eastAsia="宋体" w:cs="宋体"/>
          <w:b w:val="0"/>
          <w:bCs w:val="0"/>
          <w:snapToGrid w:val="0"/>
          <w:color w:val="auto"/>
          <w:spacing w:val="0"/>
          <w:w w:val="100"/>
          <w:kern w:val="0"/>
          <w:sz w:val="24"/>
          <w:szCs w:val="24"/>
          <w:highlight w:val="none"/>
          <w:lang w:val="en-US" w:eastAsia="zh-CN" w:bidi="ar-SA"/>
        </w:rPr>
        <w:t>合同签订日至2027年1月31日</w:t>
      </w:r>
    </w:p>
    <w:p w14:paraId="0E268709">
      <w:pPr>
        <w:keepNext w:val="0"/>
        <w:keepLines w:val="0"/>
        <w:pageBreakBefore w:val="0"/>
        <w:widowControl/>
        <w:kinsoku/>
        <w:wordWrap w:val="0"/>
        <w:overflowPunct/>
        <w:topLinePunct w:val="0"/>
        <w:autoSpaceDE w:val="0"/>
        <w:autoSpaceDN w:val="0"/>
        <w:bidi w:val="0"/>
        <w:adjustRightInd w:val="0"/>
        <w:snapToGrid w:val="0"/>
        <w:spacing w:before="0" w:line="360" w:lineRule="auto"/>
        <w:ind w:left="0" w:right="0" w:firstLine="480" w:firstLineChars="200"/>
        <w:jc w:val="left"/>
        <w:textAlignment w:val="baseline"/>
        <w:rPr>
          <w:rFonts w:hint="eastAsia" w:ascii="宋体" w:hAnsi="宋体" w:eastAsia="宋体" w:cs="宋体"/>
          <w:b w:val="0"/>
          <w:bCs w:val="0"/>
          <w:snapToGrid w:val="0"/>
          <w:color w:val="auto"/>
          <w:spacing w:val="0"/>
          <w:w w:val="100"/>
          <w:kern w:val="0"/>
          <w:sz w:val="24"/>
          <w:szCs w:val="24"/>
          <w:highlight w:val="none"/>
          <w:lang w:val="en-US" w:eastAsia="en-US" w:bidi="ar-SA"/>
        </w:rPr>
      </w:pPr>
      <w:r>
        <w:rPr>
          <w:rFonts w:hint="eastAsia" w:ascii="宋体" w:hAnsi="宋体" w:eastAsia="宋体" w:cs="宋体"/>
          <w:b w:val="0"/>
          <w:bCs w:val="0"/>
          <w:snapToGrid w:val="0"/>
          <w:color w:val="auto"/>
          <w:spacing w:val="0"/>
          <w:w w:val="100"/>
          <w:kern w:val="0"/>
          <w:sz w:val="24"/>
          <w:szCs w:val="24"/>
          <w:lang w:val="en-US" w:eastAsia="zh-CN" w:bidi="ar-SA"/>
        </w:rPr>
        <w:t>2</w:t>
      </w:r>
      <w:r>
        <w:rPr>
          <w:rFonts w:hint="eastAsia" w:ascii="宋体" w:hAnsi="宋体" w:eastAsia="宋体" w:cs="宋体"/>
          <w:b w:val="0"/>
          <w:bCs w:val="0"/>
          <w:snapToGrid w:val="0"/>
          <w:color w:val="auto"/>
          <w:spacing w:val="0"/>
          <w:w w:val="100"/>
          <w:kern w:val="0"/>
          <w:sz w:val="24"/>
          <w:szCs w:val="24"/>
          <w:highlight w:val="none"/>
          <w:lang w:val="en-US" w:eastAsia="en-US" w:bidi="ar-SA"/>
        </w:rPr>
        <w:t>.4服务期限预计处置飞灰量：</w:t>
      </w:r>
      <w:r>
        <w:rPr>
          <w:rFonts w:hint="eastAsia" w:ascii="宋体" w:hAnsi="宋体" w:eastAsia="宋体" w:cs="宋体"/>
          <w:b w:val="0"/>
          <w:bCs w:val="0"/>
          <w:snapToGrid w:val="0"/>
          <w:color w:val="auto"/>
          <w:spacing w:val="0"/>
          <w:w w:val="100"/>
          <w:kern w:val="0"/>
          <w:sz w:val="24"/>
          <w:szCs w:val="24"/>
          <w:highlight w:val="none"/>
          <w:lang w:val="en-US" w:eastAsia="zh-CN" w:bidi="ar-SA"/>
        </w:rPr>
        <w:t>2026年度产生的飞灰（原灰），最终按实际处置量据实结算</w:t>
      </w:r>
      <w:r>
        <w:rPr>
          <w:rFonts w:hint="eastAsia" w:ascii="宋体" w:hAnsi="宋体" w:eastAsia="宋体" w:cs="宋体"/>
          <w:b w:val="0"/>
          <w:bCs w:val="0"/>
          <w:snapToGrid w:val="0"/>
          <w:color w:val="auto"/>
          <w:spacing w:val="0"/>
          <w:w w:val="100"/>
          <w:kern w:val="0"/>
          <w:sz w:val="24"/>
          <w:szCs w:val="24"/>
          <w:highlight w:val="none"/>
          <w:lang w:val="en-US" w:eastAsia="en-US" w:bidi="ar-SA"/>
        </w:rPr>
        <w:t>。</w:t>
      </w:r>
    </w:p>
    <w:p w14:paraId="30F8A623">
      <w:pPr>
        <w:keepNext w:val="0"/>
        <w:keepLines w:val="0"/>
        <w:pageBreakBefore w:val="0"/>
        <w:widowControl/>
        <w:kinsoku/>
        <w:wordWrap w:val="0"/>
        <w:overflowPunct/>
        <w:topLinePunct w:val="0"/>
        <w:autoSpaceDE w:val="0"/>
        <w:autoSpaceDN w:val="0"/>
        <w:bidi w:val="0"/>
        <w:adjustRightInd w:val="0"/>
        <w:snapToGrid w:val="0"/>
        <w:spacing w:before="0" w:line="360" w:lineRule="auto"/>
        <w:ind w:left="0" w:right="0" w:firstLine="480" w:firstLineChars="200"/>
        <w:jc w:val="left"/>
        <w:textAlignment w:val="baseline"/>
        <w:rPr>
          <w:rFonts w:hint="eastAsia" w:ascii="宋体" w:hAnsi="宋体" w:eastAsia="宋体" w:cs="宋体"/>
          <w:b w:val="0"/>
          <w:bCs w:val="0"/>
          <w:snapToGrid w:val="0"/>
          <w:color w:val="auto"/>
          <w:spacing w:val="0"/>
          <w:w w:val="100"/>
          <w:kern w:val="0"/>
          <w:sz w:val="24"/>
          <w:szCs w:val="24"/>
          <w:lang w:val="en-US" w:eastAsia="en-US" w:bidi="ar-SA"/>
        </w:rPr>
      </w:pPr>
      <w:r>
        <w:rPr>
          <w:rFonts w:hint="eastAsia" w:ascii="宋体" w:hAnsi="宋体" w:eastAsia="宋体" w:cs="宋体"/>
          <w:b w:val="0"/>
          <w:bCs w:val="0"/>
          <w:snapToGrid w:val="0"/>
          <w:color w:val="auto"/>
          <w:spacing w:val="0"/>
          <w:w w:val="100"/>
          <w:kern w:val="0"/>
          <w:sz w:val="24"/>
          <w:szCs w:val="24"/>
          <w:lang w:val="en-US" w:eastAsia="zh-CN" w:bidi="ar-SA"/>
        </w:rPr>
        <w:t>2</w:t>
      </w:r>
      <w:r>
        <w:rPr>
          <w:rFonts w:hint="eastAsia" w:ascii="宋体" w:hAnsi="宋体" w:eastAsia="宋体" w:cs="宋体"/>
          <w:b w:val="0"/>
          <w:bCs w:val="0"/>
          <w:snapToGrid w:val="0"/>
          <w:color w:val="auto"/>
          <w:spacing w:val="0"/>
          <w:w w:val="100"/>
          <w:kern w:val="0"/>
          <w:sz w:val="24"/>
          <w:szCs w:val="24"/>
          <w:lang w:val="en-US" w:eastAsia="en-US" w:bidi="ar-SA"/>
        </w:rPr>
        <w:t>.5垃圾焚烧飞灰为吨袋打包(或罐车运输),供应商需负责到场卸货工作，供应商应合理安排生产，确保接受的飞灰原灰有足够的存放场地，及时完成资源化处理，不造成任何环境污染事件。</w:t>
      </w:r>
    </w:p>
    <w:p w14:paraId="7DAD56F7">
      <w:pPr>
        <w:keepNext w:val="0"/>
        <w:keepLines w:val="0"/>
        <w:pageBreakBefore w:val="0"/>
        <w:widowControl/>
        <w:kinsoku/>
        <w:wordWrap w:val="0"/>
        <w:overflowPunct/>
        <w:topLinePunct w:val="0"/>
        <w:autoSpaceDE w:val="0"/>
        <w:autoSpaceDN w:val="0"/>
        <w:bidi w:val="0"/>
        <w:adjustRightInd w:val="0"/>
        <w:snapToGrid w:val="0"/>
        <w:spacing w:before="0" w:line="360" w:lineRule="auto"/>
        <w:ind w:left="0" w:right="0"/>
        <w:jc w:val="left"/>
        <w:textAlignment w:val="baseline"/>
        <w:rPr>
          <w:rFonts w:hint="eastAsia" w:ascii="宋体" w:hAnsi="宋体" w:eastAsia="宋体" w:cs="宋体"/>
          <w:b w:val="0"/>
          <w:bCs w:val="0"/>
          <w:snapToGrid w:val="0"/>
          <w:color w:val="auto"/>
          <w:spacing w:val="0"/>
          <w:w w:val="100"/>
          <w:kern w:val="0"/>
          <w:sz w:val="24"/>
          <w:szCs w:val="24"/>
          <w:lang w:val="en-US" w:eastAsia="en-US" w:bidi="ar-SA"/>
        </w:rPr>
      </w:pPr>
      <w:r>
        <w:rPr>
          <w:rFonts w:hint="eastAsia" w:ascii="宋体" w:hAnsi="宋体" w:eastAsia="宋体" w:cs="宋体"/>
          <w:b w:val="0"/>
          <w:bCs w:val="0"/>
          <w:snapToGrid w:val="0"/>
          <w:color w:val="auto"/>
          <w:spacing w:val="0"/>
          <w:w w:val="100"/>
          <w:kern w:val="0"/>
          <w:sz w:val="24"/>
          <w:szCs w:val="24"/>
          <w:lang w:val="en-US" w:eastAsia="zh-CN" w:bidi="ar-SA"/>
        </w:rPr>
        <w:t>3</w:t>
      </w:r>
      <w:r>
        <w:rPr>
          <w:rFonts w:hint="eastAsia" w:ascii="宋体" w:hAnsi="宋体" w:eastAsia="宋体" w:cs="宋体"/>
          <w:b w:val="0"/>
          <w:bCs w:val="0"/>
          <w:snapToGrid w:val="0"/>
          <w:color w:val="auto"/>
          <w:spacing w:val="0"/>
          <w:w w:val="100"/>
          <w:kern w:val="0"/>
          <w:sz w:val="24"/>
          <w:szCs w:val="24"/>
          <w:lang w:val="en-US" w:eastAsia="en-US" w:bidi="ar-SA"/>
        </w:rPr>
        <w:t>、飞灰接收处置要求</w:t>
      </w:r>
    </w:p>
    <w:p w14:paraId="4A4F0917">
      <w:pPr>
        <w:keepNext w:val="0"/>
        <w:keepLines w:val="0"/>
        <w:pageBreakBefore w:val="0"/>
        <w:widowControl/>
        <w:kinsoku/>
        <w:wordWrap w:val="0"/>
        <w:overflowPunct/>
        <w:topLinePunct w:val="0"/>
        <w:autoSpaceDE w:val="0"/>
        <w:autoSpaceDN w:val="0"/>
        <w:bidi w:val="0"/>
        <w:adjustRightInd w:val="0"/>
        <w:snapToGrid w:val="0"/>
        <w:spacing w:before="0" w:line="360" w:lineRule="auto"/>
        <w:ind w:left="0" w:right="0" w:firstLine="490"/>
        <w:jc w:val="left"/>
        <w:textAlignment w:val="baseline"/>
        <w:rPr>
          <w:rFonts w:hint="eastAsia" w:ascii="宋体" w:hAnsi="宋体" w:eastAsia="宋体" w:cs="宋体"/>
          <w:b w:val="0"/>
          <w:bCs w:val="0"/>
          <w:snapToGrid w:val="0"/>
          <w:color w:val="0000FF"/>
          <w:spacing w:val="0"/>
          <w:w w:val="100"/>
          <w:kern w:val="0"/>
          <w:sz w:val="24"/>
          <w:szCs w:val="24"/>
          <w:highlight w:val="none"/>
          <w:lang w:val="en-US" w:eastAsia="en-US" w:bidi="ar-SA"/>
        </w:rPr>
      </w:pPr>
      <w:r>
        <w:rPr>
          <w:rFonts w:hint="eastAsia" w:ascii="宋体" w:hAnsi="宋体" w:eastAsia="宋体" w:cs="宋体"/>
          <w:b w:val="0"/>
          <w:bCs w:val="0"/>
          <w:snapToGrid w:val="0"/>
          <w:color w:val="auto"/>
          <w:spacing w:val="0"/>
          <w:w w:val="100"/>
          <w:kern w:val="0"/>
          <w:sz w:val="24"/>
          <w:szCs w:val="24"/>
          <w:lang w:val="en-US" w:eastAsia="zh-CN" w:bidi="ar-SA"/>
        </w:rPr>
        <w:t>3</w:t>
      </w:r>
      <w:r>
        <w:rPr>
          <w:rFonts w:hint="eastAsia" w:ascii="宋体" w:hAnsi="宋体" w:eastAsia="宋体" w:cs="宋体"/>
          <w:b w:val="0"/>
          <w:bCs w:val="0"/>
          <w:snapToGrid w:val="0"/>
          <w:color w:val="auto"/>
          <w:spacing w:val="0"/>
          <w:w w:val="100"/>
          <w:kern w:val="0"/>
          <w:sz w:val="24"/>
          <w:szCs w:val="24"/>
          <w:lang w:val="en-US" w:eastAsia="en-US" w:bidi="ar-SA"/>
        </w:rPr>
        <w:t>.1本项目属于危险废物处置项目，危险废物转移应当遵循危险废物就近处置原则，降低长距离运输环境风险。</w:t>
      </w:r>
      <w:r>
        <w:rPr>
          <w:rFonts w:hint="eastAsia" w:ascii="宋体" w:hAnsi="宋体" w:eastAsia="宋体" w:cs="宋体"/>
          <w:b w:val="0"/>
          <w:bCs w:val="0"/>
          <w:snapToGrid w:val="0"/>
          <w:color w:val="auto"/>
          <w:spacing w:val="0"/>
          <w:w w:val="100"/>
          <w:kern w:val="0"/>
          <w:sz w:val="24"/>
          <w:szCs w:val="24"/>
          <w:lang w:val="en-US" w:eastAsia="zh-CN" w:bidi="ar-SA"/>
        </w:rPr>
        <w:t>供应商</w:t>
      </w:r>
      <w:r>
        <w:rPr>
          <w:rFonts w:hint="eastAsia" w:ascii="宋体" w:hAnsi="宋体" w:eastAsia="宋体" w:cs="宋体"/>
          <w:b w:val="0"/>
          <w:bCs w:val="0"/>
          <w:snapToGrid w:val="0"/>
          <w:color w:val="auto"/>
          <w:spacing w:val="0"/>
          <w:w w:val="100"/>
          <w:kern w:val="0"/>
          <w:sz w:val="24"/>
          <w:szCs w:val="24"/>
          <w:lang w:val="en-US" w:eastAsia="en-US" w:bidi="ar-SA"/>
        </w:rPr>
        <w:t>须具备对应类别危险废物经营许可证，全过程严格执行危险废物转移联单制度，满足国家及地方生态环境保护相关规范要求。如项目确需跨省转移危险废物，</w:t>
      </w:r>
      <w:r>
        <w:rPr>
          <w:rFonts w:hint="eastAsia" w:ascii="宋体" w:hAnsi="宋体" w:eastAsia="宋体" w:cs="宋体"/>
          <w:b w:val="0"/>
          <w:bCs w:val="0"/>
          <w:snapToGrid w:val="0"/>
          <w:color w:val="auto"/>
          <w:spacing w:val="0"/>
          <w:w w:val="100"/>
          <w:kern w:val="0"/>
          <w:sz w:val="24"/>
          <w:szCs w:val="24"/>
          <w:lang w:val="en-US" w:eastAsia="zh-CN" w:bidi="ar-SA"/>
        </w:rPr>
        <w:t>中标</w:t>
      </w:r>
      <w:r>
        <w:rPr>
          <w:rFonts w:hint="eastAsia" w:ascii="宋体" w:hAnsi="宋体" w:eastAsia="宋体" w:cs="宋体"/>
          <w:b w:val="0"/>
          <w:bCs w:val="0"/>
          <w:snapToGrid w:val="0"/>
          <w:color w:val="auto"/>
          <w:spacing w:val="0"/>
          <w:w w:val="100"/>
          <w:kern w:val="0"/>
          <w:sz w:val="24"/>
          <w:szCs w:val="24"/>
          <w:lang w:val="en-US" w:eastAsia="en-US" w:bidi="ar-SA"/>
        </w:rPr>
        <w:t>省外处置单位须在</w:t>
      </w:r>
      <w:r>
        <w:rPr>
          <w:rFonts w:hint="eastAsia" w:ascii="宋体" w:hAnsi="宋体" w:eastAsia="宋体" w:cs="宋体"/>
          <w:b w:val="0"/>
          <w:bCs w:val="0"/>
          <w:snapToGrid w:val="0"/>
          <w:color w:val="auto"/>
          <w:spacing w:val="0"/>
          <w:w w:val="100"/>
          <w:kern w:val="0"/>
          <w:sz w:val="24"/>
          <w:szCs w:val="24"/>
          <w:lang w:val="en-US" w:eastAsia="zh-CN" w:bidi="ar-SA"/>
        </w:rPr>
        <w:t>合同签订前</w:t>
      </w:r>
      <w:r>
        <w:rPr>
          <w:rFonts w:hint="eastAsia" w:ascii="宋体" w:hAnsi="宋体" w:eastAsia="宋体" w:cs="宋体"/>
          <w:b w:val="0"/>
          <w:bCs w:val="0"/>
          <w:snapToGrid w:val="0"/>
          <w:color w:val="auto"/>
          <w:spacing w:val="0"/>
          <w:w w:val="100"/>
          <w:kern w:val="0"/>
          <w:sz w:val="24"/>
          <w:szCs w:val="24"/>
          <w:lang w:val="en-US" w:eastAsia="en-US" w:bidi="ar-SA"/>
        </w:rPr>
        <w:t>办理</w:t>
      </w:r>
      <w:r>
        <w:rPr>
          <w:rFonts w:hint="eastAsia" w:ascii="宋体" w:hAnsi="宋体" w:eastAsia="宋体" w:cs="宋体"/>
          <w:b w:val="0"/>
          <w:bCs w:val="0"/>
          <w:snapToGrid w:val="0"/>
          <w:color w:val="auto"/>
          <w:spacing w:val="0"/>
          <w:w w:val="100"/>
          <w:kern w:val="0"/>
          <w:sz w:val="24"/>
          <w:szCs w:val="24"/>
          <w:lang w:val="en-US" w:eastAsia="zh-CN" w:bidi="ar-SA"/>
        </w:rPr>
        <w:t>完成</w:t>
      </w:r>
      <w:r>
        <w:rPr>
          <w:rFonts w:hint="eastAsia" w:ascii="宋体" w:hAnsi="宋体" w:eastAsia="宋体" w:cs="宋体"/>
          <w:b w:val="0"/>
          <w:bCs w:val="0"/>
          <w:snapToGrid w:val="0"/>
          <w:color w:val="auto"/>
          <w:spacing w:val="0"/>
          <w:w w:val="100"/>
          <w:kern w:val="0"/>
          <w:sz w:val="24"/>
          <w:szCs w:val="24"/>
          <w:lang w:val="en-US" w:eastAsia="en-US" w:bidi="ar-SA"/>
        </w:rPr>
        <w:t>跨省转移审批相关手续，并承担因自身资质、材料不符合要求造成审批不能通过、项目无法履约的全部法律及经济责任。</w:t>
      </w:r>
    </w:p>
    <w:p w14:paraId="67DE1605">
      <w:pPr>
        <w:keepNext w:val="0"/>
        <w:keepLines w:val="0"/>
        <w:pageBreakBefore w:val="0"/>
        <w:widowControl/>
        <w:kinsoku/>
        <w:wordWrap w:val="0"/>
        <w:overflowPunct/>
        <w:topLinePunct w:val="0"/>
        <w:autoSpaceDE w:val="0"/>
        <w:autoSpaceDN w:val="0"/>
        <w:bidi w:val="0"/>
        <w:adjustRightInd w:val="0"/>
        <w:snapToGrid w:val="0"/>
        <w:spacing w:before="0" w:line="360" w:lineRule="auto"/>
        <w:ind w:left="0" w:right="0" w:firstLine="490"/>
        <w:jc w:val="left"/>
        <w:textAlignment w:val="baseline"/>
        <w:rPr>
          <w:rFonts w:hint="eastAsia" w:ascii="宋体" w:hAnsi="宋体" w:eastAsia="宋体" w:cs="宋体"/>
          <w:b w:val="0"/>
          <w:bCs w:val="0"/>
          <w:snapToGrid w:val="0"/>
          <w:color w:val="auto"/>
          <w:spacing w:val="0"/>
          <w:w w:val="100"/>
          <w:kern w:val="0"/>
          <w:sz w:val="24"/>
          <w:szCs w:val="24"/>
          <w:lang w:val="en-US" w:eastAsia="en-US" w:bidi="ar-SA"/>
        </w:rPr>
      </w:pPr>
      <w:r>
        <w:rPr>
          <w:rFonts w:hint="eastAsia" w:ascii="宋体" w:hAnsi="宋体" w:eastAsia="宋体" w:cs="宋体"/>
          <w:b w:val="0"/>
          <w:bCs w:val="0"/>
          <w:snapToGrid w:val="0"/>
          <w:color w:val="auto"/>
          <w:spacing w:val="0"/>
          <w:w w:val="100"/>
          <w:kern w:val="0"/>
          <w:sz w:val="24"/>
          <w:szCs w:val="24"/>
          <w:lang w:val="en-US" w:eastAsia="zh-CN" w:bidi="ar-SA"/>
        </w:rPr>
        <w:t>3.2</w:t>
      </w:r>
      <w:r>
        <w:rPr>
          <w:rFonts w:hint="eastAsia" w:ascii="宋体" w:hAnsi="宋体" w:eastAsia="宋体" w:cs="宋体"/>
          <w:b w:val="0"/>
          <w:bCs w:val="0"/>
          <w:snapToGrid w:val="0"/>
          <w:color w:val="auto"/>
          <w:spacing w:val="0"/>
          <w:w w:val="100"/>
          <w:kern w:val="0"/>
          <w:sz w:val="24"/>
          <w:szCs w:val="24"/>
          <w:lang w:val="en-US" w:eastAsia="en-US" w:bidi="ar-SA"/>
        </w:rPr>
        <w:t>供应商应具备承担本项目飞灰资源化处置能力和资质，包括但不限于营业执照、环评及批复等。</w:t>
      </w:r>
    </w:p>
    <w:p w14:paraId="7C2F7EA4">
      <w:pPr>
        <w:keepNext w:val="0"/>
        <w:keepLines w:val="0"/>
        <w:pageBreakBefore w:val="0"/>
        <w:widowControl/>
        <w:kinsoku/>
        <w:wordWrap w:val="0"/>
        <w:overflowPunct/>
        <w:topLinePunct w:val="0"/>
        <w:autoSpaceDE w:val="0"/>
        <w:autoSpaceDN w:val="0"/>
        <w:bidi w:val="0"/>
        <w:adjustRightInd w:val="0"/>
        <w:snapToGrid w:val="0"/>
        <w:spacing w:before="0" w:line="360" w:lineRule="auto"/>
        <w:ind w:left="0" w:right="0" w:firstLine="490"/>
        <w:jc w:val="left"/>
        <w:textAlignment w:val="baseline"/>
        <w:rPr>
          <w:rFonts w:hint="eastAsia" w:ascii="宋体" w:hAnsi="宋体" w:eastAsia="宋体" w:cs="宋体"/>
          <w:b w:val="0"/>
          <w:bCs w:val="0"/>
          <w:snapToGrid w:val="0"/>
          <w:color w:val="auto"/>
          <w:spacing w:val="0"/>
          <w:w w:val="100"/>
          <w:kern w:val="0"/>
          <w:sz w:val="24"/>
          <w:szCs w:val="24"/>
          <w:lang w:eastAsia="en-US"/>
        </w:rPr>
      </w:pPr>
      <w:r>
        <w:rPr>
          <w:rFonts w:hint="eastAsia" w:ascii="宋体" w:hAnsi="宋体" w:eastAsia="宋体" w:cs="宋体"/>
          <w:b w:val="0"/>
          <w:bCs w:val="0"/>
          <w:snapToGrid w:val="0"/>
          <w:color w:val="auto"/>
          <w:spacing w:val="0"/>
          <w:w w:val="100"/>
          <w:kern w:val="0"/>
          <w:sz w:val="24"/>
          <w:szCs w:val="24"/>
          <w:lang w:val="en-US" w:eastAsia="zh-CN" w:bidi="ar-SA"/>
        </w:rPr>
        <w:t>3</w:t>
      </w:r>
      <w:r>
        <w:rPr>
          <w:rFonts w:hint="eastAsia" w:ascii="宋体" w:hAnsi="宋体" w:eastAsia="宋体" w:cs="宋体"/>
          <w:b w:val="0"/>
          <w:bCs w:val="0"/>
          <w:snapToGrid w:val="0"/>
          <w:color w:val="auto"/>
          <w:spacing w:val="0"/>
          <w:w w:val="100"/>
          <w:kern w:val="0"/>
          <w:sz w:val="24"/>
          <w:szCs w:val="24"/>
          <w:lang w:val="en-US" w:eastAsia="en-US" w:bidi="ar-SA"/>
        </w:rPr>
        <w:t>.</w:t>
      </w:r>
      <w:r>
        <w:rPr>
          <w:rFonts w:hint="eastAsia" w:ascii="宋体" w:hAnsi="宋体" w:eastAsia="宋体" w:cs="宋体"/>
          <w:b w:val="0"/>
          <w:bCs w:val="0"/>
          <w:snapToGrid w:val="0"/>
          <w:color w:val="auto"/>
          <w:spacing w:val="0"/>
          <w:w w:val="100"/>
          <w:kern w:val="0"/>
          <w:sz w:val="24"/>
          <w:szCs w:val="24"/>
          <w:lang w:val="en-US" w:eastAsia="zh-CN" w:bidi="ar-SA"/>
        </w:rPr>
        <w:t>3</w:t>
      </w:r>
      <w:r>
        <w:rPr>
          <w:rFonts w:hint="eastAsia" w:ascii="宋体" w:hAnsi="宋体" w:eastAsia="宋体" w:cs="宋体"/>
          <w:b w:val="0"/>
          <w:bCs w:val="0"/>
          <w:snapToGrid w:val="0"/>
          <w:color w:val="auto"/>
          <w:spacing w:val="0"/>
          <w:w w:val="100"/>
          <w:kern w:val="0"/>
          <w:sz w:val="24"/>
          <w:szCs w:val="24"/>
          <w:lang w:val="en-US" w:eastAsia="en-US" w:bidi="ar-SA"/>
        </w:rPr>
        <w:t>供应商需采用符合国家及地方环保标准的成熟技术对飞灰进行处置。处置工艺为水泥窑协同处置。供应商在进行飞灰处置时，应确保处置过程及处置后的产物符合国家及地方相关标准和规范要求，如重金属浸出浓度符合国家标准限值，实现飞灰的无害化、资源化利用处置。</w:t>
      </w:r>
    </w:p>
    <w:p w14:paraId="751CD09C">
      <w:pPr>
        <w:keepNext w:val="0"/>
        <w:keepLines w:val="0"/>
        <w:pageBreakBefore w:val="0"/>
        <w:widowControl/>
        <w:kinsoku/>
        <w:wordWrap w:val="0"/>
        <w:overflowPunct/>
        <w:topLinePunct w:val="0"/>
        <w:autoSpaceDE w:val="0"/>
        <w:autoSpaceDN w:val="0"/>
        <w:bidi w:val="0"/>
        <w:adjustRightInd w:val="0"/>
        <w:snapToGrid w:val="0"/>
        <w:spacing w:before="0" w:line="360" w:lineRule="auto"/>
        <w:ind w:left="0" w:right="0" w:firstLine="490"/>
        <w:jc w:val="left"/>
        <w:textAlignment w:val="baseline"/>
        <w:rPr>
          <w:rFonts w:hint="eastAsia" w:ascii="宋体" w:hAnsi="宋体" w:eastAsia="宋体" w:cs="宋体"/>
          <w:b w:val="0"/>
          <w:bCs w:val="0"/>
          <w:snapToGrid w:val="0"/>
          <w:color w:val="auto"/>
          <w:spacing w:val="0"/>
          <w:w w:val="100"/>
          <w:kern w:val="0"/>
          <w:sz w:val="24"/>
          <w:szCs w:val="24"/>
          <w:lang w:val="en-US" w:eastAsia="en-US" w:bidi="ar-SA"/>
        </w:rPr>
      </w:pPr>
      <w:r>
        <w:rPr>
          <w:rFonts w:hint="eastAsia" w:ascii="宋体" w:hAnsi="宋体" w:eastAsia="宋体" w:cs="宋体"/>
          <w:b w:val="0"/>
          <w:bCs w:val="0"/>
          <w:snapToGrid w:val="0"/>
          <w:color w:val="auto"/>
          <w:spacing w:val="0"/>
          <w:w w:val="100"/>
          <w:kern w:val="0"/>
          <w:sz w:val="24"/>
          <w:szCs w:val="24"/>
          <w:lang w:val="en-US" w:eastAsia="zh-CN" w:bidi="ar-SA"/>
        </w:rPr>
        <w:t>3</w:t>
      </w:r>
      <w:r>
        <w:rPr>
          <w:rFonts w:hint="eastAsia" w:ascii="宋体" w:hAnsi="宋体" w:eastAsia="宋体" w:cs="宋体"/>
          <w:b w:val="0"/>
          <w:bCs w:val="0"/>
          <w:snapToGrid w:val="0"/>
          <w:color w:val="auto"/>
          <w:spacing w:val="0"/>
          <w:w w:val="100"/>
          <w:kern w:val="0"/>
          <w:sz w:val="24"/>
          <w:szCs w:val="24"/>
          <w:lang w:val="en-US" w:eastAsia="en-US" w:bidi="ar-SA"/>
        </w:rPr>
        <w:t>.</w:t>
      </w:r>
      <w:r>
        <w:rPr>
          <w:rFonts w:hint="eastAsia" w:ascii="宋体" w:hAnsi="宋体" w:eastAsia="宋体" w:cs="宋体"/>
          <w:b w:val="0"/>
          <w:bCs w:val="0"/>
          <w:snapToGrid w:val="0"/>
          <w:color w:val="auto"/>
          <w:spacing w:val="0"/>
          <w:w w:val="100"/>
          <w:kern w:val="0"/>
          <w:sz w:val="24"/>
          <w:szCs w:val="24"/>
          <w:lang w:val="en-US" w:eastAsia="zh-CN" w:bidi="ar-SA"/>
        </w:rPr>
        <w:t>4</w:t>
      </w:r>
      <w:r>
        <w:rPr>
          <w:rFonts w:hint="eastAsia" w:ascii="宋体" w:hAnsi="宋体" w:eastAsia="宋体" w:cs="宋体"/>
          <w:b w:val="0"/>
          <w:bCs w:val="0"/>
          <w:snapToGrid w:val="0"/>
          <w:color w:val="auto"/>
          <w:spacing w:val="0"/>
          <w:w w:val="100"/>
          <w:kern w:val="0"/>
          <w:sz w:val="24"/>
          <w:szCs w:val="24"/>
          <w:lang w:val="en-US" w:eastAsia="en-US" w:bidi="ar-SA"/>
        </w:rPr>
        <w:t>供应商应严格按照《危险废物转移管理办法》及张家界市当地生态环境局的有关规定，严格落实危险废物转移电子联单过程管理及相关手续办理，及时报送当地生态环境局登记备案，由于供应商未及时办理转移电子联单造成的相关后果自行承担。</w:t>
      </w:r>
    </w:p>
    <w:p w14:paraId="411EF691">
      <w:pPr>
        <w:keepNext w:val="0"/>
        <w:keepLines w:val="0"/>
        <w:pageBreakBefore w:val="0"/>
        <w:widowControl/>
        <w:kinsoku/>
        <w:wordWrap w:val="0"/>
        <w:overflowPunct/>
        <w:topLinePunct w:val="0"/>
        <w:autoSpaceDE w:val="0"/>
        <w:autoSpaceDN w:val="0"/>
        <w:bidi w:val="0"/>
        <w:adjustRightInd w:val="0"/>
        <w:snapToGrid w:val="0"/>
        <w:spacing w:before="0" w:line="360" w:lineRule="auto"/>
        <w:ind w:left="0" w:right="0" w:firstLine="490"/>
        <w:jc w:val="left"/>
        <w:textAlignment w:val="baseline"/>
        <w:rPr>
          <w:rFonts w:hint="eastAsia" w:ascii="宋体" w:hAnsi="宋体" w:eastAsia="宋体" w:cs="宋体"/>
          <w:b w:val="0"/>
          <w:bCs w:val="0"/>
          <w:snapToGrid w:val="0"/>
          <w:color w:val="auto"/>
          <w:spacing w:val="0"/>
          <w:w w:val="100"/>
          <w:kern w:val="0"/>
          <w:sz w:val="24"/>
          <w:szCs w:val="24"/>
          <w:lang w:val="en-US" w:eastAsia="en-US" w:bidi="ar-SA"/>
        </w:rPr>
      </w:pPr>
      <w:r>
        <w:rPr>
          <w:rFonts w:hint="default" w:ascii="宋体" w:hAnsi="宋体" w:eastAsia="宋体" w:cs="宋体"/>
          <w:b w:val="0"/>
          <w:bCs w:val="0"/>
          <w:snapToGrid w:val="0"/>
          <w:color w:val="auto"/>
          <w:spacing w:val="0"/>
          <w:w w:val="100"/>
          <w:kern w:val="0"/>
          <w:sz w:val="24"/>
          <w:szCs w:val="24"/>
          <w:lang w:val="en-US" w:eastAsia="en-US" w:bidi="ar-SA"/>
        </w:rPr>
        <w:drawing>
          <wp:anchor distT="0" distB="0" distL="0" distR="0" simplePos="0" relativeHeight="251659264" behindDoc="0" locked="0" layoutInCell="1" allowOverlap="1">
            <wp:simplePos x="0" y="0"/>
            <wp:positionH relativeFrom="column">
              <wp:posOffset>6851650</wp:posOffset>
            </wp:positionH>
            <wp:positionV relativeFrom="paragraph">
              <wp:posOffset>902335</wp:posOffset>
            </wp:positionV>
            <wp:extent cx="254000" cy="1060450"/>
            <wp:effectExtent l="0" t="0" r="12700" b="6350"/>
            <wp:wrapNone/>
            <wp:docPr id="1026" name="IM 20"/>
            <wp:cNvGraphicFramePr/>
            <a:graphic xmlns:a="http://schemas.openxmlformats.org/drawingml/2006/main">
              <a:graphicData uri="http://schemas.openxmlformats.org/drawingml/2006/picture">
                <pic:pic xmlns:pic="http://schemas.openxmlformats.org/drawingml/2006/picture">
                  <pic:nvPicPr>
                    <pic:cNvPr id="1026" name="IM 20"/>
                    <pic:cNvPicPr/>
                  </pic:nvPicPr>
                  <pic:blipFill>
                    <a:blip r:embed="rId4" cstate="print"/>
                    <a:srcRect/>
                    <a:stretch>
                      <a:fillRect/>
                    </a:stretch>
                  </pic:blipFill>
                  <pic:spPr>
                    <a:xfrm>
                      <a:off x="0" y="0"/>
                      <a:ext cx="254000" cy="1060450"/>
                    </a:xfrm>
                    <a:prstGeom prst="rect">
                      <a:avLst/>
                    </a:prstGeom>
                  </pic:spPr>
                </pic:pic>
              </a:graphicData>
            </a:graphic>
          </wp:anchor>
        </w:drawing>
      </w:r>
      <w:r>
        <w:rPr>
          <w:rFonts w:hint="eastAsia" w:ascii="宋体" w:hAnsi="宋体" w:eastAsia="宋体" w:cs="宋体"/>
          <w:b w:val="0"/>
          <w:bCs w:val="0"/>
          <w:snapToGrid w:val="0"/>
          <w:color w:val="auto"/>
          <w:spacing w:val="0"/>
          <w:w w:val="100"/>
          <w:kern w:val="0"/>
          <w:sz w:val="24"/>
          <w:szCs w:val="24"/>
          <w:lang w:val="en-US" w:eastAsia="zh-CN" w:bidi="ar-SA"/>
        </w:rPr>
        <w:t>3</w:t>
      </w:r>
      <w:r>
        <w:rPr>
          <w:rFonts w:hint="eastAsia" w:ascii="宋体" w:hAnsi="宋体" w:eastAsia="宋体" w:cs="宋体"/>
          <w:b w:val="0"/>
          <w:bCs w:val="0"/>
          <w:snapToGrid w:val="0"/>
          <w:color w:val="auto"/>
          <w:spacing w:val="0"/>
          <w:w w:val="100"/>
          <w:kern w:val="0"/>
          <w:sz w:val="24"/>
          <w:szCs w:val="24"/>
          <w:lang w:val="en-US" w:eastAsia="en-US" w:bidi="ar-SA"/>
        </w:rPr>
        <w:t>.</w:t>
      </w:r>
      <w:r>
        <w:rPr>
          <w:rFonts w:hint="eastAsia" w:ascii="宋体" w:hAnsi="宋体" w:eastAsia="宋体" w:cs="宋体"/>
          <w:b w:val="0"/>
          <w:bCs w:val="0"/>
          <w:snapToGrid w:val="0"/>
          <w:color w:val="auto"/>
          <w:spacing w:val="0"/>
          <w:w w:val="100"/>
          <w:kern w:val="0"/>
          <w:sz w:val="24"/>
          <w:szCs w:val="24"/>
          <w:lang w:val="en-US" w:eastAsia="zh-CN" w:bidi="ar-SA"/>
        </w:rPr>
        <w:t>5</w:t>
      </w:r>
      <w:r>
        <w:rPr>
          <w:rFonts w:hint="eastAsia" w:ascii="宋体" w:hAnsi="宋体" w:eastAsia="宋体" w:cs="宋体"/>
          <w:b w:val="0"/>
          <w:bCs w:val="0"/>
          <w:snapToGrid w:val="0"/>
          <w:color w:val="auto"/>
          <w:spacing w:val="0"/>
          <w:w w:val="100"/>
          <w:kern w:val="0"/>
          <w:sz w:val="24"/>
          <w:szCs w:val="24"/>
          <w:lang w:val="en-US" w:eastAsia="en-US" w:bidi="ar-SA"/>
        </w:rPr>
        <w:t>供应商自行承担飞灰处置过程中可能出现的突发环境事件所产生的责任，如泄漏、火灾等。</w:t>
      </w:r>
    </w:p>
    <w:p w14:paraId="4E9AE81F">
      <w:pPr>
        <w:keepNext w:val="0"/>
        <w:keepLines w:val="0"/>
        <w:pageBreakBefore w:val="0"/>
        <w:widowControl/>
        <w:kinsoku/>
        <w:wordWrap w:val="0"/>
        <w:overflowPunct/>
        <w:topLinePunct w:val="0"/>
        <w:autoSpaceDE w:val="0"/>
        <w:autoSpaceDN w:val="0"/>
        <w:bidi w:val="0"/>
        <w:adjustRightInd w:val="0"/>
        <w:snapToGrid w:val="0"/>
        <w:spacing w:before="0" w:line="360" w:lineRule="auto"/>
        <w:ind w:left="0" w:right="0" w:firstLine="490"/>
        <w:jc w:val="left"/>
        <w:textAlignment w:val="baseline"/>
        <w:rPr>
          <w:rFonts w:hint="eastAsia" w:ascii="宋体" w:hAnsi="宋体" w:eastAsia="宋体" w:cs="宋体"/>
          <w:b w:val="0"/>
          <w:bCs w:val="0"/>
          <w:snapToGrid w:val="0"/>
          <w:color w:val="auto"/>
          <w:spacing w:val="0"/>
          <w:w w:val="100"/>
          <w:kern w:val="0"/>
          <w:sz w:val="24"/>
          <w:szCs w:val="24"/>
          <w:lang w:val="en-US" w:eastAsia="en-US" w:bidi="ar-SA"/>
        </w:rPr>
      </w:pPr>
      <w:r>
        <w:rPr>
          <w:rFonts w:hint="eastAsia" w:ascii="宋体" w:hAnsi="宋体" w:eastAsia="宋体" w:cs="宋体"/>
          <w:b w:val="0"/>
          <w:bCs w:val="0"/>
          <w:snapToGrid w:val="0"/>
          <w:color w:val="auto"/>
          <w:spacing w:val="0"/>
          <w:w w:val="100"/>
          <w:kern w:val="0"/>
          <w:sz w:val="24"/>
          <w:szCs w:val="24"/>
          <w:lang w:val="en-US" w:eastAsia="zh-CN" w:bidi="ar-SA"/>
        </w:rPr>
        <w:t>3</w:t>
      </w:r>
      <w:r>
        <w:rPr>
          <w:rFonts w:hint="eastAsia" w:ascii="宋体" w:hAnsi="宋体" w:eastAsia="宋体" w:cs="宋体"/>
          <w:b w:val="0"/>
          <w:bCs w:val="0"/>
          <w:snapToGrid w:val="0"/>
          <w:color w:val="auto"/>
          <w:spacing w:val="0"/>
          <w:w w:val="100"/>
          <w:kern w:val="0"/>
          <w:sz w:val="24"/>
          <w:szCs w:val="24"/>
          <w:lang w:val="en-US" w:eastAsia="en-US" w:bidi="ar-SA"/>
        </w:rPr>
        <w:t>.</w:t>
      </w:r>
      <w:r>
        <w:rPr>
          <w:rFonts w:hint="eastAsia" w:ascii="宋体" w:hAnsi="宋体" w:eastAsia="宋体" w:cs="宋体"/>
          <w:b w:val="0"/>
          <w:bCs w:val="0"/>
          <w:snapToGrid w:val="0"/>
          <w:color w:val="auto"/>
          <w:spacing w:val="0"/>
          <w:w w:val="100"/>
          <w:kern w:val="0"/>
          <w:sz w:val="24"/>
          <w:szCs w:val="24"/>
          <w:lang w:val="en-US" w:eastAsia="zh-CN" w:bidi="ar-SA"/>
        </w:rPr>
        <w:t>6</w:t>
      </w:r>
      <w:r>
        <w:rPr>
          <w:rFonts w:hint="eastAsia" w:ascii="宋体" w:hAnsi="宋体" w:eastAsia="宋体" w:cs="宋体"/>
          <w:b w:val="0"/>
          <w:bCs w:val="0"/>
          <w:snapToGrid w:val="0"/>
          <w:color w:val="auto"/>
          <w:spacing w:val="0"/>
          <w:w w:val="100"/>
          <w:kern w:val="0"/>
          <w:sz w:val="24"/>
          <w:szCs w:val="24"/>
          <w:lang w:val="en-US" w:eastAsia="en-US" w:bidi="ar-SA"/>
        </w:rPr>
        <w:t>招标方向供应商提出转运计划需求后，供应商应积极筹备接收准备工作，在3个工作日内完成接收。不可抗力因素(指受诸如战争、严重的火灾、台风、地震、洪水、停限电以及任何其他不能预见、不能避免且不能克服的事件)影响的情况下，转运时间相应顺延。</w:t>
      </w:r>
    </w:p>
    <w:p w14:paraId="0CDB7F5A">
      <w:pPr>
        <w:keepNext w:val="0"/>
        <w:keepLines w:val="0"/>
        <w:pageBreakBefore w:val="0"/>
        <w:widowControl/>
        <w:kinsoku/>
        <w:wordWrap w:val="0"/>
        <w:overflowPunct/>
        <w:topLinePunct w:val="0"/>
        <w:autoSpaceDE w:val="0"/>
        <w:autoSpaceDN w:val="0"/>
        <w:bidi w:val="0"/>
        <w:adjustRightInd w:val="0"/>
        <w:snapToGrid w:val="0"/>
        <w:spacing w:before="0" w:line="360" w:lineRule="auto"/>
        <w:ind w:left="0" w:right="0" w:firstLine="490"/>
        <w:jc w:val="left"/>
        <w:textAlignment w:val="baseline"/>
        <w:rPr>
          <w:rFonts w:hint="eastAsia" w:ascii="宋体" w:hAnsi="宋体" w:eastAsia="宋体" w:cs="宋体"/>
          <w:i w:val="0"/>
          <w:iCs w:val="0"/>
          <w:color w:val="auto"/>
          <w:sz w:val="21"/>
          <w:szCs w:val="21"/>
          <w:u w:val="single"/>
          <w:lang w:val="en-US" w:eastAsia="zh-CN"/>
        </w:rPr>
      </w:pPr>
      <w:r>
        <w:rPr>
          <w:rFonts w:hint="eastAsia" w:ascii="宋体" w:hAnsi="宋体" w:eastAsia="宋体" w:cs="宋体"/>
          <w:b w:val="0"/>
          <w:bCs w:val="0"/>
          <w:snapToGrid w:val="0"/>
          <w:color w:val="auto"/>
          <w:spacing w:val="0"/>
          <w:w w:val="100"/>
          <w:kern w:val="0"/>
          <w:sz w:val="24"/>
          <w:szCs w:val="24"/>
          <w:lang w:val="en-US" w:eastAsia="zh-CN"/>
        </w:rPr>
        <w:t>3</w:t>
      </w:r>
      <w:r>
        <w:rPr>
          <w:rFonts w:hint="eastAsia" w:ascii="宋体" w:hAnsi="宋体" w:eastAsia="宋体" w:cs="宋体"/>
          <w:b w:val="0"/>
          <w:bCs w:val="0"/>
          <w:snapToGrid w:val="0"/>
          <w:color w:val="auto"/>
          <w:spacing w:val="0"/>
          <w:w w:val="100"/>
          <w:kern w:val="0"/>
          <w:sz w:val="24"/>
          <w:szCs w:val="24"/>
          <w:lang w:eastAsia="en-US"/>
        </w:rPr>
        <w:t>.</w:t>
      </w:r>
      <w:r>
        <w:rPr>
          <w:rFonts w:hint="eastAsia" w:ascii="宋体" w:hAnsi="宋体" w:eastAsia="宋体" w:cs="宋体"/>
          <w:b w:val="0"/>
          <w:bCs w:val="0"/>
          <w:snapToGrid w:val="0"/>
          <w:color w:val="auto"/>
          <w:spacing w:val="0"/>
          <w:w w:val="100"/>
          <w:kern w:val="0"/>
          <w:sz w:val="24"/>
          <w:szCs w:val="24"/>
          <w:lang w:val="en-US" w:eastAsia="zh-CN"/>
        </w:rPr>
        <w:t>7</w:t>
      </w:r>
      <w:r>
        <w:rPr>
          <w:rFonts w:hint="eastAsia" w:ascii="宋体" w:hAnsi="宋体" w:eastAsia="宋体" w:cs="宋体"/>
          <w:b w:val="0"/>
          <w:bCs w:val="0"/>
          <w:snapToGrid w:val="0"/>
          <w:color w:val="auto"/>
          <w:spacing w:val="0"/>
          <w:w w:val="100"/>
          <w:kern w:val="0"/>
          <w:sz w:val="24"/>
          <w:szCs w:val="24"/>
          <w:lang w:eastAsia="en-US"/>
        </w:rPr>
        <w:t>供应商应具备足够的飞灰贮存条件，保证设备检修、设备故障期间飞灰正常接收暂存。</w:t>
      </w:r>
    </w:p>
    <w:p w14:paraId="55FBE03A">
      <w:pPr>
        <w:pStyle w:val="10"/>
        <w:keepNext w:val="0"/>
        <w:keepLines w:val="0"/>
        <w:pageBreakBefore w:val="0"/>
        <w:widowControl/>
        <w:numPr>
          <w:ilvl w:val="0"/>
          <w:numId w:val="0"/>
        </w:numPr>
        <w:kinsoku/>
        <w:wordWrap/>
        <w:overflowPunct/>
        <w:topLinePunct w:val="0"/>
        <w:autoSpaceDE/>
        <w:autoSpaceDN/>
        <w:bidi w:val="0"/>
        <w:adjustRightInd/>
        <w:snapToGrid/>
        <w:spacing w:line="480" w:lineRule="auto"/>
        <w:textAlignment w:val="auto"/>
        <w:rPr>
          <w:rFonts w:hint="eastAsia" w:ascii="宋体" w:hAnsi="宋体" w:eastAsia="宋体" w:cs="宋体"/>
          <w:b/>
          <w:bCs/>
          <w:i w:val="0"/>
          <w:iCs w:val="0"/>
          <w:color w:val="auto"/>
          <w:sz w:val="24"/>
          <w:szCs w:val="24"/>
          <w:u w:val="none"/>
          <w:lang w:val="en-US" w:eastAsia="zh-CN"/>
        </w:rPr>
      </w:pPr>
      <w:r>
        <w:rPr>
          <w:rFonts w:hint="eastAsia" w:ascii="宋体" w:hAnsi="宋体" w:cs="宋体"/>
          <w:b/>
          <w:bCs/>
          <w:i w:val="0"/>
          <w:iCs w:val="0"/>
          <w:color w:val="auto"/>
          <w:sz w:val="24"/>
          <w:szCs w:val="24"/>
          <w:u w:val="none"/>
          <w:lang w:val="en-US" w:eastAsia="zh-CN"/>
        </w:rPr>
        <w:t>（2）</w:t>
      </w:r>
      <w:r>
        <w:rPr>
          <w:rFonts w:hint="eastAsia" w:ascii="宋体" w:hAnsi="宋体" w:eastAsia="宋体" w:cs="宋体"/>
          <w:b/>
          <w:bCs/>
          <w:i w:val="0"/>
          <w:iCs w:val="0"/>
          <w:color w:val="auto"/>
          <w:sz w:val="24"/>
          <w:szCs w:val="24"/>
          <w:u w:val="none"/>
          <w:lang w:val="en-US" w:eastAsia="zh-CN"/>
        </w:rPr>
        <w:t>商务要求</w:t>
      </w:r>
    </w:p>
    <w:p w14:paraId="2FF24EAE">
      <w:pPr>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90"/>
        <w:jc w:val="left"/>
        <w:textAlignment w:val="baseline"/>
        <w:rPr>
          <w:rFonts w:hint="eastAsia" w:ascii="宋体" w:hAnsi="宋体" w:eastAsia="宋体" w:cs="宋体"/>
          <w:b w:val="0"/>
          <w:bCs w:val="0"/>
          <w:snapToGrid w:val="0"/>
          <w:color w:val="auto"/>
          <w:spacing w:val="0"/>
          <w:w w:val="100"/>
          <w:kern w:val="0"/>
          <w:sz w:val="24"/>
          <w:szCs w:val="24"/>
          <w:lang w:eastAsia="en-US"/>
        </w:rPr>
      </w:pPr>
      <w:r>
        <w:rPr>
          <w:rFonts w:hint="eastAsia" w:ascii="宋体" w:hAnsi="宋体" w:eastAsia="宋体" w:cs="宋体"/>
          <w:b w:val="0"/>
          <w:bCs w:val="0"/>
          <w:snapToGrid w:val="0"/>
          <w:color w:val="auto"/>
          <w:spacing w:val="0"/>
          <w:w w:val="100"/>
          <w:kern w:val="0"/>
          <w:sz w:val="24"/>
          <w:szCs w:val="24"/>
          <w:lang w:eastAsia="en-US"/>
        </w:rPr>
        <w:t>一、</w:t>
      </w:r>
      <w:r>
        <w:rPr>
          <w:rFonts w:hint="eastAsia" w:ascii="宋体" w:hAnsi="宋体" w:eastAsia="宋体" w:cs="宋体"/>
          <w:b w:val="0"/>
          <w:bCs w:val="0"/>
          <w:snapToGrid w:val="0"/>
          <w:color w:val="auto"/>
          <w:spacing w:val="0"/>
          <w:w w:val="100"/>
          <w:kern w:val="0"/>
          <w:sz w:val="24"/>
          <w:szCs w:val="24"/>
          <w:lang w:val="en-US" w:eastAsia="zh-CN"/>
        </w:rPr>
        <w:t>服务</w:t>
      </w:r>
      <w:r>
        <w:rPr>
          <w:rFonts w:hint="eastAsia" w:ascii="宋体" w:hAnsi="宋体" w:eastAsia="宋体" w:cs="宋体"/>
          <w:b w:val="0"/>
          <w:bCs w:val="0"/>
          <w:snapToGrid w:val="0"/>
          <w:color w:val="auto"/>
          <w:spacing w:val="0"/>
          <w:w w:val="100"/>
          <w:kern w:val="0"/>
          <w:sz w:val="24"/>
          <w:szCs w:val="24"/>
          <w:lang w:eastAsia="en-US"/>
        </w:rPr>
        <w:t>地点：本项目服务地点为采购人指定地点。</w:t>
      </w:r>
    </w:p>
    <w:p w14:paraId="68A78F74">
      <w:pPr>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90"/>
        <w:jc w:val="left"/>
        <w:textAlignment w:val="baseline"/>
        <w:rPr>
          <w:rFonts w:hint="eastAsia" w:ascii="宋体" w:hAnsi="宋体" w:eastAsia="宋体" w:cs="宋体"/>
          <w:b w:val="0"/>
          <w:bCs w:val="0"/>
          <w:snapToGrid w:val="0"/>
          <w:color w:val="auto"/>
          <w:spacing w:val="0"/>
          <w:w w:val="100"/>
          <w:kern w:val="0"/>
          <w:sz w:val="24"/>
          <w:szCs w:val="24"/>
          <w:lang w:eastAsia="en-US"/>
        </w:rPr>
      </w:pPr>
      <w:r>
        <w:rPr>
          <w:rFonts w:hint="eastAsia" w:ascii="宋体" w:hAnsi="宋体" w:eastAsia="宋体" w:cs="宋体"/>
          <w:b w:val="0"/>
          <w:bCs w:val="0"/>
          <w:snapToGrid w:val="0"/>
          <w:color w:val="auto"/>
          <w:spacing w:val="0"/>
          <w:w w:val="100"/>
          <w:kern w:val="0"/>
          <w:sz w:val="24"/>
          <w:szCs w:val="24"/>
          <w:lang w:eastAsia="en-US"/>
        </w:rPr>
        <w:t>二、</w:t>
      </w:r>
      <w:r>
        <w:rPr>
          <w:rFonts w:hint="eastAsia" w:ascii="宋体" w:hAnsi="宋体" w:eastAsia="宋体" w:cs="宋体"/>
          <w:b w:val="0"/>
          <w:bCs w:val="0"/>
          <w:snapToGrid w:val="0"/>
          <w:color w:val="auto"/>
          <w:spacing w:val="0"/>
          <w:w w:val="100"/>
          <w:kern w:val="0"/>
          <w:sz w:val="24"/>
          <w:szCs w:val="24"/>
          <w:lang w:val="en-US" w:eastAsia="zh-CN"/>
        </w:rPr>
        <w:t>服务</w:t>
      </w:r>
      <w:r>
        <w:rPr>
          <w:rFonts w:hint="eastAsia" w:ascii="宋体" w:hAnsi="宋体" w:eastAsia="宋体" w:cs="宋体"/>
          <w:b w:val="0"/>
          <w:bCs w:val="0"/>
          <w:snapToGrid w:val="0"/>
          <w:color w:val="auto"/>
          <w:spacing w:val="0"/>
          <w:w w:val="100"/>
          <w:kern w:val="0"/>
          <w:sz w:val="24"/>
          <w:szCs w:val="24"/>
          <w:lang w:eastAsia="en-US"/>
        </w:rPr>
        <w:t>条件：根据国家现行标准及规范、当地相关管理部门的要求、本项目招标文件、中标人投标文件及合同的规定完成工作。</w:t>
      </w:r>
    </w:p>
    <w:p w14:paraId="33E4B2D1">
      <w:pPr>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90"/>
        <w:jc w:val="left"/>
        <w:textAlignment w:val="baseline"/>
        <w:rPr>
          <w:rFonts w:hint="eastAsia" w:ascii="宋体" w:hAnsi="宋体" w:eastAsia="宋体" w:cs="宋体"/>
          <w:b w:val="0"/>
          <w:bCs w:val="0"/>
          <w:snapToGrid w:val="0"/>
          <w:color w:val="auto"/>
          <w:spacing w:val="0"/>
          <w:w w:val="100"/>
          <w:kern w:val="0"/>
          <w:sz w:val="24"/>
          <w:szCs w:val="24"/>
          <w:lang w:eastAsia="en-US"/>
        </w:rPr>
      </w:pPr>
      <w:r>
        <w:rPr>
          <w:rFonts w:hint="eastAsia" w:ascii="宋体" w:hAnsi="宋体" w:eastAsia="宋体" w:cs="宋体"/>
          <w:b w:val="0"/>
          <w:bCs w:val="0"/>
          <w:snapToGrid w:val="0"/>
          <w:color w:val="auto"/>
          <w:spacing w:val="0"/>
          <w:w w:val="100"/>
          <w:kern w:val="0"/>
          <w:sz w:val="24"/>
          <w:szCs w:val="24"/>
          <w:lang w:eastAsia="en-US"/>
        </w:rPr>
        <w:t>三、履约验收方式：(1)验收标准：国家现行标准及规范；当地相关管理部门的要求；项目招标文件、中标人投标文件及合同的规定。(2)验收程序：①中标供应商按招标文件及合 同要求完成工作并达到验收标准后向采购人申请验收；②采购人成立验收小组进行验收(若有需要，采购人可以邀请专家或第三方机构参与验收);③整理并归档验收材料。(3)在验收时所发生的一切费用由中标人承担。(4)若验收不能符合要求，采购人将按合同条款的有关规定执行。</w:t>
      </w:r>
    </w:p>
    <w:p w14:paraId="19C55580">
      <w:pPr>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90"/>
        <w:jc w:val="left"/>
        <w:textAlignment w:val="baseline"/>
        <w:rPr>
          <w:rFonts w:hint="eastAsia" w:ascii="宋体" w:hAnsi="宋体" w:eastAsia="宋体" w:cs="宋体"/>
          <w:b w:val="0"/>
          <w:bCs w:val="0"/>
          <w:snapToGrid w:val="0"/>
          <w:color w:val="auto"/>
          <w:spacing w:val="0"/>
          <w:w w:val="100"/>
          <w:kern w:val="0"/>
          <w:sz w:val="24"/>
          <w:szCs w:val="24"/>
          <w:lang w:eastAsia="en-US"/>
        </w:rPr>
      </w:pPr>
      <w:r>
        <w:rPr>
          <w:rFonts w:hint="eastAsia" w:ascii="宋体" w:hAnsi="宋体" w:eastAsia="宋体" w:cs="宋体"/>
          <w:b w:val="0"/>
          <w:bCs w:val="0"/>
          <w:snapToGrid w:val="0"/>
          <w:color w:val="auto"/>
          <w:spacing w:val="0"/>
          <w:w w:val="100"/>
          <w:kern w:val="0"/>
          <w:sz w:val="24"/>
          <w:szCs w:val="24"/>
          <w:lang w:eastAsia="en-US"/>
        </w:rPr>
        <w:t>四 、服务期限：资源化处置合同签订日至2027年</w:t>
      </w:r>
      <w:r>
        <w:rPr>
          <w:rFonts w:hint="eastAsia" w:ascii="宋体" w:hAnsi="宋体" w:eastAsia="宋体" w:cs="宋体"/>
          <w:b w:val="0"/>
          <w:bCs w:val="0"/>
          <w:snapToGrid w:val="0"/>
          <w:color w:val="auto"/>
          <w:spacing w:val="0"/>
          <w:w w:val="100"/>
          <w:kern w:val="0"/>
          <w:sz w:val="24"/>
          <w:szCs w:val="24"/>
          <w:lang w:val="en-US" w:eastAsia="zh-CN"/>
        </w:rPr>
        <w:t>1</w:t>
      </w:r>
      <w:r>
        <w:rPr>
          <w:rFonts w:hint="eastAsia" w:ascii="宋体" w:hAnsi="宋体" w:eastAsia="宋体" w:cs="宋体"/>
          <w:b w:val="0"/>
          <w:bCs w:val="0"/>
          <w:snapToGrid w:val="0"/>
          <w:color w:val="auto"/>
          <w:spacing w:val="0"/>
          <w:w w:val="100"/>
          <w:kern w:val="0"/>
          <w:sz w:val="24"/>
          <w:szCs w:val="24"/>
          <w:lang w:eastAsia="en-US"/>
        </w:rPr>
        <w:t>月</w:t>
      </w:r>
      <w:r>
        <w:rPr>
          <w:rFonts w:hint="eastAsia" w:ascii="宋体" w:hAnsi="宋体" w:eastAsia="宋体" w:cs="宋体"/>
          <w:b w:val="0"/>
          <w:bCs w:val="0"/>
          <w:snapToGrid w:val="0"/>
          <w:color w:val="auto"/>
          <w:spacing w:val="0"/>
          <w:w w:val="100"/>
          <w:kern w:val="0"/>
          <w:sz w:val="24"/>
          <w:szCs w:val="24"/>
          <w:lang w:val="en-US" w:eastAsia="zh-CN"/>
        </w:rPr>
        <w:t>31</w:t>
      </w:r>
      <w:r>
        <w:rPr>
          <w:rFonts w:hint="eastAsia" w:ascii="宋体" w:hAnsi="宋体" w:eastAsia="宋体" w:cs="宋体"/>
          <w:b w:val="0"/>
          <w:bCs w:val="0"/>
          <w:snapToGrid w:val="0"/>
          <w:color w:val="auto"/>
          <w:spacing w:val="0"/>
          <w:w w:val="100"/>
          <w:kern w:val="0"/>
          <w:sz w:val="24"/>
          <w:szCs w:val="24"/>
          <w:lang w:eastAsia="en-US"/>
        </w:rPr>
        <w:t>日</w:t>
      </w:r>
    </w:p>
    <w:p w14:paraId="0912D0A5">
      <w:pPr>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90"/>
        <w:jc w:val="left"/>
        <w:textAlignment w:val="baseline"/>
        <w:rPr>
          <w:rFonts w:hint="eastAsia" w:ascii="宋体" w:hAnsi="宋体" w:eastAsia="宋体" w:cs="宋体"/>
          <w:b w:val="0"/>
          <w:bCs w:val="0"/>
          <w:snapToGrid w:val="0"/>
          <w:color w:val="auto"/>
          <w:spacing w:val="0"/>
          <w:w w:val="100"/>
          <w:kern w:val="0"/>
          <w:sz w:val="24"/>
          <w:szCs w:val="24"/>
          <w:lang w:val="en-US" w:eastAsia="zh-CN"/>
        </w:rPr>
      </w:pPr>
      <w:r>
        <w:rPr>
          <w:rFonts w:hint="eastAsia" w:ascii="宋体" w:hAnsi="宋体" w:eastAsia="宋体" w:cs="宋体"/>
          <w:b w:val="0"/>
          <w:bCs w:val="0"/>
          <w:snapToGrid w:val="0"/>
          <w:color w:val="auto"/>
          <w:spacing w:val="0"/>
          <w:w w:val="100"/>
          <w:kern w:val="0"/>
          <w:sz w:val="24"/>
          <w:szCs w:val="24"/>
          <w:lang w:eastAsia="en-US"/>
        </w:rPr>
        <w:t>五 、付款方式</w:t>
      </w:r>
      <w:r>
        <w:rPr>
          <w:rFonts w:hint="eastAsia" w:ascii="宋体" w:hAnsi="宋体" w:eastAsia="宋体" w:cs="宋体"/>
          <w:b w:val="0"/>
          <w:bCs w:val="0"/>
          <w:snapToGrid w:val="0"/>
          <w:color w:val="auto"/>
          <w:spacing w:val="0"/>
          <w:w w:val="100"/>
          <w:kern w:val="0"/>
          <w:sz w:val="24"/>
          <w:szCs w:val="24"/>
          <w:lang w:eastAsia="zh-CN"/>
        </w:rPr>
        <w:t>：</w:t>
      </w:r>
      <w:r>
        <w:rPr>
          <w:rFonts w:hint="eastAsia" w:ascii="宋体" w:hAnsi="宋体" w:eastAsia="宋体" w:cs="宋体"/>
          <w:b w:val="0"/>
          <w:bCs w:val="0"/>
          <w:snapToGrid w:val="0"/>
          <w:color w:val="auto"/>
          <w:spacing w:val="0"/>
          <w:w w:val="100"/>
          <w:kern w:val="0"/>
          <w:sz w:val="24"/>
          <w:szCs w:val="24"/>
          <w:lang w:val="en-US" w:eastAsia="zh-CN"/>
        </w:rPr>
        <w:t>合同签订后预付合同金额的30%，剩余70%费用待飞灰（原灰）全部处置完毕后予以支付（</w:t>
      </w:r>
      <w:r>
        <w:rPr>
          <w:rFonts w:hint="eastAsia" w:ascii="宋体" w:hAnsi="宋体" w:eastAsia="宋体" w:cs="宋体"/>
          <w:color w:val="auto"/>
          <w:sz w:val="24"/>
          <w:szCs w:val="24"/>
          <w:lang w:eastAsia="zh-CN"/>
        </w:rPr>
        <w:t>飞灰</w:t>
      </w:r>
      <w:r>
        <w:rPr>
          <w:rFonts w:hint="eastAsia" w:ascii="宋体" w:hAnsi="宋体" w:eastAsia="宋体" w:cs="宋体"/>
          <w:b w:val="0"/>
          <w:bCs w:val="0"/>
          <w:snapToGrid w:val="0"/>
          <w:color w:val="auto"/>
          <w:spacing w:val="0"/>
          <w:w w:val="100"/>
          <w:kern w:val="0"/>
          <w:sz w:val="24"/>
          <w:szCs w:val="24"/>
          <w:lang w:val="en-US" w:eastAsia="zh-CN"/>
        </w:rPr>
        <w:t>（原灰）</w:t>
      </w:r>
      <w:r>
        <w:rPr>
          <w:rFonts w:hint="eastAsia" w:ascii="宋体" w:hAnsi="宋体" w:eastAsia="宋体" w:cs="宋体"/>
          <w:color w:val="auto"/>
          <w:sz w:val="24"/>
          <w:szCs w:val="24"/>
          <w:lang w:eastAsia="zh-CN"/>
        </w:rPr>
        <w:t>资源化处置服务费价格</w:t>
      </w:r>
      <w:r>
        <w:rPr>
          <w:rFonts w:hint="eastAsia" w:ascii="宋体" w:hAnsi="宋体" w:eastAsia="宋体" w:cs="宋体"/>
          <w:color w:val="auto"/>
          <w:sz w:val="24"/>
          <w:szCs w:val="24"/>
          <w:lang w:val="en-US" w:eastAsia="zh-CN"/>
        </w:rPr>
        <w:t>=服务费单价×实际飞灰</w:t>
      </w:r>
      <w:r>
        <w:rPr>
          <w:rFonts w:hint="eastAsia" w:ascii="宋体" w:hAnsi="宋体" w:eastAsia="宋体" w:cs="宋体"/>
          <w:b w:val="0"/>
          <w:bCs w:val="0"/>
          <w:snapToGrid w:val="0"/>
          <w:color w:val="auto"/>
          <w:spacing w:val="0"/>
          <w:w w:val="100"/>
          <w:kern w:val="0"/>
          <w:sz w:val="24"/>
          <w:szCs w:val="24"/>
          <w:lang w:val="en-US" w:eastAsia="zh-CN"/>
        </w:rPr>
        <w:t>（原灰）</w:t>
      </w:r>
      <w:r>
        <w:rPr>
          <w:rFonts w:hint="eastAsia" w:ascii="宋体" w:hAnsi="宋体" w:eastAsia="宋体" w:cs="宋体"/>
          <w:color w:val="auto"/>
          <w:sz w:val="24"/>
          <w:szCs w:val="24"/>
          <w:lang w:val="en-US" w:eastAsia="zh-CN"/>
        </w:rPr>
        <w:t>处置量</w:t>
      </w:r>
      <w:r>
        <w:rPr>
          <w:rFonts w:hint="eastAsia" w:ascii="宋体" w:hAnsi="宋体" w:eastAsia="宋体" w:cs="宋体"/>
          <w:b w:val="0"/>
          <w:bCs w:val="0"/>
          <w:snapToGrid w:val="0"/>
          <w:color w:val="auto"/>
          <w:spacing w:val="0"/>
          <w:w w:val="100"/>
          <w:kern w:val="0"/>
          <w:sz w:val="24"/>
          <w:szCs w:val="24"/>
          <w:lang w:val="en-US" w:eastAsia="zh-CN"/>
        </w:rPr>
        <w:t>）。</w:t>
      </w:r>
    </w:p>
    <w:p w14:paraId="335A963F">
      <w:pPr>
        <w:pStyle w:val="2"/>
        <w:rPr>
          <w:rFonts w:hint="default"/>
          <w:highlight w:val="none"/>
          <w:lang w:val="en-US" w:eastAsia="zh-CN"/>
        </w:rPr>
      </w:pPr>
      <w:r>
        <w:rPr>
          <w:rFonts w:hint="eastAsia" w:ascii="宋体" w:hAnsi="宋体" w:cs="宋体"/>
          <w:b w:val="0"/>
          <w:bCs w:val="0"/>
          <w:snapToGrid w:val="0"/>
          <w:color w:val="auto"/>
          <w:spacing w:val="0"/>
          <w:w w:val="100"/>
          <w:kern w:val="0"/>
          <w:sz w:val="24"/>
          <w:szCs w:val="24"/>
          <w:highlight w:val="none"/>
          <w:lang w:val="en-US" w:eastAsia="zh-CN"/>
        </w:rPr>
        <w:t>六、服务方案及应急预案：供应商需根据采购需求提供针对本项目的服务方案及应急预案。</w:t>
      </w:r>
    </w:p>
    <w:p w14:paraId="6B0A17C3">
      <w:pPr>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90"/>
        <w:jc w:val="left"/>
        <w:textAlignment w:val="baseline"/>
        <w:rPr>
          <w:rFonts w:hint="eastAsia" w:ascii="宋体" w:hAnsi="宋体" w:eastAsia="宋体" w:cs="宋体"/>
          <w:b w:val="0"/>
          <w:bCs w:val="0"/>
          <w:snapToGrid w:val="0"/>
          <w:color w:val="auto"/>
          <w:spacing w:val="0"/>
          <w:w w:val="100"/>
          <w:kern w:val="0"/>
          <w:sz w:val="24"/>
          <w:szCs w:val="24"/>
          <w:lang w:eastAsia="en-US"/>
        </w:rPr>
      </w:pPr>
      <w:r>
        <w:rPr>
          <w:rFonts w:hint="eastAsia" w:ascii="宋体" w:hAnsi="宋体" w:eastAsia="宋体" w:cs="宋体"/>
          <w:b w:val="0"/>
          <w:bCs w:val="0"/>
          <w:snapToGrid w:val="0"/>
          <w:color w:val="auto"/>
          <w:spacing w:val="0"/>
          <w:w w:val="100"/>
          <w:kern w:val="0"/>
          <w:sz w:val="24"/>
          <w:szCs w:val="24"/>
          <w:lang w:val="en-US" w:eastAsia="zh-CN"/>
        </w:rPr>
        <w:t>七</w:t>
      </w:r>
      <w:r>
        <w:rPr>
          <w:rFonts w:hint="eastAsia" w:ascii="宋体" w:hAnsi="宋体" w:eastAsia="宋体" w:cs="宋体"/>
          <w:b w:val="0"/>
          <w:bCs w:val="0"/>
          <w:snapToGrid w:val="0"/>
          <w:color w:val="auto"/>
          <w:spacing w:val="0"/>
          <w:w w:val="100"/>
          <w:kern w:val="0"/>
          <w:sz w:val="24"/>
          <w:szCs w:val="24"/>
          <w:lang w:eastAsia="en-US"/>
        </w:rPr>
        <w:t xml:space="preserve"> 、其它要求及说明</w:t>
      </w:r>
    </w:p>
    <w:p w14:paraId="04FB8B04">
      <w:pPr>
        <w:keepNext w:val="0"/>
        <w:keepLines w:val="0"/>
        <w:pageBreakBefore w:val="0"/>
        <w:widowControl/>
        <w:numPr>
          <w:ilvl w:val="0"/>
          <w:numId w:val="6"/>
        </w:numPr>
        <w:kinsoku w:val="0"/>
        <w:wordWrap/>
        <w:overflowPunct/>
        <w:topLinePunct w:val="0"/>
        <w:autoSpaceDE w:val="0"/>
        <w:autoSpaceDN w:val="0"/>
        <w:bidi w:val="0"/>
        <w:adjustRightInd w:val="0"/>
        <w:snapToGrid w:val="0"/>
        <w:spacing w:before="0" w:line="360" w:lineRule="auto"/>
        <w:ind w:right="0" w:firstLine="480" w:firstLineChars="200"/>
        <w:jc w:val="left"/>
        <w:textAlignment w:val="baseline"/>
        <w:rPr>
          <w:rFonts w:hint="eastAsia" w:ascii="宋体" w:hAnsi="宋体" w:eastAsia="宋体" w:cs="宋体"/>
          <w:b w:val="0"/>
          <w:bCs w:val="0"/>
          <w:snapToGrid w:val="0"/>
          <w:color w:val="auto"/>
          <w:spacing w:val="0"/>
          <w:w w:val="100"/>
          <w:kern w:val="0"/>
          <w:sz w:val="24"/>
          <w:szCs w:val="24"/>
          <w:lang w:eastAsia="en-US"/>
        </w:rPr>
      </w:pPr>
      <w:r>
        <w:rPr>
          <w:rFonts w:hint="eastAsia" w:ascii="宋体" w:hAnsi="宋体" w:eastAsia="宋体" w:cs="宋体"/>
          <w:b w:val="0"/>
          <w:bCs w:val="0"/>
          <w:snapToGrid w:val="0"/>
          <w:color w:val="auto"/>
          <w:spacing w:val="0"/>
          <w:w w:val="100"/>
          <w:kern w:val="0"/>
          <w:sz w:val="24"/>
          <w:szCs w:val="24"/>
          <w:lang w:eastAsia="en-US"/>
        </w:rPr>
        <w:t>本项目的价格为</w:t>
      </w:r>
      <w:r>
        <w:rPr>
          <w:rFonts w:hint="eastAsia" w:ascii="宋体" w:hAnsi="宋体" w:eastAsia="宋体" w:cs="宋体"/>
          <w:color w:val="auto"/>
          <w:sz w:val="24"/>
          <w:szCs w:val="24"/>
          <w:lang w:val="en-US" w:eastAsia="zh-CN"/>
        </w:rPr>
        <w:t>服务费单价×实际飞灰处置量</w:t>
      </w:r>
      <w:r>
        <w:rPr>
          <w:rFonts w:hint="eastAsia" w:ascii="宋体" w:hAnsi="宋体" w:eastAsia="宋体" w:cs="宋体"/>
          <w:b w:val="0"/>
          <w:bCs w:val="0"/>
          <w:snapToGrid w:val="0"/>
          <w:color w:val="auto"/>
          <w:spacing w:val="0"/>
          <w:w w:val="100"/>
          <w:kern w:val="0"/>
          <w:sz w:val="24"/>
          <w:szCs w:val="24"/>
          <w:lang w:eastAsia="en-US"/>
        </w:rPr>
        <w:t>，供应商应根据项目要求和现场情况，详细考虑项目所需的设备、材料以及所有人工、管理、财务等所有费用，供应商如有遗漏，均由成交人自负，采购人不再支付任何费用。</w:t>
      </w:r>
    </w:p>
    <w:p w14:paraId="6AE06A11">
      <w:pPr>
        <w:keepNext w:val="0"/>
        <w:keepLines w:val="0"/>
        <w:pageBreakBefore w:val="0"/>
        <w:widowControl/>
        <w:numPr>
          <w:ilvl w:val="0"/>
          <w:numId w:val="6"/>
        </w:numPr>
        <w:kinsoku w:val="0"/>
        <w:wordWrap/>
        <w:overflowPunct/>
        <w:topLinePunct w:val="0"/>
        <w:autoSpaceDE w:val="0"/>
        <w:autoSpaceDN w:val="0"/>
        <w:bidi w:val="0"/>
        <w:adjustRightInd w:val="0"/>
        <w:snapToGrid w:val="0"/>
        <w:spacing w:before="0" w:line="360" w:lineRule="auto"/>
        <w:ind w:right="0" w:firstLine="480" w:firstLineChars="200"/>
        <w:jc w:val="left"/>
        <w:textAlignment w:val="baseline"/>
        <w:rPr>
          <w:rFonts w:hint="default" w:eastAsia="宋体"/>
          <w:color w:val="auto"/>
          <w:lang w:val="en-US" w:eastAsia="zh-CN"/>
        </w:rPr>
      </w:pPr>
      <w:r>
        <w:rPr>
          <w:rFonts w:hint="eastAsia" w:ascii="宋体" w:hAnsi="宋体" w:eastAsia="宋体" w:cs="宋体"/>
          <w:b w:val="0"/>
          <w:bCs w:val="0"/>
          <w:snapToGrid w:val="0"/>
          <w:color w:val="auto"/>
          <w:spacing w:val="0"/>
          <w:w w:val="100"/>
          <w:kern w:val="0"/>
          <w:sz w:val="24"/>
          <w:szCs w:val="24"/>
          <w:lang w:eastAsia="en-US"/>
        </w:rPr>
        <w:t>供应商在投标前，可自行踏勘现场，有关费用自理，踏勘期间发生的意外自负。</w:t>
      </w:r>
    </w:p>
    <w:p w14:paraId="4C5BF74D">
      <w:pPr>
        <w:keepNext w:val="0"/>
        <w:keepLines w:val="0"/>
        <w:pageBreakBefore w:val="0"/>
        <w:widowControl/>
        <w:numPr>
          <w:ilvl w:val="0"/>
          <w:numId w:val="6"/>
        </w:numPr>
        <w:kinsoku w:val="0"/>
        <w:wordWrap/>
        <w:overflowPunct/>
        <w:topLinePunct w:val="0"/>
        <w:autoSpaceDE w:val="0"/>
        <w:autoSpaceDN w:val="0"/>
        <w:bidi w:val="0"/>
        <w:adjustRightInd w:val="0"/>
        <w:snapToGrid w:val="0"/>
        <w:spacing w:before="0" w:line="360" w:lineRule="auto"/>
        <w:ind w:right="0" w:firstLine="480" w:firstLineChars="200"/>
        <w:jc w:val="left"/>
        <w:textAlignment w:val="baseline"/>
        <w:rPr>
          <w:rFonts w:hint="eastAsia"/>
          <w:color w:val="auto"/>
          <w:u w:val="single"/>
          <w:lang w:val="en-US" w:eastAsia="zh-CN"/>
        </w:rPr>
      </w:pPr>
      <w:r>
        <w:rPr>
          <w:rFonts w:hint="default" w:ascii="宋体" w:hAnsi="宋体" w:eastAsia="宋体" w:cs="宋体"/>
          <w:b w:val="0"/>
          <w:bCs w:val="0"/>
          <w:snapToGrid w:val="0"/>
          <w:color w:val="auto"/>
          <w:spacing w:val="0"/>
          <w:w w:val="100"/>
          <w:kern w:val="0"/>
          <w:sz w:val="24"/>
          <w:szCs w:val="24"/>
          <w:lang w:val="en-US" w:eastAsia="zh-CN"/>
        </w:rPr>
        <w:t>在服务期间内，中标（成交）供应商应对工作人员进行安全防护措施教育，并采取相应安全措施，应加强安全管理检查，发现问题和隐患及时处理和整改，避免服务过程中发生人身伤亡或其他事故。</w:t>
      </w:r>
    </w:p>
    <w:p w14:paraId="2C2DDE49">
      <w:bookmarkStart w:id="8" w:name="_GoBack"/>
      <w:bookmarkEnd w:id="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_GBK">
    <w:altName w:val="Arial Unicode MS"/>
    <w:panose1 w:val="03000509000000000000"/>
    <w:charset w:val="86"/>
    <w:family w:val="auto"/>
    <w:pitch w:val="default"/>
    <w:sig w:usb0="00000000" w:usb1="0000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6CD594"/>
    <w:multiLevelType w:val="singleLevel"/>
    <w:tmpl w:val="A96CD594"/>
    <w:lvl w:ilvl="0" w:tentative="0">
      <w:start w:val="1"/>
      <w:numFmt w:val="decimal"/>
      <w:lvlText w:val="%1."/>
      <w:lvlJc w:val="left"/>
      <w:pPr>
        <w:tabs>
          <w:tab w:val="left" w:pos="312"/>
        </w:tabs>
      </w:pPr>
    </w:lvl>
  </w:abstractNum>
  <w:abstractNum w:abstractNumId="1">
    <w:nsid w:val="CC017888"/>
    <w:multiLevelType w:val="singleLevel"/>
    <w:tmpl w:val="CC017888"/>
    <w:lvl w:ilvl="0" w:tentative="0">
      <w:start w:val="1"/>
      <w:numFmt w:val="decimal"/>
      <w:pStyle w:val="11"/>
      <w:suff w:val="nothing"/>
      <w:lvlText w:val="%1"/>
      <w:lvlJc w:val="center"/>
      <w:rPr>
        <w:rFonts w:hint="default"/>
      </w:rPr>
    </w:lvl>
  </w:abstractNum>
  <w:abstractNum w:abstractNumId="2">
    <w:nsid w:val="00000000"/>
    <w:multiLevelType w:val="singleLevel"/>
    <w:tmpl w:val="00000000"/>
    <w:lvl w:ilvl="0" w:tentative="0">
      <w:start w:val="1"/>
      <w:numFmt w:val="decimal"/>
      <w:lvlText w:val="%1."/>
      <w:lvlJc w:val="left"/>
      <w:pPr>
        <w:tabs>
          <w:tab w:val="left" w:pos="312"/>
        </w:tabs>
      </w:pPr>
      <w:rPr>
        <w:rFonts w:hint="default" w:ascii="宋体" w:hAnsi="宋体" w:eastAsia="宋体" w:cs="宋体"/>
        <w:sz w:val="24"/>
        <w:szCs w:val="24"/>
      </w:rPr>
    </w:lvl>
  </w:abstractNum>
  <w:abstractNum w:abstractNumId="3">
    <w:nsid w:val="00000002"/>
    <w:multiLevelType w:val="singleLevel"/>
    <w:tmpl w:val="00000002"/>
    <w:lvl w:ilvl="0" w:tentative="0">
      <w:start w:val="1"/>
      <w:numFmt w:val="decimal"/>
      <w:suff w:val="nothing"/>
      <w:lvlText w:val="%1"/>
      <w:lvlJc w:val="center"/>
      <w:pPr>
        <w:ind w:left="0" w:firstLine="0"/>
      </w:pPr>
      <w:rPr>
        <w:rFonts w:hint="default"/>
      </w:rPr>
    </w:lvl>
  </w:abstractNum>
  <w:abstractNum w:abstractNumId="4">
    <w:nsid w:val="00000004"/>
    <w:multiLevelType w:val="singleLevel"/>
    <w:tmpl w:val="00000004"/>
    <w:lvl w:ilvl="0" w:tentative="0">
      <w:start w:val="1"/>
      <w:numFmt w:val="decimal"/>
      <w:suff w:val="nothing"/>
      <w:lvlText w:val="%1"/>
      <w:lvlJc w:val="center"/>
      <w:pPr>
        <w:ind w:left="0" w:firstLine="0"/>
      </w:pPr>
      <w:rPr>
        <w:rFonts w:hint="default"/>
      </w:rPr>
    </w:lvl>
  </w:abstractNum>
  <w:abstractNum w:abstractNumId="5">
    <w:nsid w:val="00000006"/>
    <w:multiLevelType w:val="singleLevel"/>
    <w:tmpl w:val="00000006"/>
    <w:lvl w:ilvl="0" w:tentative="0">
      <w:start w:val="1"/>
      <w:numFmt w:val="decimal"/>
      <w:suff w:val="nothing"/>
      <w:lvlText w:val="%1、"/>
      <w:lvlJc w:val="left"/>
    </w:lvl>
  </w:abstractNum>
  <w:num w:numId="1">
    <w:abstractNumId w:val="1"/>
  </w:num>
  <w:num w:numId="2">
    <w:abstractNumId w:val="0"/>
  </w:num>
  <w:num w:numId="3">
    <w:abstractNumId w:val="4"/>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CC09F7"/>
    <w:rsid w:val="16CC09F7"/>
    <w:rsid w:val="1DC343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8"/>
    <w:qFormat/>
    <w:uiPriority w:val="0"/>
    <w:pPr>
      <w:keepNext/>
      <w:keepLines/>
      <w:spacing w:before="340" w:beforeLines="0" w:beforeAutospacing="0" w:after="330" w:afterLines="0" w:afterAutospacing="0" w:line="576" w:lineRule="auto"/>
      <w:jc w:val="center"/>
      <w:outlineLvl w:val="0"/>
    </w:pPr>
    <w:rPr>
      <w:rFonts w:ascii="Calibri" w:hAnsi="Calibri" w:eastAsia="方正小标宋简体" w:cs="Times New Roman"/>
      <w:kern w:val="44"/>
      <w:sz w:val="44"/>
    </w:rPr>
  </w:style>
  <w:style w:type="paragraph" w:styleId="4">
    <w:name w:val="heading 5"/>
    <w:basedOn w:val="1"/>
    <w:next w:val="1"/>
    <w:qFormat/>
    <w:uiPriority w:val="0"/>
    <w:pPr>
      <w:keepNext/>
      <w:keepLines/>
      <w:spacing w:before="160" w:after="290" w:line="372" w:lineRule="auto"/>
      <w:outlineLvl w:val="4"/>
    </w:pPr>
    <w:rPr>
      <w:rFonts w:ascii="Times New Roman" w:hAnsi="Times New Roman" w:eastAsia="黑体" w:cs="Times New Roman"/>
      <w:sz w:val="24"/>
      <w:szCs w:val="2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line="440" w:lineRule="exact"/>
      <w:ind w:firstLine="200" w:firstLineChars="200"/>
    </w:pPr>
    <w:rPr>
      <w:rFonts w:ascii="Times New Roman" w:hAnsi="Times New Roman" w:eastAsia="宋体"/>
    </w:rPr>
  </w:style>
  <w:style w:type="table" w:styleId="6">
    <w:name w:val="Table Gri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customStyle="1" w:styleId="8">
    <w:name w:val="标题 1 Char"/>
    <w:link w:val="3"/>
    <w:qFormat/>
    <w:uiPriority w:val="0"/>
    <w:rPr>
      <w:rFonts w:ascii="Calibri" w:hAnsi="Calibri" w:eastAsia="方正小标宋简体" w:cs="Times New Roman"/>
      <w:kern w:val="44"/>
      <w:sz w:val="44"/>
    </w:rPr>
  </w:style>
  <w:style w:type="paragraph" w:customStyle="1" w:styleId="9">
    <w:name w:val="文章正文"/>
    <w:qFormat/>
    <w:uiPriority w:val="0"/>
    <w:pPr>
      <w:widowControl w:val="0"/>
      <w:adjustRightInd w:val="0"/>
      <w:snapToGrid w:val="0"/>
      <w:spacing w:before="100" w:beforeLines="100" w:line="440" w:lineRule="exact"/>
      <w:ind w:firstLine="200" w:firstLineChars="200"/>
      <w:jc w:val="both"/>
    </w:pPr>
    <w:rPr>
      <w:rFonts w:ascii="Times New Roman" w:hAnsi="Times New Roman" w:eastAsia="宋体" w:cs="Times New Roman"/>
      <w:kern w:val="2"/>
      <w:sz w:val="24"/>
      <w:szCs w:val="22"/>
      <w:lang w:val="en-US" w:eastAsia="zh-CN" w:bidi="ar-SA"/>
    </w:rPr>
  </w:style>
  <w:style w:type="paragraph" w:customStyle="1" w:styleId="10">
    <w:name w:val="正文(首行缩进)"/>
    <w:basedOn w:val="1"/>
    <w:qFormat/>
    <w:uiPriority w:val="0"/>
    <w:pPr>
      <w:widowControl/>
      <w:spacing w:line="440" w:lineRule="exact"/>
      <w:ind w:firstLine="1840" w:firstLineChars="200"/>
      <w:jc w:val="left"/>
    </w:pPr>
    <w:rPr>
      <w:rFonts w:ascii="Arial Narrow" w:hAnsi="Arial Narrow" w:eastAsia="宋体" w:cs="宋体"/>
      <w:sz w:val="24"/>
    </w:rPr>
  </w:style>
  <w:style w:type="paragraph" w:customStyle="1" w:styleId="11">
    <w:name w:val="表格内容左对齐"/>
    <w:basedOn w:val="1"/>
    <w:qFormat/>
    <w:uiPriority w:val="99"/>
    <w:pPr>
      <w:widowControl/>
      <w:numPr>
        <w:ilvl w:val="0"/>
        <w:numId w:val="1"/>
      </w:numPr>
      <w:tabs>
        <w:tab w:val="left" w:pos="33"/>
      </w:tabs>
      <w:spacing w:line="260" w:lineRule="exact"/>
      <w:ind w:right="-48" w:rightChars="-23" w:firstLine="920" w:firstLineChars="100"/>
      <w:jc w:val="left"/>
    </w:pPr>
    <w:rPr>
      <w:rFonts w:ascii="宋体" w:hAnsi="宋体" w:eastAsia="微软雅黑" w:cs="宋体"/>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2026-09-24T07:34:00Z</dcterms:created>
  <dc:creator>user</dc:creator>
  <cp:lastModifiedBy>user</cp:lastModifiedBy>
  <dcterms:modified xsi:type="dcterms:W3CDTF">2026-09-24T07:34:22Z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555FDECC75414334AEE9D8132527D7CC_11</vt:lpwstr>
  </property>
  <property fmtid="{D5CDD505-2E9C-101B-9397-08002B2CF9AE}" pid="4" name="KSOTemplateDocerSaveRecord">
    <vt:lpwstr>eyJoZGlkIjoiM2U2M2M5NDhkMGMxMTllOGMwMmE3NTFkNTgwNWQ5YjkiLCJ1c2VySWQiOiI1NzcwNzU1OTQifQ==</vt:lpwstr>
  </property>
</Properties>
</file>