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8F7F53">
      <w:pPr>
        <w:pStyle w:val="3"/>
        <w:keepNext w:val="0"/>
        <w:keepLines w:val="0"/>
        <w:pageBreakBefore w:val="0"/>
        <w:widowControl w:val="0"/>
        <w:numPr>
          <w:ilvl w:val="0"/>
          <w:numId w:val="0"/>
        </w:numPr>
        <w:kinsoku/>
        <w:overflowPunct/>
        <w:topLinePunct w:val="0"/>
        <w:bidi w:val="0"/>
        <w:adjustRightInd w:val="0"/>
        <w:snapToGrid w:val="0"/>
        <w:spacing w:before="156" w:beforeLines="50"/>
        <w:ind w:firstLine="3654" w:firstLineChars="1300"/>
        <w:jc w:val="both"/>
        <w:rPr>
          <w:rFonts w:hint="eastAsia" w:ascii="黑体" w:hAnsi="黑体" w:eastAsia="黑体"/>
          <w:sz w:val="28"/>
          <w:szCs w:val="28"/>
          <w:lang w:val="en-US" w:eastAsia="zh-CN"/>
        </w:rPr>
      </w:pPr>
      <w:bookmarkStart w:id="1" w:name="_GoBack"/>
      <w:r>
        <w:rPr>
          <w:rFonts w:hint="eastAsia" w:ascii="黑体" w:hAnsi="黑体" w:eastAsia="黑体"/>
          <w:sz w:val="28"/>
          <w:szCs w:val="28"/>
          <w:lang w:val="en-US" w:eastAsia="zh-CN"/>
        </w:rPr>
        <w:t>采购需求明细</w:t>
      </w:r>
    </w:p>
    <w:bookmarkEnd w:id="1"/>
    <w:p w14:paraId="342276C0">
      <w:pPr>
        <w:pStyle w:val="3"/>
        <w:keepNext w:val="0"/>
        <w:keepLines w:val="0"/>
        <w:pageBreakBefore w:val="0"/>
        <w:widowControl w:val="0"/>
        <w:numPr>
          <w:ilvl w:val="0"/>
          <w:numId w:val="0"/>
        </w:numPr>
        <w:kinsoku/>
        <w:overflowPunct/>
        <w:topLinePunct w:val="0"/>
        <w:bidi w:val="0"/>
        <w:adjustRightInd w:val="0"/>
        <w:snapToGrid w:val="0"/>
        <w:spacing w:before="156" w:beforeLines="50"/>
        <w:ind w:firstLine="3654" w:firstLineChars="1300"/>
        <w:jc w:val="both"/>
        <w:rPr>
          <w:rFonts w:hint="default" w:ascii="黑体" w:hAnsi="黑体" w:eastAsia="黑体"/>
          <w:sz w:val="28"/>
          <w:szCs w:val="28"/>
          <w:lang w:val="en-US" w:eastAsia="zh-CN"/>
        </w:rPr>
      </w:pPr>
      <w:r>
        <w:rPr>
          <w:rFonts w:hint="eastAsia" w:ascii="黑体" w:hAnsi="华文中宋" w:eastAsia="黑体"/>
          <w:b/>
          <w:bCs/>
          <w:color w:val="auto"/>
          <w:sz w:val="28"/>
          <w:szCs w:val="28"/>
        </w:rPr>
        <w:t>第一节</w:t>
      </w:r>
      <w:r>
        <w:rPr>
          <w:rFonts w:hint="eastAsia" w:ascii="黑体" w:hAnsi="黑体" w:eastAsia="黑体"/>
          <w:sz w:val="28"/>
          <w:szCs w:val="28"/>
        </w:rPr>
        <w:t xml:space="preserve"> 采购清单一览表</w:t>
      </w:r>
    </w:p>
    <w:tbl>
      <w:tblPr>
        <w:tblStyle w:val="11"/>
        <w:tblW w:w="885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0"/>
        <w:gridCol w:w="1527"/>
        <w:gridCol w:w="2257"/>
        <w:gridCol w:w="676"/>
        <w:gridCol w:w="1011"/>
        <w:gridCol w:w="2415"/>
      </w:tblGrid>
      <w:tr w14:paraId="6A0C16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33" w:hRule="atLeast"/>
          <w:jc w:val="center"/>
        </w:trPr>
        <w:tc>
          <w:tcPr>
            <w:tcW w:w="970" w:type="dxa"/>
            <w:noWrap w:val="0"/>
            <w:vAlign w:val="center"/>
          </w:tcPr>
          <w:p w14:paraId="5BDD5993">
            <w:pPr>
              <w:keepNext w:val="0"/>
              <w:keepLines w:val="0"/>
              <w:pageBreakBefore w:val="0"/>
              <w:widowControl w:val="0"/>
              <w:kinsoku/>
              <w:wordWrap/>
              <w:overflowPunct/>
              <w:topLinePunct w:val="0"/>
              <w:bidi w:val="0"/>
              <w:adjustRightInd w:val="0"/>
              <w:snapToGrid w:val="0"/>
              <w:spacing w:line="240" w:lineRule="auto"/>
              <w:ind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包名称</w:t>
            </w:r>
          </w:p>
        </w:tc>
        <w:tc>
          <w:tcPr>
            <w:tcW w:w="1527" w:type="dxa"/>
            <w:noWrap w:val="0"/>
            <w:vAlign w:val="center"/>
          </w:tcPr>
          <w:p w14:paraId="7C917095">
            <w:pPr>
              <w:keepNext w:val="0"/>
              <w:keepLines w:val="0"/>
              <w:pageBreakBefore w:val="0"/>
              <w:widowControl w:val="0"/>
              <w:kinsoku/>
              <w:wordWrap/>
              <w:overflowPunct/>
              <w:topLinePunct w:val="0"/>
              <w:bidi w:val="0"/>
              <w:adjustRightInd w:val="0"/>
              <w:snapToGrid w:val="0"/>
              <w:spacing w:line="240" w:lineRule="auto"/>
              <w:ind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标的名称</w:t>
            </w:r>
          </w:p>
        </w:tc>
        <w:tc>
          <w:tcPr>
            <w:tcW w:w="2257" w:type="dxa"/>
            <w:tcBorders>
              <w:left w:val="single" w:color="auto" w:sz="4" w:space="0"/>
            </w:tcBorders>
            <w:noWrap w:val="0"/>
            <w:vAlign w:val="center"/>
          </w:tcPr>
          <w:p w14:paraId="54B35A85">
            <w:pPr>
              <w:keepNext w:val="0"/>
              <w:keepLines w:val="0"/>
              <w:pageBreakBefore w:val="0"/>
              <w:widowControl w:val="0"/>
              <w:kinsoku/>
              <w:wordWrap/>
              <w:overflowPunct/>
              <w:topLinePunct w:val="0"/>
              <w:bidi w:val="0"/>
              <w:adjustRightInd w:val="0"/>
              <w:snapToGrid w:val="0"/>
              <w:spacing w:line="240" w:lineRule="auto"/>
              <w:ind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简要技术要求</w:t>
            </w:r>
          </w:p>
        </w:tc>
        <w:tc>
          <w:tcPr>
            <w:tcW w:w="676" w:type="dxa"/>
            <w:tcBorders>
              <w:left w:val="single" w:color="auto" w:sz="4" w:space="0"/>
            </w:tcBorders>
            <w:noWrap w:val="0"/>
            <w:vAlign w:val="center"/>
          </w:tcPr>
          <w:p w14:paraId="0A4C1FBD">
            <w:pPr>
              <w:keepNext w:val="0"/>
              <w:keepLines w:val="0"/>
              <w:pageBreakBefore w:val="0"/>
              <w:widowControl w:val="0"/>
              <w:kinsoku/>
              <w:wordWrap/>
              <w:overflowPunct/>
              <w:topLinePunct w:val="0"/>
              <w:bidi w:val="0"/>
              <w:adjustRightInd w:val="0"/>
              <w:snapToGrid w:val="0"/>
              <w:spacing w:line="240" w:lineRule="auto"/>
              <w:ind w:right="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sz w:val="21"/>
                <w:szCs w:val="21"/>
              </w:rPr>
              <w:t>单位</w:t>
            </w:r>
          </w:p>
        </w:tc>
        <w:tc>
          <w:tcPr>
            <w:tcW w:w="1011" w:type="dxa"/>
            <w:noWrap w:val="0"/>
            <w:vAlign w:val="center"/>
          </w:tcPr>
          <w:p w14:paraId="5634E713">
            <w:pPr>
              <w:keepNext w:val="0"/>
              <w:keepLines w:val="0"/>
              <w:pageBreakBefore w:val="0"/>
              <w:widowControl w:val="0"/>
              <w:kinsoku/>
              <w:wordWrap/>
              <w:overflowPunct/>
              <w:topLinePunct w:val="0"/>
              <w:bidi w:val="0"/>
              <w:adjustRightInd w:val="0"/>
              <w:snapToGrid w:val="0"/>
              <w:spacing w:line="240" w:lineRule="auto"/>
              <w:ind w:right="0"/>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工程量</w:t>
            </w:r>
          </w:p>
        </w:tc>
        <w:tc>
          <w:tcPr>
            <w:tcW w:w="2415" w:type="dxa"/>
            <w:noWrap w:val="0"/>
            <w:vAlign w:val="center"/>
          </w:tcPr>
          <w:p w14:paraId="35A487A4">
            <w:pPr>
              <w:keepNext w:val="0"/>
              <w:keepLines w:val="0"/>
              <w:pageBreakBefore w:val="0"/>
              <w:widowControl w:val="0"/>
              <w:kinsoku/>
              <w:wordWrap/>
              <w:overflowPunct/>
              <w:topLinePunct w:val="0"/>
              <w:bidi w:val="0"/>
              <w:adjustRightInd w:val="0"/>
              <w:snapToGrid w:val="0"/>
              <w:spacing w:line="240" w:lineRule="auto"/>
              <w:ind w:right="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标的预算</w:t>
            </w:r>
            <w:r>
              <w:rPr>
                <w:rFonts w:hint="eastAsia" w:ascii="宋体" w:hAnsi="宋体" w:eastAsia="宋体" w:cs="宋体"/>
                <w:color w:val="auto"/>
                <w:sz w:val="21"/>
                <w:szCs w:val="21"/>
                <w:lang w:val="en-US" w:eastAsia="zh-CN"/>
              </w:rPr>
              <w:t>/</w:t>
            </w:r>
            <w:r>
              <w:rPr>
                <w:rFonts w:hint="eastAsia" w:ascii="宋体" w:hAnsi="宋体" w:eastAsia="宋体" w:cs="宋体"/>
                <w:color w:val="auto"/>
                <w:sz w:val="21"/>
                <w:szCs w:val="21"/>
              </w:rPr>
              <w:t>最高限价</w:t>
            </w:r>
          </w:p>
        </w:tc>
      </w:tr>
      <w:tr w14:paraId="3DDA49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70" w:hRule="atLeast"/>
          <w:jc w:val="center"/>
        </w:trPr>
        <w:tc>
          <w:tcPr>
            <w:tcW w:w="970" w:type="dxa"/>
            <w:noWrap w:val="0"/>
            <w:vAlign w:val="center"/>
          </w:tcPr>
          <w:p w14:paraId="7FA4C538">
            <w:pPr>
              <w:keepNext w:val="0"/>
              <w:keepLines w:val="0"/>
              <w:pageBreakBefore w:val="0"/>
              <w:widowControl w:val="0"/>
              <w:kinsoku/>
              <w:wordWrap/>
              <w:overflowPunct/>
              <w:topLinePunct w:val="0"/>
              <w:bidi w:val="0"/>
              <w:adjustRightInd w:val="0"/>
              <w:snapToGrid w:val="0"/>
              <w:spacing w:line="240" w:lineRule="auto"/>
              <w:ind w:right="0"/>
              <w:jc w:val="center"/>
              <w:textAlignment w:val="auto"/>
              <w:rPr>
                <w:rFonts w:hint="default" w:ascii="宋体" w:hAnsi="宋体" w:cs="宋体"/>
                <w:color w:val="auto"/>
                <w:sz w:val="21"/>
                <w:szCs w:val="21"/>
                <w:lang w:val="en-US" w:eastAsia="zh-CN"/>
              </w:rPr>
            </w:pPr>
            <w:r>
              <w:rPr>
                <w:rFonts w:hint="eastAsia" w:ascii="宋体" w:hAnsi="宋体" w:cs="宋体"/>
                <w:color w:val="auto"/>
                <w:sz w:val="21"/>
                <w:szCs w:val="21"/>
                <w:lang w:val="en-US" w:eastAsia="zh-CN"/>
              </w:rPr>
              <w:t>包1</w:t>
            </w:r>
          </w:p>
        </w:tc>
        <w:tc>
          <w:tcPr>
            <w:tcW w:w="1527" w:type="dxa"/>
            <w:noWrap w:val="0"/>
            <w:vAlign w:val="center"/>
          </w:tcPr>
          <w:p w14:paraId="585BC9DC">
            <w:pPr>
              <w:keepNext w:val="0"/>
              <w:keepLines w:val="0"/>
              <w:pageBreakBefore w:val="0"/>
              <w:widowControl w:val="0"/>
              <w:kinsoku/>
              <w:wordWrap/>
              <w:overflowPunct/>
              <w:topLinePunct w:val="0"/>
              <w:bidi w:val="0"/>
              <w:adjustRightInd w:val="0"/>
              <w:snapToGrid w:val="0"/>
              <w:spacing w:line="240" w:lineRule="auto"/>
              <w:ind w:right="0"/>
              <w:jc w:val="both"/>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湘阴一中增加学位提质扩容项目（</w:t>
            </w:r>
            <w:r>
              <w:rPr>
                <w:rFonts w:hint="eastAsia" w:ascii="宋体" w:hAnsi="宋体" w:eastAsia="宋体" w:cs="宋体"/>
                <w:color w:val="auto"/>
                <w:kern w:val="2"/>
                <w:sz w:val="21"/>
                <w:szCs w:val="21"/>
                <w:highlight w:val="none"/>
                <w:lang w:val="en-US" w:eastAsia="zh-CN" w:bidi="ar-SA"/>
              </w:rPr>
              <w:t>足球场草皮采购项目</w:t>
            </w:r>
            <w:r>
              <w:rPr>
                <w:rFonts w:hint="eastAsia" w:ascii="宋体" w:hAnsi="宋体" w:eastAsia="宋体" w:cs="宋体"/>
                <w:color w:val="auto"/>
                <w:sz w:val="21"/>
                <w:szCs w:val="21"/>
                <w:lang w:eastAsia="zh-CN"/>
              </w:rPr>
              <w:t>）</w:t>
            </w:r>
          </w:p>
        </w:tc>
        <w:tc>
          <w:tcPr>
            <w:tcW w:w="2257" w:type="dxa"/>
            <w:tcBorders>
              <w:left w:val="single" w:color="auto" w:sz="4" w:space="0"/>
            </w:tcBorders>
            <w:noWrap w:val="0"/>
            <w:vAlign w:val="center"/>
          </w:tcPr>
          <w:p w14:paraId="50169175">
            <w:pPr>
              <w:keepNext w:val="0"/>
              <w:keepLines w:val="0"/>
              <w:pageBreakBefore w:val="0"/>
              <w:widowControl w:val="0"/>
              <w:kinsoku/>
              <w:wordWrap/>
              <w:overflowPunct/>
              <w:topLinePunct w:val="0"/>
              <w:bidi w:val="0"/>
              <w:adjustRightInd w:val="0"/>
              <w:snapToGrid w:val="0"/>
              <w:spacing w:line="240" w:lineRule="auto"/>
              <w:ind w:right="0"/>
              <w:jc w:val="both"/>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rPr>
              <w:t>详见</w:t>
            </w:r>
            <w:r>
              <w:rPr>
                <w:rFonts w:hint="eastAsia" w:ascii="宋体" w:hAnsi="宋体" w:eastAsia="宋体" w:cs="宋体"/>
                <w:color w:val="auto"/>
                <w:sz w:val="21"/>
                <w:szCs w:val="21"/>
                <w:lang w:val="en-US" w:eastAsia="zh-CN"/>
              </w:rPr>
              <w:t>第二节 技术要求</w:t>
            </w:r>
          </w:p>
        </w:tc>
        <w:tc>
          <w:tcPr>
            <w:tcW w:w="676" w:type="dxa"/>
            <w:tcBorders>
              <w:left w:val="single" w:color="auto" w:sz="4" w:space="0"/>
            </w:tcBorders>
            <w:noWrap w:val="0"/>
            <w:vAlign w:val="center"/>
          </w:tcPr>
          <w:p w14:paraId="0FC27B33">
            <w:pPr>
              <w:keepNext w:val="0"/>
              <w:keepLines w:val="0"/>
              <w:pageBreakBefore w:val="0"/>
              <w:widowControl w:val="0"/>
              <w:kinsoku/>
              <w:wordWrap/>
              <w:overflowPunct/>
              <w:topLinePunct w:val="0"/>
              <w:bidi w:val="0"/>
              <w:adjustRightInd w:val="0"/>
              <w:snapToGrid w:val="0"/>
              <w:spacing w:line="240" w:lineRule="auto"/>
              <w:ind w:right="0"/>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z w:val="21"/>
                <w:szCs w:val="21"/>
                <w:lang w:val="en-US" w:eastAsia="zh-CN"/>
              </w:rPr>
              <w:t>m2</w:t>
            </w:r>
          </w:p>
        </w:tc>
        <w:tc>
          <w:tcPr>
            <w:tcW w:w="1011" w:type="dxa"/>
            <w:noWrap w:val="0"/>
            <w:vAlign w:val="center"/>
          </w:tcPr>
          <w:p w14:paraId="06699D0C">
            <w:pPr>
              <w:keepNext w:val="0"/>
              <w:keepLines w:val="0"/>
              <w:pageBreakBefore w:val="0"/>
              <w:widowControl w:val="0"/>
              <w:kinsoku/>
              <w:wordWrap/>
              <w:overflowPunct/>
              <w:topLinePunct w:val="0"/>
              <w:bidi w:val="0"/>
              <w:adjustRightInd w:val="0"/>
              <w:snapToGrid w:val="0"/>
              <w:spacing w:line="240" w:lineRule="auto"/>
              <w:ind w:right="0"/>
              <w:jc w:val="center"/>
              <w:textAlignment w:val="auto"/>
              <w:rPr>
                <w:rFonts w:hint="eastAsia" w:ascii="宋体" w:hAnsi="宋体" w:cs="宋体"/>
                <w:color w:val="auto"/>
                <w:sz w:val="21"/>
                <w:szCs w:val="21"/>
                <w:lang w:val="en-US" w:eastAsia="zh-CN"/>
              </w:rPr>
            </w:pPr>
            <w:r>
              <w:rPr>
                <w:rFonts w:hint="eastAsia" w:ascii="宋体" w:hAnsi="宋体" w:cs="宋体"/>
                <w:color w:val="auto"/>
                <w:sz w:val="21"/>
                <w:szCs w:val="21"/>
                <w:lang w:val="en-US" w:eastAsia="zh-CN"/>
              </w:rPr>
              <w:t>7800</w:t>
            </w:r>
          </w:p>
        </w:tc>
        <w:tc>
          <w:tcPr>
            <w:tcW w:w="2415" w:type="dxa"/>
            <w:noWrap w:val="0"/>
            <w:vAlign w:val="center"/>
          </w:tcPr>
          <w:p w14:paraId="1959D7B9">
            <w:pPr>
              <w:keepNext w:val="0"/>
              <w:keepLines w:val="0"/>
              <w:pageBreakBefore w:val="0"/>
              <w:widowControl w:val="0"/>
              <w:kinsoku/>
              <w:wordWrap/>
              <w:overflowPunct/>
              <w:topLinePunct w:val="0"/>
              <w:bidi w:val="0"/>
              <w:adjustRightInd w:val="0"/>
              <w:snapToGrid w:val="0"/>
              <w:spacing w:line="240" w:lineRule="auto"/>
              <w:ind w:right="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kern w:val="2"/>
                <w:sz w:val="21"/>
                <w:szCs w:val="21"/>
                <w:highlight w:val="none"/>
                <w:lang w:val="en-US" w:eastAsia="zh-CN" w:bidi="ar-SA"/>
              </w:rPr>
              <w:t>1023216.31（元）</w:t>
            </w:r>
          </w:p>
        </w:tc>
      </w:tr>
    </w:tbl>
    <w:p w14:paraId="2D337DF3">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b/>
          <w:bCs/>
          <w:color w:val="auto"/>
          <w:szCs w:val="21"/>
        </w:rPr>
      </w:pPr>
      <w:r>
        <w:rPr>
          <w:rFonts w:hint="eastAsia" w:ascii="宋体" w:hAnsi="宋体"/>
          <w:b/>
          <w:bCs/>
          <w:color w:val="auto"/>
          <w:szCs w:val="21"/>
        </w:rPr>
        <w:t>注：</w:t>
      </w:r>
    </w:p>
    <w:p w14:paraId="3EF6699B">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Cs w:val="21"/>
        </w:rPr>
      </w:pPr>
      <w:r>
        <w:rPr>
          <w:rFonts w:hint="eastAsia" w:ascii="宋体" w:hAnsi="宋体"/>
          <w:color w:val="auto"/>
          <w:szCs w:val="21"/>
        </w:rPr>
        <w:t>1</w:t>
      </w:r>
      <w:r>
        <w:rPr>
          <w:rFonts w:hint="eastAsia" w:ascii="宋体" w:hAnsi="宋体"/>
          <w:color w:val="auto"/>
          <w:szCs w:val="21"/>
          <w:lang w:val="en-US" w:eastAsia="zh-CN"/>
        </w:rPr>
        <w:t>.</w:t>
      </w:r>
      <w:r>
        <w:rPr>
          <w:rFonts w:hint="eastAsia" w:ascii="宋体" w:hAnsi="宋体"/>
          <w:color w:val="auto"/>
          <w:szCs w:val="21"/>
        </w:rPr>
        <w:t>“包”为最小合同单位。每“包”内容应细化到具体的标的。</w:t>
      </w:r>
    </w:p>
    <w:p w14:paraId="351EA5F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s="宋体"/>
          <w:color w:val="auto"/>
          <w:kern w:val="0"/>
          <w:szCs w:val="21"/>
        </w:rPr>
      </w:pPr>
      <w:r>
        <w:rPr>
          <w:rFonts w:hint="eastAsia" w:ascii="宋体" w:hAnsi="宋体"/>
          <w:color w:val="auto"/>
          <w:szCs w:val="21"/>
        </w:rPr>
        <w:t>2</w:t>
      </w:r>
      <w:r>
        <w:rPr>
          <w:rFonts w:hint="eastAsia" w:ascii="宋体" w:hAnsi="宋体"/>
          <w:color w:val="auto"/>
          <w:szCs w:val="21"/>
          <w:lang w:val="en-US" w:eastAsia="zh-CN"/>
        </w:rPr>
        <w:t>.</w:t>
      </w:r>
      <w:r>
        <w:rPr>
          <w:rFonts w:hint="eastAsia" w:ascii="宋体" w:hAnsi="宋体"/>
          <w:color w:val="auto"/>
          <w:szCs w:val="21"/>
        </w:rPr>
        <w:t>货物的主要技术参数或规格：</w:t>
      </w:r>
      <w:r>
        <w:rPr>
          <w:rFonts w:ascii="宋体" w:hAnsi="宋体" w:cs="宋体"/>
          <w:color w:val="auto"/>
          <w:kern w:val="0"/>
          <w:szCs w:val="21"/>
        </w:rPr>
        <w:t>详见“技术要求”中的具体技术参数</w:t>
      </w:r>
      <w:r>
        <w:rPr>
          <w:rFonts w:hint="eastAsia" w:ascii="宋体" w:hAnsi="宋体" w:cs="宋体"/>
          <w:color w:val="auto"/>
          <w:kern w:val="0"/>
          <w:szCs w:val="21"/>
        </w:rPr>
        <w:t>。</w:t>
      </w:r>
    </w:p>
    <w:p w14:paraId="29CFA19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cs="宋体"/>
          <w:color w:val="auto"/>
          <w:kern w:val="0"/>
          <w:szCs w:val="21"/>
        </w:rPr>
      </w:pPr>
      <w:r>
        <w:rPr>
          <w:rFonts w:hint="eastAsia" w:ascii="宋体" w:hAnsi="宋体" w:cs="宋体"/>
          <w:bCs/>
          <w:color w:val="auto"/>
          <w:kern w:val="0"/>
          <w:szCs w:val="21"/>
        </w:rPr>
        <w:t>3</w:t>
      </w:r>
      <w:r>
        <w:rPr>
          <w:rFonts w:hint="eastAsia" w:ascii="宋体" w:hAnsi="宋体" w:cs="宋体"/>
          <w:bCs/>
          <w:color w:val="auto"/>
          <w:kern w:val="0"/>
          <w:szCs w:val="21"/>
          <w:lang w:val="en-US" w:eastAsia="zh-CN"/>
        </w:rPr>
        <w:t>.</w:t>
      </w:r>
      <w:r>
        <w:rPr>
          <w:rFonts w:hint="eastAsia" w:ascii="宋体" w:hAnsi="宋体" w:cs="宋体"/>
          <w:bCs/>
          <w:color w:val="auto"/>
          <w:kern w:val="0"/>
          <w:szCs w:val="21"/>
        </w:rPr>
        <w:t>供应商应</w:t>
      </w:r>
      <w:r>
        <w:rPr>
          <w:rFonts w:hint="eastAsia" w:ascii="宋体" w:hAnsi="宋体" w:cs="宋体"/>
          <w:color w:val="auto"/>
          <w:kern w:val="0"/>
          <w:szCs w:val="21"/>
        </w:rPr>
        <w:t>在响应文件</w:t>
      </w:r>
      <w:r>
        <w:rPr>
          <w:rFonts w:hint="eastAsia" w:ascii="华文中宋" w:hAnsi="华文中宋" w:eastAsia="华文中宋" w:cs="宋体"/>
          <w:color w:val="auto"/>
          <w:kern w:val="0"/>
          <w:szCs w:val="21"/>
        </w:rPr>
        <w:t>“</w:t>
      </w:r>
      <w:r>
        <w:rPr>
          <w:rFonts w:hint="eastAsia" w:ascii="宋体" w:hAnsi="宋体" w:cs="宋体"/>
          <w:color w:val="auto"/>
          <w:kern w:val="0"/>
          <w:szCs w:val="21"/>
        </w:rPr>
        <w:t>分项报价明细表</w:t>
      </w:r>
      <w:r>
        <w:rPr>
          <w:rFonts w:hint="eastAsia" w:ascii="华文中宋" w:hAnsi="华文中宋" w:eastAsia="华文中宋" w:cs="宋体"/>
          <w:color w:val="auto"/>
          <w:kern w:val="0"/>
          <w:szCs w:val="21"/>
        </w:rPr>
        <w:t>”</w:t>
      </w:r>
      <w:r>
        <w:rPr>
          <w:rFonts w:hint="eastAsia" w:ascii="宋体" w:hAnsi="宋体" w:cs="宋体"/>
          <w:color w:val="auto"/>
          <w:kern w:val="0"/>
          <w:szCs w:val="21"/>
        </w:rPr>
        <w:t>中按</w:t>
      </w:r>
      <w:r>
        <w:rPr>
          <w:rFonts w:hint="eastAsia" w:ascii="宋体" w:hAnsi="宋体"/>
          <w:color w:val="auto"/>
          <w:szCs w:val="21"/>
        </w:rPr>
        <w:t>标的名称</w:t>
      </w:r>
      <w:r>
        <w:rPr>
          <w:rFonts w:hint="eastAsia" w:ascii="宋体" w:hAnsi="宋体" w:cs="宋体"/>
          <w:color w:val="auto"/>
          <w:kern w:val="0"/>
          <w:szCs w:val="21"/>
        </w:rPr>
        <w:t>顺序逐项填写，且每个标的均需按谈判文件规定报价。如有缺项、漏项，其</w:t>
      </w:r>
      <w:r>
        <w:rPr>
          <w:rFonts w:hint="eastAsia" w:ascii="宋体" w:hAnsi="宋体" w:cs="宋体"/>
          <w:b/>
          <w:color w:val="auto"/>
          <w:kern w:val="0"/>
          <w:szCs w:val="21"/>
        </w:rPr>
        <w:t>响应无效</w:t>
      </w:r>
      <w:r>
        <w:rPr>
          <w:rFonts w:hint="eastAsia" w:ascii="宋体" w:hAnsi="宋体" w:cs="宋体"/>
          <w:color w:val="auto"/>
          <w:kern w:val="0"/>
          <w:szCs w:val="21"/>
        </w:rPr>
        <w:t>。</w:t>
      </w:r>
    </w:p>
    <w:p w14:paraId="76A7F346">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auto"/>
          <w:kern w:val="0"/>
          <w:szCs w:val="21"/>
          <w:lang w:val="en-US" w:eastAsia="zh-CN"/>
        </w:rPr>
      </w:pPr>
      <w:r>
        <w:rPr>
          <w:rFonts w:hint="eastAsia" w:ascii="宋体" w:hAnsi="宋体" w:eastAsia="宋体" w:cs="宋体"/>
          <w:color w:val="auto"/>
          <w:kern w:val="0"/>
          <w:szCs w:val="21"/>
          <w:lang w:val="en-US" w:eastAsia="zh-CN"/>
        </w:rPr>
        <w:t>4.本项目合同定价方式：固定总价；包含原有破旧草皮拆除、清运、新草坪及配套辅料采购、运输、铺设、调试、检测、验收、质保、售后、人工、税费等一切费用，采购人不另行支付其他任何费用。</w:t>
      </w:r>
    </w:p>
    <w:p w14:paraId="11DE68AE">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jc w:val="center"/>
        <w:textAlignment w:val="auto"/>
        <w:rPr>
          <w:rFonts w:hint="eastAsia" w:ascii="黑体" w:hAnsi="华文中宋" w:eastAsia="黑体" w:cs="Times New Roman"/>
          <w:b/>
          <w:bCs/>
          <w:color w:val="auto"/>
          <w:kern w:val="2"/>
          <w:sz w:val="28"/>
          <w:szCs w:val="28"/>
          <w:lang w:val="en-US" w:eastAsia="zh-CN" w:bidi="ar-SA"/>
        </w:rPr>
      </w:pPr>
      <w:r>
        <w:rPr>
          <w:rFonts w:hint="eastAsia" w:ascii="黑体" w:hAnsi="华文中宋" w:eastAsia="黑体" w:cs="Times New Roman"/>
          <w:b/>
          <w:bCs/>
          <w:color w:val="auto"/>
          <w:kern w:val="2"/>
          <w:sz w:val="28"/>
          <w:szCs w:val="28"/>
          <w:lang w:val="en-US" w:eastAsia="zh-CN" w:bidi="ar-SA"/>
        </w:rPr>
        <w:t>第二节 技术要求</w:t>
      </w:r>
    </w:p>
    <w:tbl>
      <w:tblPr>
        <w:tblStyle w:val="11"/>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9"/>
        <w:gridCol w:w="1293"/>
        <w:gridCol w:w="6158"/>
        <w:gridCol w:w="676"/>
        <w:gridCol w:w="866"/>
      </w:tblGrid>
      <w:tr w14:paraId="1D67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19" w:type="dxa"/>
            <w:noWrap w:val="0"/>
            <w:vAlign w:val="center"/>
          </w:tcPr>
          <w:p w14:paraId="146E3B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93" w:type="dxa"/>
            <w:noWrap w:val="0"/>
            <w:vAlign w:val="center"/>
          </w:tcPr>
          <w:p w14:paraId="6C871A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标的名称</w:t>
            </w:r>
          </w:p>
        </w:tc>
        <w:tc>
          <w:tcPr>
            <w:tcW w:w="6158" w:type="dxa"/>
            <w:noWrap w:val="0"/>
            <w:vAlign w:val="center"/>
          </w:tcPr>
          <w:p w14:paraId="18025DC9">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技术参数及要求</w:t>
            </w:r>
          </w:p>
        </w:tc>
        <w:tc>
          <w:tcPr>
            <w:tcW w:w="676" w:type="dxa"/>
            <w:noWrap w:val="0"/>
            <w:vAlign w:val="center"/>
          </w:tcPr>
          <w:p w14:paraId="58051E5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单位</w:t>
            </w:r>
          </w:p>
        </w:tc>
        <w:tc>
          <w:tcPr>
            <w:tcW w:w="866" w:type="dxa"/>
            <w:noWrap w:val="0"/>
            <w:vAlign w:val="center"/>
          </w:tcPr>
          <w:p w14:paraId="1E62F1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w:t>
            </w:r>
          </w:p>
        </w:tc>
      </w:tr>
      <w:tr w14:paraId="43761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19" w:type="dxa"/>
            <w:noWrap w:val="0"/>
            <w:vAlign w:val="center"/>
          </w:tcPr>
          <w:p w14:paraId="5808BE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93" w:type="dxa"/>
            <w:noWrap w:val="0"/>
            <w:vAlign w:val="center"/>
          </w:tcPr>
          <w:p w14:paraId="59A6965B">
            <w:pPr>
              <w:keepNext w:val="0"/>
              <w:keepLines w:val="0"/>
              <w:widowControl/>
              <w:numPr>
                <w:ilvl w:val="0"/>
                <w:numId w:val="0"/>
              </w:numPr>
              <w:suppressLineNumbers w:val="0"/>
              <w:jc w:val="left"/>
              <w:textAlignment w:val="center"/>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color w:val="auto"/>
                <w:sz w:val="20"/>
                <w:szCs w:val="20"/>
                <w:lang w:eastAsia="zh-CN"/>
              </w:rPr>
              <w:t>湘阴一中增加学位提质扩容项目（</w:t>
            </w:r>
            <w:r>
              <w:rPr>
                <w:rFonts w:hint="eastAsia" w:ascii="宋体" w:hAnsi="宋体" w:eastAsia="宋体" w:cs="宋体"/>
                <w:b w:val="0"/>
                <w:bCs w:val="0"/>
                <w:color w:val="auto"/>
                <w:kern w:val="2"/>
                <w:sz w:val="20"/>
                <w:szCs w:val="20"/>
                <w:highlight w:val="none"/>
                <w:lang w:val="en-US" w:eastAsia="zh-CN" w:bidi="ar-SA"/>
              </w:rPr>
              <w:t>足球场草皮采购项目</w:t>
            </w:r>
            <w:r>
              <w:rPr>
                <w:rFonts w:hint="eastAsia" w:ascii="宋体" w:hAnsi="宋体" w:eastAsia="宋体" w:cs="宋体"/>
                <w:b w:val="0"/>
                <w:bCs w:val="0"/>
                <w:color w:val="auto"/>
                <w:sz w:val="20"/>
                <w:szCs w:val="20"/>
                <w:lang w:eastAsia="zh-CN"/>
              </w:rPr>
              <w:t>）</w:t>
            </w:r>
          </w:p>
        </w:tc>
        <w:tc>
          <w:tcPr>
            <w:tcW w:w="6158" w:type="dxa"/>
            <w:noWrap w:val="0"/>
            <w:vAlign w:val="center"/>
          </w:tcPr>
          <w:p w14:paraId="24290D52">
            <w:pPr>
              <w:keepNext w:val="0"/>
              <w:keepLines w:val="0"/>
              <w:widowControl/>
              <w:numPr>
                <w:ilvl w:val="0"/>
                <w:numId w:val="0"/>
              </w:numPr>
              <w:suppressLineNumbers w:val="0"/>
              <w:jc w:val="left"/>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（一）技术参数要求</w:t>
            </w:r>
          </w:p>
          <w:p w14:paraId="23477317">
            <w:pPr>
              <w:keepNext w:val="0"/>
              <w:keepLines w:val="0"/>
              <w:widowControl/>
              <w:numPr>
                <w:ilvl w:val="0"/>
                <w:numId w:val="0"/>
              </w:numPr>
              <w:suppressLineNumbers w:val="0"/>
              <w:jc w:val="left"/>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1.草纤维材质：钻石单丝（或菱形截面 PE 单丝）。</w:t>
            </w:r>
          </w:p>
          <w:p w14:paraId="507AABB0">
            <w:pPr>
              <w:keepNext w:val="0"/>
              <w:keepLines w:val="0"/>
              <w:widowControl/>
              <w:numPr>
                <w:ilvl w:val="0"/>
                <w:numId w:val="0"/>
              </w:numPr>
              <w:suppressLineNumbers w:val="0"/>
              <w:ind w:leftChars="0"/>
              <w:jc w:val="left"/>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2.草丝膜厚：≥250μm</w:t>
            </w:r>
            <w:r>
              <w:rPr>
                <w:rFonts w:hint="eastAsia" w:ascii="宋体" w:hAnsi="宋体" w:eastAsia="宋体" w:cs="宋体"/>
                <w:b w:val="0"/>
                <w:bCs w:val="0"/>
                <w:i w:val="0"/>
                <w:iCs w:val="0"/>
                <w:color w:val="auto"/>
                <w:kern w:val="0"/>
                <w:sz w:val="20"/>
                <w:szCs w:val="20"/>
                <w:u w:val="none"/>
                <w:lang w:val="en-US" w:eastAsia="zh-CN" w:bidi="ar"/>
              </w:rPr>
              <w:br w:type="textWrapping"/>
            </w:r>
            <w:r>
              <w:rPr>
                <w:rFonts w:hint="eastAsia" w:ascii="宋体" w:hAnsi="宋体" w:eastAsia="宋体" w:cs="宋体"/>
                <w:b w:val="0"/>
                <w:bCs w:val="0"/>
                <w:i w:val="0"/>
                <w:iCs w:val="0"/>
                <w:color w:val="auto"/>
                <w:kern w:val="0"/>
                <w:sz w:val="20"/>
                <w:szCs w:val="20"/>
                <w:u w:val="none"/>
                <w:lang w:val="en-US" w:eastAsia="zh-CN" w:bidi="ar"/>
              </w:rPr>
              <w:t>3.草高（不含底布高度）：50mm±1mm</w:t>
            </w:r>
            <w:r>
              <w:rPr>
                <w:rFonts w:hint="eastAsia" w:ascii="宋体" w:hAnsi="宋体" w:eastAsia="宋体" w:cs="宋体"/>
                <w:b w:val="0"/>
                <w:bCs w:val="0"/>
                <w:i w:val="0"/>
                <w:iCs w:val="0"/>
                <w:color w:val="auto"/>
                <w:kern w:val="0"/>
                <w:sz w:val="20"/>
                <w:szCs w:val="20"/>
                <w:u w:val="none"/>
                <w:lang w:val="en-US" w:eastAsia="zh-CN" w:bidi="ar"/>
              </w:rPr>
              <w:br w:type="textWrapping"/>
            </w:r>
            <w:r>
              <w:rPr>
                <w:rFonts w:hint="eastAsia" w:ascii="宋体" w:hAnsi="宋体" w:eastAsia="宋体" w:cs="宋体"/>
                <w:b w:val="0"/>
                <w:bCs w:val="0"/>
                <w:i w:val="0"/>
                <w:iCs w:val="0"/>
                <w:color w:val="auto"/>
                <w:kern w:val="0"/>
                <w:sz w:val="20"/>
                <w:szCs w:val="20"/>
                <w:u w:val="none"/>
                <w:lang w:val="en-US" w:eastAsia="zh-CN" w:bidi="ar"/>
              </w:rPr>
              <w:t>4.草丝膜宽：≥1.4mm</w:t>
            </w:r>
            <w:r>
              <w:rPr>
                <w:rFonts w:hint="eastAsia" w:ascii="宋体" w:hAnsi="宋体" w:eastAsia="宋体" w:cs="宋体"/>
                <w:b w:val="0"/>
                <w:bCs w:val="0"/>
                <w:i w:val="0"/>
                <w:iCs w:val="0"/>
                <w:color w:val="auto"/>
                <w:kern w:val="0"/>
                <w:sz w:val="20"/>
                <w:szCs w:val="20"/>
                <w:u w:val="none"/>
                <w:lang w:val="en-US" w:eastAsia="zh-CN" w:bidi="ar"/>
              </w:rPr>
              <w:br w:type="textWrapping"/>
            </w:r>
            <w:r>
              <w:rPr>
                <w:rFonts w:hint="eastAsia" w:ascii="宋体" w:hAnsi="宋体" w:eastAsia="宋体" w:cs="宋体"/>
                <w:b w:val="0"/>
                <w:bCs w:val="0"/>
                <w:i w:val="0"/>
                <w:iCs w:val="0"/>
                <w:color w:val="auto"/>
                <w:kern w:val="0"/>
                <w:sz w:val="20"/>
                <w:szCs w:val="20"/>
                <w:u w:val="none"/>
                <w:lang w:val="en-US" w:eastAsia="zh-CN" w:bidi="ar"/>
              </w:rPr>
              <w:t>5.草丝颜色：双色（田野绿和嫩绿）。</w:t>
            </w:r>
          </w:p>
          <w:p w14:paraId="2AC2AEA9">
            <w:pPr>
              <w:keepNext w:val="0"/>
              <w:keepLines w:val="0"/>
              <w:widowControl/>
              <w:numPr>
                <w:ilvl w:val="0"/>
                <w:numId w:val="1"/>
              </w:numPr>
              <w:suppressLineNumbers w:val="0"/>
              <w:ind w:leftChars="0"/>
              <w:jc w:val="left"/>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行距：5/8 英寸</w:t>
            </w:r>
            <w:r>
              <w:rPr>
                <w:rFonts w:hint="eastAsia" w:ascii="宋体" w:hAnsi="宋体" w:eastAsia="宋体" w:cs="宋体"/>
                <w:b w:val="0"/>
                <w:bCs w:val="0"/>
                <w:i w:val="0"/>
                <w:iCs w:val="0"/>
                <w:color w:val="auto"/>
                <w:kern w:val="0"/>
                <w:sz w:val="20"/>
                <w:szCs w:val="20"/>
                <w:u w:val="none"/>
                <w:lang w:val="en-US" w:eastAsia="zh-CN" w:bidi="ar"/>
              </w:rPr>
              <w:br w:type="textWrapping"/>
            </w:r>
            <w:r>
              <w:rPr>
                <w:rFonts w:hint="eastAsia" w:ascii="宋体" w:hAnsi="宋体" w:eastAsia="宋体" w:cs="宋体"/>
                <w:b w:val="0"/>
                <w:bCs w:val="0"/>
                <w:i w:val="0"/>
                <w:iCs w:val="0"/>
                <w:color w:val="auto"/>
                <w:kern w:val="0"/>
                <w:sz w:val="20"/>
                <w:szCs w:val="20"/>
                <w:u w:val="none"/>
                <w:lang w:val="en-US" w:eastAsia="zh-CN" w:bidi="ar"/>
              </w:rPr>
              <w:t>7.草坪底布编织工艺：草簇编织直线走针型。</w:t>
            </w:r>
          </w:p>
          <w:p w14:paraId="20E933F3">
            <w:pPr>
              <w:keepNext w:val="0"/>
              <w:keepLines w:val="0"/>
              <w:widowControl/>
              <w:numPr>
                <w:ilvl w:val="0"/>
                <w:numId w:val="1"/>
              </w:numPr>
              <w:suppressLineNumbers w:val="0"/>
              <w:ind w:left="0" w:leftChars="0" w:firstLine="0" w:firstLineChars="0"/>
              <w:jc w:val="left"/>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接缝带：抗撕裂耐紫外线专业接缝带，黑色 20-30cm 宽</w:t>
            </w:r>
            <w:r>
              <w:rPr>
                <w:rFonts w:hint="eastAsia" w:ascii="宋体" w:hAnsi="宋体" w:eastAsia="宋体" w:cs="宋体"/>
                <w:b w:val="0"/>
                <w:bCs w:val="0"/>
                <w:i w:val="0"/>
                <w:iCs w:val="0"/>
                <w:color w:val="auto"/>
                <w:kern w:val="0"/>
                <w:sz w:val="20"/>
                <w:szCs w:val="20"/>
                <w:u w:val="none"/>
                <w:lang w:val="en-US" w:eastAsia="zh-CN" w:bidi="ar"/>
              </w:rPr>
              <w:br w:type="textWrapping"/>
            </w:r>
            <w:r>
              <w:rPr>
                <w:rFonts w:hint="eastAsia" w:ascii="宋体" w:hAnsi="宋体" w:eastAsia="宋体" w:cs="宋体"/>
                <w:b w:val="0"/>
                <w:bCs w:val="0"/>
                <w:i w:val="0"/>
                <w:iCs w:val="0"/>
                <w:color w:val="auto"/>
                <w:kern w:val="0"/>
                <w:sz w:val="20"/>
                <w:szCs w:val="20"/>
                <w:u w:val="none"/>
                <w:lang w:val="en-US" w:eastAsia="zh-CN" w:bidi="ar"/>
              </w:rPr>
              <w:t>9.草纤维度（dtex）：≥PE13000DTEX</w:t>
            </w:r>
            <w:r>
              <w:rPr>
                <w:rFonts w:hint="eastAsia" w:ascii="宋体" w:hAnsi="宋体" w:eastAsia="宋体" w:cs="宋体"/>
                <w:b w:val="0"/>
                <w:bCs w:val="0"/>
                <w:i w:val="0"/>
                <w:iCs w:val="0"/>
                <w:color w:val="auto"/>
                <w:kern w:val="0"/>
                <w:sz w:val="20"/>
                <w:szCs w:val="20"/>
                <w:u w:val="none"/>
                <w:lang w:val="en-US" w:eastAsia="zh-CN" w:bidi="ar"/>
              </w:rPr>
              <w:br w:type="textWrapping"/>
            </w:r>
            <w:r>
              <w:rPr>
                <w:rFonts w:hint="eastAsia" w:ascii="宋体" w:hAnsi="宋体" w:eastAsia="宋体" w:cs="宋体"/>
                <w:b w:val="0"/>
                <w:bCs w:val="0"/>
                <w:i w:val="0"/>
                <w:iCs w:val="0"/>
                <w:color w:val="auto"/>
                <w:kern w:val="0"/>
                <w:sz w:val="20"/>
                <w:szCs w:val="20"/>
                <w:u w:val="none"/>
                <w:lang w:val="en-US" w:eastAsia="zh-CN" w:bidi="ar"/>
              </w:rPr>
              <w:t>10.密度：≥10500针/平方米</w:t>
            </w:r>
            <w:r>
              <w:rPr>
                <w:rFonts w:hint="eastAsia" w:ascii="宋体" w:hAnsi="宋体" w:eastAsia="宋体" w:cs="宋体"/>
                <w:b w:val="0"/>
                <w:bCs w:val="0"/>
                <w:i w:val="0"/>
                <w:iCs w:val="0"/>
                <w:color w:val="auto"/>
                <w:kern w:val="0"/>
                <w:sz w:val="20"/>
                <w:szCs w:val="20"/>
                <w:u w:val="none"/>
                <w:lang w:val="en-US" w:eastAsia="zh-CN" w:bidi="ar"/>
              </w:rPr>
              <w:br w:type="textWrapping"/>
            </w:r>
            <w:r>
              <w:rPr>
                <w:rFonts w:hint="eastAsia" w:ascii="宋体" w:hAnsi="宋体" w:eastAsia="宋体" w:cs="宋体"/>
                <w:b w:val="0"/>
                <w:bCs w:val="0"/>
                <w:i w:val="0"/>
                <w:iCs w:val="0"/>
                <w:color w:val="auto"/>
                <w:kern w:val="0"/>
                <w:sz w:val="20"/>
                <w:szCs w:val="20"/>
                <w:u w:val="none"/>
                <w:lang w:val="en-US" w:eastAsia="zh-CN" w:bidi="ar"/>
              </w:rPr>
              <w:t>11.草丝形状：截面为菱形形状</w:t>
            </w:r>
            <w:r>
              <w:rPr>
                <w:rFonts w:hint="eastAsia" w:ascii="宋体" w:hAnsi="宋体" w:eastAsia="宋体" w:cs="宋体"/>
                <w:b w:val="0"/>
                <w:bCs w:val="0"/>
                <w:i w:val="0"/>
                <w:iCs w:val="0"/>
                <w:color w:val="auto"/>
                <w:kern w:val="0"/>
                <w:sz w:val="20"/>
                <w:szCs w:val="20"/>
                <w:u w:val="none"/>
                <w:lang w:val="en-US" w:eastAsia="zh-CN" w:bidi="ar"/>
              </w:rPr>
              <w:br w:type="textWrapping"/>
            </w:r>
            <w:r>
              <w:rPr>
                <w:rFonts w:hint="eastAsia" w:ascii="宋体" w:hAnsi="宋体" w:eastAsia="宋体" w:cs="宋体"/>
                <w:b w:val="0"/>
                <w:bCs w:val="0"/>
                <w:i w:val="0"/>
                <w:iCs w:val="0"/>
                <w:color w:val="auto"/>
                <w:kern w:val="0"/>
                <w:sz w:val="20"/>
                <w:szCs w:val="20"/>
                <w:u w:val="none"/>
                <w:lang w:val="en-US" w:eastAsia="zh-CN" w:bidi="ar"/>
              </w:rPr>
              <w:t>12.底布背胶：丁苯乳胶</w:t>
            </w:r>
            <w:r>
              <w:rPr>
                <w:rFonts w:hint="eastAsia" w:ascii="宋体" w:hAnsi="宋体" w:eastAsia="宋体" w:cs="宋体"/>
                <w:b w:val="0"/>
                <w:bCs w:val="0"/>
                <w:i w:val="0"/>
                <w:iCs w:val="0"/>
                <w:color w:val="auto"/>
                <w:kern w:val="0"/>
                <w:sz w:val="20"/>
                <w:szCs w:val="20"/>
                <w:u w:val="none"/>
                <w:lang w:val="en-US" w:eastAsia="zh-CN" w:bidi="ar"/>
              </w:rPr>
              <w:br w:type="textWrapping"/>
            </w:r>
            <w:r>
              <w:rPr>
                <w:rFonts w:hint="eastAsia" w:ascii="宋体" w:hAnsi="宋体" w:eastAsia="宋体" w:cs="宋体"/>
                <w:b w:val="0"/>
                <w:bCs w:val="0"/>
                <w:i w:val="0"/>
                <w:iCs w:val="0"/>
                <w:color w:val="auto"/>
                <w:kern w:val="0"/>
                <w:sz w:val="20"/>
                <w:szCs w:val="20"/>
                <w:u w:val="none"/>
                <w:lang w:val="en-US" w:eastAsia="zh-CN" w:bidi="ar"/>
              </w:rPr>
              <w:t>13.卷宽（有效幅度）：4米（卷长：按场地实际需要）</w:t>
            </w:r>
            <w:r>
              <w:rPr>
                <w:rFonts w:hint="eastAsia" w:ascii="宋体" w:hAnsi="宋体" w:eastAsia="宋体" w:cs="宋体"/>
                <w:b w:val="0"/>
                <w:bCs w:val="0"/>
                <w:i w:val="0"/>
                <w:iCs w:val="0"/>
                <w:color w:val="auto"/>
                <w:kern w:val="0"/>
                <w:sz w:val="20"/>
                <w:szCs w:val="20"/>
                <w:u w:val="none"/>
                <w:lang w:val="en-US" w:eastAsia="zh-CN" w:bidi="ar"/>
              </w:rPr>
              <w:br w:type="textWrapping"/>
            </w:r>
            <w:r>
              <w:rPr>
                <w:rFonts w:hint="eastAsia" w:ascii="宋体" w:hAnsi="宋体" w:eastAsia="宋体" w:cs="宋体"/>
                <w:b w:val="0"/>
                <w:bCs w:val="0"/>
                <w:i w:val="0"/>
                <w:iCs w:val="0"/>
                <w:color w:val="auto"/>
                <w:kern w:val="0"/>
                <w:sz w:val="20"/>
                <w:szCs w:val="20"/>
                <w:u w:val="none"/>
                <w:lang w:val="en-US" w:eastAsia="zh-CN" w:bidi="ar"/>
              </w:rPr>
              <w:t xml:space="preserve">14.底布类型：PP编织符合纱罗（或网格）底布； </w:t>
            </w:r>
          </w:p>
          <w:p w14:paraId="7F1788E8">
            <w:pPr>
              <w:keepNext w:val="0"/>
              <w:keepLines w:val="0"/>
              <w:widowControl/>
              <w:numPr>
                <w:ilvl w:val="0"/>
                <w:numId w:val="0"/>
              </w:numPr>
              <w:suppressLineNumbers w:val="0"/>
              <w:ind w:leftChars="0"/>
              <w:jc w:val="left"/>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（二）技术要求</w:t>
            </w:r>
          </w:p>
          <w:p w14:paraId="181A9A91">
            <w:pPr>
              <w:keepNext w:val="0"/>
              <w:keepLines w:val="0"/>
              <w:widowControl/>
              <w:numPr>
                <w:ilvl w:val="0"/>
                <w:numId w:val="0"/>
              </w:numPr>
              <w:suppressLineNumbers w:val="0"/>
              <w:spacing w:before="0" w:beforeAutospacing="0" w:after="0" w:afterAutospacing="0" w:line="240" w:lineRule="auto"/>
              <w:ind w:leftChars="0"/>
              <w:jc w:val="left"/>
              <w:rPr>
                <w:rFonts w:hint="eastAsia"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1.拔出力要求：</w:t>
            </w:r>
            <w:r>
              <w:rPr>
                <w:rFonts w:hint="default" w:ascii="Calibri" w:hAnsi="Calibri" w:eastAsia="宋体" w:cs="Times New Roman"/>
                <w:color w:val="auto"/>
                <w:kern w:val="0"/>
                <w:sz w:val="18"/>
                <w:szCs w:val="18"/>
                <w:lang w:val="en-US" w:eastAsia="zh-CN" w:bidi="ar-SA"/>
              </w:rPr>
              <w:t>依据GB/T 20394-2019标准，</w:t>
            </w:r>
            <w:r>
              <w:rPr>
                <w:rFonts w:hint="eastAsia" w:ascii="宋体" w:hAnsi="宋体" w:eastAsia="宋体" w:cs="宋体"/>
                <w:b w:val="0"/>
                <w:bCs w:val="0"/>
                <w:i w:val="0"/>
                <w:iCs w:val="0"/>
                <w:color w:val="auto"/>
                <w:kern w:val="0"/>
                <w:sz w:val="20"/>
                <w:szCs w:val="20"/>
                <w:u w:val="none"/>
                <w:lang w:val="en-US" w:eastAsia="zh-CN" w:bidi="ar"/>
              </w:rPr>
              <w:t>单簇草丝拔出力≥110N，单簇草丝拔出力保留率≥90%。</w:t>
            </w:r>
            <w:r>
              <w:rPr>
                <w:rFonts w:hint="eastAsia" w:ascii="宋体" w:hAnsi="宋体" w:eastAsia="宋体" w:cs="宋体"/>
                <w:b/>
                <w:bCs/>
                <w:i w:val="0"/>
                <w:iCs w:val="0"/>
                <w:color w:val="auto"/>
                <w:kern w:val="0"/>
                <w:sz w:val="20"/>
                <w:szCs w:val="20"/>
                <w:u w:val="none"/>
                <w:lang w:val="en-US" w:eastAsia="zh-CN" w:bidi="ar"/>
              </w:rPr>
              <w:t>（</w:t>
            </w:r>
            <w:r>
              <w:rPr>
                <w:rFonts w:hint="default" w:ascii="Calibri" w:hAnsi="Calibri" w:eastAsia="宋体" w:cs="Times New Roman"/>
                <w:b/>
                <w:bCs/>
                <w:color w:val="auto"/>
                <w:kern w:val="0"/>
                <w:sz w:val="18"/>
                <w:szCs w:val="18"/>
                <w:lang w:val="en-US" w:eastAsia="zh-CN" w:bidi="ar-SA"/>
              </w:rPr>
              <w:t>提供</w:t>
            </w:r>
            <w:r>
              <w:rPr>
                <w:rFonts w:hint="eastAsia" w:ascii="宋体" w:hAnsi="宋体" w:eastAsia="宋体" w:cs="宋体"/>
                <w:b/>
                <w:bCs/>
                <w:kern w:val="0"/>
                <w:sz w:val="18"/>
                <w:szCs w:val="18"/>
                <w:lang w:val="en-US" w:eastAsia="zh-CN" w:bidi="ar-SA"/>
              </w:rPr>
              <w:t>佐证材料</w:t>
            </w:r>
            <w:r>
              <w:rPr>
                <w:rFonts w:hint="eastAsia" w:ascii="宋体" w:hAnsi="宋体" w:eastAsia="宋体" w:cs="宋体"/>
                <w:b/>
                <w:bCs/>
                <w:i w:val="0"/>
                <w:iCs w:val="0"/>
                <w:color w:val="auto"/>
                <w:kern w:val="0"/>
                <w:sz w:val="20"/>
                <w:szCs w:val="20"/>
                <w:u w:val="none"/>
                <w:lang w:val="en-US" w:eastAsia="zh-CN" w:bidi="ar"/>
              </w:rPr>
              <w:t>）</w:t>
            </w:r>
          </w:p>
          <w:p w14:paraId="3040A024">
            <w:pPr>
              <w:keepNext w:val="0"/>
              <w:keepLines w:val="0"/>
              <w:widowControl/>
              <w:numPr>
                <w:ilvl w:val="0"/>
                <w:numId w:val="0"/>
              </w:numPr>
              <w:suppressLineNumbers w:val="0"/>
              <w:spacing w:before="0" w:beforeAutospacing="0" w:after="0" w:afterAutospacing="0" w:line="240" w:lineRule="auto"/>
              <w:ind w:leftChars="0"/>
              <w:jc w:val="left"/>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2.草丝拉断力要求：</w:t>
            </w:r>
            <w:r>
              <w:rPr>
                <w:rFonts w:hint="eastAsia" w:ascii="Calibri" w:hAnsi="Calibri" w:eastAsia="宋体" w:cs="Times New Roman"/>
                <w:color w:val="auto"/>
                <w:kern w:val="0"/>
                <w:sz w:val="18"/>
                <w:szCs w:val="18"/>
                <w:lang w:val="en-US" w:eastAsia="zh-CN" w:bidi="ar-SA"/>
              </w:rPr>
              <w:t>产品经</w:t>
            </w:r>
            <w:r>
              <w:rPr>
                <w:rFonts w:hint="default" w:ascii="Calibri" w:hAnsi="Calibri" w:eastAsia="宋体" w:cs="Times New Roman"/>
                <w:color w:val="auto"/>
                <w:kern w:val="0"/>
                <w:sz w:val="18"/>
                <w:szCs w:val="18"/>
                <w:lang w:val="en-US" w:eastAsia="zh-CN" w:bidi="ar-SA"/>
              </w:rPr>
              <w:t xml:space="preserve"> GB/T16422.2</w:t>
            </w:r>
            <w:r>
              <w:rPr>
                <w:rFonts w:hint="default" w:ascii="Calibri" w:hAnsi="Calibri" w:eastAsia="宋体" w:cs="Times New Roman"/>
                <w:color w:val="auto"/>
                <w:kern w:val="0"/>
                <w:sz w:val="18"/>
                <w:szCs w:val="18"/>
                <w:lang w:val="en-US" w:eastAsia="zh-CN" w:bidi="ar-SA"/>
              </w:rPr>
              <w:noBreakHyphen/>
            </w:r>
            <w:r>
              <w:rPr>
                <w:rFonts w:hint="default" w:ascii="Calibri" w:hAnsi="Calibri" w:eastAsia="宋体" w:cs="Times New Roman"/>
                <w:color w:val="auto"/>
                <w:kern w:val="0"/>
                <w:sz w:val="18"/>
                <w:szCs w:val="18"/>
                <w:lang w:val="en-US" w:eastAsia="zh-CN" w:bidi="ar-SA"/>
              </w:rPr>
              <w:t>2022 氙灯老化、</w:t>
            </w:r>
            <w:r>
              <w:rPr>
                <w:rFonts w:hint="default" w:ascii="Calibri" w:hAnsi="Calibri" w:eastAsia="宋体" w:cs="Times New Roman"/>
                <w:strike w:val="0"/>
                <w:dstrike w:val="0"/>
                <w:color w:val="auto"/>
                <w:kern w:val="0"/>
                <w:sz w:val="18"/>
                <w:szCs w:val="18"/>
                <w:lang w:val="en-US" w:eastAsia="zh-CN" w:bidi="ar-SA"/>
              </w:rPr>
              <w:t>GB/T11547</w:t>
            </w:r>
            <w:r>
              <w:rPr>
                <w:rFonts w:hint="default" w:ascii="Calibri" w:hAnsi="Calibri" w:eastAsia="宋体" w:cs="Times New Roman"/>
                <w:strike w:val="0"/>
                <w:dstrike w:val="0"/>
                <w:color w:val="auto"/>
                <w:kern w:val="0"/>
                <w:sz w:val="18"/>
                <w:szCs w:val="18"/>
                <w:lang w:val="en-US" w:eastAsia="zh-CN" w:bidi="ar-SA"/>
              </w:rPr>
              <w:noBreakHyphen/>
            </w:r>
            <w:r>
              <w:rPr>
                <w:rFonts w:hint="default" w:ascii="Calibri" w:hAnsi="Calibri" w:eastAsia="宋体" w:cs="Times New Roman"/>
                <w:strike w:val="0"/>
                <w:dstrike w:val="0"/>
                <w:color w:val="auto"/>
                <w:kern w:val="0"/>
                <w:sz w:val="18"/>
                <w:szCs w:val="18"/>
                <w:lang w:val="en-US" w:eastAsia="zh-CN" w:bidi="ar-SA"/>
              </w:rPr>
              <w:t>2008 耐液体浸泡处理后，</w:t>
            </w:r>
            <w:r>
              <w:rPr>
                <w:rFonts w:hint="default" w:ascii="Calibri" w:hAnsi="Calibri" w:eastAsia="宋体" w:cs="Times New Roman"/>
                <w:color w:val="auto"/>
                <w:kern w:val="0"/>
                <w:sz w:val="18"/>
                <w:szCs w:val="18"/>
                <w:lang w:val="en-US" w:eastAsia="zh-CN" w:bidi="ar-SA"/>
              </w:rPr>
              <w:t>按照 GB/T20394</w:t>
            </w:r>
            <w:r>
              <w:rPr>
                <w:rFonts w:hint="default" w:ascii="Calibri" w:hAnsi="Calibri" w:eastAsia="宋体" w:cs="Times New Roman"/>
                <w:color w:val="auto"/>
                <w:kern w:val="0"/>
                <w:sz w:val="18"/>
                <w:szCs w:val="18"/>
                <w:lang w:val="en-US" w:eastAsia="zh-CN" w:bidi="ar-SA"/>
              </w:rPr>
              <w:noBreakHyphen/>
            </w:r>
            <w:r>
              <w:rPr>
                <w:rFonts w:hint="default" w:ascii="Calibri" w:hAnsi="Calibri" w:eastAsia="宋体" w:cs="Times New Roman"/>
                <w:color w:val="auto"/>
                <w:kern w:val="0"/>
                <w:sz w:val="18"/>
                <w:szCs w:val="18"/>
                <w:lang w:val="en-US" w:eastAsia="zh-CN" w:bidi="ar-SA"/>
              </w:rPr>
              <w:t>2019 检测，草丝拉断力≥16N、草丝拉断力保留率≥90%。</w:t>
            </w:r>
            <w:r>
              <w:rPr>
                <w:rFonts w:hint="eastAsia" w:ascii="宋体" w:hAnsi="宋体" w:eastAsia="宋体" w:cs="宋体"/>
                <w:b/>
                <w:bCs/>
                <w:i w:val="0"/>
                <w:iCs w:val="0"/>
                <w:color w:val="auto"/>
                <w:kern w:val="0"/>
                <w:sz w:val="20"/>
                <w:szCs w:val="20"/>
                <w:u w:val="none"/>
                <w:lang w:val="en-US" w:eastAsia="zh-CN" w:bidi="ar"/>
              </w:rPr>
              <w:t>（</w:t>
            </w:r>
            <w:r>
              <w:rPr>
                <w:rFonts w:hint="default" w:ascii="Calibri" w:hAnsi="Calibri" w:eastAsia="宋体" w:cs="Times New Roman"/>
                <w:b/>
                <w:bCs/>
                <w:color w:val="auto"/>
                <w:kern w:val="0"/>
                <w:sz w:val="18"/>
                <w:szCs w:val="18"/>
                <w:lang w:val="en-US" w:eastAsia="zh-CN" w:bidi="ar-SA"/>
              </w:rPr>
              <w:t>提供</w:t>
            </w:r>
            <w:r>
              <w:rPr>
                <w:rFonts w:hint="eastAsia" w:ascii="宋体" w:hAnsi="宋体" w:eastAsia="宋体" w:cs="宋体"/>
                <w:b/>
                <w:bCs/>
                <w:kern w:val="0"/>
                <w:sz w:val="18"/>
                <w:szCs w:val="18"/>
                <w:lang w:val="en-US" w:eastAsia="zh-CN" w:bidi="ar-SA"/>
              </w:rPr>
              <w:t>佐证材料</w:t>
            </w:r>
            <w:r>
              <w:rPr>
                <w:rFonts w:hint="eastAsia" w:ascii="宋体" w:hAnsi="宋体" w:eastAsia="宋体" w:cs="宋体"/>
                <w:b/>
                <w:bCs/>
                <w:i w:val="0"/>
                <w:iCs w:val="0"/>
                <w:color w:val="auto"/>
                <w:kern w:val="0"/>
                <w:sz w:val="20"/>
                <w:szCs w:val="20"/>
                <w:u w:val="none"/>
                <w:lang w:val="en-US" w:eastAsia="zh-CN" w:bidi="ar"/>
              </w:rPr>
              <w:t>）</w:t>
            </w:r>
          </w:p>
          <w:p w14:paraId="38BB4780">
            <w:pPr>
              <w:keepNext w:val="0"/>
              <w:keepLines w:val="0"/>
              <w:widowControl/>
              <w:numPr>
                <w:ilvl w:val="0"/>
                <w:numId w:val="0"/>
              </w:numPr>
              <w:suppressLineNumbers w:val="0"/>
              <w:spacing w:before="0" w:beforeAutospacing="0" w:after="0" w:afterAutospacing="0" w:line="240" w:lineRule="auto"/>
              <w:ind w:leftChars="0"/>
              <w:jc w:val="left"/>
              <w:rPr>
                <w:rFonts w:hint="eastAsia" w:ascii="宋体" w:hAnsi="宋体" w:eastAsia="宋体" w:cs="宋体"/>
                <w:b/>
                <w:bCs/>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3.阻燃性：</w:t>
            </w:r>
            <w:r>
              <w:rPr>
                <w:rFonts w:hint="eastAsia" w:ascii="Calibri" w:hAnsi="Calibri" w:eastAsia="宋体" w:cs="Times New Roman"/>
                <w:color w:val="auto"/>
                <w:kern w:val="0"/>
                <w:sz w:val="18"/>
                <w:szCs w:val="18"/>
                <w:lang w:val="en-US" w:eastAsia="zh-CN" w:bidi="ar-SA"/>
              </w:rPr>
              <w:t>依据GB/T20394-2019标准，</w:t>
            </w:r>
            <w:r>
              <w:rPr>
                <w:rFonts w:hint="eastAsia" w:ascii="宋体" w:hAnsi="宋体" w:eastAsia="宋体" w:cs="宋体"/>
                <w:b w:val="0"/>
                <w:bCs w:val="0"/>
                <w:i w:val="0"/>
                <w:iCs w:val="0"/>
                <w:color w:val="auto"/>
                <w:kern w:val="0"/>
                <w:sz w:val="20"/>
                <w:szCs w:val="20"/>
                <w:u w:val="none"/>
                <w:lang w:val="en-US" w:eastAsia="zh-CN" w:bidi="ar"/>
              </w:rPr>
              <w:t>阻燃指标≤50MM。</w:t>
            </w:r>
            <w:r>
              <w:rPr>
                <w:rFonts w:hint="eastAsia" w:ascii="宋体" w:hAnsi="宋体" w:eastAsia="宋体" w:cs="宋体"/>
                <w:b/>
                <w:bCs/>
                <w:i w:val="0"/>
                <w:iCs w:val="0"/>
                <w:color w:val="auto"/>
                <w:kern w:val="0"/>
                <w:sz w:val="20"/>
                <w:szCs w:val="20"/>
                <w:u w:val="none"/>
                <w:lang w:val="en-US" w:eastAsia="zh-CN" w:bidi="ar"/>
              </w:rPr>
              <w:t>（</w:t>
            </w:r>
            <w:r>
              <w:rPr>
                <w:rFonts w:hint="default" w:ascii="Calibri" w:hAnsi="Calibri" w:eastAsia="宋体" w:cs="Times New Roman"/>
                <w:b/>
                <w:bCs/>
                <w:color w:val="auto"/>
                <w:kern w:val="0"/>
                <w:sz w:val="18"/>
                <w:szCs w:val="18"/>
                <w:lang w:val="en-US" w:eastAsia="zh-CN" w:bidi="ar-SA"/>
              </w:rPr>
              <w:t>提供</w:t>
            </w:r>
            <w:r>
              <w:rPr>
                <w:rFonts w:hint="eastAsia" w:ascii="宋体" w:hAnsi="宋体" w:eastAsia="宋体" w:cs="宋体"/>
                <w:b/>
                <w:bCs/>
                <w:kern w:val="0"/>
                <w:sz w:val="18"/>
                <w:szCs w:val="18"/>
                <w:lang w:val="en-US" w:eastAsia="zh-CN" w:bidi="ar-SA"/>
              </w:rPr>
              <w:t>佐证材料</w:t>
            </w:r>
            <w:r>
              <w:rPr>
                <w:rFonts w:hint="eastAsia" w:ascii="宋体" w:hAnsi="宋体" w:eastAsia="宋体" w:cs="宋体"/>
                <w:b/>
                <w:bCs/>
                <w:i w:val="0"/>
                <w:iCs w:val="0"/>
                <w:color w:val="auto"/>
                <w:kern w:val="0"/>
                <w:sz w:val="20"/>
                <w:szCs w:val="20"/>
                <w:u w:val="none"/>
                <w:lang w:val="en-US" w:eastAsia="zh-CN" w:bidi="ar"/>
              </w:rPr>
              <w:t>）</w:t>
            </w:r>
          </w:p>
          <w:p w14:paraId="32383E91">
            <w:pPr>
              <w:keepNext w:val="0"/>
              <w:keepLines w:val="0"/>
              <w:widowControl/>
              <w:numPr>
                <w:ilvl w:val="0"/>
                <w:numId w:val="0"/>
              </w:numPr>
              <w:suppressLineNumbers w:val="0"/>
              <w:spacing w:before="0" w:beforeAutospacing="0" w:after="0" w:afterAutospacing="0" w:line="240" w:lineRule="auto"/>
              <w:ind w:leftChars="0"/>
              <w:jc w:val="left"/>
              <w:rPr>
                <w:rFonts w:hint="default" w:ascii="宋体" w:hAnsi="宋体" w:eastAsia="宋体" w:cs="宋体"/>
                <w:b w:val="0"/>
                <w:bCs w:val="0"/>
                <w:i w:val="0"/>
                <w:iCs w:val="0"/>
                <w:color w:val="auto"/>
                <w:kern w:val="0"/>
                <w:sz w:val="20"/>
                <w:szCs w:val="20"/>
                <w:u w:val="none"/>
                <w:lang w:val="en-US" w:eastAsia="zh-CN" w:bidi="ar"/>
              </w:rPr>
            </w:pPr>
            <w:r>
              <w:rPr>
                <w:rFonts w:hint="eastAsia" w:ascii="宋体" w:hAnsi="宋体" w:eastAsia="宋体" w:cs="宋体"/>
                <w:b w:val="0"/>
                <w:bCs w:val="0"/>
                <w:i w:val="0"/>
                <w:iCs w:val="0"/>
                <w:color w:val="auto"/>
                <w:kern w:val="0"/>
                <w:sz w:val="20"/>
                <w:szCs w:val="20"/>
                <w:u w:val="none"/>
                <w:lang w:val="en-US" w:eastAsia="zh-CN" w:bidi="ar"/>
              </w:rPr>
              <w:t>4.</w:t>
            </w:r>
            <w:r>
              <w:rPr>
                <w:rFonts w:hint="default" w:ascii="宋体" w:hAnsi="宋体" w:eastAsia="宋体" w:cs="宋体"/>
                <w:i w:val="0"/>
                <w:iCs w:val="0"/>
                <w:color w:val="auto"/>
                <w:kern w:val="0"/>
                <w:sz w:val="20"/>
                <w:szCs w:val="20"/>
                <w:u w:val="none"/>
                <w:lang w:val="en-US" w:eastAsia="zh-CN" w:bidi="ar"/>
              </w:rPr>
              <w:t>可</w:t>
            </w:r>
            <w:r>
              <w:rPr>
                <w:rFonts w:hint="eastAsia" w:ascii="宋体" w:hAnsi="宋体" w:eastAsia="宋体" w:cs="宋体"/>
                <w:i w:val="0"/>
                <w:iCs w:val="0"/>
                <w:color w:val="auto"/>
                <w:kern w:val="0"/>
                <w:sz w:val="20"/>
                <w:szCs w:val="20"/>
                <w:u w:val="none"/>
                <w:lang w:val="en-US" w:eastAsia="zh-CN" w:bidi="ar"/>
              </w:rPr>
              <w:t>迁移重金属：</w:t>
            </w:r>
            <w:r>
              <w:rPr>
                <w:rFonts w:hint="eastAsia" w:ascii="Calibri" w:hAnsi="Calibri" w:eastAsia="宋体" w:cs="Times New Roman"/>
                <w:color w:val="auto"/>
                <w:kern w:val="0"/>
                <w:sz w:val="18"/>
                <w:szCs w:val="18"/>
                <w:lang w:val="en-US" w:eastAsia="zh-CN" w:bidi="ar-SA"/>
              </w:rPr>
              <w:t>可迁移元素锑Sb、可迁移元素砷As、可迁移元素钡Ba、可迁移元素镉Cd、可迁移元素铬Cr、可迁移元素铅Pb、可迁移元素汞Hg、可迁移元素硒Se检测结果，符合GB/T20394-2019标准。</w:t>
            </w:r>
            <w:r>
              <w:rPr>
                <w:rFonts w:hint="eastAsia" w:ascii="宋体" w:hAnsi="宋体" w:eastAsia="宋体" w:cs="宋体"/>
                <w:b/>
                <w:bCs/>
                <w:i w:val="0"/>
                <w:iCs w:val="0"/>
                <w:color w:val="auto"/>
                <w:kern w:val="0"/>
                <w:sz w:val="20"/>
                <w:szCs w:val="20"/>
                <w:u w:val="none"/>
                <w:lang w:val="en-US" w:eastAsia="zh-CN" w:bidi="ar"/>
              </w:rPr>
              <w:t>（</w:t>
            </w:r>
            <w:r>
              <w:rPr>
                <w:rFonts w:hint="default" w:ascii="Calibri" w:hAnsi="Calibri" w:eastAsia="宋体" w:cs="Times New Roman"/>
                <w:b/>
                <w:bCs/>
                <w:color w:val="auto"/>
                <w:kern w:val="0"/>
                <w:sz w:val="18"/>
                <w:szCs w:val="18"/>
                <w:lang w:val="en-US" w:eastAsia="zh-CN" w:bidi="ar-SA"/>
              </w:rPr>
              <w:t>提供</w:t>
            </w:r>
            <w:r>
              <w:rPr>
                <w:rFonts w:hint="eastAsia" w:ascii="宋体" w:hAnsi="宋体" w:eastAsia="宋体" w:cs="宋体"/>
                <w:b/>
                <w:bCs/>
                <w:kern w:val="0"/>
                <w:sz w:val="18"/>
                <w:szCs w:val="18"/>
                <w:lang w:val="en-US" w:eastAsia="zh-CN" w:bidi="ar-SA"/>
              </w:rPr>
              <w:t>佐证材料</w:t>
            </w:r>
            <w:r>
              <w:rPr>
                <w:rFonts w:hint="eastAsia" w:ascii="宋体" w:hAnsi="宋体" w:eastAsia="宋体" w:cs="宋体"/>
                <w:b/>
                <w:bCs/>
                <w:i w:val="0"/>
                <w:iCs w:val="0"/>
                <w:color w:val="auto"/>
                <w:kern w:val="0"/>
                <w:sz w:val="20"/>
                <w:szCs w:val="20"/>
                <w:u w:val="none"/>
                <w:lang w:val="en-US" w:eastAsia="zh-CN" w:bidi="ar"/>
              </w:rPr>
              <w:t>）</w:t>
            </w:r>
          </w:p>
        </w:tc>
        <w:tc>
          <w:tcPr>
            <w:tcW w:w="676" w:type="dxa"/>
            <w:noWrap w:val="0"/>
            <w:vAlign w:val="center"/>
          </w:tcPr>
          <w:p w14:paraId="6A80DB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66" w:type="dxa"/>
            <w:noWrap w:val="0"/>
            <w:vAlign w:val="center"/>
          </w:tcPr>
          <w:p w14:paraId="50D6E9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7800</w:t>
            </w:r>
          </w:p>
        </w:tc>
      </w:tr>
    </w:tbl>
    <w:p w14:paraId="14B46E91">
      <w:pPr>
        <w:keepNext w:val="0"/>
        <w:keepLines w:val="0"/>
        <w:pageBreakBefore w:val="0"/>
        <w:widowControl w:val="0"/>
        <w:kinsoku/>
        <w:wordWrap/>
        <w:overflowPunct/>
        <w:topLinePunct w:val="0"/>
        <w:autoSpaceDE/>
        <w:autoSpaceDN/>
        <w:bidi w:val="0"/>
        <w:adjustRightInd/>
        <w:snapToGrid/>
        <w:spacing w:line="360" w:lineRule="auto"/>
        <w:ind w:firstLine="361" w:firstLineChars="200"/>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bCs/>
          <w:sz w:val="18"/>
          <w:szCs w:val="18"/>
          <w:lang w:val="en-US" w:eastAsia="zh-CN"/>
        </w:rPr>
        <w:t>备注:①上述技术参数，均为实质性要求；供应商应在响应文件中按上述要求提供相关证明材料，若没有要求提供相关证明材料的，则按采购需求响应、响应一览表如实进行响应，并加盖单位公章。负偏离一项，则投标无效。</w:t>
      </w:r>
    </w:p>
    <w:p w14:paraId="622ADEE2">
      <w:pPr>
        <w:keepNext w:val="0"/>
        <w:keepLines w:val="0"/>
        <w:pageBreakBefore w:val="0"/>
        <w:widowControl w:val="0"/>
        <w:kinsoku/>
        <w:wordWrap/>
        <w:overflowPunct/>
        <w:topLinePunct w:val="0"/>
        <w:autoSpaceDE/>
        <w:autoSpaceDN/>
        <w:bidi w:val="0"/>
        <w:adjustRightInd/>
        <w:snapToGrid/>
        <w:spacing w:line="360" w:lineRule="auto"/>
        <w:ind w:left="0" w:leftChars="0" w:firstLine="723" w:firstLineChars="400"/>
        <w:jc w:val="left"/>
        <w:textAlignment w:val="auto"/>
        <w:rPr>
          <w:rFonts w:hint="eastAsia" w:ascii="宋体" w:hAnsi="宋体" w:eastAsia="宋体" w:cs="Times New Roman"/>
          <w:b/>
          <w:bCs/>
          <w:color w:val="auto"/>
          <w:kern w:val="2"/>
          <w:sz w:val="21"/>
          <w:szCs w:val="21"/>
          <w:highlight w:val="none"/>
          <w:lang w:val="en-US" w:eastAsia="zh-CN" w:bidi="ar-SA"/>
        </w:rPr>
      </w:pPr>
      <w:r>
        <w:rPr>
          <w:rFonts w:hint="eastAsia" w:ascii="宋体" w:hAnsi="宋体" w:eastAsia="宋体" w:cs="宋体"/>
          <w:b/>
          <w:bCs/>
          <w:kern w:val="2"/>
          <w:sz w:val="18"/>
          <w:szCs w:val="18"/>
          <w:lang w:val="en-US" w:eastAsia="zh-CN" w:bidi="ar-SA"/>
        </w:rPr>
        <w:t>②上述要求“</w:t>
      </w:r>
      <w:r>
        <w:rPr>
          <w:rFonts w:hint="default" w:ascii="Calibri" w:hAnsi="Calibri" w:eastAsia="宋体" w:cs="Times New Roman"/>
          <w:b/>
          <w:bCs/>
          <w:color w:val="auto"/>
          <w:kern w:val="2"/>
          <w:sz w:val="18"/>
          <w:szCs w:val="18"/>
          <w:lang w:val="en-US" w:eastAsia="zh-CN" w:bidi="ar-SA"/>
        </w:rPr>
        <w:t>提供</w:t>
      </w:r>
      <w:r>
        <w:rPr>
          <w:rFonts w:hint="eastAsia" w:ascii="宋体" w:hAnsi="宋体" w:eastAsia="宋体" w:cs="宋体"/>
          <w:b/>
          <w:bCs/>
          <w:kern w:val="2"/>
          <w:sz w:val="18"/>
          <w:szCs w:val="18"/>
          <w:lang w:val="en-US" w:eastAsia="zh-CN" w:bidi="ar-SA"/>
        </w:rPr>
        <w:t>佐证材料”指：提供国家认证认可第三方检测机构出具的带CMA标识的检测报告原件扫描件，同时须提供该检测机构由市场监督管理局颁发的资质认定证书及附表，或全国认证认可信息公共服务平台(http://cx.cnca.cn/)查询截图（截图须清晰显示检测机构名称、对应检测项目、执行标准、资质有效状态），加盖供应商公章。</w:t>
      </w:r>
    </w:p>
    <w:p w14:paraId="49BE105F">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Times New Roman"/>
          <w:b/>
          <w:bCs/>
          <w:color w:val="auto"/>
          <w:kern w:val="2"/>
          <w:sz w:val="21"/>
          <w:szCs w:val="21"/>
          <w:highlight w:val="none"/>
          <w:lang w:val="en-US" w:eastAsia="zh-CN" w:bidi="ar-SA"/>
        </w:rPr>
      </w:pPr>
    </w:p>
    <w:p w14:paraId="0DBC6993">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color w:val="auto"/>
          <w:kern w:val="2"/>
          <w:sz w:val="28"/>
          <w:szCs w:val="28"/>
          <w:lang w:val="en-US" w:eastAsia="zh-CN" w:bidi="ar-SA"/>
        </w:rPr>
        <w:t>第三节   商务要求</w:t>
      </w:r>
    </w:p>
    <w:p w14:paraId="14E6042A">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kern w:val="0"/>
          <w:sz w:val="22"/>
          <w:szCs w:val="22"/>
          <w:u w:val="none"/>
          <w:lang w:val="en-US" w:eastAsia="zh-CN"/>
        </w:rPr>
      </w:pPr>
      <w:r>
        <w:rPr>
          <w:rFonts w:hint="eastAsia" w:ascii="宋体" w:hAnsi="宋体" w:eastAsia="宋体" w:cs="宋体"/>
          <w:b/>
          <w:bCs/>
          <w:kern w:val="0"/>
          <w:sz w:val="22"/>
          <w:szCs w:val="22"/>
          <w:u w:val="none"/>
          <w:lang w:val="en-US" w:eastAsia="zh-CN"/>
        </w:rPr>
        <w:t>一、项目基本情况</w:t>
      </w:r>
    </w:p>
    <w:p w14:paraId="7A77FB9A">
      <w:pPr>
        <w:keepNext w:val="0"/>
        <w:keepLines w:val="0"/>
        <w:pageBreakBefore w:val="0"/>
        <w:widowControl w:val="0"/>
        <w:kinsoku/>
        <w:wordWrap/>
        <w:overflowPunct/>
        <w:topLinePunct w:val="0"/>
        <w:autoSpaceDE/>
        <w:autoSpaceDN/>
        <w:bidi w:val="0"/>
        <w:adjustRightInd w:val="0"/>
        <w:snapToGrid w:val="0"/>
        <w:spacing w:line="360" w:lineRule="auto"/>
        <w:ind w:right="0" w:firstLine="440" w:firstLineChars="200"/>
        <w:textAlignment w:val="auto"/>
        <w:rPr>
          <w:rFonts w:hint="eastAsia" w:ascii="宋体" w:hAnsi="宋体" w:eastAsia="宋体" w:cs="宋体"/>
          <w:kern w:val="0"/>
          <w:sz w:val="22"/>
          <w:szCs w:val="22"/>
          <w:u w:val="none"/>
          <w:lang w:eastAsia="zh-CN"/>
        </w:rPr>
      </w:pPr>
      <w:r>
        <w:rPr>
          <w:rFonts w:hint="eastAsia" w:ascii="宋体" w:hAnsi="宋体" w:eastAsia="宋体" w:cs="宋体"/>
          <w:kern w:val="0"/>
          <w:sz w:val="22"/>
          <w:szCs w:val="22"/>
          <w:u w:val="none"/>
          <w:lang w:val="en-US" w:eastAsia="zh-CN"/>
        </w:rPr>
        <w:t>1、项目名称：</w:t>
      </w:r>
      <w:r>
        <w:rPr>
          <w:rFonts w:hint="eastAsia" w:ascii="宋体" w:hAnsi="宋体" w:eastAsia="宋体" w:cs="宋体"/>
          <w:sz w:val="22"/>
          <w:szCs w:val="22"/>
          <w:u w:val="none"/>
          <w:lang w:eastAsia="zh-CN"/>
        </w:rPr>
        <w:t>湘阴一中增加学位提质扩容项目(</w:t>
      </w:r>
      <w:r>
        <w:rPr>
          <w:rFonts w:hint="eastAsia" w:ascii="宋体" w:hAnsi="宋体" w:eastAsia="宋体" w:cs="宋体"/>
          <w:color w:val="auto"/>
          <w:kern w:val="2"/>
          <w:sz w:val="21"/>
          <w:szCs w:val="21"/>
          <w:highlight w:val="none"/>
          <w:lang w:val="en-US" w:eastAsia="zh-CN" w:bidi="ar-SA"/>
        </w:rPr>
        <w:t>足球场草皮采购项目</w:t>
      </w:r>
      <w:r>
        <w:rPr>
          <w:rFonts w:hint="eastAsia" w:ascii="宋体" w:hAnsi="宋体" w:eastAsia="宋体" w:cs="宋体"/>
          <w:sz w:val="22"/>
          <w:szCs w:val="22"/>
          <w:u w:val="none"/>
          <w:lang w:eastAsia="zh-CN"/>
        </w:rPr>
        <w:t>)</w:t>
      </w:r>
    </w:p>
    <w:p w14:paraId="0E0B6420">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kern w:val="0"/>
          <w:sz w:val="22"/>
          <w:szCs w:val="22"/>
          <w:u w:val="none"/>
          <w:lang w:eastAsia="zh-CN"/>
        </w:rPr>
      </w:pPr>
      <w:r>
        <w:rPr>
          <w:rFonts w:hint="eastAsia" w:ascii="宋体" w:hAnsi="宋体" w:eastAsia="宋体" w:cs="宋体"/>
          <w:kern w:val="0"/>
          <w:sz w:val="22"/>
          <w:szCs w:val="22"/>
          <w:u w:val="none"/>
          <w:lang w:val="en-US" w:eastAsia="zh-CN"/>
        </w:rPr>
        <w:t>2、采购项目</w:t>
      </w:r>
      <w:r>
        <w:rPr>
          <w:rFonts w:hint="eastAsia" w:ascii="宋体" w:hAnsi="宋体" w:eastAsia="宋体" w:cs="宋体"/>
          <w:kern w:val="0"/>
          <w:sz w:val="22"/>
          <w:szCs w:val="22"/>
          <w:u w:val="none"/>
          <w:lang w:eastAsia="zh-CN"/>
        </w:rPr>
        <w:t>预算：</w:t>
      </w:r>
      <w:r>
        <w:rPr>
          <w:rFonts w:hint="eastAsia" w:ascii="宋体" w:hAnsi="宋体" w:eastAsia="宋体" w:cs="宋体"/>
          <w:color w:val="auto"/>
          <w:kern w:val="2"/>
          <w:sz w:val="21"/>
          <w:szCs w:val="21"/>
          <w:highlight w:val="none"/>
          <w:lang w:val="en-US" w:eastAsia="zh-CN" w:bidi="ar-SA"/>
        </w:rPr>
        <w:t>1023216.31</w:t>
      </w:r>
      <w:r>
        <w:rPr>
          <w:rFonts w:hint="eastAsia" w:ascii="宋体" w:hAnsi="宋体" w:eastAsia="宋体" w:cs="宋体"/>
          <w:kern w:val="0"/>
          <w:sz w:val="22"/>
          <w:szCs w:val="22"/>
          <w:u w:val="none"/>
          <w:lang w:eastAsia="zh-CN"/>
        </w:rPr>
        <w:t>元</w:t>
      </w:r>
    </w:p>
    <w:p w14:paraId="0BC1B934">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default" w:ascii="宋体" w:hAnsi="宋体" w:eastAsia="宋体" w:cs="宋体"/>
          <w:kern w:val="0"/>
          <w:sz w:val="22"/>
          <w:szCs w:val="22"/>
          <w:u w:val="none"/>
          <w:lang w:val="en-US" w:eastAsia="zh-CN"/>
        </w:rPr>
      </w:pPr>
      <w:r>
        <w:rPr>
          <w:rFonts w:hint="eastAsia" w:ascii="宋体" w:hAnsi="宋体" w:eastAsia="宋体" w:cs="宋体"/>
          <w:kern w:val="0"/>
          <w:sz w:val="22"/>
          <w:szCs w:val="22"/>
          <w:u w:val="none"/>
          <w:lang w:val="en-US" w:eastAsia="zh-CN"/>
        </w:rPr>
        <w:t>3、项目概况：本项目采购人造草坪用于足球场地建设，该场地承担日常教学训练、课余社团活动以及校内各项体育赛事、县内大型活动开展等使用，场地使用频次高、人员活动密集、整体使用负荷大。为保障运动安全，降低后期维修更换频次，延长场地实际使用寿命，各供应商所投产品性能应当适配本项目高强度使用场景，具备较高的抗磨损能力、抗老化性能及整体耐久性能。</w:t>
      </w:r>
    </w:p>
    <w:p w14:paraId="318F9035">
      <w:pPr>
        <w:keepNext w:val="0"/>
        <w:keepLines w:val="0"/>
        <w:pageBreakBefore w:val="0"/>
        <w:widowControl w:val="0"/>
        <w:kinsoku/>
        <w:wordWrap/>
        <w:overflowPunct/>
        <w:topLinePunct w:val="0"/>
        <w:autoSpaceDE/>
        <w:autoSpaceDN/>
        <w:bidi w:val="0"/>
        <w:adjustRightInd/>
        <w:snapToGrid/>
        <w:spacing w:line="360" w:lineRule="auto"/>
        <w:ind w:firstLine="442" w:firstLineChars="200"/>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kern w:val="0"/>
          <w:sz w:val="22"/>
          <w:szCs w:val="22"/>
          <w:u w:val="none"/>
          <w:lang w:val="en-US" w:eastAsia="zh-CN"/>
        </w:rPr>
        <w:t>二、项目实施要求</w:t>
      </w:r>
    </w:p>
    <w:p w14:paraId="01B99420">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highlight w:val="none"/>
          <w:lang w:val="en-US" w:eastAsia="zh-CN" w:bidi="ar-SA"/>
        </w:rPr>
        <w:t>1、实施内容：</w:t>
      </w:r>
      <w:r>
        <w:rPr>
          <w:rFonts w:hint="eastAsia" w:ascii="宋体" w:hAnsi="宋体" w:eastAsia="宋体" w:cs="宋体"/>
          <w:b w:val="0"/>
          <w:bCs w:val="0"/>
          <w:color w:val="auto"/>
          <w:kern w:val="2"/>
          <w:sz w:val="21"/>
          <w:szCs w:val="21"/>
          <w:lang w:val="en-US" w:eastAsia="zh-CN" w:bidi="ar-SA"/>
        </w:rPr>
        <w:t>对原有破旧草皮拆除清运、全新人造草坪及配套辅料采购、运输、铺设、调试、验收及售后质保等全套服务。</w:t>
      </w:r>
    </w:p>
    <w:p w14:paraId="61F7628D">
      <w:pPr>
        <w:keepNext w:val="0"/>
        <w:keepLines w:val="0"/>
        <w:pageBreakBefore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b w:val="0"/>
          <w:bCs w:val="0"/>
          <w:color w:val="auto"/>
          <w:kern w:val="2"/>
          <w:sz w:val="21"/>
          <w:szCs w:val="21"/>
          <w:lang w:bidi="ar-SA"/>
        </w:rPr>
      </w:pPr>
      <w:r>
        <w:rPr>
          <w:rFonts w:hint="eastAsia" w:ascii="宋体" w:hAnsi="宋体" w:eastAsia="宋体" w:cs="宋体"/>
          <w:b w:val="0"/>
          <w:bCs w:val="0"/>
          <w:color w:val="auto"/>
          <w:kern w:val="2"/>
          <w:sz w:val="21"/>
          <w:szCs w:val="21"/>
          <w:highlight w:val="none"/>
          <w:lang w:val="en-US" w:eastAsia="zh-CN" w:bidi="ar-SA"/>
        </w:rPr>
        <w:t>2、工期要求：</w:t>
      </w:r>
      <w:r>
        <w:rPr>
          <w:rFonts w:hint="eastAsia" w:ascii="宋体" w:hAnsi="宋体" w:eastAsia="宋体" w:cs="宋体"/>
          <w:b w:val="0"/>
          <w:bCs w:val="0"/>
          <w:color w:val="auto"/>
          <w:kern w:val="2"/>
          <w:sz w:val="21"/>
          <w:szCs w:val="21"/>
          <w:lang w:bidi="ar-SA"/>
        </w:rPr>
        <w:t>自合同签订及采购人下达开工通知之日起，30个日历天内完成全部供货、清理工作</w:t>
      </w:r>
      <w:r>
        <w:rPr>
          <w:rFonts w:hint="eastAsia" w:ascii="宋体" w:hAnsi="宋体" w:eastAsia="宋体" w:cs="宋体"/>
          <w:b w:val="0"/>
          <w:bCs w:val="0"/>
          <w:color w:val="auto"/>
          <w:kern w:val="2"/>
          <w:sz w:val="21"/>
          <w:szCs w:val="21"/>
          <w:lang w:eastAsia="zh-CN" w:bidi="ar-SA"/>
        </w:rPr>
        <w:t>、</w:t>
      </w:r>
      <w:r>
        <w:rPr>
          <w:rFonts w:hint="eastAsia" w:ascii="宋体" w:hAnsi="宋体" w:eastAsia="宋体" w:cs="宋体"/>
          <w:b w:val="0"/>
          <w:bCs w:val="0"/>
          <w:color w:val="auto"/>
          <w:kern w:val="2"/>
          <w:sz w:val="21"/>
          <w:szCs w:val="21"/>
          <w:lang w:bidi="ar-SA"/>
        </w:rPr>
        <w:t>铺装、并具备验收条件。遇极端天气、校方停工通知等不可抗力因素，工期可双方协商顺延，无正当理由逾期完工的，按合同约定承担违约责任。</w:t>
      </w:r>
    </w:p>
    <w:p w14:paraId="55E2A318">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3、实施地点：采购人指定地点。</w:t>
      </w:r>
    </w:p>
    <w:p w14:paraId="2E1BEB68">
      <w:pPr>
        <w:keepNext w:val="0"/>
        <w:keepLines w:val="0"/>
        <w:pageBreakBefore w:val="0"/>
        <w:kinsoku/>
        <w:wordWrap/>
        <w:overflowPunct/>
        <w:topLinePunct w:val="0"/>
        <w:autoSpaceDE/>
        <w:autoSpaceDN/>
        <w:bidi w:val="0"/>
        <w:spacing w:line="360" w:lineRule="auto"/>
        <w:ind w:left="0" w:leftChars="0" w:firstLine="420" w:firstLineChars="200"/>
        <w:jc w:val="left"/>
        <w:outlineLvl w:val="2"/>
        <w:rPr>
          <w:rFonts w:hint="eastAsia" w:ascii="宋体" w:hAnsi="宋体" w:eastAsia="宋体" w:cs="宋体"/>
          <w:b w:val="0"/>
          <w:bCs w:val="0"/>
          <w:kern w:val="0"/>
          <w:sz w:val="21"/>
          <w:szCs w:val="21"/>
        </w:rPr>
      </w:pPr>
      <w:r>
        <w:rPr>
          <w:rFonts w:hint="eastAsia" w:ascii="宋体" w:hAnsi="宋体" w:eastAsia="宋体" w:cs="宋体"/>
          <w:b w:val="0"/>
          <w:bCs w:val="0"/>
          <w:color w:val="auto"/>
          <w:kern w:val="2"/>
          <w:sz w:val="21"/>
          <w:szCs w:val="21"/>
          <w:lang w:val="en-US" w:eastAsia="zh-CN" w:bidi="ar-SA"/>
        </w:rPr>
        <w:t>4、</w:t>
      </w:r>
      <w:r>
        <w:rPr>
          <w:rFonts w:hint="eastAsia" w:ascii="宋体" w:hAnsi="宋体" w:eastAsia="宋体" w:cs="宋体"/>
          <w:b w:val="0"/>
          <w:bCs w:val="0"/>
          <w:kern w:val="0"/>
          <w:sz w:val="21"/>
          <w:szCs w:val="21"/>
        </w:rPr>
        <w:t>人员及设备要求</w:t>
      </w:r>
    </w:p>
    <w:p w14:paraId="40B675EA">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kern w:val="0"/>
          <w:sz w:val="21"/>
          <w:szCs w:val="21"/>
        </w:rPr>
      </w:pPr>
      <w:r>
        <w:rPr>
          <w:rFonts w:hint="eastAsia" w:ascii="宋体" w:hAnsi="宋体" w:eastAsia="宋体" w:cs="宋体"/>
          <w:b w:val="0"/>
          <w:bCs w:val="0"/>
          <w:kern w:val="0"/>
          <w:sz w:val="21"/>
          <w:szCs w:val="21"/>
          <w:lang w:val="en-US" w:eastAsia="zh-CN"/>
        </w:rPr>
        <w:t>4.1</w:t>
      </w:r>
      <w:r>
        <w:rPr>
          <w:rFonts w:hint="eastAsia" w:ascii="宋体" w:hAnsi="宋体" w:eastAsia="宋体" w:cs="宋体"/>
          <w:b w:val="0"/>
          <w:bCs w:val="0"/>
          <w:kern w:val="0"/>
          <w:sz w:val="21"/>
          <w:szCs w:val="21"/>
        </w:rPr>
        <w:t>供应商须配备专业施工团队，</w:t>
      </w:r>
      <w:r>
        <w:rPr>
          <w:rFonts w:hint="eastAsia" w:ascii="宋体" w:hAnsi="宋体" w:eastAsia="宋体" w:cs="宋体"/>
          <w:kern w:val="0"/>
          <w:sz w:val="21"/>
          <w:szCs w:val="21"/>
        </w:rPr>
        <w:t>施工人员具备人造草坪铺装施工经验，持证上岗或经</w:t>
      </w:r>
      <w:r>
        <w:rPr>
          <w:rFonts w:hint="eastAsia" w:ascii="宋体" w:hAnsi="宋体" w:eastAsia="宋体" w:cs="宋体"/>
          <w:kern w:val="0"/>
          <w:sz w:val="21"/>
          <w:szCs w:val="21"/>
          <w:lang w:val="en-US" w:eastAsia="zh-CN"/>
        </w:rPr>
        <w:t>过</w:t>
      </w:r>
      <w:r>
        <w:rPr>
          <w:rFonts w:hint="eastAsia" w:ascii="宋体" w:hAnsi="宋体" w:eastAsia="宋体" w:cs="宋体"/>
          <w:kern w:val="0"/>
          <w:sz w:val="21"/>
          <w:szCs w:val="21"/>
        </w:rPr>
        <w:t>专业培训，杜绝无经验人员施工。</w:t>
      </w:r>
    </w:p>
    <w:p w14:paraId="3BBE8F33">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4.2</w:t>
      </w:r>
      <w:r>
        <w:rPr>
          <w:rFonts w:hint="eastAsia" w:ascii="宋体" w:hAnsi="宋体" w:eastAsia="宋体" w:cs="宋体"/>
          <w:kern w:val="0"/>
          <w:sz w:val="21"/>
          <w:szCs w:val="21"/>
        </w:rPr>
        <w:t>配备全套专业铺装、裁切、粘合、清理设备，保障施工效率和施工质量，施工设备定期检修，无故障作业。</w:t>
      </w:r>
    </w:p>
    <w:p w14:paraId="5558054A">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rPr>
        <w:t>4.3</w:t>
      </w:r>
      <w:r>
        <w:rPr>
          <w:rFonts w:hint="eastAsia" w:ascii="宋体" w:hAnsi="宋体" w:eastAsia="宋体" w:cs="宋体"/>
          <w:b w:val="0"/>
          <w:bCs w:val="0"/>
          <w:kern w:val="0"/>
          <w:sz w:val="21"/>
          <w:szCs w:val="21"/>
        </w:rPr>
        <w:t>项目全程配备专职现场负责人，对接校方需求，统筹施工进度、质量、安全及现场协调工作。</w:t>
      </w:r>
    </w:p>
    <w:p w14:paraId="3297FB24">
      <w:pPr>
        <w:keepNext w:val="0"/>
        <w:keepLines w:val="0"/>
        <w:pageBreakBefore w:val="0"/>
        <w:kinsoku/>
        <w:wordWrap/>
        <w:overflowPunct/>
        <w:topLinePunct w:val="0"/>
        <w:autoSpaceDE/>
        <w:autoSpaceDN/>
        <w:bidi w:val="0"/>
        <w:spacing w:line="360" w:lineRule="auto"/>
        <w:ind w:left="0" w:leftChars="0" w:firstLine="420" w:firstLineChars="200"/>
        <w:jc w:val="left"/>
        <w:outlineLvl w:val="2"/>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rPr>
        <w:t>5.</w:t>
      </w:r>
      <w:r>
        <w:rPr>
          <w:rFonts w:hint="eastAsia" w:ascii="宋体" w:hAnsi="宋体" w:eastAsia="宋体" w:cs="宋体"/>
          <w:b w:val="0"/>
          <w:bCs w:val="0"/>
          <w:kern w:val="0"/>
          <w:sz w:val="21"/>
          <w:szCs w:val="21"/>
        </w:rPr>
        <w:t>现场管理要求</w:t>
      </w:r>
    </w:p>
    <w:p w14:paraId="7C84FE0F">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b w:val="0"/>
          <w:bCs w:val="0"/>
          <w:kern w:val="0"/>
          <w:sz w:val="21"/>
          <w:szCs w:val="21"/>
        </w:rPr>
      </w:pPr>
      <w:r>
        <w:rPr>
          <w:rFonts w:hint="eastAsia" w:ascii="宋体" w:hAnsi="宋体" w:eastAsia="宋体" w:cs="宋体"/>
          <w:b w:val="0"/>
          <w:bCs w:val="0"/>
          <w:kern w:val="0"/>
          <w:sz w:val="21"/>
          <w:szCs w:val="21"/>
          <w:lang w:val="en-US" w:eastAsia="zh-CN"/>
        </w:rPr>
        <w:t>5.1</w:t>
      </w:r>
      <w:r>
        <w:rPr>
          <w:rFonts w:hint="eastAsia" w:ascii="宋体" w:hAnsi="宋体" w:eastAsia="宋体" w:cs="宋体"/>
          <w:b w:val="0"/>
          <w:bCs w:val="0"/>
          <w:kern w:val="0"/>
          <w:sz w:val="21"/>
          <w:szCs w:val="21"/>
        </w:rPr>
        <w:t>严格遵守学校校园管理制度，施工期间做好安全围挡、警示标识，严禁无关人员进入施工区域，杜绝安全事故。</w:t>
      </w:r>
    </w:p>
    <w:p w14:paraId="4BEE9BF6">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5.2</w:t>
      </w:r>
      <w:r>
        <w:rPr>
          <w:rFonts w:hint="eastAsia" w:ascii="宋体" w:hAnsi="宋体" w:eastAsia="宋体" w:cs="宋体"/>
          <w:kern w:val="0"/>
          <w:sz w:val="21"/>
          <w:szCs w:val="21"/>
        </w:rPr>
        <w:t>施工期间做好扬尘、噪音管控，避开教学时段高噪音施工，每日施工结束后及时清理现场垃圾、杂物，保持校园整洁。</w:t>
      </w:r>
    </w:p>
    <w:p w14:paraId="4D17E6F9">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5.3</w:t>
      </w:r>
      <w:r>
        <w:rPr>
          <w:rFonts w:hint="eastAsia" w:ascii="宋体" w:hAnsi="宋体" w:eastAsia="宋体" w:cs="宋体"/>
          <w:kern w:val="0"/>
          <w:sz w:val="21"/>
          <w:szCs w:val="21"/>
        </w:rPr>
        <w:t>主动配合校方现场监管，接受采购人全程质量监督、进度检查，对校方提出的整改问题须限时整改到位。</w:t>
      </w:r>
    </w:p>
    <w:p w14:paraId="046DD406">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5.4供应商负责其派出的项目实施人员的人身意外保险，加强项目实施人员的组织管理，项目实施过程中出现的由于供应商操作不当，管理疏忽，造成的任何质量、安全事故，和对第三方造成的损害，均由供应商负责并承担一切费用。</w:t>
      </w:r>
    </w:p>
    <w:p w14:paraId="1A695C0B">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6、质量要求：</w:t>
      </w:r>
    </w:p>
    <w:p w14:paraId="4693AEEC">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6.1质量标准：本项目所有材料及施工成品必须严格执行</w:t>
      </w:r>
      <w:r>
        <w:rPr>
          <w:rFonts w:hint="eastAsia" w:ascii="宋体" w:hAnsi="宋体" w:eastAsia="宋体" w:cs="宋体"/>
          <w:color w:val="auto"/>
          <w:kern w:val="2"/>
          <w:sz w:val="21"/>
          <w:szCs w:val="21"/>
          <w:lang w:bidi="ar-SA"/>
        </w:rPr>
        <w:t>GB36246-2018、GB/T20394-2019</w:t>
      </w:r>
      <w:r>
        <w:rPr>
          <w:rFonts w:hint="eastAsia" w:ascii="宋体" w:hAnsi="宋体" w:eastAsia="宋体" w:cs="宋体"/>
          <w:color w:val="auto"/>
          <w:kern w:val="2"/>
          <w:sz w:val="21"/>
          <w:szCs w:val="21"/>
          <w:lang w:val="en-US" w:eastAsia="zh-CN" w:bidi="ar-SA"/>
        </w:rPr>
        <w:t>等国家、行业标准、本项目技术参数要求，确保场地建成后达标合格、安全耐用；所有环保、安全、物理性能指标全部达标，杜绝有毒有害、劣质不合格材料进场，保障师生运动安全。</w:t>
      </w:r>
    </w:p>
    <w:p w14:paraId="2A100E53">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kern w:val="2"/>
          <w:sz w:val="21"/>
          <w:szCs w:val="21"/>
          <w:lang w:bidi="ar-SA"/>
        </w:rPr>
      </w:pPr>
      <w:r>
        <w:rPr>
          <w:rFonts w:hint="eastAsia" w:ascii="宋体" w:hAnsi="宋体" w:eastAsia="宋体" w:cs="宋体"/>
          <w:color w:val="auto"/>
          <w:kern w:val="2"/>
          <w:sz w:val="21"/>
          <w:szCs w:val="21"/>
          <w:lang w:val="en-US" w:eastAsia="zh-CN" w:bidi="ar-SA"/>
        </w:rPr>
        <w:t>6.2材料质量要求：</w:t>
      </w:r>
      <w:r>
        <w:rPr>
          <w:rFonts w:hint="eastAsia" w:ascii="宋体" w:hAnsi="宋体" w:eastAsia="宋体" w:cs="宋体"/>
          <w:color w:val="auto"/>
          <w:kern w:val="2"/>
          <w:sz w:val="21"/>
          <w:szCs w:val="21"/>
          <w:lang w:bidi="ar-SA"/>
        </w:rPr>
        <w:t>所有草坪原材料、接缝带、背胶等辅料均为全新正品，无翻新、无残次、无库存积压老化产品，材料来源合法，无知识产权纠纷。</w:t>
      </w:r>
    </w:p>
    <w:p w14:paraId="3CF1A150">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FF0000"/>
          <w:kern w:val="2"/>
          <w:sz w:val="21"/>
          <w:szCs w:val="21"/>
          <w:lang w:bidi="ar-SA"/>
        </w:rPr>
      </w:pPr>
      <w:r>
        <w:rPr>
          <w:rFonts w:hint="eastAsia" w:ascii="宋体" w:hAnsi="宋体" w:eastAsia="宋体" w:cs="宋体"/>
          <w:color w:val="auto"/>
          <w:kern w:val="2"/>
          <w:sz w:val="21"/>
          <w:szCs w:val="21"/>
          <w:lang w:val="en-US" w:eastAsia="zh-CN" w:bidi="ar-SA"/>
        </w:rPr>
        <w:t>6.2.1</w:t>
      </w:r>
      <w:r>
        <w:rPr>
          <w:rFonts w:hint="eastAsia" w:ascii="宋体" w:hAnsi="宋体" w:eastAsia="宋体" w:cs="宋体"/>
          <w:color w:val="auto"/>
          <w:kern w:val="2"/>
          <w:sz w:val="21"/>
          <w:szCs w:val="21"/>
          <w:lang w:bidi="ar-SA"/>
        </w:rPr>
        <w:t>草坪草丝色泽均匀、手感顺滑、直立性好，无断丝、乱丝、色差、污渍、破损等质量缺陷；底布平整牢固，背胶均匀饱满，无脱胶、漏胶、起鼓问题。</w:t>
      </w:r>
    </w:p>
    <w:p w14:paraId="3E6A284B">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kern w:val="2"/>
          <w:sz w:val="21"/>
          <w:szCs w:val="21"/>
          <w:lang w:bidi="ar-SA"/>
        </w:rPr>
      </w:pPr>
      <w:r>
        <w:rPr>
          <w:rFonts w:hint="eastAsia" w:ascii="宋体" w:hAnsi="宋体" w:eastAsia="宋体" w:cs="宋体"/>
          <w:color w:val="auto"/>
          <w:kern w:val="2"/>
          <w:sz w:val="21"/>
          <w:szCs w:val="21"/>
          <w:lang w:val="en-US" w:eastAsia="zh-CN" w:bidi="ar-SA"/>
        </w:rPr>
        <w:t>6.2.</w:t>
      </w:r>
      <w:r>
        <w:rPr>
          <w:rFonts w:hint="eastAsia" w:ascii="宋体" w:hAnsi="宋体" w:eastAsia="宋体" w:cs="宋体"/>
          <w:color w:val="auto"/>
          <w:kern w:val="2"/>
          <w:sz w:val="21"/>
          <w:szCs w:val="21"/>
          <w:lang w:bidi="ar-SA"/>
        </w:rPr>
        <w:t>产品环保指标必须符合中小学场地专项要求，无刺激性异味，不含超标重金属、挥发性有害物质，完工后可正常投入教学使用。</w:t>
      </w:r>
    </w:p>
    <w:p w14:paraId="1EA4E0CC">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6.2.3</w:t>
      </w:r>
      <w:r>
        <w:rPr>
          <w:rFonts w:hint="eastAsia" w:ascii="宋体" w:hAnsi="宋体" w:eastAsia="宋体" w:cs="宋体"/>
          <w:color w:val="auto"/>
          <w:kern w:val="2"/>
          <w:sz w:val="21"/>
          <w:szCs w:val="21"/>
          <w:lang w:bidi="ar-SA"/>
        </w:rPr>
        <w:t>材料进场时</w:t>
      </w:r>
      <w:r>
        <w:rPr>
          <w:rFonts w:hint="eastAsia" w:ascii="宋体" w:hAnsi="宋体" w:eastAsia="宋体" w:cs="宋体"/>
          <w:color w:val="auto"/>
          <w:kern w:val="2"/>
          <w:sz w:val="21"/>
          <w:szCs w:val="21"/>
          <w:lang w:val="en-US" w:eastAsia="zh-CN" w:bidi="ar-SA"/>
        </w:rPr>
        <w:t>需</w:t>
      </w:r>
      <w:r>
        <w:rPr>
          <w:rFonts w:hint="eastAsia" w:ascii="宋体" w:hAnsi="宋体" w:eastAsia="宋体" w:cs="宋体"/>
          <w:color w:val="auto"/>
          <w:kern w:val="2"/>
          <w:sz w:val="21"/>
          <w:szCs w:val="21"/>
          <w:lang w:bidi="ar-SA"/>
        </w:rPr>
        <w:t>同步提供产品合格证、出厂检测报告、环保检测报告、性能检测报告等全套</w:t>
      </w:r>
      <w:r>
        <w:rPr>
          <w:rFonts w:hint="eastAsia" w:ascii="宋体" w:hAnsi="宋体" w:eastAsia="宋体" w:cs="宋体"/>
          <w:color w:val="auto"/>
          <w:kern w:val="2"/>
          <w:sz w:val="21"/>
          <w:szCs w:val="21"/>
          <w:lang w:val="en-US" w:eastAsia="zh-CN" w:bidi="ar-SA"/>
        </w:rPr>
        <w:t>资料</w:t>
      </w:r>
      <w:r>
        <w:rPr>
          <w:rFonts w:hint="eastAsia" w:ascii="宋体" w:hAnsi="宋体" w:eastAsia="宋体" w:cs="宋体"/>
          <w:color w:val="auto"/>
          <w:kern w:val="2"/>
          <w:sz w:val="21"/>
          <w:szCs w:val="21"/>
          <w:lang w:bidi="ar-SA"/>
        </w:rPr>
        <w:t>文件，采购人有权随机抽检，抽检不合格无条件退场更换，产生的所有损失由供应商承担。</w:t>
      </w:r>
    </w:p>
    <w:p w14:paraId="4B5DCA5D">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kern w:val="2"/>
          <w:sz w:val="21"/>
          <w:szCs w:val="21"/>
          <w:lang w:bidi="ar-SA"/>
        </w:rPr>
      </w:pPr>
      <w:r>
        <w:rPr>
          <w:rFonts w:hint="eastAsia" w:ascii="宋体" w:hAnsi="宋体" w:eastAsia="宋体" w:cs="宋体"/>
          <w:color w:val="auto"/>
          <w:kern w:val="2"/>
          <w:sz w:val="21"/>
          <w:szCs w:val="21"/>
          <w:lang w:val="en-US" w:eastAsia="zh-CN" w:bidi="ar-SA"/>
        </w:rPr>
        <w:t>6.3</w:t>
      </w:r>
      <w:r>
        <w:rPr>
          <w:rFonts w:hint="eastAsia" w:ascii="宋体" w:hAnsi="宋体" w:eastAsia="宋体" w:cs="宋体"/>
          <w:color w:val="auto"/>
          <w:kern w:val="2"/>
          <w:sz w:val="21"/>
          <w:szCs w:val="21"/>
          <w:lang w:bidi="ar-SA"/>
        </w:rPr>
        <w:t>施工质量要求</w:t>
      </w:r>
      <w:r>
        <w:rPr>
          <w:rFonts w:hint="eastAsia" w:ascii="宋体" w:hAnsi="宋体" w:eastAsia="宋体" w:cs="宋体"/>
          <w:color w:val="auto"/>
          <w:kern w:val="2"/>
          <w:sz w:val="21"/>
          <w:szCs w:val="21"/>
          <w:lang w:eastAsia="zh-CN" w:bidi="ar-SA"/>
        </w:rPr>
        <w:t>：</w:t>
      </w:r>
      <w:r>
        <w:rPr>
          <w:rFonts w:hint="eastAsia" w:ascii="宋体" w:hAnsi="宋体" w:eastAsia="宋体" w:cs="宋体"/>
          <w:color w:val="auto"/>
          <w:kern w:val="2"/>
          <w:sz w:val="21"/>
          <w:szCs w:val="21"/>
          <w:lang w:bidi="ar-SA"/>
        </w:rPr>
        <w:t>场地铺装平整顺滑，无起皱、鼓包、翘边、松动等问题，接缝平整无痕、拼接紧密，无明显缝隙，整体平整度、坡度符合足球场施工规范。</w:t>
      </w:r>
    </w:p>
    <w:p w14:paraId="077551D5">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kern w:val="2"/>
          <w:sz w:val="21"/>
          <w:szCs w:val="21"/>
          <w:lang w:bidi="ar-SA"/>
        </w:rPr>
      </w:pPr>
      <w:r>
        <w:rPr>
          <w:rFonts w:hint="eastAsia" w:ascii="宋体" w:hAnsi="宋体" w:eastAsia="宋体" w:cs="宋体"/>
          <w:color w:val="auto"/>
          <w:kern w:val="2"/>
          <w:sz w:val="21"/>
          <w:szCs w:val="21"/>
          <w:lang w:val="en-US" w:eastAsia="zh-CN" w:bidi="ar-SA"/>
        </w:rPr>
        <w:t>6.3.1</w:t>
      </w:r>
      <w:r>
        <w:rPr>
          <w:rFonts w:hint="eastAsia" w:ascii="宋体" w:hAnsi="宋体" w:eastAsia="宋体" w:cs="宋体"/>
          <w:color w:val="auto"/>
          <w:kern w:val="2"/>
          <w:sz w:val="21"/>
          <w:szCs w:val="21"/>
          <w:lang w:bidi="ar-SA"/>
        </w:rPr>
        <w:t>草坪铺设松紧适度、排布规整，针距、行距均匀，全场密度统一，无局部稀疏、漏铺、错铺现象。</w:t>
      </w:r>
    </w:p>
    <w:p w14:paraId="2338F2CB">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kern w:val="2"/>
          <w:sz w:val="21"/>
          <w:szCs w:val="21"/>
          <w:lang w:bidi="ar-SA"/>
        </w:rPr>
      </w:pPr>
      <w:r>
        <w:rPr>
          <w:rFonts w:hint="eastAsia" w:ascii="宋体" w:hAnsi="宋体" w:eastAsia="宋体" w:cs="宋体"/>
          <w:color w:val="auto"/>
          <w:kern w:val="2"/>
          <w:sz w:val="21"/>
          <w:szCs w:val="21"/>
          <w:lang w:val="en-US" w:eastAsia="zh-CN" w:bidi="ar-SA"/>
        </w:rPr>
        <w:t>6.3.2</w:t>
      </w:r>
      <w:r>
        <w:rPr>
          <w:rFonts w:hint="eastAsia" w:ascii="宋体" w:hAnsi="宋体" w:eastAsia="宋体" w:cs="宋体"/>
          <w:color w:val="auto"/>
          <w:kern w:val="2"/>
          <w:sz w:val="21"/>
          <w:szCs w:val="21"/>
          <w:lang w:bidi="ar-SA"/>
        </w:rPr>
        <w:t>场地线条清晰、定位精准，尺寸误差符合规范要求，整体观感整洁、美观、规整，满足校园场地使用及赛事标准。</w:t>
      </w:r>
    </w:p>
    <w:p w14:paraId="2E803ACD">
      <w:pPr>
        <w:keepNext w:val="0"/>
        <w:keepLines w:val="0"/>
        <w:pageBreakBefore w:val="0"/>
        <w:widowControl/>
        <w:suppressLineNumbers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b/>
          <w:bCs/>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6.3.3</w:t>
      </w:r>
      <w:r>
        <w:rPr>
          <w:rFonts w:hint="eastAsia" w:ascii="宋体" w:hAnsi="宋体" w:eastAsia="宋体" w:cs="宋体"/>
          <w:color w:val="auto"/>
          <w:kern w:val="2"/>
          <w:sz w:val="21"/>
          <w:szCs w:val="21"/>
          <w:lang w:bidi="ar-SA"/>
        </w:rPr>
        <w:t>施工全过程严格遵守安全施工规范，做好场地防护，避免损坏校园原有设施、绿化、路面等。</w:t>
      </w:r>
    </w:p>
    <w:p w14:paraId="1789B358">
      <w:pPr>
        <w:pStyle w:val="14"/>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7、验收要求：</w:t>
      </w:r>
    </w:p>
    <w:p w14:paraId="4ADA979B">
      <w:pPr>
        <w:pStyle w:val="14"/>
        <w:keepNext w:val="0"/>
        <w:keepLines w:val="0"/>
        <w:pageBreakBefore w:val="0"/>
        <w:widowControl w:val="0"/>
        <w:kinsoku/>
        <w:wordWrap/>
        <w:overflowPunct/>
        <w:topLinePunct w:val="0"/>
        <w:autoSpaceDE/>
        <w:autoSpaceDN/>
        <w:bidi w:val="0"/>
        <w:snapToGrid/>
        <w:spacing w:line="360" w:lineRule="auto"/>
        <w:ind w:left="0" w:leftChars="0"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7.1项目验收国家有强制性规定的，按国家规定执行，验收费用由供应商承担。无强制性规定的由采购人组织验收活动，验收报告作为申请付款的凭证之一。</w:t>
      </w:r>
    </w:p>
    <w:p w14:paraId="375CEC0E">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7.2验收的标准和依据包括本采购项目的竞争性谈判文件、供应商的响应文件、政府采购合同、预算评审书、现行国家标准及行业要求等。</w:t>
      </w:r>
    </w:p>
    <w:p w14:paraId="6CA892C0">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7.3验收过程中对产品质量存在争议，由双方共同委托具备CMA 资质的第三方检验检测机构开展检测鉴定；若协商不成，则由采购人直接委托具备CMA 资质的第三方检验检测机构开展检测鉴定。检测结果作为判定依据。若检测不合格，检测费、样品损耗、拆装运输全部由供应商承担；检测合格，检测费用由采购人承担。</w:t>
      </w:r>
    </w:p>
    <w:p w14:paraId="56756E73">
      <w:pPr>
        <w:keepNext w:val="0"/>
        <w:keepLines w:val="0"/>
        <w:pageBreakBefore w:val="0"/>
        <w:widowControl w:val="0"/>
        <w:kinsoku/>
        <w:wordWrap/>
        <w:overflowPunct/>
        <w:topLinePunct w:val="0"/>
        <w:autoSpaceDE/>
        <w:autoSpaceDN/>
        <w:bidi w:val="0"/>
        <w:snapToGrid/>
        <w:spacing w:after="0" w:line="360" w:lineRule="auto"/>
        <w:ind w:left="0" w:leftChars="0"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7.4项目验收不合格，由供应商返工直至合格，有关返工、再行验收，以及给采购人造成的损失等费用由供应商承担。连续二次项目验收不合格的，采购人可终止合同，另行按规定选择其他供应商采购，由此带来的一切损失由供应商承担。</w:t>
      </w:r>
    </w:p>
    <w:p w14:paraId="087A6876">
      <w:pPr>
        <w:keepNext w:val="0"/>
        <w:keepLines w:val="0"/>
        <w:pageBreakBefore w:val="0"/>
        <w:widowControl w:val="0"/>
        <w:numPr>
          <w:ilvl w:val="0"/>
          <w:numId w:val="2"/>
        </w:numPr>
        <w:kinsoku/>
        <w:wordWrap/>
        <w:overflowPunct/>
        <w:topLinePunct w:val="0"/>
        <w:autoSpaceDE/>
        <w:autoSpaceDN/>
        <w:bidi w:val="0"/>
        <w:snapToGrid/>
        <w:spacing w:after="0" w:line="360" w:lineRule="auto"/>
        <w:ind w:left="0" w:leftChars="0" w:firstLine="420" w:firstLineChars="200"/>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保修要求：</w:t>
      </w:r>
    </w:p>
    <w:p w14:paraId="27D7D3EE">
      <w:pPr>
        <w:keepNext w:val="0"/>
        <w:keepLines w:val="0"/>
        <w:pageBreakBefore w:val="0"/>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8.1保修期：</w:t>
      </w:r>
      <w:r>
        <w:rPr>
          <w:rFonts w:hint="eastAsia" w:ascii="宋体" w:hAnsi="宋体" w:eastAsia="宋体" w:cs="宋体"/>
          <w:color w:val="auto"/>
          <w:kern w:val="0"/>
          <w:sz w:val="21"/>
          <w:szCs w:val="21"/>
        </w:rPr>
        <w:t>本项目免费质保期≥5年，自项目整体验收合格、签署验收报告之日起计算。质保期内非人为、不可抗力因素造成的草坪褪色、脱胶、起鼓、开裂、倒伏、破损、接缝脱落等所有质量问题，供应商无条件免费维修、更换。</w:t>
      </w:r>
    </w:p>
    <w:p w14:paraId="0CAF7B5B">
      <w:pPr>
        <w:keepNext w:val="0"/>
        <w:keepLines w:val="0"/>
        <w:pageBreakBefore w:val="0"/>
        <w:kinsoku/>
        <w:wordWrap/>
        <w:overflowPunct/>
        <w:topLinePunct w:val="0"/>
        <w:autoSpaceDE/>
        <w:autoSpaceDN/>
        <w:bidi w:val="0"/>
        <w:spacing w:line="360" w:lineRule="auto"/>
        <w:ind w:left="0" w:leftChars="0" w:firstLine="420" w:firstLineChars="200"/>
        <w:jc w:val="left"/>
        <w:outlineLvl w:val="2"/>
        <w:rPr>
          <w:rFonts w:hint="eastAsia" w:ascii="宋体" w:hAnsi="宋体" w:eastAsia="宋体" w:cs="宋体"/>
          <w:b w:val="0"/>
          <w:bCs/>
          <w:kern w:val="0"/>
          <w:sz w:val="21"/>
          <w:szCs w:val="21"/>
        </w:rPr>
      </w:pPr>
      <w:bookmarkStart w:id="0" w:name="heading_13"/>
      <w:r>
        <w:rPr>
          <w:rFonts w:hint="eastAsia" w:ascii="宋体" w:hAnsi="宋体" w:eastAsia="宋体" w:cs="宋体"/>
          <w:b w:val="0"/>
          <w:bCs/>
          <w:kern w:val="0"/>
          <w:sz w:val="21"/>
          <w:szCs w:val="21"/>
          <w:lang w:val="en-US" w:eastAsia="zh-CN"/>
        </w:rPr>
        <w:t>8.2</w:t>
      </w:r>
      <w:r>
        <w:rPr>
          <w:rFonts w:hint="eastAsia" w:ascii="宋体" w:hAnsi="宋体" w:eastAsia="宋体" w:cs="宋体"/>
          <w:b w:val="0"/>
          <w:bCs/>
          <w:kern w:val="0"/>
          <w:sz w:val="21"/>
          <w:szCs w:val="21"/>
        </w:rPr>
        <w:t>质保期责任</w:t>
      </w:r>
      <w:bookmarkEnd w:id="0"/>
    </w:p>
    <w:p w14:paraId="02D730A1">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8.2.1</w:t>
      </w:r>
      <w:r>
        <w:rPr>
          <w:rFonts w:hint="eastAsia" w:ascii="宋体" w:hAnsi="宋体" w:eastAsia="宋体" w:cs="宋体"/>
          <w:kern w:val="0"/>
          <w:sz w:val="21"/>
          <w:szCs w:val="21"/>
        </w:rPr>
        <w:t>质保期内每半年提供1次免费上门巡检、养护服务，包含草坪梳理、杂物清理、接缝检查、松动修复等，主动排查质量隐患，并留存巡检记录提交校方备案。</w:t>
      </w:r>
    </w:p>
    <w:p w14:paraId="1BFE36A4">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8.2.2</w:t>
      </w:r>
      <w:r>
        <w:rPr>
          <w:rFonts w:hint="eastAsia" w:ascii="宋体" w:hAnsi="宋体" w:eastAsia="宋体" w:cs="宋体"/>
          <w:kern w:val="0"/>
          <w:sz w:val="21"/>
          <w:szCs w:val="21"/>
        </w:rPr>
        <w:t>质保期内出现质量问题，供应商须在接到校方通知后24小时内响应，48小时内到场处理，一般问题3日内修复完毕，重大问题7日内整改完成，确保场地正常使用。</w:t>
      </w:r>
    </w:p>
    <w:p w14:paraId="5222F58F">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8.2.3</w:t>
      </w:r>
      <w:r>
        <w:rPr>
          <w:rFonts w:hint="eastAsia" w:ascii="宋体" w:hAnsi="宋体" w:eastAsia="宋体" w:cs="宋体"/>
          <w:kern w:val="0"/>
          <w:sz w:val="21"/>
          <w:szCs w:val="21"/>
        </w:rPr>
        <w:t>同一质量问题反复出现的，供应商须彻底整改，必要时免费更换整片区域草坪，不得推诿、拖延。</w:t>
      </w:r>
    </w:p>
    <w:p w14:paraId="018ACB50">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8.2.4</w:t>
      </w:r>
      <w:r>
        <w:rPr>
          <w:rFonts w:hint="eastAsia" w:ascii="宋体" w:hAnsi="宋体" w:eastAsia="宋体" w:cs="宋体"/>
          <w:kern w:val="0"/>
          <w:sz w:val="21"/>
          <w:szCs w:val="21"/>
        </w:rPr>
        <w:t>质保期满后，供应商提供终身成本价维修服务，持续保障场地使用性能。</w:t>
      </w:r>
    </w:p>
    <w:p w14:paraId="38AD0AFE">
      <w:pPr>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firstLine="420" w:firstLineChars="200"/>
        <w:jc w:val="both"/>
        <w:textAlignment w:val="auto"/>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9、售后服务要求：</w:t>
      </w:r>
    </w:p>
    <w:p w14:paraId="539F857F">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b w:val="0"/>
          <w:bCs/>
          <w:kern w:val="0"/>
          <w:sz w:val="21"/>
          <w:szCs w:val="21"/>
        </w:rPr>
      </w:pPr>
      <w:r>
        <w:rPr>
          <w:rFonts w:hint="eastAsia" w:ascii="宋体" w:hAnsi="宋体" w:eastAsia="宋体" w:cs="宋体"/>
          <w:b w:val="0"/>
          <w:bCs w:val="0"/>
          <w:kern w:val="0"/>
          <w:sz w:val="21"/>
          <w:szCs w:val="21"/>
          <w:lang w:val="en-US" w:eastAsia="zh-CN"/>
        </w:rPr>
        <w:t>9.1</w:t>
      </w:r>
      <w:r>
        <w:rPr>
          <w:rFonts w:hint="eastAsia" w:ascii="宋体" w:hAnsi="宋体" w:eastAsia="宋体" w:cs="宋体"/>
          <w:b w:val="0"/>
          <w:bCs w:val="0"/>
          <w:kern w:val="0"/>
          <w:sz w:val="21"/>
          <w:szCs w:val="21"/>
        </w:rPr>
        <w:t>服务响应机制：建立专项售后服</w:t>
      </w:r>
      <w:r>
        <w:rPr>
          <w:rFonts w:hint="eastAsia" w:ascii="宋体" w:hAnsi="宋体" w:eastAsia="宋体" w:cs="宋体"/>
          <w:b w:val="0"/>
          <w:bCs/>
          <w:kern w:val="0"/>
          <w:sz w:val="21"/>
          <w:szCs w:val="21"/>
        </w:rPr>
        <w:t>务台账，配备固定对接人员、联系电话，全年7×24小时售后咨询、报修响应，保障校方随时对接需求。</w:t>
      </w:r>
    </w:p>
    <w:p w14:paraId="6F08F026">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9.2</w:t>
      </w:r>
      <w:r>
        <w:rPr>
          <w:rFonts w:hint="eastAsia" w:ascii="宋体" w:hAnsi="宋体" w:eastAsia="宋体" w:cs="宋体"/>
          <w:b w:val="0"/>
          <w:bCs/>
          <w:kern w:val="0"/>
          <w:sz w:val="21"/>
          <w:szCs w:val="21"/>
        </w:rPr>
        <w:t>培训及咨询服务：项目交付后，免费为校方后勤管理人员提供1次场地日常养护、清洁、简单故障排查培训，提供书面养护手册。</w:t>
      </w:r>
    </w:p>
    <w:p w14:paraId="5ACB91D2">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9.3</w:t>
      </w:r>
      <w:r>
        <w:rPr>
          <w:rFonts w:hint="eastAsia" w:ascii="宋体" w:hAnsi="宋体" w:eastAsia="宋体" w:cs="宋体"/>
          <w:b w:val="0"/>
          <w:bCs/>
          <w:kern w:val="0"/>
          <w:sz w:val="21"/>
          <w:szCs w:val="21"/>
        </w:rPr>
        <w:t>应急保障服务：遇极端天气、突发破损等紧急情况，供应商优先安排应急抢修，最大限度降低场地使用影响。</w:t>
      </w:r>
    </w:p>
    <w:p w14:paraId="586D0EEB">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9.4</w:t>
      </w:r>
      <w:r>
        <w:rPr>
          <w:rFonts w:hint="eastAsia" w:ascii="宋体" w:hAnsi="宋体" w:eastAsia="宋体" w:cs="宋体"/>
          <w:b w:val="0"/>
          <w:bCs/>
          <w:kern w:val="0"/>
          <w:sz w:val="21"/>
          <w:szCs w:val="21"/>
        </w:rPr>
        <w:t>回访服务：售后定期回访，质保期内每年不少于2次正式回访，收集使用问题，主动优化服务、排查隐患。</w:t>
      </w:r>
    </w:p>
    <w:p w14:paraId="3EF75946">
      <w:pPr>
        <w:keepNext w:val="0"/>
        <w:keepLines w:val="0"/>
        <w:pageBreakBefore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b w:val="0"/>
          <w:bCs/>
          <w:kern w:val="0"/>
          <w:sz w:val="21"/>
          <w:szCs w:val="21"/>
        </w:rPr>
      </w:pPr>
      <w:r>
        <w:rPr>
          <w:rFonts w:hint="eastAsia" w:ascii="宋体" w:hAnsi="宋体" w:eastAsia="宋体" w:cs="宋体"/>
          <w:b w:val="0"/>
          <w:bCs/>
          <w:kern w:val="0"/>
          <w:sz w:val="21"/>
          <w:szCs w:val="21"/>
          <w:lang w:val="en-US" w:eastAsia="zh-CN"/>
        </w:rPr>
        <w:t>9.5</w:t>
      </w:r>
      <w:r>
        <w:rPr>
          <w:rFonts w:hint="eastAsia" w:ascii="宋体" w:hAnsi="宋体" w:eastAsia="宋体" w:cs="宋体"/>
          <w:b w:val="0"/>
          <w:bCs/>
          <w:kern w:val="0"/>
          <w:sz w:val="21"/>
          <w:szCs w:val="21"/>
        </w:rPr>
        <w:t>备品保障：供应商长期留存同批次草坪、辅料备品，确保后期维修更换无色差、规格匹配，保障场地整体一致性。</w:t>
      </w:r>
    </w:p>
    <w:p w14:paraId="23892E53">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jc w:val="both"/>
        <w:outlineLvl w:val="1"/>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10、结算付款方式及条件：</w:t>
      </w:r>
    </w:p>
    <w:p w14:paraId="65500FF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0" w:firstLineChars="200"/>
        <w:textAlignment w:val="auto"/>
        <w:rPr>
          <w:rFonts w:hint="default"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10.1本项目合同定价方式为：固定总价；</w:t>
      </w:r>
      <w:r>
        <w:rPr>
          <w:rFonts w:hint="eastAsia" w:ascii="宋体" w:hAnsi="宋体" w:eastAsia="宋体" w:cs="宋体"/>
          <w:color w:val="auto"/>
          <w:kern w:val="0"/>
          <w:sz w:val="21"/>
          <w:szCs w:val="21"/>
          <w:lang w:val="en-US" w:eastAsia="zh-CN"/>
        </w:rPr>
        <w:t>包含原有破旧草皮拆除、清运、新草坪及配套辅料采购、运输、铺设、调试、检测、验收、质保、售后、人工、税费等一切费用，采购人不另行支付其他任何费用。</w:t>
      </w:r>
    </w:p>
    <w:p w14:paraId="01AAA112">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b w:val="0"/>
          <w:bCs w:val="0"/>
          <w:color w:val="auto"/>
          <w:kern w:val="2"/>
          <w:sz w:val="21"/>
          <w:szCs w:val="21"/>
          <w:lang w:val="en-US" w:eastAsia="zh-CN" w:bidi="ar-SA"/>
        </w:rPr>
        <w:t>10.2付款人：</w:t>
      </w:r>
      <w:r>
        <w:rPr>
          <w:rFonts w:hint="eastAsia" w:ascii="宋体" w:hAnsi="宋体" w:eastAsia="宋体" w:cs="宋体"/>
          <w:color w:val="auto"/>
          <w:sz w:val="21"/>
          <w:szCs w:val="21"/>
          <w:lang w:val="en-US" w:eastAsia="zh-CN"/>
        </w:rPr>
        <w:t>湘阴县第一中学</w:t>
      </w:r>
    </w:p>
    <w:p w14:paraId="3A1184D3">
      <w:pPr>
        <w:keepNext w:val="0"/>
        <w:keepLines w:val="0"/>
        <w:pageBreakBefore w:val="0"/>
        <w:widowControl w:val="0"/>
        <w:numPr>
          <w:ilvl w:val="0"/>
          <w:numId w:val="0"/>
        </w:numPr>
        <w:kinsoku/>
        <w:wordWrap/>
        <w:overflowPunct/>
        <w:topLinePunct w:val="0"/>
        <w:autoSpaceDE/>
        <w:autoSpaceDN/>
        <w:bidi w:val="0"/>
        <w:spacing w:line="360" w:lineRule="auto"/>
        <w:ind w:left="0" w:leftChars="0" w:firstLine="420" w:firstLineChars="200"/>
        <w:jc w:val="left"/>
        <w:rPr>
          <w:rFonts w:hint="eastAsia" w:ascii="宋体" w:hAnsi="宋体" w:eastAsia="宋体" w:cs="宋体"/>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10.3付款方式：</w:t>
      </w:r>
      <w:r>
        <w:rPr>
          <w:rFonts w:hint="eastAsia" w:ascii="宋体" w:hAnsi="宋体" w:eastAsia="宋体" w:cs="宋体"/>
          <w:color w:val="auto"/>
          <w:kern w:val="0"/>
          <w:sz w:val="22"/>
          <w:szCs w:val="22"/>
          <w:lang w:val="en-US" w:eastAsia="zh-CN"/>
        </w:rPr>
        <w:t>本项目资金来源为省级财政专项资金，资金已落实；全部货物供货、安装完毕，完成履约验收合格，且供应商提交完整合法票据后，采购人在规定时限内完成内部审核并及时向财政部门申请办理资金拨付，支付至合同总金额的 97%；剩余合同总金额 3% 作为质量担保款项，验收合格之日起一年后，经采购人核查无质量缺陷，采购人及时向财政申请资金，不计利息予以返还。</w:t>
      </w:r>
    </w:p>
    <w:p w14:paraId="5138A39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22" w:firstLineChars="200"/>
        <w:jc w:val="both"/>
        <w:outlineLvl w:val="1"/>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11、其它说明：</w:t>
      </w:r>
    </w:p>
    <w:p w14:paraId="4BAE38AE">
      <w:pPr>
        <w:pStyle w:val="15"/>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bidi="ar-SA"/>
        </w:rPr>
        <w:t>11.1其他未尽事宜由采购人和成交人双方在采购合同中详细约定。</w:t>
      </w:r>
    </w:p>
    <w:p w14:paraId="6FA4042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color w:val="auto"/>
          <w:kern w:val="0"/>
          <w:sz w:val="21"/>
          <w:szCs w:val="21"/>
          <w:lang w:val="en-US" w:eastAsia="zh-CN" w:bidi="ar-SA"/>
        </w:rPr>
        <w:t>★</w:t>
      </w:r>
      <w:r>
        <w:rPr>
          <w:rFonts w:hint="eastAsia" w:ascii="宋体" w:hAnsi="宋体" w:eastAsia="宋体" w:cs="宋体"/>
          <w:b w:val="0"/>
          <w:bCs w:val="0"/>
          <w:color w:val="auto"/>
          <w:kern w:val="2"/>
          <w:sz w:val="21"/>
          <w:szCs w:val="21"/>
          <w:lang w:val="en-US" w:eastAsia="zh-CN" w:bidi="ar-SA"/>
        </w:rPr>
        <w:t>11.2对于上述技术条款（即用文字说明或“★”号标注的重大条款）、</w:t>
      </w:r>
      <w:r>
        <w:rPr>
          <w:rFonts w:hint="eastAsia" w:ascii="宋体" w:hAnsi="宋体" w:eastAsia="宋体" w:cs="宋体"/>
          <w:b w:val="0"/>
          <w:bCs w:val="0"/>
          <w:color w:val="auto"/>
          <w:kern w:val="2"/>
          <w:sz w:val="22"/>
          <w:szCs w:val="22"/>
          <w:lang w:val="en-US" w:eastAsia="zh-CN" w:bidi="ar-SA"/>
        </w:rPr>
        <w:t>商务要求全部条款，</w:t>
      </w:r>
      <w:r>
        <w:rPr>
          <w:rFonts w:hint="eastAsia" w:ascii="宋体" w:hAnsi="宋体" w:eastAsia="宋体" w:cs="宋体"/>
          <w:b w:val="0"/>
          <w:bCs w:val="0"/>
          <w:color w:val="auto"/>
          <w:kern w:val="2"/>
          <w:sz w:val="21"/>
          <w:szCs w:val="21"/>
          <w:lang w:val="en-US" w:eastAsia="zh-CN" w:bidi="ar-SA"/>
        </w:rPr>
        <w:t>均为实质性要求，供应商应在响应文件中提供采购需求中要求提供的相关证明材料，若没有要求提供相关证明材料的，则按采购需求响应、响应一览表如实进行响应，并加盖单位公章。负偏离一项，则投标无效。</w:t>
      </w:r>
    </w:p>
    <w:p w14:paraId="3F82AA0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bidi="ar-SA"/>
        </w:rPr>
        <w:t>11.3供应商提供的证明材料将重点参数内容醒目框选标记，方便核实查看。</w:t>
      </w:r>
    </w:p>
    <w:p w14:paraId="0975FF2B">
      <w:pPr>
        <w:numPr>
          <w:ilvl w:val="0"/>
          <w:numId w:val="0"/>
        </w:numPr>
        <w:spacing w:line="360" w:lineRule="auto"/>
        <w:ind w:leftChars="0" w:firstLine="420" w:firstLineChars="200"/>
        <w:rPr>
          <w:rFonts w:hint="eastAsia" w:ascii="宋体" w:hAnsi="宋体" w:eastAsia="宋体" w:cs="宋体"/>
          <w:b w:val="0"/>
          <w:bCs/>
          <w:kern w:val="0"/>
          <w:sz w:val="21"/>
          <w:szCs w:val="21"/>
          <w:lang w:val="en-US" w:eastAsia="zh-CN" w:bidi="ar-SA"/>
        </w:rPr>
      </w:pPr>
      <w:r>
        <w:rPr>
          <w:rFonts w:hint="eastAsia" w:ascii="宋体" w:hAnsi="宋体" w:eastAsia="宋体" w:cs="宋体"/>
          <w:b w:val="0"/>
          <w:bCs/>
          <w:kern w:val="0"/>
          <w:sz w:val="21"/>
          <w:szCs w:val="21"/>
          <w:lang w:val="en-US" w:eastAsia="zh-CN" w:bidi="ar-SA"/>
        </w:rPr>
        <w:t>11.4供应商须对上述</w:t>
      </w:r>
      <w:r>
        <w:rPr>
          <w:rFonts w:hint="default" w:ascii="宋体" w:hAnsi="宋体" w:eastAsia="宋体" w:cs="宋体"/>
          <w:b w:val="0"/>
          <w:bCs/>
          <w:kern w:val="0"/>
          <w:sz w:val="21"/>
          <w:szCs w:val="21"/>
          <w:lang w:val="en-US" w:eastAsia="zh-CN" w:bidi="ar-SA"/>
        </w:rPr>
        <w:t>提供的数据和资料全部内容真实、合法、准确和完整</w:t>
      </w:r>
      <w:r>
        <w:rPr>
          <w:rFonts w:hint="eastAsia" w:ascii="宋体" w:hAnsi="宋体" w:eastAsia="宋体" w:cs="宋体"/>
          <w:b w:val="0"/>
          <w:bCs/>
          <w:kern w:val="0"/>
          <w:sz w:val="21"/>
          <w:szCs w:val="21"/>
          <w:lang w:val="en-US" w:eastAsia="zh-CN" w:bidi="ar-SA"/>
        </w:rPr>
        <w:t>性</w:t>
      </w:r>
      <w:r>
        <w:rPr>
          <w:rFonts w:hint="default" w:ascii="宋体" w:hAnsi="宋体" w:eastAsia="宋体" w:cs="宋体"/>
          <w:b w:val="0"/>
          <w:bCs/>
          <w:kern w:val="0"/>
          <w:sz w:val="21"/>
          <w:szCs w:val="21"/>
          <w:lang w:val="en-US" w:eastAsia="zh-CN" w:bidi="ar-SA"/>
        </w:rPr>
        <w:t>负责</w:t>
      </w:r>
      <w:r>
        <w:rPr>
          <w:rFonts w:hint="eastAsia" w:ascii="宋体" w:hAnsi="宋体" w:eastAsia="宋体" w:cs="宋体"/>
          <w:b w:val="0"/>
          <w:bCs/>
          <w:kern w:val="0"/>
          <w:sz w:val="21"/>
          <w:szCs w:val="21"/>
          <w:lang w:val="en-US" w:eastAsia="zh-CN" w:bidi="ar-SA"/>
        </w:rPr>
        <w:t>，如存在弄虚作假行为，依据《中华人民共和国政府采购法》及实施条例，报相关部门进行处理。</w:t>
      </w:r>
      <w:r>
        <w:rPr>
          <w:rFonts w:hint="default" w:ascii="宋体" w:hAnsi="宋体" w:eastAsia="宋体" w:cs="宋体"/>
          <w:b w:val="0"/>
          <w:bCs/>
          <w:kern w:val="0"/>
          <w:sz w:val="21"/>
          <w:szCs w:val="21"/>
          <w:lang w:val="en-US" w:eastAsia="zh-CN" w:bidi="ar-SA"/>
        </w:rPr>
        <w:t>并承担由此引起的法律责任</w:t>
      </w:r>
      <w:r>
        <w:rPr>
          <w:rFonts w:hint="eastAsia" w:ascii="宋体" w:hAnsi="宋体" w:eastAsia="宋体" w:cs="宋体"/>
          <w:b w:val="0"/>
          <w:bCs/>
          <w:kern w:val="0"/>
          <w:sz w:val="21"/>
          <w:szCs w:val="21"/>
          <w:lang w:val="en-US" w:eastAsia="zh-CN" w:bidi="ar-SA"/>
        </w:rPr>
        <w:t>及</w:t>
      </w:r>
      <w:r>
        <w:rPr>
          <w:rFonts w:hint="default" w:ascii="宋体" w:hAnsi="宋体" w:eastAsia="宋体" w:cs="宋体"/>
          <w:b w:val="0"/>
          <w:bCs/>
          <w:kern w:val="0"/>
          <w:sz w:val="21"/>
          <w:szCs w:val="21"/>
          <w:lang w:val="en-US" w:eastAsia="zh-CN" w:bidi="ar-SA"/>
        </w:rPr>
        <w:t>因此所造成的一切损失。</w:t>
      </w:r>
    </w:p>
    <w:p w14:paraId="5612754B">
      <w:pPr>
        <w:rPr>
          <w:rFonts w:hint="default" w:eastAsia="宋体"/>
          <w:lang w:val="en-US"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8FA79"/>
    <w:multiLevelType w:val="singleLevel"/>
    <w:tmpl w:val="D518FA79"/>
    <w:lvl w:ilvl="0" w:tentative="0">
      <w:start w:val="8"/>
      <w:numFmt w:val="decimal"/>
      <w:suff w:val="nothing"/>
      <w:lvlText w:val="%1、"/>
      <w:lvlJc w:val="left"/>
    </w:lvl>
  </w:abstractNum>
  <w:abstractNum w:abstractNumId="1">
    <w:nsid w:val="E192E701"/>
    <w:multiLevelType w:val="singleLevel"/>
    <w:tmpl w:val="E192E701"/>
    <w:lvl w:ilvl="0" w:tentative="0">
      <w:start w:val="6"/>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2B1C34"/>
    <w:rsid w:val="39312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center"/>
      <w:outlineLvl w:val="0"/>
    </w:pPr>
    <w:rPr>
      <w:b/>
      <w:bCs/>
      <w:sz w:val="2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Body Text Indent"/>
    <w:basedOn w:val="1"/>
    <w:next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toc 2"/>
    <w:basedOn w:val="1"/>
    <w:next w:val="1"/>
    <w:unhideWhenUsed/>
    <w:qFormat/>
    <w:uiPriority w:val="39"/>
    <w:pPr>
      <w:spacing w:line="360" w:lineRule="auto"/>
      <w:ind w:left="200" w:leftChars="200"/>
    </w:pPr>
    <w:rPr>
      <w:rFonts w:eastAsia="宋体"/>
      <w:b/>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8">
    <w:name w:val="Body Text First Indent 2"/>
    <w:basedOn w:val="4"/>
    <w:next w:val="9"/>
    <w:qFormat/>
    <w:uiPriority w:val="0"/>
    <w:pPr>
      <w:ind w:firstLine="420" w:firstLineChars="200"/>
    </w:pPr>
  </w:style>
  <w:style w:type="paragraph" w:customStyle="1" w:styleId="9">
    <w:name w:val="正文1"/>
    <w:basedOn w:val="10"/>
    <w:qFormat/>
    <w:uiPriority w:val="0"/>
    <w:pPr>
      <w:widowControl/>
      <w:tabs>
        <w:tab w:val="left" w:pos="360"/>
      </w:tabs>
      <w:spacing w:before="120" w:after="120"/>
      <w:jc w:val="left"/>
    </w:pPr>
    <w:rPr>
      <w:rFonts w:ascii="Arial" w:hAnsi="Arial" w:eastAsia="宋体" w:cs="Arial"/>
      <w:kern w:val="0"/>
      <w:sz w:val="24"/>
    </w:rPr>
  </w:style>
  <w:style w:type="paragraph" w:customStyle="1" w:styleId="10">
    <w:name w:val="样式1"/>
    <w:basedOn w:val="6"/>
    <w:next w:val="1"/>
    <w:qFormat/>
    <w:uiPriority w:val="0"/>
    <w:pPr>
      <w:tabs>
        <w:tab w:val="left" w:pos="360"/>
      </w:tabs>
      <w:adjustRightInd w:val="0"/>
      <w:ind w:left="360" w:hanging="360"/>
      <w:textAlignment w:val="baseline"/>
    </w:pPr>
    <w:rPr>
      <w:rFonts w:ascii="宋体" w:hAnsi="宋体"/>
      <w:kern w:val="0"/>
      <w:szCs w:val="21"/>
    </w:rPr>
  </w:style>
  <w:style w:type="paragraph" w:styleId="13">
    <w:name w:val="List Paragraph"/>
    <w:basedOn w:val="1"/>
    <w:qFormat/>
    <w:uiPriority w:val="0"/>
    <w:pPr>
      <w:ind w:firstLine="420" w:firstLineChars="200"/>
    </w:pPr>
  </w:style>
  <w:style w:type="paragraph" w:customStyle="1" w:styleId="14">
    <w:name w:val="正文_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
    <w:name w:val="正文_19"/>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4015</Words>
  <Characters>4367</Characters>
  <Lines>0</Lines>
  <Paragraphs>0</Paragraphs>
  <TotalTime>0</TotalTime>
  <ScaleCrop>false</ScaleCrop>
  <LinksUpToDate>false</LinksUpToDate>
  <CharactersWithSpaces>4391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2026-09-01T02:00:00Z</dcterms:created>
  <dc:creator>Lenovo</dc:creator>
  <cp:lastModifiedBy>Lenovo</cp:lastModifiedBy>
  <dcterms:modified xsi:type="dcterms:W3CDTF">2026-09-03T03:58:46Z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KSOTemplateDocerSaveRecord">
    <vt:lpwstr>eyJoZGlkIjoiYjJjNDQ4NjhjNmQ3ZDc3YjVhNzEzNmJhNWNhYjQyZWQiLCJ1c2VySWQiOiI1NjQ0NjU0OTAifQ==</vt:lpwstr>
  </property>
  <property fmtid="{D5CDD505-2E9C-101B-9397-08002B2CF9AE}" pid="4" name="ICV">
    <vt:lpwstr>DF5922605DED4D689DDFA0085C99985A_12</vt:lpwstr>
  </property>
</Properties>
</file>